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70B" w:rsidRPr="00715429" w:rsidRDefault="007B41C4" w:rsidP="00D61692">
      <w:pPr>
        <w:spacing w:after="0" w:line="240" w:lineRule="auto"/>
        <w:jc w:val="center"/>
        <w:rPr>
          <w:rFonts w:ascii="Cambria" w:hAnsi="Cambria" w:cs="Cambria"/>
          <w:b/>
          <w:bCs/>
          <w:noProof/>
          <w:sz w:val="28"/>
          <w:szCs w:val="28"/>
          <w:lang w:val="hr-BA"/>
        </w:rPr>
      </w:pPr>
      <w:r w:rsidRPr="00715429">
        <w:rPr>
          <w:rFonts w:ascii="Cambria" w:hAnsi="Cambria" w:cs="Cambria"/>
          <w:noProof/>
        </w:rPr>
        <w:drawing>
          <wp:inline distT="0" distB="0" distL="0" distR="0">
            <wp:extent cx="675640" cy="81216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1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70B" w:rsidRPr="00715429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  <w:lang w:val="hr-BA"/>
        </w:rPr>
      </w:pPr>
      <w:r w:rsidRPr="00715429">
        <w:rPr>
          <w:b/>
          <w:bCs/>
          <w:noProof/>
          <w:sz w:val="28"/>
          <w:szCs w:val="28"/>
          <w:lang w:val="hr-BA"/>
        </w:rPr>
        <w:t>CRNA GORA</w:t>
      </w:r>
    </w:p>
    <w:p w:rsidR="0082570B" w:rsidRPr="00715429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  <w:lang w:val="hr-BA"/>
        </w:rPr>
      </w:pPr>
      <w:r w:rsidRPr="00715429">
        <w:rPr>
          <w:b/>
          <w:bCs/>
          <w:noProof/>
          <w:sz w:val="28"/>
          <w:szCs w:val="28"/>
          <w:lang w:val="hr-BA"/>
        </w:rPr>
        <w:t>MINISTARSTVO FINANSIJA</w:t>
      </w:r>
    </w:p>
    <w:p w:rsidR="0082570B" w:rsidRPr="00715429" w:rsidRDefault="00DC4AD1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  <w:lang w:val="hr-BA"/>
        </w:rPr>
      </w:pPr>
      <w:r w:rsidRPr="00715429">
        <w:rPr>
          <w:b/>
          <w:bCs/>
          <w:noProof/>
          <w:sz w:val="28"/>
          <w:szCs w:val="28"/>
          <w:lang w:val="hr-BA"/>
        </w:rPr>
        <w:t>Direktorat</w:t>
      </w:r>
      <w:r w:rsidR="0082570B" w:rsidRPr="00715429">
        <w:rPr>
          <w:b/>
          <w:bCs/>
          <w:noProof/>
          <w:sz w:val="28"/>
          <w:szCs w:val="28"/>
          <w:lang w:val="hr-BA"/>
        </w:rPr>
        <w:t xml:space="preserve"> za ekonomsku politiku i razvoj</w:t>
      </w:r>
    </w:p>
    <w:p w:rsidR="0082570B" w:rsidRPr="00715429" w:rsidRDefault="0082570B" w:rsidP="00D61692">
      <w:pPr>
        <w:rPr>
          <w:rFonts w:cs="Calibri"/>
          <w:noProof/>
          <w:lang w:val="hr-BA"/>
        </w:rPr>
      </w:pPr>
    </w:p>
    <w:p w:rsidR="0082570B" w:rsidRPr="00715429" w:rsidRDefault="0082570B" w:rsidP="00D61692">
      <w:pPr>
        <w:jc w:val="center"/>
        <w:rPr>
          <w:rFonts w:cs="Calibri"/>
          <w:b/>
          <w:bCs/>
          <w:i/>
          <w:iCs/>
          <w:noProof/>
          <w:sz w:val="36"/>
          <w:szCs w:val="36"/>
          <w:lang w:val="hr-BA"/>
        </w:rPr>
      </w:pPr>
    </w:p>
    <w:p w:rsidR="0082570B" w:rsidRPr="00715429" w:rsidRDefault="0082570B" w:rsidP="000F756E">
      <w:pPr>
        <w:rPr>
          <w:rFonts w:cs="Calibri"/>
          <w:b/>
          <w:bCs/>
          <w:i/>
          <w:iCs/>
          <w:noProof/>
          <w:sz w:val="36"/>
          <w:szCs w:val="36"/>
          <w:lang w:val="hr-BA"/>
        </w:rPr>
      </w:pPr>
    </w:p>
    <w:p w:rsidR="0082570B" w:rsidRPr="00715429" w:rsidRDefault="0082570B" w:rsidP="000F756E">
      <w:pPr>
        <w:rPr>
          <w:rFonts w:cs="Calibri"/>
          <w:b/>
          <w:bCs/>
          <w:i/>
          <w:iCs/>
          <w:noProof/>
          <w:sz w:val="36"/>
          <w:szCs w:val="36"/>
          <w:lang w:val="hr-BA"/>
        </w:rPr>
      </w:pPr>
    </w:p>
    <w:p w:rsidR="0082570B" w:rsidRPr="00715429" w:rsidRDefault="0082570B" w:rsidP="0002564B">
      <w:pPr>
        <w:spacing w:line="240" w:lineRule="auto"/>
        <w:jc w:val="center"/>
        <w:outlineLvl w:val="0"/>
        <w:rPr>
          <w:rFonts w:cs="Calibri"/>
          <w:b/>
          <w:bCs/>
          <w:iCs/>
          <w:noProof/>
          <w:sz w:val="52"/>
          <w:szCs w:val="52"/>
          <w:lang w:val="hr-BA"/>
        </w:rPr>
      </w:pPr>
      <w:r w:rsidRPr="00715429">
        <w:rPr>
          <w:rFonts w:cs="Calibri"/>
          <w:b/>
          <w:bCs/>
          <w:iCs/>
          <w:noProof/>
          <w:sz w:val="52"/>
          <w:szCs w:val="52"/>
          <w:lang w:val="hr-BA"/>
        </w:rPr>
        <w:t>MJESEČNI MAKROEKONOMSKI INDIKATORI</w:t>
      </w:r>
    </w:p>
    <w:p w:rsidR="0082570B" w:rsidRPr="00715429" w:rsidRDefault="002916F7" w:rsidP="0002564B">
      <w:pPr>
        <w:spacing w:line="240" w:lineRule="auto"/>
        <w:jc w:val="center"/>
        <w:outlineLvl w:val="0"/>
        <w:rPr>
          <w:rFonts w:cs="Calibri"/>
          <w:b/>
          <w:bCs/>
          <w:noProof/>
          <w:sz w:val="32"/>
          <w:szCs w:val="32"/>
          <w:lang w:val="hr-BA"/>
        </w:rPr>
      </w:pPr>
      <w:r>
        <w:rPr>
          <w:rFonts w:cs="Calibri"/>
          <w:b/>
          <w:bCs/>
          <w:noProof/>
          <w:sz w:val="32"/>
          <w:szCs w:val="32"/>
          <w:lang w:val="hr-BA"/>
        </w:rPr>
        <w:t>Septembar</w:t>
      </w:r>
      <w:r w:rsidR="007D0106" w:rsidRPr="00715429">
        <w:rPr>
          <w:rFonts w:cs="Calibri"/>
          <w:b/>
          <w:bCs/>
          <w:noProof/>
          <w:sz w:val="32"/>
          <w:szCs w:val="32"/>
          <w:lang w:val="hr-BA"/>
        </w:rPr>
        <w:t xml:space="preserve"> </w:t>
      </w:r>
      <w:r w:rsidR="006D2B20" w:rsidRPr="00715429">
        <w:rPr>
          <w:rFonts w:cs="Calibri"/>
          <w:b/>
          <w:bCs/>
          <w:noProof/>
          <w:sz w:val="32"/>
          <w:szCs w:val="32"/>
          <w:lang w:val="hr-BA"/>
        </w:rPr>
        <w:t>2014</w:t>
      </w:r>
      <w:r w:rsidR="0082570B" w:rsidRPr="00715429">
        <w:rPr>
          <w:rFonts w:cs="Calibri"/>
          <w:b/>
          <w:bCs/>
          <w:noProof/>
          <w:sz w:val="32"/>
          <w:szCs w:val="32"/>
          <w:lang w:val="hr-BA"/>
        </w:rPr>
        <w:t>.</w:t>
      </w:r>
    </w:p>
    <w:p w:rsidR="0082570B" w:rsidRPr="00715429" w:rsidRDefault="0082570B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  <w:lang w:val="hr-BA"/>
        </w:rPr>
      </w:pPr>
    </w:p>
    <w:p w:rsidR="0082570B" w:rsidRPr="00715429" w:rsidRDefault="0082570B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  <w:lang w:val="hr-BA"/>
        </w:rPr>
      </w:pPr>
    </w:p>
    <w:p w:rsidR="0082570B" w:rsidRPr="00715429" w:rsidRDefault="000216CA" w:rsidP="00D20CDA">
      <w:pPr>
        <w:spacing w:after="0" w:line="240" w:lineRule="auto"/>
        <w:rPr>
          <w:rFonts w:cs="Calibri"/>
          <w:bCs/>
          <w:noProof/>
          <w:sz w:val="28"/>
          <w:szCs w:val="28"/>
          <w:lang w:val="hr-BA"/>
        </w:rPr>
      </w:pPr>
      <w:r w:rsidRPr="000216CA">
        <w:rPr>
          <w:noProof/>
          <w:lang w:val="hr-BA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margin-left:-14pt;margin-top:5in;width:252.6pt;height:338pt;rotation:-360;z-index:-251658240;mso-position-horizontal-relative:margin;mso-position-vertical-relative:margin" wrapcoords="1315 -107 900 -53 -138 587 -138 20747 277 21227 277 21333 1038 21653 1246 21653 20285 21653 20423 21653 21392 21227 21738 20480 21738 1440 21669 587 20769 0 20285 -107 1315 -107" o:allowincell="f" adj="1739" fillcolor="#943634" strokecolor="#548dd4 [1951]" strokeweight="3pt">
            <v:imagedata embosscolor="shadow add(51)"/>
            <v:shadow type="emboss" color="lineOrFill darken(153)" color2="shadow add(102)" offset="1pt,1pt"/>
            <v:textbox style="mso-next-textbox:#_x0000_s1026" inset="3.6pt,,3.6pt">
              <w:txbxContent>
                <w:p w:rsidR="00912ADF" w:rsidRDefault="00912ADF" w:rsidP="00BE47BD">
                  <w:pPr>
                    <w:pStyle w:val="NoSpacing"/>
                    <w:jc w:val="center"/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  <w:r w:rsidRPr="003A5C77"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  <w:t>KLJUČNE PORUKE</w:t>
                  </w:r>
                </w:p>
                <w:p w:rsidR="00912ADF" w:rsidRDefault="00912ADF" w:rsidP="00E2362B">
                  <w:pPr>
                    <w:pStyle w:val="NoSpacing"/>
                    <w:ind w:left="851"/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</w:pPr>
                </w:p>
                <w:p w:rsidR="00912ADF" w:rsidRPr="00E72ABE" w:rsidRDefault="00912ADF" w:rsidP="00E72ABE">
                  <w:pPr>
                    <w:pStyle w:val="NoSpacing"/>
                    <w:numPr>
                      <w:ilvl w:val="0"/>
                      <w:numId w:val="29"/>
                    </w:numPr>
                    <w:spacing w:after="120"/>
                    <w:ind w:left="567" w:hanging="425"/>
                    <w:jc w:val="both"/>
                    <w:rPr>
                      <w:b/>
                      <w:bCs/>
                      <w:color w:val="000000"/>
                      <w:sz w:val="32"/>
                      <w:szCs w:val="40"/>
                      <w:lang w:val="pl-PL"/>
                    </w:rPr>
                  </w:pPr>
                  <w:r w:rsidRPr="00E72ABE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eastAsia="sr-Latn-CS"/>
                    </w:rPr>
                    <w:t>Evropska Centralna banka je započela program kvantitativne</w:t>
                  </w:r>
                  <w:r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eastAsia="sr-Latn-CS"/>
                    </w:rPr>
                    <w:t xml:space="preserve"> podrške u cilju podsticanja ekonomskog rasta</w:t>
                  </w:r>
                </w:p>
                <w:p w:rsidR="00912ADF" w:rsidRPr="00E72ABE" w:rsidRDefault="00912ADF" w:rsidP="00E72ABE">
                  <w:pPr>
                    <w:pStyle w:val="NoSpacing"/>
                    <w:numPr>
                      <w:ilvl w:val="0"/>
                      <w:numId w:val="29"/>
                    </w:numPr>
                    <w:spacing w:after="120"/>
                    <w:ind w:left="567" w:hanging="425"/>
                    <w:jc w:val="both"/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eastAsia="sr-Latn-CS"/>
                    </w:rPr>
                  </w:pPr>
                  <w:r w:rsidRPr="00E72ABE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eastAsia="sr-Latn-CS"/>
                    </w:rPr>
                    <w:t>U avgustu 2014. godine zabilježen blagi rast dolazaka i noćenja turista</w:t>
                  </w:r>
                </w:p>
                <w:p w:rsidR="00912ADF" w:rsidRDefault="00912ADF" w:rsidP="00E72ABE">
                  <w:pPr>
                    <w:pStyle w:val="NoSpacing"/>
                    <w:numPr>
                      <w:ilvl w:val="0"/>
                      <w:numId w:val="29"/>
                    </w:numPr>
                    <w:spacing w:after="120"/>
                    <w:ind w:left="567" w:hanging="425"/>
                    <w:jc w:val="both"/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eastAsia="sr-Latn-CS"/>
                    </w:rPr>
                  </w:pPr>
                  <w:r w:rsidRPr="00E72ABE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eastAsia="sr-Latn-CS"/>
                    </w:rPr>
                    <w:t>Potrošačke cijene (HICP) u avgustu 2014. su, drugi mjesec za redom, bez promjena na mjesečnom nivou</w:t>
                  </w:r>
                </w:p>
                <w:p w:rsidR="00912ADF" w:rsidRPr="00E72ABE" w:rsidRDefault="00912ADF" w:rsidP="00E72ABE">
                  <w:pPr>
                    <w:pStyle w:val="NoSpacing"/>
                    <w:numPr>
                      <w:ilvl w:val="0"/>
                      <w:numId w:val="29"/>
                    </w:numPr>
                    <w:spacing w:after="120"/>
                    <w:ind w:left="567" w:hanging="425"/>
                    <w:jc w:val="both"/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eastAsia="sr-Latn-CS"/>
                    </w:rPr>
                  </w:pPr>
                  <w:r w:rsidRPr="00E72ABE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eastAsia="sr-Latn-CS"/>
                    </w:rPr>
                    <w:t xml:space="preserve">Izvorni prihodi budžeta Crne Gore u avgustu 2014.g. ostvareni u iznosu od 126,6 mil.€ </w:t>
                  </w:r>
                  <w:r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eastAsia="sr-Latn-CS"/>
                    </w:rPr>
                    <w:t xml:space="preserve">, </w:t>
                  </w:r>
                  <w:r w:rsidRPr="00E72ABE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eastAsia="sr-Latn-CS"/>
                    </w:rPr>
                    <w:t xml:space="preserve">1,2 % više </w:t>
                  </w:r>
                  <w:r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eastAsia="sr-Latn-CS"/>
                    </w:rPr>
                    <w:t>g-n-g</w:t>
                  </w:r>
                </w:p>
                <w:p w:rsidR="00912ADF" w:rsidRPr="00E72ABE" w:rsidRDefault="00912ADF" w:rsidP="00E72ABE">
                  <w:pPr>
                    <w:pStyle w:val="NoSpacing"/>
                    <w:numPr>
                      <w:ilvl w:val="0"/>
                      <w:numId w:val="29"/>
                    </w:numPr>
                    <w:spacing w:after="120"/>
                    <w:ind w:left="567" w:hanging="425"/>
                    <w:jc w:val="both"/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eastAsia="sr-Latn-CS"/>
                    </w:rPr>
                  </w:pPr>
                  <w:r w:rsidRPr="00E72ABE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eastAsia="sr-Latn-CS"/>
                    </w:rPr>
                    <w:t>Spoljnotrgovinski deficit</w:t>
                  </w:r>
                  <w:r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eastAsia="sr-Latn-CS"/>
                    </w:rPr>
                    <w:t xml:space="preserve"> </w:t>
                  </w:r>
                  <w:r w:rsidRPr="00E72ABE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eastAsia="sr-Latn-CS"/>
                    </w:rPr>
                    <w:t>u periodu januar – avgust 2014.</w:t>
                  </w:r>
                  <w:r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eastAsia="sr-Latn-CS"/>
                    </w:rPr>
                    <w:t xml:space="preserve"> povećan je za </w:t>
                  </w:r>
                  <w:r w:rsidRPr="00E72ABE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eastAsia="sr-Latn-CS"/>
                    </w:rPr>
                    <w:t>4,6%</w:t>
                  </w:r>
                </w:p>
              </w:txbxContent>
            </v:textbox>
            <w10:wrap type="tight" anchorx="margin" anchory="margin"/>
          </v:shape>
        </w:pict>
      </w:r>
    </w:p>
    <w:p w:rsidR="0082570B" w:rsidRPr="00715429" w:rsidRDefault="0082570B" w:rsidP="00D20CDA">
      <w:pPr>
        <w:spacing w:after="0" w:line="240" w:lineRule="auto"/>
        <w:rPr>
          <w:rFonts w:cs="Calibri"/>
          <w:bCs/>
          <w:iCs/>
          <w:noProof/>
          <w:sz w:val="26"/>
          <w:szCs w:val="26"/>
          <w:lang w:val="hr-BA"/>
        </w:rPr>
      </w:pPr>
    </w:p>
    <w:p w:rsidR="0082570B" w:rsidRPr="00715429" w:rsidRDefault="0085138D" w:rsidP="00D61692">
      <w:pPr>
        <w:pStyle w:val="NoSpacing"/>
        <w:rPr>
          <w:bCs/>
          <w:iCs/>
          <w:noProof/>
          <w:sz w:val="26"/>
          <w:szCs w:val="26"/>
          <w:lang w:val="hr-BA"/>
        </w:rPr>
      </w:pPr>
      <w:r>
        <w:rPr>
          <w:bCs/>
          <w:iCs/>
          <w:noProof/>
          <w:sz w:val="26"/>
          <w:szCs w:val="26"/>
          <w:lang w:val="hr-BA"/>
        </w:rPr>
        <w:t xml:space="preserve">          </w:t>
      </w:r>
    </w:p>
    <w:p w:rsidR="0082570B" w:rsidRPr="00715429" w:rsidRDefault="0085138D" w:rsidP="00694445">
      <w:pPr>
        <w:pStyle w:val="NoSpacing"/>
        <w:rPr>
          <w:bCs/>
          <w:noProof/>
          <w:sz w:val="28"/>
          <w:szCs w:val="20"/>
          <w:lang w:val="hr-BA"/>
        </w:rPr>
      </w:pPr>
      <w:r>
        <w:rPr>
          <w:bCs/>
          <w:noProof/>
          <w:sz w:val="28"/>
          <w:szCs w:val="20"/>
          <w:lang w:eastAsia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912495</wp:posOffset>
            </wp:positionH>
            <wp:positionV relativeFrom="paragraph">
              <wp:posOffset>136525</wp:posOffset>
            </wp:positionV>
            <wp:extent cx="2238375" cy="2644140"/>
            <wp:effectExtent l="19050" t="0" r="9525" b="0"/>
            <wp:wrapSquare wrapText="bothSides"/>
            <wp:docPr id="13" name="Picture 1" descr="C:\Users\radovan.zivkovic\Desktop\push-to-vertic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ovan.zivkovic\Desktop\push-to-vertical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64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570B" w:rsidRPr="00715429" w:rsidRDefault="0082570B" w:rsidP="003324D9">
      <w:pPr>
        <w:pStyle w:val="NoSpacing"/>
        <w:rPr>
          <w:noProof/>
          <w:sz w:val="32"/>
          <w:lang w:val="hr-BA"/>
        </w:rPr>
      </w:pPr>
    </w:p>
    <w:p w:rsidR="0082570B" w:rsidRPr="00715429" w:rsidRDefault="0082570B" w:rsidP="003324D9">
      <w:pPr>
        <w:pStyle w:val="NoSpacing"/>
        <w:rPr>
          <w:noProof/>
          <w:sz w:val="32"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b/>
          <w:bCs/>
          <w:noProof/>
          <w:color w:val="000000"/>
          <w:sz w:val="16"/>
          <w:szCs w:val="16"/>
          <w:lang w:val="hr-BA"/>
        </w:rPr>
      </w:pPr>
    </w:p>
    <w:p w:rsidR="0082570B" w:rsidRPr="00715429" w:rsidRDefault="0082570B" w:rsidP="003324D9">
      <w:pPr>
        <w:pStyle w:val="NoSpacing"/>
        <w:rPr>
          <w:b/>
          <w:bCs/>
          <w:noProof/>
          <w:color w:val="000000"/>
          <w:sz w:val="16"/>
          <w:szCs w:val="16"/>
          <w:lang w:val="hr-BA"/>
        </w:rPr>
      </w:pPr>
    </w:p>
    <w:p w:rsidR="0082570B" w:rsidRPr="00715429" w:rsidRDefault="0082570B" w:rsidP="00A423C3">
      <w:pPr>
        <w:pStyle w:val="NoSpacing"/>
        <w:outlineLvl w:val="0"/>
        <w:rPr>
          <w:bCs/>
          <w:noProof/>
          <w:color w:val="000000"/>
          <w:sz w:val="16"/>
          <w:szCs w:val="16"/>
          <w:lang w:val="hr-BA"/>
        </w:rPr>
      </w:pPr>
      <w:r w:rsidRPr="00715429">
        <w:rPr>
          <w:b/>
          <w:bCs/>
          <w:noProof/>
          <w:color w:val="000000"/>
          <w:sz w:val="16"/>
          <w:szCs w:val="16"/>
          <w:lang w:val="hr-BA"/>
        </w:rPr>
        <w:t xml:space="preserve">Autori priloga: </w:t>
      </w:r>
      <w:r w:rsidR="00423EE9" w:rsidRPr="00715429">
        <w:rPr>
          <w:bCs/>
          <w:noProof/>
          <w:color w:val="000000"/>
          <w:sz w:val="16"/>
          <w:szCs w:val="16"/>
          <w:lang w:val="hr-BA"/>
        </w:rPr>
        <w:t>Radovan Živković</w:t>
      </w:r>
      <w:r w:rsidR="002A2CED" w:rsidRPr="00715429">
        <w:rPr>
          <w:bCs/>
          <w:noProof/>
          <w:color w:val="000000"/>
          <w:sz w:val="16"/>
          <w:szCs w:val="16"/>
          <w:lang w:val="hr-BA"/>
        </w:rPr>
        <w:t>, Radojka Martinović</w:t>
      </w:r>
      <w:r w:rsidR="00423EE9" w:rsidRPr="00715429">
        <w:rPr>
          <w:bCs/>
          <w:noProof/>
          <w:color w:val="000000"/>
          <w:sz w:val="16"/>
          <w:szCs w:val="16"/>
          <w:lang w:val="hr-BA"/>
        </w:rPr>
        <w:t xml:space="preserve">, Olja Tomanović, </w:t>
      </w:r>
      <w:r w:rsidR="00074D69" w:rsidRPr="00715429">
        <w:rPr>
          <w:bCs/>
          <w:noProof/>
          <w:color w:val="000000"/>
          <w:sz w:val="16"/>
          <w:szCs w:val="16"/>
          <w:lang w:val="hr-BA"/>
        </w:rPr>
        <w:t xml:space="preserve"> </w:t>
      </w:r>
      <w:r w:rsidR="00423EE9" w:rsidRPr="00715429">
        <w:rPr>
          <w:bCs/>
          <w:noProof/>
          <w:color w:val="000000"/>
          <w:sz w:val="16"/>
          <w:szCs w:val="16"/>
          <w:lang w:val="hr-BA"/>
        </w:rPr>
        <w:t>Stanko Jeknić</w:t>
      </w:r>
      <w:r w:rsidR="002A2CED" w:rsidRPr="00715429">
        <w:rPr>
          <w:bCs/>
          <w:noProof/>
          <w:color w:val="000000"/>
          <w:sz w:val="16"/>
          <w:szCs w:val="16"/>
          <w:lang w:val="hr-BA"/>
        </w:rPr>
        <w:t>,</w:t>
      </w:r>
      <w:r w:rsidR="00423EE9" w:rsidRPr="00715429">
        <w:rPr>
          <w:bCs/>
          <w:noProof/>
          <w:color w:val="000000"/>
          <w:sz w:val="16"/>
          <w:szCs w:val="16"/>
          <w:lang w:val="hr-BA"/>
        </w:rPr>
        <w:t xml:space="preserve"> </w:t>
      </w:r>
      <w:r w:rsidR="00C646AC" w:rsidRPr="00715429">
        <w:rPr>
          <w:bCs/>
          <w:noProof/>
          <w:color w:val="000000"/>
          <w:sz w:val="16"/>
          <w:szCs w:val="16"/>
          <w:lang w:val="hr-BA"/>
        </w:rPr>
        <w:t xml:space="preserve"> </w:t>
      </w:r>
      <w:r w:rsidR="004B5F63" w:rsidRPr="00715429">
        <w:rPr>
          <w:bCs/>
          <w:noProof/>
          <w:color w:val="000000"/>
          <w:sz w:val="16"/>
          <w:szCs w:val="16"/>
          <w:lang w:val="hr-BA"/>
        </w:rPr>
        <w:t>Marija Novosel</w:t>
      </w:r>
      <w:r w:rsidR="00A423C3" w:rsidRPr="00715429">
        <w:rPr>
          <w:bCs/>
          <w:noProof/>
          <w:color w:val="000000"/>
          <w:sz w:val="16"/>
          <w:szCs w:val="16"/>
          <w:lang w:val="hr-BA"/>
        </w:rPr>
        <w:t>,</w:t>
      </w:r>
      <w:r w:rsidR="002A2CED" w:rsidRPr="00715429">
        <w:rPr>
          <w:bCs/>
          <w:noProof/>
          <w:color w:val="000000"/>
          <w:sz w:val="16"/>
          <w:szCs w:val="16"/>
          <w:lang w:val="hr-BA"/>
        </w:rPr>
        <w:t xml:space="preserve"> Zdenka</w:t>
      </w:r>
      <w:r w:rsidR="00F03604" w:rsidRPr="00715429">
        <w:rPr>
          <w:bCs/>
          <w:noProof/>
          <w:color w:val="000000"/>
          <w:sz w:val="16"/>
          <w:szCs w:val="16"/>
          <w:lang w:val="hr-BA"/>
        </w:rPr>
        <w:t xml:space="preserve"> </w:t>
      </w:r>
      <w:r w:rsidR="002A2CED" w:rsidRPr="00715429">
        <w:rPr>
          <w:bCs/>
          <w:noProof/>
          <w:color w:val="000000"/>
          <w:sz w:val="16"/>
          <w:szCs w:val="16"/>
          <w:lang w:val="hr-BA"/>
        </w:rPr>
        <w:t>Dabović</w:t>
      </w:r>
      <w:r w:rsidR="00E2362B">
        <w:rPr>
          <w:bCs/>
          <w:noProof/>
          <w:color w:val="000000"/>
          <w:sz w:val="16"/>
          <w:szCs w:val="16"/>
          <w:lang w:val="hr-BA"/>
        </w:rPr>
        <w:t>, Milanka Jovanović</w:t>
      </w:r>
    </w:p>
    <w:p w:rsidR="00A67F78" w:rsidRPr="00715429" w:rsidRDefault="00A67F78" w:rsidP="00A423C3">
      <w:pPr>
        <w:pStyle w:val="NoSpacing"/>
        <w:outlineLvl w:val="0"/>
        <w:rPr>
          <w:bCs/>
          <w:noProof/>
          <w:color w:val="000000"/>
          <w:sz w:val="16"/>
          <w:szCs w:val="16"/>
          <w:lang w:val="hr-BA"/>
        </w:rPr>
      </w:pPr>
    </w:p>
    <w:p w:rsidR="00A67F78" w:rsidRPr="00715429" w:rsidRDefault="00A67F78" w:rsidP="00A423C3">
      <w:pPr>
        <w:pStyle w:val="NoSpacing"/>
        <w:outlineLvl w:val="0"/>
        <w:rPr>
          <w:bCs/>
          <w:noProof/>
          <w:color w:val="000000"/>
          <w:sz w:val="16"/>
          <w:szCs w:val="16"/>
          <w:lang w:val="hr-BA"/>
        </w:rPr>
      </w:pPr>
    </w:p>
    <w:p w:rsidR="00A67F78" w:rsidRPr="00715429" w:rsidRDefault="00A67F78" w:rsidP="00A423C3">
      <w:pPr>
        <w:pStyle w:val="NoSpacing"/>
        <w:outlineLvl w:val="0"/>
        <w:rPr>
          <w:bCs/>
          <w:noProof/>
          <w:color w:val="000000"/>
          <w:sz w:val="16"/>
          <w:szCs w:val="16"/>
          <w:lang w:val="hr-BA"/>
        </w:rPr>
      </w:pPr>
    </w:p>
    <w:p w:rsidR="00A67F78" w:rsidRPr="00715429" w:rsidRDefault="00A67F78" w:rsidP="00A423C3">
      <w:pPr>
        <w:pStyle w:val="NoSpacing"/>
        <w:outlineLvl w:val="0"/>
        <w:rPr>
          <w:noProof/>
          <w:lang w:val="hr-BA"/>
        </w:rPr>
      </w:pPr>
    </w:p>
    <w:tbl>
      <w:tblPr>
        <w:tblpPr w:leftFromText="180" w:rightFromText="180" w:vertAnchor="text" w:tblpX="108" w:tblpY="1"/>
        <w:tblOverlap w:val="never"/>
        <w:tblW w:w="10716" w:type="dxa"/>
        <w:tblBorders>
          <w:top w:val="thinThickSmallGap" w:sz="18" w:space="0" w:color="auto"/>
          <w:bottom w:val="thinThickSmallGap" w:sz="18" w:space="0" w:color="auto"/>
          <w:insideH w:val="thinThickSmallGap" w:sz="18" w:space="0" w:color="auto"/>
        </w:tblBorders>
        <w:tblLayout w:type="fixed"/>
        <w:tblLook w:val="00A0"/>
      </w:tblPr>
      <w:tblGrid>
        <w:gridCol w:w="6930"/>
        <w:gridCol w:w="3644"/>
        <w:gridCol w:w="142"/>
      </w:tblGrid>
      <w:tr w:rsidR="0082570B" w:rsidRPr="00715429" w:rsidTr="00677E65">
        <w:trPr>
          <w:gridAfter w:val="1"/>
          <w:wAfter w:w="142" w:type="dxa"/>
        </w:trPr>
        <w:tc>
          <w:tcPr>
            <w:tcW w:w="6946" w:type="dxa"/>
            <w:tcBorders>
              <w:bottom w:val="single" w:sz="4" w:space="0" w:color="auto"/>
            </w:tcBorders>
          </w:tcPr>
          <w:p w:rsidR="0082570B" w:rsidRPr="00715429" w:rsidRDefault="005065E6" w:rsidP="001D21B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/>
                <w:b/>
                <w:noProof/>
                <w:color w:val="000000"/>
                <w:sz w:val="20"/>
                <w:szCs w:val="20"/>
                <w:lang w:val="hr-BA" w:eastAsia="en-US"/>
              </w:rPr>
            </w:pPr>
            <w:r w:rsidRPr="00715429">
              <w:rPr>
                <w:rFonts w:eastAsia="Times New Roman"/>
                <w:b/>
                <w:noProof/>
                <w:color w:val="000000"/>
                <w:sz w:val="20"/>
                <w:szCs w:val="20"/>
                <w:lang w:val="hr-BA" w:eastAsia="en-US"/>
              </w:rPr>
              <w:t>Međunarodno okruženje</w:t>
            </w:r>
          </w:p>
        </w:tc>
        <w:tc>
          <w:tcPr>
            <w:tcW w:w="3652" w:type="dxa"/>
            <w:vMerge w:val="restart"/>
            <w:tcBorders>
              <w:bottom w:val="nil"/>
            </w:tcBorders>
            <w:vAlign w:val="center"/>
          </w:tcPr>
          <w:p w:rsidR="0082570B" w:rsidRPr="00715429" w:rsidRDefault="00A81DD8" w:rsidP="001D21BD">
            <w:pPr>
              <w:spacing w:after="0" w:line="240" w:lineRule="auto"/>
              <w:jc w:val="center"/>
              <w:rPr>
                <w:rFonts w:cs="Calibri"/>
                <w:noProof/>
                <w:color w:val="000000"/>
                <w:sz w:val="20"/>
                <w:szCs w:val="20"/>
                <w:lang w:val="hr-BA"/>
              </w:rPr>
            </w:pPr>
            <w:r w:rsidRPr="00A81DD8">
              <w:rPr>
                <w:rFonts w:cs="Calibri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2124000" cy="1908000"/>
                  <wp:effectExtent l="0" t="0" r="0" b="0"/>
                  <wp:docPr id="4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82570B" w:rsidRPr="00715429" w:rsidTr="00677E65">
        <w:trPr>
          <w:gridAfter w:val="1"/>
          <w:wAfter w:w="142" w:type="dxa"/>
          <w:trHeight w:hRule="exact" w:val="3175"/>
        </w:trPr>
        <w:tc>
          <w:tcPr>
            <w:tcW w:w="6946" w:type="dxa"/>
            <w:tcBorders>
              <w:top w:val="single" w:sz="4" w:space="0" w:color="auto"/>
            </w:tcBorders>
          </w:tcPr>
          <w:p w:rsidR="00273280" w:rsidRPr="002E482B" w:rsidRDefault="00E72ABE" w:rsidP="00273280">
            <w:pPr>
              <w:shd w:val="clear" w:color="auto" w:fill="FFFFFF"/>
              <w:spacing w:after="0" w:line="240" w:lineRule="atLeast"/>
              <w:jc w:val="both"/>
              <w:rPr>
                <w:rFonts w:asciiTheme="minorHAnsi" w:hAnsiTheme="minorHAnsi" w:cstheme="minorHAnsi"/>
                <w:sz w:val="20"/>
                <w:szCs w:val="24"/>
                <w:lang w:eastAsia="sr-Latn-C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4"/>
                <w:lang w:eastAsia="sr-Latn-CS"/>
              </w:rPr>
              <w:t>Evropska c</w:t>
            </w:r>
            <w:r w:rsidR="00273280" w:rsidRPr="00A36406">
              <w:rPr>
                <w:rFonts w:asciiTheme="minorHAnsi" w:hAnsiTheme="minorHAnsi" w:cstheme="minorHAnsi"/>
                <w:b/>
                <w:sz w:val="20"/>
                <w:szCs w:val="24"/>
                <w:lang w:eastAsia="sr-Latn-CS"/>
              </w:rPr>
              <w:t xml:space="preserve">entralna banka </w:t>
            </w:r>
            <w:r w:rsidR="004E6F45" w:rsidRPr="00A36406">
              <w:rPr>
                <w:rFonts w:asciiTheme="minorHAnsi" w:hAnsiTheme="minorHAnsi" w:cstheme="minorHAnsi"/>
                <w:b/>
                <w:sz w:val="20"/>
                <w:szCs w:val="24"/>
                <w:lang w:eastAsia="sr-Latn-CS"/>
              </w:rPr>
              <w:t xml:space="preserve">je </w:t>
            </w:r>
            <w:r w:rsidR="00273280" w:rsidRPr="00A36406">
              <w:rPr>
                <w:rFonts w:asciiTheme="minorHAnsi" w:hAnsiTheme="minorHAnsi" w:cstheme="minorHAnsi"/>
                <w:b/>
                <w:sz w:val="20"/>
                <w:szCs w:val="24"/>
                <w:lang w:eastAsia="sr-Latn-CS"/>
              </w:rPr>
              <w:t>započela pr</w:t>
            </w:r>
            <w:r w:rsidR="004E6F45" w:rsidRPr="00A36406">
              <w:rPr>
                <w:rFonts w:asciiTheme="minorHAnsi" w:hAnsiTheme="minorHAnsi" w:cstheme="minorHAnsi"/>
                <w:b/>
                <w:sz w:val="20"/>
                <w:szCs w:val="24"/>
                <w:lang w:eastAsia="sr-Latn-CS"/>
              </w:rPr>
              <w:t>ogram kvantitativne podrške</w:t>
            </w:r>
            <w:r w:rsidR="004E6F45">
              <w:rPr>
                <w:rFonts w:asciiTheme="minorHAnsi" w:hAnsiTheme="minorHAnsi" w:cstheme="minorHAnsi"/>
                <w:sz w:val="20"/>
                <w:szCs w:val="24"/>
                <w:lang w:eastAsia="sr-Latn-CS"/>
              </w:rPr>
              <w:t xml:space="preserve"> koji</w:t>
            </w:r>
            <w:r w:rsidR="00273280" w:rsidRPr="002E482B">
              <w:rPr>
                <w:rFonts w:asciiTheme="minorHAnsi" w:hAnsiTheme="minorHAnsi" w:cstheme="minorHAnsi"/>
                <w:sz w:val="20"/>
                <w:szCs w:val="24"/>
                <w:lang w:eastAsia="sr-Latn-CS"/>
              </w:rPr>
              <w:t>m se bankama nude vrlo povoljna dugoročna sredstva</w:t>
            </w:r>
            <w:r w:rsidR="004E6F45">
              <w:rPr>
                <w:rFonts w:asciiTheme="minorHAnsi" w:hAnsiTheme="minorHAnsi" w:cstheme="minorHAnsi"/>
                <w:sz w:val="20"/>
                <w:szCs w:val="24"/>
                <w:lang w:eastAsia="sr-Latn-CS"/>
              </w:rPr>
              <w:t>,</w:t>
            </w:r>
            <w:r w:rsidR="00273280" w:rsidRPr="002E482B">
              <w:rPr>
                <w:rFonts w:asciiTheme="minorHAnsi" w:hAnsiTheme="minorHAnsi" w:cstheme="minorHAnsi"/>
                <w:sz w:val="20"/>
                <w:szCs w:val="24"/>
                <w:lang w:eastAsia="sr-Latn-CS"/>
              </w:rPr>
              <w:t xml:space="preserve"> ukoliko se</w:t>
            </w:r>
            <w:r w:rsidR="00273280">
              <w:rPr>
                <w:rFonts w:cstheme="minorHAnsi"/>
                <w:sz w:val="20"/>
                <w:szCs w:val="24"/>
                <w:lang w:eastAsia="sr-Latn-CS"/>
              </w:rPr>
              <w:t xml:space="preserve"> ona plasiraju </w:t>
            </w:r>
            <w:proofErr w:type="gramStart"/>
            <w:r w:rsidR="00273280">
              <w:rPr>
                <w:rFonts w:cstheme="minorHAnsi"/>
                <w:sz w:val="20"/>
                <w:szCs w:val="24"/>
                <w:lang w:eastAsia="sr-Latn-CS"/>
              </w:rPr>
              <w:t>u  realni</w:t>
            </w:r>
            <w:proofErr w:type="gramEnd"/>
            <w:r w:rsidR="00273280">
              <w:rPr>
                <w:rFonts w:cstheme="minorHAnsi"/>
                <w:sz w:val="20"/>
                <w:szCs w:val="24"/>
                <w:lang w:eastAsia="sr-Latn-CS"/>
              </w:rPr>
              <w:t xml:space="preserve"> sektor, </w:t>
            </w:r>
            <w:r w:rsidR="00273280" w:rsidRPr="002E482B">
              <w:rPr>
                <w:rFonts w:asciiTheme="minorHAnsi" w:hAnsiTheme="minorHAnsi" w:cstheme="minorHAnsi"/>
                <w:sz w:val="20"/>
                <w:szCs w:val="24"/>
                <w:lang w:eastAsia="sr-Latn-CS"/>
              </w:rPr>
              <w:t>tzv</w:t>
            </w:r>
            <w:r w:rsidR="00273280">
              <w:rPr>
                <w:rFonts w:cstheme="minorHAnsi"/>
                <w:sz w:val="20"/>
                <w:szCs w:val="24"/>
                <w:lang w:eastAsia="sr-Latn-CS"/>
              </w:rPr>
              <w:t>.</w:t>
            </w:r>
            <w:r w:rsidR="00273280" w:rsidRPr="002E482B">
              <w:rPr>
                <w:rFonts w:asciiTheme="minorHAnsi" w:hAnsiTheme="minorHAnsi" w:cstheme="minorHAnsi"/>
                <w:sz w:val="20"/>
                <w:szCs w:val="24"/>
                <w:lang w:eastAsia="sr-Latn-CS"/>
              </w:rPr>
              <w:t xml:space="preserve"> </w:t>
            </w:r>
            <w:proofErr w:type="gramStart"/>
            <w:r w:rsidR="00273280" w:rsidRPr="002E482B">
              <w:rPr>
                <w:rFonts w:asciiTheme="minorHAnsi" w:hAnsiTheme="minorHAnsi" w:cstheme="minorHAnsi"/>
                <w:sz w:val="20"/>
                <w:szCs w:val="24"/>
                <w:lang w:eastAsia="sr-Latn-CS"/>
              </w:rPr>
              <w:t>targetirane</w:t>
            </w:r>
            <w:proofErr w:type="gramEnd"/>
            <w:r w:rsidR="00273280" w:rsidRPr="002E482B">
              <w:rPr>
                <w:rFonts w:asciiTheme="minorHAnsi" w:hAnsiTheme="minorHAnsi" w:cstheme="minorHAnsi"/>
                <w:sz w:val="20"/>
                <w:szCs w:val="24"/>
                <w:lang w:eastAsia="sr-Latn-CS"/>
              </w:rPr>
              <w:t xml:space="preserve"> dugoročne finansijske operacije</w:t>
            </w:r>
            <w:r w:rsidR="00273280">
              <w:rPr>
                <w:rFonts w:cstheme="minorHAnsi"/>
                <w:sz w:val="20"/>
                <w:szCs w:val="24"/>
                <w:lang w:eastAsia="sr-Latn-CS"/>
              </w:rPr>
              <w:t xml:space="preserve"> (TLTRO)</w:t>
            </w:r>
            <w:r w:rsidR="00273280" w:rsidRPr="002E482B">
              <w:rPr>
                <w:rFonts w:asciiTheme="minorHAnsi" w:hAnsiTheme="minorHAnsi" w:cstheme="minorHAnsi"/>
                <w:sz w:val="20"/>
                <w:szCs w:val="24"/>
                <w:lang w:eastAsia="sr-Latn-CS"/>
              </w:rPr>
              <w:t>. Drugi vid podrške je kvantitativna podrška koja se odnosi na otkup hartija od vrijednosti iz portfolija banaka</w:t>
            </w:r>
            <w:r w:rsidR="00A81DD8">
              <w:rPr>
                <w:rFonts w:asciiTheme="minorHAnsi" w:hAnsiTheme="minorHAnsi" w:cstheme="minorHAnsi"/>
                <w:sz w:val="20"/>
                <w:szCs w:val="24"/>
                <w:lang w:eastAsia="sr-Latn-CS"/>
              </w:rPr>
              <w:t xml:space="preserve">, </w:t>
            </w:r>
            <w:r w:rsidR="00273280" w:rsidRPr="002E482B">
              <w:rPr>
                <w:rFonts w:asciiTheme="minorHAnsi" w:hAnsiTheme="minorHAnsi" w:cstheme="minorHAnsi"/>
                <w:sz w:val="20"/>
                <w:szCs w:val="24"/>
                <w:lang w:eastAsia="sr-Latn-CS"/>
              </w:rPr>
              <w:t>a koji su vezani za kredite kompanijama, hipotekarne kredite i drugu definisanu aktivu.</w:t>
            </w:r>
            <w:r w:rsidR="00273280">
              <w:rPr>
                <w:rFonts w:asciiTheme="minorHAnsi" w:hAnsiTheme="minorHAnsi" w:cstheme="minorHAnsi"/>
                <w:sz w:val="20"/>
                <w:szCs w:val="24"/>
                <w:lang w:eastAsia="sr-Latn-CS"/>
              </w:rPr>
              <w:t xml:space="preserve"> </w:t>
            </w:r>
            <w:r w:rsidR="00273280" w:rsidRPr="002E482B">
              <w:rPr>
                <w:rFonts w:asciiTheme="minorHAnsi" w:hAnsiTheme="minorHAnsi" w:cstheme="minorHAnsi"/>
                <w:sz w:val="20"/>
                <w:szCs w:val="24"/>
                <w:lang w:eastAsia="sr-Latn-CS"/>
              </w:rPr>
              <w:t>Ove operacije će započeti sredinom oktobra.</w:t>
            </w:r>
            <w:r w:rsidR="00273280">
              <w:rPr>
                <w:rFonts w:asciiTheme="minorHAnsi" w:hAnsiTheme="minorHAnsi" w:cstheme="minorHAnsi"/>
                <w:sz w:val="20"/>
                <w:szCs w:val="24"/>
                <w:lang w:eastAsia="sr-Latn-CS"/>
              </w:rPr>
              <w:t xml:space="preserve"> Program će trajati dvije godine i očekuje se da će vrijednost ove podrške dostići 1.000 mlrd</w:t>
            </w:r>
            <w:proofErr w:type="gramStart"/>
            <w:r w:rsidR="00273280">
              <w:rPr>
                <w:rFonts w:asciiTheme="minorHAnsi" w:hAnsiTheme="minorHAnsi" w:cstheme="minorHAnsi"/>
                <w:sz w:val="20"/>
                <w:szCs w:val="24"/>
                <w:lang w:eastAsia="sr-Latn-CS"/>
              </w:rPr>
              <w:t>.€</w:t>
            </w:r>
            <w:proofErr w:type="gramEnd"/>
            <w:r w:rsidR="007409AF">
              <w:rPr>
                <w:rFonts w:asciiTheme="minorHAnsi" w:hAnsiTheme="minorHAnsi" w:cstheme="minorHAnsi"/>
                <w:sz w:val="20"/>
                <w:szCs w:val="24"/>
                <w:lang w:eastAsia="sr-Latn-CS"/>
              </w:rPr>
              <w:t>.</w:t>
            </w:r>
            <w:r w:rsidR="00273280" w:rsidRPr="002E482B">
              <w:rPr>
                <w:rFonts w:asciiTheme="minorHAnsi" w:hAnsiTheme="minorHAnsi" w:cstheme="minorHAnsi"/>
                <w:sz w:val="20"/>
                <w:szCs w:val="24"/>
                <w:lang w:eastAsia="sr-Latn-CS"/>
              </w:rPr>
              <w:t xml:space="preserve"> Cilj kvantitativne podrške je pokretanje jače kreditne aktivnosti da bi se podstakao slab ekonomski rast i da bi se inflacija podigla </w:t>
            </w:r>
            <w:proofErr w:type="gramStart"/>
            <w:r w:rsidR="00273280" w:rsidRPr="002E482B">
              <w:rPr>
                <w:rFonts w:asciiTheme="minorHAnsi" w:hAnsiTheme="minorHAnsi" w:cstheme="minorHAnsi"/>
                <w:sz w:val="20"/>
                <w:szCs w:val="24"/>
                <w:lang w:eastAsia="sr-Latn-CS"/>
              </w:rPr>
              <w:t xml:space="preserve">na </w:t>
            </w:r>
            <w:r w:rsidR="00A36406" w:rsidRPr="002E482B">
              <w:rPr>
                <w:rFonts w:asciiTheme="minorHAnsi" w:hAnsiTheme="minorHAnsi" w:cstheme="minorHAnsi"/>
                <w:sz w:val="20"/>
                <w:szCs w:val="24"/>
                <w:lang w:eastAsia="sr-Latn-CS"/>
              </w:rPr>
              <w:t xml:space="preserve"> optimalan</w:t>
            </w:r>
            <w:proofErr w:type="gramEnd"/>
            <w:r w:rsidR="00A36406" w:rsidRPr="002E482B">
              <w:rPr>
                <w:rFonts w:asciiTheme="minorHAnsi" w:hAnsiTheme="minorHAnsi" w:cstheme="minorHAnsi"/>
                <w:sz w:val="20"/>
                <w:szCs w:val="24"/>
                <w:lang w:eastAsia="sr-Latn-CS"/>
              </w:rPr>
              <w:t xml:space="preserve"> </w:t>
            </w:r>
            <w:r w:rsidR="00273280" w:rsidRPr="002E482B">
              <w:rPr>
                <w:rFonts w:asciiTheme="minorHAnsi" w:hAnsiTheme="minorHAnsi" w:cstheme="minorHAnsi"/>
                <w:sz w:val="20"/>
                <w:szCs w:val="24"/>
                <w:lang w:eastAsia="sr-Latn-CS"/>
              </w:rPr>
              <w:t>nivo (2%). Sama najava ECB je uslovila rast vrijednosti berzi i na</w:t>
            </w:r>
            <w:r w:rsidR="00A36406">
              <w:rPr>
                <w:rFonts w:asciiTheme="minorHAnsi" w:hAnsiTheme="minorHAnsi" w:cstheme="minorHAnsi"/>
                <w:sz w:val="20"/>
                <w:szCs w:val="24"/>
                <w:lang w:eastAsia="sr-Latn-CS"/>
              </w:rPr>
              <w:t xml:space="preserve"> tržištima u</w:t>
            </w:r>
            <w:r w:rsidR="00273280" w:rsidRPr="002E482B">
              <w:rPr>
                <w:rFonts w:asciiTheme="minorHAnsi" w:hAnsiTheme="minorHAnsi" w:cstheme="minorHAnsi"/>
                <w:sz w:val="20"/>
                <w:szCs w:val="24"/>
                <w:lang w:eastAsia="sr-Latn-CS"/>
              </w:rPr>
              <w:t xml:space="preserve"> perifernim zemljama Evrope (rast vrijednosti na berzama u Bukureštu, Budimpešti, Zagrebu i Ljubljani). Očekujemo da će se ovaj rast </w:t>
            </w:r>
            <w:r w:rsidR="00677E65">
              <w:rPr>
                <w:rFonts w:asciiTheme="minorHAnsi" w:hAnsiTheme="minorHAnsi" w:cstheme="minorHAnsi"/>
                <w:sz w:val="20"/>
                <w:szCs w:val="24"/>
                <w:lang w:eastAsia="sr-Latn-CS"/>
              </w:rPr>
              <w:t xml:space="preserve">odraziti </w:t>
            </w:r>
            <w:r w:rsidR="00273280" w:rsidRPr="002E482B">
              <w:rPr>
                <w:rFonts w:asciiTheme="minorHAnsi" w:hAnsiTheme="minorHAnsi" w:cstheme="minorHAnsi"/>
                <w:sz w:val="20"/>
                <w:szCs w:val="24"/>
                <w:lang w:eastAsia="sr-Latn-CS"/>
              </w:rPr>
              <w:t>i na našu ekonomiju</w:t>
            </w:r>
            <w:r w:rsidR="007F5FD8">
              <w:rPr>
                <w:rFonts w:asciiTheme="minorHAnsi" w:hAnsiTheme="minorHAnsi" w:cstheme="minorHAnsi"/>
                <w:sz w:val="20"/>
                <w:szCs w:val="24"/>
                <w:lang w:eastAsia="sr-Latn-CS"/>
              </w:rPr>
              <w:t xml:space="preserve"> i zemlje Zapadnog Balkana</w:t>
            </w:r>
            <w:r w:rsidR="00273280" w:rsidRPr="002E482B">
              <w:rPr>
                <w:rFonts w:asciiTheme="minorHAnsi" w:hAnsiTheme="minorHAnsi" w:cstheme="minorHAnsi"/>
                <w:sz w:val="20"/>
                <w:szCs w:val="24"/>
                <w:lang w:eastAsia="sr-Latn-CS"/>
              </w:rPr>
              <w:t xml:space="preserve"> kroz jaču ponudu likvidnih sredstava</w:t>
            </w:r>
            <w:r w:rsidR="00273280">
              <w:rPr>
                <w:rFonts w:cstheme="minorHAnsi"/>
                <w:sz w:val="20"/>
                <w:szCs w:val="24"/>
                <w:lang w:eastAsia="sr-Latn-CS"/>
              </w:rPr>
              <w:t>,</w:t>
            </w:r>
            <w:r w:rsidR="00677E65">
              <w:rPr>
                <w:rFonts w:cstheme="minorHAnsi"/>
                <w:sz w:val="20"/>
                <w:szCs w:val="24"/>
                <w:lang w:eastAsia="sr-Latn-CS"/>
              </w:rPr>
              <w:t xml:space="preserve"> </w:t>
            </w:r>
            <w:r w:rsidR="00273280">
              <w:rPr>
                <w:rFonts w:cstheme="minorHAnsi"/>
                <w:sz w:val="20"/>
                <w:szCs w:val="24"/>
                <w:lang w:eastAsia="sr-Latn-CS"/>
              </w:rPr>
              <w:t xml:space="preserve">a time i pojačanu kreditnu aktivnost. </w:t>
            </w:r>
          </w:p>
          <w:p w:rsidR="00B73FD4" w:rsidRPr="00715429" w:rsidRDefault="00B73FD4" w:rsidP="00A22FCE">
            <w:pPr>
              <w:spacing w:line="240" w:lineRule="auto"/>
              <w:jc w:val="both"/>
              <w:rPr>
                <w:noProof/>
                <w:sz w:val="20"/>
                <w:szCs w:val="20"/>
                <w:lang w:val="hr-BA"/>
              </w:rPr>
            </w:pPr>
          </w:p>
        </w:tc>
        <w:tc>
          <w:tcPr>
            <w:tcW w:w="3652" w:type="dxa"/>
            <w:vMerge/>
            <w:tcBorders>
              <w:top w:val="nil"/>
            </w:tcBorders>
            <w:vAlign w:val="center"/>
          </w:tcPr>
          <w:p w:rsidR="0082570B" w:rsidRPr="00715429" w:rsidRDefault="0082570B" w:rsidP="001D21BD">
            <w:pPr>
              <w:spacing w:after="0" w:line="240" w:lineRule="auto"/>
              <w:ind w:left="34" w:hanging="34"/>
              <w:rPr>
                <w:rFonts w:cs="Calibri"/>
                <w:noProof/>
                <w:color w:val="000000"/>
                <w:sz w:val="20"/>
                <w:szCs w:val="20"/>
                <w:lang w:val="hr-BA"/>
              </w:rPr>
            </w:pPr>
          </w:p>
        </w:tc>
      </w:tr>
      <w:tr w:rsidR="0082570B" w:rsidRPr="00715429" w:rsidTr="00677E65">
        <w:trPr>
          <w:gridAfter w:val="1"/>
          <w:wAfter w:w="142" w:type="dxa"/>
          <w:trHeight w:val="215"/>
        </w:trPr>
        <w:tc>
          <w:tcPr>
            <w:tcW w:w="6946" w:type="dxa"/>
            <w:tcBorders>
              <w:bottom w:val="single" w:sz="4" w:space="0" w:color="auto"/>
            </w:tcBorders>
          </w:tcPr>
          <w:p w:rsidR="0082570B" w:rsidRPr="00715429" w:rsidRDefault="008A31C0" w:rsidP="00677E65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rPr>
                <w:rStyle w:val="CaptionChar"/>
                <w:noProof/>
                <w:lang w:val="hr-BA"/>
              </w:rPr>
            </w:pPr>
            <w:r w:rsidRPr="00715429">
              <w:rPr>
                <w:rStyle w:val="CaptionChar"/>
                <w:noProof/>
                <w:lang w:val="hr-BA"/>
              </w:rPr>
              <w:t>Realni sektor</w:t>
            </w:r>
          </w:p>
        </w:tc>
        <w:tc>
          <w:tcPr>
            <w:tcW w:w="3652" w:type="dxa"/>
            <w:vMerge w:val="restart"/>
            <w:vAlign w:val="center"/>
          </w:tcPr>
          <w:p w:rsidR="0082570B" w:rsidRPr="00715429" w:rsidRDefault="009E51BC" w:rsidP="009E51BC">
            <w:pPr>
              <w:spacing w:after="0" w:line="240" w:lineRule="auto"/>
              <w:ind w:left="-250"/>
              <w:jc w:val="center"/>
              <w:rPr>
                <w:noProof/>
                <w:lang w:val="hr-BA"/>
              </w:rPr>
            </w:pPr>
            <w:r w:rsidRPr="009E51BC">
              <w:rPr>
                <w:noProof/>
              </w:rPr>
              <w:drawing>
                <wp:inline distT="0" distB="0" distL="0" distR="0">
                  <wp:extent cx="2268000" cy="2268000"/>
                  <wp:effectExtent l="0" t="0" r="0" b="0"/>
                  <wp:docPr id="5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DE587D" w:rsidRPr="00715429" w:rsidTr="00677E65">
        <w:trPr>
          <w:gridAfter w:val="1"/>
          <w:wAfter w:w="142" w:type="dxa"/>
          <w:trHeight w:hRule="exact" w:val="3742"/>
        </w:trPr>
        <w:tc>
          <w:tcPr>
            <w:tcW w:w="6946" w:type="dxa"/>
            <w:tcBorders>
              <w:top w:val="single" w:sz="4" w:space="0" w:color="auto"/>
            </w:tcBorders>
          </w:tcPr>
          <w:p w:rsidR="009E51BC" w:rsidRPr="000040B3" w:rsidRDefault="00C63D3F" w:rsidP="00677E65">
            <w:pPr>
              <w:spacing w:before="100" w:beforeAutospacing="1" w:line="240" w:lineRule="auto"/>
              <w:jc w:val="both"/>
              <w:rPr>
                <w:sz w:val="20"/>
                <w:szCs w:val="20"/>
              </w:rPr>
            </w:pPr>
            <w:r w:rsidRPr="000040B3">
              <w:rPr>
                <w:b/>
                <w:sz w:val="20"/>
                <w:szCs w:val="20"/>
              </w:rPr>
              <w:t>U</w:t>
            </w:r>
            <w:r w:rsidR="009E51BC" w:rsidRPr="000040B3">
              <w:rPr>
                <w:b/>
                <w:sz w:val="20"/>
                <w:szCs w:val="20"/>
              </w:rPr>
              <w:t xml:space="preserve"> avgustu 2014. </w:t>
            </w:r>
            <w:proofErr w:type="gramStart"/>
            <w:r w:rsidR="009E51BC" w:rsidRPr="000040B3">
              <w:rPr>
                <w:b/>
                <w:sz w:val="20"/>
                <w:szCs w:val="20"/>
              </w:rPr>
              <w:t>godine</w:t>
            </w:r>
            <w:proofErr w:type="gramEnd"/>
            <w:r w:rsidR="009E51BC" w:rsidRPr="000040B3">
              <w:rPr>
                <w:b/>
                <w:sz w:val="20"/>
                <w:szCs w:val="20"/>
              </w:rPr>
              <w:t xml:space="preserve"> </w:t>
            </w:r>
            <w:r w:rsidRPr="000040B3">
              <w:rPr>
                <w:b/>
                <w:sz w:val="20"/>
                <w:szCs w:val="20"/>
              </w:rPr>
              <w:t>zabilježen je</w:t>
            </w:r>
            <w:r w:rsidR="009E51BC" w:rsidRPr="000040B3">
              <w:rPr>
                <w:b/>
                <w:sz w:val="20"/>
                <w:szCs w:val="20"/>
              </w:rPr>
              <w:t xml:space="preserve"> blagi rast dolazaka i noćenja turista.</w:t>
            </w:r>
            <w:r w:rsidR="009E51BC" w:rsidRPr="000040B3">
              <w:rPr>
                <w:sz w:val="20"/>
                <w:szCs w:val="20"/>
              </w:rPr>
              <w:t xml:space="preserve"> Crnu Goru je u avgustu posjetilo 2</w:t>
            </w:r>
            <w:proofErr w:type="gramStart"/>
            <w:r w:rsidR="009E51BC" w:rsidRPr="000040B3">
              <w:rPr>
                <w:sz w:val="20"/>
                <w:szCs w:val="20"/>
              </w:rPr>
              <w:t>,5</w:t>
            </w:r>
            <w:proofErr w:type="gramEnd"/>
            <w:r w:rsidR="009E51BC" w:rsidRPr="000040B3">
              <w:rPr>
                <w:sz w:val="20"/>
                <w:szCs w:val="20"/>
              </w:rPr>
              <w:t xml:space="preserve">% više turista i ostvareno 2,4% više noćenja g-n-g. Rast noćenja ostvarili su </w:t>
            </w:r>
            <w:r w:rsidR="00496006" w:rsidRPr="000040B3">
              <w:rPr>
                <w:sz w:val="20"/>
                <w:szCs w:val="20"/>
              </w:rPr>
              <w:t>i strani (2</w:t>
            </w:r>
            <w:proofErr w:type="gramStart"/>
            <w:r w:rsidR="00496006" w:rsidRPr="000040B3">
              <w:rPr>
                <w:sz w:val="20"/>
                <w:szCs w:val="20"/>
              </w:rPr>
              <w:t>,4</w:t>
            </w:r>
            <w:proofErr w:type="gramEnd"/>
            <w:r w:rsidR="00496006" w:rsidRPr="000040B3">
              <w:rPr>
                <w:sz w:val="20"/>
                <w:szCs w:val="20"/>
              </w:rPr>
              <w:t>%) i</w:t>
            </w:r>
            <w:r w:rsidR="009E51BC" w:rsidRPr="000040B3">
              <w:rPr>
                <w:sz w:val="20"/>
                <w:szCs w:val="20"/>
              </w:rPr>
              <w:t xml:space="preserve"> domaći turisti</w:t>
            </w:r>
            <w:r w:rsidR="00201AEB">
              <w:rPr>
                <w:sz w:val="20"/>
                <w:szCs w:val="20"/>
              </w:rPr>
              <w:t xml:space="preserve"> </w:t>
            </w:r>
            <w:r w:rsidR="00496006" w:rsidRPr="000040B3">
              <w:rPr>
                <w:sz w:val="20"/>
                <w:szCs w:val="20"/>
              </w:rPr>
              <w:t>(2,0%)</w:t>
            </w:r>
            <w:r w:rsidR="009E51BC" w:rsidRPr="000040B3">
              <w:rPr>
                <w:sz w:val="20"/>
                <w:szCs w:val="20"/>
              </w:rPr>
              <w:t xml:space="preserve">. Rast noćenja stranih turista dominantno je opredijeljen rastom noćenja turista iz Rusije </w:t>
            </w:r>
            <w:r w:rsidR="00531684">
              <w:rPr>
                <w:sz w:val="20"/>
                <w:szCs w:val="20"/>
              </w:rPr>
              <w:t xml:space="preserve">od </w:t>
            </w:r>
            <w:r w:rsidR="009E51BC" w:rsidRPr="000040B3">
              <w:rPr>
                <w:sz w:val="20"/>
                <w:szCs w:val="20"/>
              </w:rPr>
              <w:t>5</w:t>
            </w:r>
            <w:proofErr w:type="gramStart"/>
            <w:r w:rsidR="009E51BC" w:rsidRPr="000040B3">
              <w:rPr>
                <w:sz w:val="20"/>
                <w:szCs w:val="20"/>
              </w:rPr>
              <w:t>,2</w:t>
            </w:r>
            <w:proofErr w:type="gramEnd"/>
            <w:r w:rsidR="009E51BC" w:rsidRPr="000040B3">
              <w:rPr>
                <w:sz w:val="20"/>
                <w:szCs w:val="20"/>
              </w:rPr>
              <w:t>%</w:t>
            </w:r>
            <w:r w:rsidR="00496006" w:rsidRPr="000040B3">
              <w:rPr>
                <w:sz w:val="20"/>
                <w:szCs w:val="20"/>
              </w:rPr>
              <w:t xml:space="preserve">, dok su </w:t>
            </w:r>
            <w:r w:rsidR="009E51BC" w:rsidRPr="000040B3">
              <w:rPr>
                <w:sz w:val="20"/>
                <w:szCs w:val="20"/>
              </w:rPr>
              <w:t xml:space="preserve">turisti iz Ukrajine i Srbije zabilježili pad noćenja od 3,7 i 0,9%, respektivno. Industrijska proizvodnja u avgustu 2014. </w:t>
            </w:r>
            <w:proofErr w:type="gramStart"/>
            <w:r w:rsidR="009E51BC" w:rsidRPr="000040B3">
              <w:rPr>
                <w:sz w:val="20"/>
                <w:szCs w:val="20"/>
              </w:rPr>
              <w:t>g-n-g</w:t>
            </w:r>
            <w:proofErr w:type="gramEnd"/>
            <w:r w:rsidR="009E51BC" w:rsidRPr="000040B3">
              <w:rPr>
                <w:sz w:val="20"/>
                <w:szCs w:val="20"/>
              </w:rPr>
              <w:t xml:space="preserve"> bilježi pad od 12,7%, pri čemu su pad ostvarili sektori „prerađivačka industrija“ (19,7%) i „snabdijevanje el.energijom, gasom i parom“ (3,7%), dok je u sektoru „vađenje rude i kamena“ zabilježen rast od 12,1%. Rast u sektoru „vađenja rude i kamena</w:t>
            </w:r>
            <w:proofErr w:type="gramStart"/>
            <w:r w:rsidR="009E51BC" w:rsidRPr="000040B3">
              <w:rPr>
                <w:sz w:val="20"/>
                <w:szCs w:val="20"/>
              </w:rPr>
              <w:t>“ rezultat</w:t>
            </w:r>
            <w:proofErr w:type="gramEnd"/>
            <w:r w:rsidR="009E51BC" w:rsidRPr="000040B3">
              <w:rPr>
                <w:sz w:val="20"/>
                <w:szCs w:val="20"/>
              </w:rPr>
              <w:t xml:space="preserve"> je rasta u oblasti ostalo rudarstvo (43,4%). Pad sektora „prerađivačka industrija</w:t>
            </w:r>
            <w:proofErr w:type="gramStart"/>
            <w:r w:rsidR="009E51BC" w:rsidRPr="000040B3">
              <w:rPr>
                <w:sz w:val="20"/>
                <w:szCs w:val="20"/>
              </w:rPr>
              <w:t>“ opredijeljen</w:t>
            </w:r>
            <w:proofErr w:type="gramEnd"/>
            <w:r w:rsidR="009E51BC" w:rsidRPr="000040B3">
              <w:rPr>
                <w:sz w:val="20"/>
                <w:szCs w:val="20"/>
              </w:rPr>
              <w:t xml:space="preserve"> je padom proizvodnje prehrambenih proizvoda (1,6%), pića (25,1%), osnovnih farmaceutskih proizvoda (65,1%) i osnovnih metala (28,6%), koji čine 62,1% prerađivačke industrije. Promet u trgovini na malo (tekuće cijene) u avgustu 2014. </w:t>
            </w:r>
            <w:proofErr w:type="gramStart"/>
            <w:r w:rsidR="009E51BC" w:rsidRPr="000040B3">
              <w:rPr>
                <w:sz w:val="20"/>
                <w:szCs w:val="20"/>
              </w:rPr>
              <w:t>bilježi</w:t>
            </w:r>
            <w:proofErr w:type="gramEnd"/>
            <w:r w:rsidR="009E51BC" w:rsidRPr="000040B3">
              <w:rPr>
                <w:sz w:val="20"/>
                <w:szCs w:val="20"/>
              </w:rPr>
              <w:t xml:space="preserve"> rast 4,3% g-n-g, dok je rast u odnosu na</w:t>
            </w:r>
            <w:r w:rsidR="00413CAA">
              <w:rPr>
                <w:sz w:val="20"/>
                <w:szCs w:val="20"/>
              </w:rPr>
              <w:t xml:space="preserve"> prethodni mjesec iznosio 11,5%, što je dominantno rezultat pozitivnih kretanja u oblasti turizma.</w:t>
            </w:r>
          </w:p>
          <w:p w:rsidR="00DE587D" w:rsidRPr="000040B3" w:rsidRDefault="00DE587D" w:rsidP="00677E65">
            <w:pPr>
              <w:spacing w:before="100" w:beforeAutospacing="1" w:line="240" w:lineRule="auto"/>
              <w:jc w:val="both"/>
              <w:rPr>
                <w:rFonts w:cs="Calibri"/>
                <w:sz w:val="18"/>
                <w:szCs w:val="18"/>
                <w:lang w:val="hr-BA"/>
              </w:rPr>
            </w:pPr>
          </w:p>
        </w:tc>
        <w:tc>
          <w:tcPr>
            <w:tcW w:w="3652" w:type="dxa"/>
            <w:vMerge/>
            <w:vAlign w:val="center"/>
          </w:tcPr>
          <w:p w:rsidR="00DE587D" w:rsidRPr="00715429" w:rsidRDefault="00DE587D" w:rsidP="009E51BC">
            <w:pPr>
              <w:spacing w:after="119" w:line="240" w:lineRule="auto"/>
              <w:jc w:val="center"/>
              <w:rPr>
                <w:noProof/>
                <w:lang w:val="hr-BA"/>
              </w:rPr>
            </w:pPr>
          </w:p>
        </w:tc>
      </w:tr>
      <w:tr w:rsidR="00DE587D" w:rsidRPr="00715429" w:rsidTr="00677E65">
        <w:trPr>
          <w:gridAfter w:val="1"/>
          <w:wAfter w:w="142" w:type="dxa"/>
          <w:trHeight w:val="215"/>
        </w:trPr>
        <w:tc>
          <w:tcPr>
            <w:tcW w:w="6946" w:type="dxa"/>
            <w:tcBorders>
              <w:bottom w:val="single" w:sz="4" w:space="0" w:color="auto"/>
            </w:tcBorders>
          </w:tcPr>
          <w:p w:rsidR="00DE587D" w:rsidRPr="00715429" w:rsidRDefault="00DE587D" w:rsidP="00496006">
            <w:pPr>
              <w:pStyle w:val="NormalWeb"/>
              <w:numPr>
                <w:ilvl w:val="0"/>
                <w:numId w:val="1"/>
              </w:numPr>
              <w:spacing w:after="0"/>
              <w:jc w:val="both"/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</w:pPr>
            <w:r w:rsidRPr="00715429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  <w:t>Cijene</w:t>
            </w:r>
          </w:p>
        </w:tc>
        <w:tc>
          <w:tcPr>
            <w:tcW w:w="3652" w:type="dxa"/>
            <w:vMerge w:val="restart"/>
            <w:vAlign w:val="center"/>
          </w:tcPr>
          <w:p w:rsidR="00DE587D" w:rsidRPr="00715429" w:rsidRDefault="00496006" w:rsidP="00496006">
            <w:pPr>
              <w:spacing w:after="0" w:line="240" w:lineRule="auto"/>
              <w:ind w:left="-250"/>
              <w:jc w:val="center"/>
              <w:rPr>
                <w:b/>
                <w:noProof/>
                <w:sz w:val="20"/>
                <w:szCs w:val="20"/>
                <w:lang w:val="hr-BA"/>
              </w:rPr>
            </w:pPr>
            <w:r w:rsidRPr="00496006">
              <w:rPr>
                <w:b/>
                <w:noProof/>
                <w:sz w:val="20"/>
                <w:szCs w:val="20"/>
              </w:rPr>
              <w:drawing>
                <wp:inline distT="0" distB="0" distL="0" distR="0">
                  <wp:extent cx="2268000" cy="2268000"/>
                  <wp:effectExtent l="0" t="0" r="0" b="0"/>
                  <wp:docPr id="6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DE587D" w:rsidRPr="00715429" w:rsidTr="00677E65">
        <w:trPr>
          <w:gridAfter w:val="1"/>
          <w:wAfter w:w="142" w:type="dxa"/>
          <w:trHeight w:hRule="exact" w:val="3232"/>
        </w:trPr>
        <w:tc>
          <w:tcPr>
            <w:tcW w:w="6946" w:type="dxa"/>
            <w:tcBorders>
              <w:top w:val="single" w:sz="4" w:space="0" w:color="auto"/>
              <w:bottom w:val="thinThickSmallGap" w:sz="18" w:space="0" w:color="auto"/>
            </w:tcBorders>
          </w:tcPr>
          <w:p w:rsidR="00496006" w:rsidRPr="000040B3" w:rsidRDefault="00496006" w:rsidP="00496006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0B3">
              <w:rPr>
                <w:rFonts w:asciiTheme="minorHAnsi" w:hAnsiTheme="minorHAnsi"/>
                <w:b/>
                <w:sz w:val="20"/>
                <w:szCs w:val="20"/>
              </w:rPr>
              <w:t>Potrošačke cijene (HICP) u avgustu 2014</w:t>
            </w:r>
            <w:r w:rsidR="000040B3">
              <w:rPr>
                <w:rFonts w:asciiTheme="minorHAnsi" w:hAnsiTheme="minorHAnsi"/>
                <w:b/>
                <w:sz w:val="20"/>
                <w:szCs w:val="20"/>
              </w:rPr>
              <w:t xml:space="preserve">. </w:t>
            </w:r>
            <w:proofErr w:type="gramStart"/>
            <w:r w:rsidR="000040B3">
              <w:rPr>
                <w:rFonts w:asciiTheme="minorHAnsi" w:hAnsiTheme="minorHAnsi"/>
                <w:b/>
                <w:sz w:val="20"/>
                <w:szCs w:val="20"/>
              </w:rPr>
              <w:t>su</w:t>
            </w:r>
            <w:proofErr w:type="gramEnd"/>
            <w:r w:rsidRPr="000040B3">
              <w:rPr>
                <w:rFonts w:asciiTheme="minorHAnsi" w:hAnsiTheme="minorHAnsi"/>
                <w:b/>
                <w:sz w:val="20"/>
                <w:szCs w:val="20"/>
              </w:rPr>
              <w:t>, drugi mjesec za redom</w:t>
            </w:r>
            <w:r w:rsidR="000040B3">
              <w:rPr>
                <w:rFonts w:asciiTheme="minorHAnsi" w:hAnsiTheme="minorHAnsi"/>
                <w:b/>
                <w:sz w:val="20"/>
                <w:szCs w:val="20"/>
              </w:rPr>
              <w:t>,</w:t>
            </w:r>
            <w:r w:rsidRPr="000040B3">
              <w:rPr>
                <w:rFonts w:asciiTheme="minorHAnsi" w:hAnsiTheme="minorHAnsi"/>
                <w:b/>
                <w:sz w:val="20"/>
                <w:szCs w:val="20"/>
              </w:rPr>
              <w:t xml:space="preserve"> bez promjena na mjesečnom nivou. </w:t>
            </w:r>
            <w:r w:rsidRPr="000040B3">
              <w:rPr>
                <w:rFonts w:asciiTheme="minorHAnsi" w:hAnsiTheme="minorHAnsi"/>
                <w:sz w:val="20"/>
                <w:szCs w:val="20"/>
              </w:rPr>
              <w:t>Stopa</w:t>
            </w:r>
            <w:r w:rsidRPr="000040B3">
              <w:rPr>
                <w:rFonts w:asciiTheme="minorHAnsi" w:hAnsiTheme="minorHAnsi"/>
                <w:b/>
                <w:sz w:val="20"/>
                <w:szCs w:val="20"/>
              </w:rPr>
              <w:t xml:space="preserve"> i</w:t>
            </w:r>
            <w:r w:rsidRPr="000040B3">
              <w:rPr>
                <w:rFonts w:asciiTheme="minorHAnsi" w:hAnsiTheme="minorHAnsi"/>
                <w:sz w:val="20"/>
                <w:szCs w:val="20"/>
              </w:rPr>
              <w:t>nflacija</w:t>
            </w:r>
            <w:r w:rsidR="00201AEB">
              <w:rPr>
                <w:rFonts w:asciiTheme="minorHAnsi" w:hAnsiTheme="minorHAnsi"/>
                <w:sz w:val="20"/>
                <w:szCs w:val="20"/>
              </w:rPr>
              <w:t xml:space="preserve">, mjerena </w:t>
            </w:r>
            <w:r w:rsidRPr="000040B3">
              <w:rPr>
                <w:rFonts w:asciiTheme="minorHAnsi" w:hAnsiTheme="minorHAnsi"/>
                <w:sz w:val="20"/>
                <w:szCs w:val="20"/>
              </w:rPr>
              <w:t>harmonizovanim indeksom potr</w:t>
            </w:r>
            <w:r w:rsidR="00B5629A">
              <w:rPr>
                <w:rFonts w:asciiTheme="minorHAnsi" w:hAnsiTheme="minorHAnsi"/>
                <w:sz w:val="20"/>
                <w:szCs w:val="20"/>
              </w:rPr>
              <w:t xml:space="preserve">ošačkih cijena u avgustu 2014. </w:t>
            </w:r>
            <w:proofErr w:type="gramStart"/>
            <w:r w:rsidR="00B5629A">
              <w:rPr>
                <w:rFonts w:asciiTheme="minorHAnsi" w:hAnsiTheme="minorHAnsi"/>
                <w:sz w:val="20"/>
                <w:szCs w:val="20"/>
              </w:rPr>
              <w:t>i</w:t>
            </w:r>
            <w:r w:rsidRPr="000040B3">
              <w:rPr>
                <w:rFonts w:asciiTheme="minorHAnsi" w:hAnsiTheme="minorHAnsi"/>
                <w:sz w:val="20"/>
                <w:szCs w:val="20"/>
              </w:rPr>
              <w:t>znosila</w:t>
            </w:r>
            <w:proofErr w:type="gramEnd"/>
            <w:r w:rsidRPr="000040B3">
              <w:rPr>
                <w:rFonts w:asciiTheme="minorHAnsi" w:hAnsiTheme="minorHAnsi"/>
                <w:sz w:val="20"/>
                <w:szCs w:val="20"/>
              </w:rPr>
              <w:t xml:space="preserve"> je -0,7% g-n-g. Pad stope inflacije u avgustu, kao i tokom cijele 2014. </w:t>
            </w:r>
            <w:proofErr w:type="gramStart"/>
            <w:r w:rsidRPr="000040B3">
              <w:rPr>
                <w:rFonts w:asciiTheme="minorHAnsi" w:hAnsiTheme="minorHAnsi"/>
                <w:sz w:val="20"/>
                <w:szCs w:val="20"/>
              </w:rPr>
              <w:t>godine</w:t>
            </w:r>
            <w:proofErr w:type="gramEnd"/>
            <w:r w:rsidRPr="000040B3">
              <w:rPr>
                <w:rFonts w:asciiTheme="minorHAnsi" w:hAnsiTheme="minorHAnsi"/>
                <w:sz w:val="20"/>
                <w:szCs w:val="20"/>
              </w:rPr>
              <w:t>, dominantno je opredijeljen padom cijena u grupi „hrana i bezalkoholna pića“, koja čini skoro 1/3 ukupne potrošnje domaćinstava. Ova grupa u avgustu bilježi nešto blaži pad u odnosu na prethodne mjesece (2</w:t>
            </w:r>
            <w:proofErr w:type="gramStart"/>
            <w:r w:rsidRPr="000040B3">
              <w:rPr>
                <w:rFonts w:asciiTheme="minorHAnsi" w:hAnsiTheme="minorHAnsi"/>
                <w:sz w:val="20"/>
                <w:szCs w:val="20"/>
              </w:rPr>
              <w:t>,4</w:t>
            </w:r>
            <w:proofErr w:type="gramEnd"/>
            <w:r w:rsidRPr="000040B3">
              <w:rPr>
                <w:rFonts w:asciiTheme="minorHAnsi" w:hAnsiTheme="minorHAnsi"/>
                <w:sz w:val="20"/>
                <w:szCs w:val="20"/>
              </w:rPr>
              <w:t>%), pri čemu su najznačajniji uticaj u procentnim poenima ostvarile podgrupe „ulja i masti“ (-0,19 p.p), „miljeko,</w:t>
            </w:r>
            <w:r w:rsidR="00B5629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0040B3">
              <w:rPr>
                <w:rFonts w:asciiTheme="minorHAnsi" w:hAnsiTheme="minorHAnsi"/>
                <w:sz w:val="20"/>
                <w:szCs w:val="20"/>
              </w:rPr>
              <w:t>sir i jaja“ (-0,12 p.p) i „“voće“ (-0,12 p.p).  Značajan rast cijena zabilježila je podgrupa „usluge smještaja</w:t>
            </w:r>
            <w:proofErr w:type="gramStart"/>
            <w:r w:rsidRPr="000040B3">
              <w:rPr>
                <w:rFonts w:asciiTheme="minorHAnsi" w:hAnsiTheme="minorHAnsi"/>
                <w:sz w:val="20"/>
                <w:szCs w:val="20"/>
              </w:rPr>
              <w:t>“ (</w:t>
            </w:r>
            <w:proofErr w:type="gramEnd"/>
            <w:r w:rsidRPr="000040B3">
              <w:rPr>
                <w:rFonts w:asciiTheme="minorHAnsi" w:hAnsiTheme="minorHAnsi"/>
                <w:sz w:val="20"/>
                <w:szCs w:val="20"/>
              </w:rPr>
              <w:t>2,8%), čiji je uticaj na godišnju inflaciju iznosio 0,11 procentnih poena. Inflacija, mjerena indeksom potrošačkih cijena</w:t>
            </w:r>
            <w:r w:rsidR="00201AE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0040B3">
              <w:rPr>
                <w:rFonts w:asciiTheme="minorHAnsi" w:hAnsiTheme="minorHAnsi"/>
                <w:sz w:val="20"/>
                <w:szCs w:val="20"/>
              </w:rPr>
              <w:t xml:space="preserve">u avgustu 2014. </w:t>
            </w:r>
            <w:proofErr w:type="gramStart"/>
            <w:r w:rsidRPr="000040B3">
              <w:rPr>
                <w:rFonts w:asciiTheme="minorHAnsi" w:hAnsiTheme="minorHAnsi"/>
                <w:sz w:val="20"/>
                <w:szCs w:val="20"/>
              </w:rPr>
              <w:t>pokazuje</w:t>
            </w:r>
            <w:proofErr w:type="gramEnd"/>
            <w:r w:rsidRPr="000040B3">
              <w:rPr>
                <w:rFonts w:asciiTheme="minorHAnsi" w:hAnsiTheme="minorHAnsi"/>
                <w:sz w:val="20"/>
                <w:szCs w:val="20"/>
              </w:rPr>
              <w:t xml:space="preserve"> pad od 1,1% g-n-g i rast od 0,1% m-n-m</w:t>
            </w:r>
            <w:r w:rsidR="000040B3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r w:rsidRPr="000040B3">
              <w:rPr>
                <w:rFonts w:asciiTheme="minorHAnsi" w:hAnsiTheme="minorHAnsi"/>
                <w:sz w:val="20"/>
                <w:szCs w:val="20"/>
              </w:rPr>
              <w:t xml:space="preserve">Cijene proizvođača industrijskih proizvoda u avgustu 2014. </w:t>
            </w:r>
            <w:proofErr w:type="gramStart"/>
            <w:r w:rsidRPr="000040B3">
              <w:rPr>
                <w:rFonts w:asciiTheme="minorHAnsi" w:hAnsiTheme="minorHAnsi"/>
                <w:sz w:val="20"/>
                <w:szCs w:val="20"/>
              </w:rPr>
              <w:t>bilježe</w:t>
            </w:r>
            <w:proofErr w:type="gramEnd"/>
            <w:r w:rsidRPr="000040B3">
              <w:rPr>
                <w:rFonts w:asciiTheme="minorHAnsi" w:hAnsiTheme="minorHAnsi"/>
                <w:sz w:val="20"/>
                <w:szCs w:val="20"/>
              </w:rPr>
              <w:t xml:space="preserve"> rast od 1,0% g-n-g i rast od 0,4% m-n-m</w:t>
            </w:r>
            <w:r w:rsidR="000040B3">
              <w:rPr>
                <w:rFonts w:asciiTheme="minorHAnsi" w:hAnsiTheme="minorHAnsi"/>
                <w:sz w:val="20"/>
                <w:szCs w:val="20"/>
              </w:rPr>
              <w:t xml:space="preserve">. </w:t>
            </w:r>
          </w:p>
          <w:p w:rsidR="00DE587D" w:rsidRPr="000040B3" w:rsidRDefault="00DE587D" w:rsidP="00496006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  <w:lang w:val="hr-BA"/>
              </w:rPr>
            </w:pPr>
          </w:p>
        </w:tc>
        <w:tc>
          <w:tcPr>
            <w:tcW w:w="3652" w:type="dxa"/>
            <w:vMerge/>
            <w:tcBorders>
              <w:bottom w:val="thinThickSmallGap" w:sz="18" w:space="0" w:color="auto"/>
            </w:tcBorders>
            <w:vAlign w:val="center"/>
          </w:tcPr>
          <w:p w:rsidR="00DE587D" w:rsidRPr="00715429" w:rsidRDefault="00DE587D" w:rsidP="00496006">
            <w:pPr>
              <w:pStyle w:val="NoSpacing"/>
              <w:jc w:val="both"/>
              <w:rPr>
                <w:noProof/>
                <w:sz w:val="20"/>
                <w:szCs w:val="20"/>
                <w:lang w:val="hr-BA"/>
              </w:rPr>
            </w:pPr>
          </w:p>
        </w:tc>
      </w:tr>
      <w:tr w:rsidR="00DE587D" w:rsidRPr="00715429" w:rsidTr="00677E65">
        <w:trPr>
          <w:gridAfter w:val="1"/>
          <w:wAfter w:w="142" w:type="dxa"/>
          <w:trHeight w:hRule="exact" w:val="3742"/>
        </w:trPr>
        <w:tc>
          <w:tcPr>
            <w:tcW w:w="6946" w:type="dxa"/>
            <w:tcBorders>
              <w:top w:val="single" w:sz="4" w:space="0" w:color="auto"/>
              <w:bottom w:val="thinThickSmallGap" w:sz="18" w:space="0" w:color="auto"/>
            </w:tcBorders>
          </w:tcPr>
          <w:p w:rsidR="00DE587D" w:rsidRPr="00A3560C" w:rsidRDefault="00DE587D" w:rsidP="000712B9">
            <w:pPr>
              <w:pStyle w:val="NormalWeb"/>
              <w:numPr>
                <w:ilvl w:val="0"/>
                <w:numId w:val="1"/>
              </w:numPr>
              <w:spacing w:before="0" w:beforeAutospacing="0" w:after="0"/>
              <w:ind w:left="357"/>
              <w:jc w:val="both"/>
              <w:rPr>
                <w:rFonts w:asciiTheme="minorHAnsi" w:hAnsiTheme="minorHAnsi" w:cstheme="minorHAnsi"/>
                <w:b/>
                <w:bCs/>
                <w:noProof/>
                <w:color w:val="000000"/>
                <w:sz w:val="22"/>
                <w:szCs w:val="20"/>
                <w:lang w:val="hr-BA"/>
              </w:rPr>
            </w:pPr>
            <w:r w:rsidRPr="00A3560C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  <w:t>Zaposlenost i zarade</w:t>
            </w:r>
          </w:p>
          <w:p w:rsidR="00DE587D" w:rsidRPr="00E34692" w:rsidRDefault="008C2443" w:rsidP="00242535">
            <w:pPr>
              <w:pStyle w:val="NormalWeb"/>
              <w:pBdr>
                <w:top w:val="single" w:sz="4" w:space="1" w:color="auto"/>
              </w:pBdr>
              <w:spacing w:before="0" w:beforeAutospacing="0" w:after="0"/>
              <w:jc w:val="both"/>
              <w:rPr>
                <w:rFonts w:ascii="Calibri" w:eastAsia="PMingLiU" w:hAnsi="Calibri" w:cs="Calibri"/>
                <w:sz w:val="20"/>
                <w:szCs w:val="20"/>
                <w:lang w:eastAsia="zh-TW"/>
              </w:rPr>
            </w:pPr>
            <w:r w:rsidRPr="00677E65">
              <w:rPr>
                <w:rFonts w:asciiTheme="minorHAnsi" w:hAnsiTheme="minorHAnsi" w:cstheme="minorHAnsi"/>
                <w:b/>
                <w:sz w:val="20"/>
                <w:szCs w:val="18"/>
              </w:rPr>
              <w:t>Kretanja na tržištu rada ukazuju da se zaposlenost</w:t>
            </w:r>
            <w:r w:rsidR="00D30045">
              <w:rPr>
                <w:rFonts w:asciiTheme="minorHAnsi" w:hAnsiTheme="minorHAnsi" w:cstheme="minorHAnsi"/>
                <w:b/>
                <w:sz w:val="20"/>
                <w:szCs w:val="18"/>
              </w:rPr>
              <w:t xml:space="preserve"> smanjila na mjesečnom nivou</w:t>
            </w:r>
            <w:r w:rsidRPr="00677E65">
              <w:rPr>
                <w:rFonts w:asciiTheme="minorHAnsi" w:hAnsiTheme="minorHAnsi" w:cstheme="minorHAnsi"/>
                <w:b/>
                <w:sz w:val="20"/>
                <w:szCs w:val="18"/>
              </w:rPr>
              <w:t>, a nezaposlenost blago povećala.</w:t>
            </w:r>
            <w:r w:rsidRPr="00677E65">
              <w:rPr>
                <w:rFonts w:asciiTheme="minorHAnsi" w:hAnsiTheme="minorHAnsi" w:cstheme="minorHAnsi"/>
                <w:sz w:val="20"/>
                <w:szCs w:val="18"/>
              </w:rPr>
              <w:t xml:space="preserve"> </w:t>
            </w:r>
            <w:r w:rsidR="00C15F7A" w:rsidRPr="00677E65">
              <w:rPr>
                <w:rFonts w:asciiTheme="minorHAnsi" w:hAnsiTheme="minorHAnsi" w:cstheme="minorHAnsi"/>
                <w:sz w:val="20"/>
                <w:szCs w:val="18"/>
              </w:rPr>
              <w:t>Broj zaposlenih u avg</w:t>
            </w:r>
            <w:r w:rsidR="00D30045">
              <w:rPr>
                <w:rFonts w:asciiTheme="minorHAnsi" w:hAnsiTheme="minorHAnsi" w:cstheme="minorHAnsi"/>
                <w:sz w:val="20"/>
                <w:szCs w:val="18"/>
              </w:rPr>
              <w:t>ustu 2014. je iznosio 178.558, i</w:t>
            </w:r>
            <w:r w:rsidR="00C15F7A" w:rsidRPr="00677E65">
              <w:rPr>
                <w:rFonts w:asciiTheme="minorHAnsi" w:hAnsiTheme="minorHAnsi" w:cstheme="minorHAnsi"/>
                <w:sz w:val="20"/>
                <w:szCs w:val="18"/>
              </w:rPr>
              <w:t xml:space="preserve"> povećao se za 0,8%</w:t>
            </w:r>
            <w:r w:rsidR="00D30045">
              <w:rPr>
                <w:rFonts w:asciiTheme="minorHAnsi" w:hAnsiTheme="minorHAnsi" w:cstheme="minorHAnsi"/>
                <w:sz w:val="20"/>
                <w:szCs w:val="18"/>
              </w:rPr>
              <w:t xml:space="preserve"> u periodu januar-avgust</w:t>
            </w:r>
            <w:r w:rsidR="00C15F7A" w:rsidRPr="00677E65">
              <w:rPr>
                <w:rFonts w:asciiTheme="minorHAnsi" w:hAnsiTheme="minorHAnsi" w:cstheme="minorHAnsi"/>
                <w:sz w:val="20"/>
                <w:szCs w:val="18"/>
              </w:rPr>
              <w:t>,</w:t>
            </w:r>
            <w:r w:rsidR="00D30045">
              <w:rPr>
                <w:rFonts w:asciiTheme="minorHAnsi" w:hAnsiTheme="minorHAnsi" w:cstheme="minorHAnsi"/>
                <w:sz w:val="20"/>
                <w:szCs w:val="18"/>
              </w:rPr>
              <w:t xml:space="preserve"> g-n-g,</w:t>
            </w:r>
            <w:r w:rsidR="00C15F7A" w:rsidRPr="00677E65">
              <w:rPr>
                <w:rFonts w:asciiTheme="minorHAnsi" w:hAnsiTheme="minorHAnsi" w:cstheme="minorHAnsi"/>
                <w:sz w:val="20"/>
                <w:szCs w:val="18"/>
              </w:rPr>
              <w:t xml:space="preserve"> dok se u odnosu na prethodni mjesec smanjio 1,6%. Broj nezaposlenih u avgustu 2014. je iznosio 31.163, što je 4,6% više </w:t>
            </w:r>
            <w:r w:rsidR="00D30045">
              <w:rPr>
                <w:rFonts w:asciiTheme="minorHAnsi" w:hAnsiTheme="minorHAnsi" w:cstheme="minorHAnsi"/>
                <w:sz w:val="20"/>
                <w:szCs w:val="18"/>
              </w:rPr>
              <w:t>g-n-g</w:t>
            </w:r>
            <w:r w:rsidR="00C15F7A" w:rsidRPr="00677E65">
              <w:rPr>
                <w:rFonts w:asciiTheme="minorHAnsi" w:hAnsiTheme="minorHAnsi" w:cstheme="minorHAnsi"/>
                <w:sz w:val="20"/>
                <w:szCs w:val="18"/>
              </w:rPr>
              <w:t xml:space="preserve">, odnosno za 0,2% više u odnosu na jul 2014. </w:t>
            </w:r>
            <w:r w:rsidR="00912ADF">
              <w:rPr>
                <w:rFonts w:asciiTheme="minorHAnsi" w:hAnsiTheme="minorHAnsi" w:cstheme="minorHAnsi"/>
                <w:sz w:val="20"/>
                <w:szCs w:val="18"/>
              </w:rPr>
              <w:t>Stopa</w:t>
            </w:r>
            <w:r w:rsidR="00C15F7A" w:rsidRPr="00677E65">
              <w:rPr>
                <w:rFonts w:asciiTheme="minorHAnsi" w:hAnsiTheme="minorHAnsi" w:cstheme="minorHAnsi"/>
                <w:sz w:val="20"/>
                <w:szCs w:val="18"/>
              </w:rPr>
              <w:t xml:space="preserve"> nezaposlenosti</w:t>
            </w:r>
            <w:r w:rsidR="00912ADF">
              <w:rPr>
                <w:rFonts w:asciiTheme="minorHAnsi" w:hAnsiTheme="minorHAnsi" w:cstheme="minorHAnsi"/>
                <w:sz w:val="20"/>
                <w:szCs w:val="18"/>
              </w:rPr>
              <w:t xml:space="preserve"> </w:t>
            </w:r>
            <w:r w:rsidR="00912ADF" w:rsidRPr="00677E65">
              <w:rPr>
                <w:rFonts w:asciiTheme="minorHAnsi" w:hAnsiTheme="minorHAnsi" w:cstheme="minorHAnsi"/>
                <w:sz w:val="20"/>
                <w:szCs w:val="18"/>
              </w:rPr>
              <w:t xml:space="preserve"> je </w:t>
            </w:r>
            <w:r w:rsidR="00C15F7A" w:rsidRPr="00677E65">
              <w:rPr>
                <w:rFonts w:asciiTheme="minorHAnsi" w:hAnsiTheme="minorHAnsi" w:cstheme="minorHAnsi"/>
                <w:sz w:val="20"/>
                <w:szCs w:val="18"/>
              </w:rPr>
              <w:t xml:space="preserve"> u avgustu 2014.</w:t>
            </w:r>
            <w:r w:rsidR="00912ADF">
              <w:rPr>
                <w:rFonts w:asciiTheme="minorHAnsi" w:hAnsiTheme="minorHAnsi" w:cstheme="minorHAnsi"/>
                <w:sz w:val="20"/>
                <w:szCs w:val="18"/>
              </w:rPr>
              <w:t xml:space="preserve"> iznosila</w:t>
            </w:r>
            <w:r w:rsidR="00C15F7A" w:rsidRPr="00677E65">
              <w:rPr>
                <w:rFonts w:asciiTheme="minorHAnsi" w:hAnsiTheme="minorHAnsi" w:cstheme="minorHAnsi"/>
                <w:sz w:val="20"/>
                <w:szCs w:val="18"/>
              </w:rPr>
              <w:t xml:space="preserve"> 13,4%, ili 0,1 </w:t>
            </w:r>
            <w:r w:rsidR="00912ADF">
              <w:rPr>
                <w:rFonts w:asciiTheme="minorHAnsi" w:hAnsiTheme="minorHAnsi" w:cstheme="minorHAnsi"/>
                <w:sz w:val="20"/>
                <w:szCs w:val="18"/>
              </w:rPr>
              <w:t xml:space="preserve">p.p. </w:t>
            </w:r>
            <w:r w:rsidR="00C15F7A" w:rsidRPr="00677E65">
              <w:rPr>
                <w:rFonts w:asciiTheme="minorHAnsi" w:hAnsiTheme="minorHAnsi" w:cstheme="minorHAnsi"/>
                <w:sz w:val="20"/>
                <w:szCs w:val="18"/>
              </w:rPr>
              <w:t xml:space="preserve"> više </w:t>
            </w:r>
            <w:r w:rsidR="00912ADF">
              <w:rPr>
                <w:rFonts w:asciiTheme="minorHAnsi" w:hAnsiTheme="minorHAnsi" w:cstheme="minorHAnsi"/>
                <w:sz w:val="20"/>
                <w:szCs w:val="18"/>
              </w:rPr>
              <w:t>g-n-g</w:t>
            </w:r>
            <w:r w:rsidR="00C15F7A" w:rsidRPr="00677E65">
              <w:rPr>
                <w:rFonts w:asciiTheme="minorHAnsi" w:hAnsiTheme="minorHAnsi" w:cstheme="minorHAnsi"/>
                <w:sz w:val="20"/>
                <w:szCs w:val="18"/>
              </w:rPr>
              <w:t xml:space="preserve">. I dalje je prisutno povećanje broja visokoškolaca koji prvi put traže zaposlenje. U periodu januar-avgust 2014. oglašeno je 27.701 slobodno radno mjesto ili za 17.098 više </w:t>
            </w:r>
            <w:r w:rsidR="00912ADF">
              <w:rPr>
                <w:rFonts w:asciiTheme="minorHAnsi" w:hAnsiTheme="minorHAnsi" w:cstheme="minorHAnsi"/>
                <w:sz w:val="20"/>
                <w:szCs w:val="18"/>
              </w:rPr>
              <w:t>g-n-g</w:t>
            </w:r>
            <w:r w:rsidR="00C15F7A" w:rsidRPr="00677E65">
              <w:rPr>
                <w:rFonts w:asciiTheme="minorHAnsi" w:hAnsiTheme="minorHAnsi" w:cstheme="minorHAnsi"/>
                <w:sz w:val="20"/>
                <w:szCs w:val="18"/>
              </w:rPr>
              <w:t>, dok je</w:t>
            </w:r>
            <w:r w:rsidR="00912ADF">
              <w:rPr>
                <w:rFonts w:asciiTheme="minorHAnsi" w:hAnsiTheme="minorHAnsi" w:cstheme="minorHAnsi"/>
                <w:sz w:val="20"/>
                <w:szCs w:val="18"/>
              </w:rPr>
              <w:t xml:space="preserve"> </w:t>
            </w:r>
            <w:r w:rsidR="00912ADF" w:rsidRPr="00677E65">
              <w:rPr>
                <w:rFonts w:asciiTheme="minorHAnsi" w:hAnsiTheme="minorHAnsi" w:cstheme="minorHAnsi"/>
                <w:sz w:val="20"/>
                <w:szCs w:val="18"/>
              </w:rPr>
              <w:t xml:space="preserve"> strancima </w:t>
            </w:r>
            <w:r w:rsidR="00C15F7A" w:rsidRPr="00677E65">
              <w:rPr>
                <w:rFonts w:asciiTheme="minorHAnsi" w:hAnsiTheme="minorHAnsi" w:cstheme="minorHAnsi"/>
                <w:sz w:val="20"/>
                <w:szCs w:val="18"/>
              </w:rPr>
              <w:t xml:space="preserve"> izdato 17.262 dozvola za rad ili 2,4% manje</w:t>
            </w:r>
            <w:r w:rsidR="00912ADF">
              <w:rPr>
                <w:rFonts w:asciiTheme="minorHAnsi" w:hAnsiTheme="minorHAnsi" w:cstheme="minorHAnsi"/>
                <w:sz w:val="20"/>
                <w:szCs w:val="18"/>
              </w:rPr>
              <w:t xml:space="preserve"> g-n-g</w:t>
            </w:r>
            <w:r w:rsidR="00C15F7A" w:rsidRPr="00677E65">
              <w:rPr>
                <w:rFonts w:asciiTheme="minorHAnsi" w:hAnsiTheme="minorHAnsi" w:cstheme="minorHAnsi"/>
                <w:sz w:val="20"/>
                <w:szCs w:val="18"/>
              </w:rPr>
              <w:t>. Prosječna zarada u avgustu 2014. je iznosila 718€ i veća je u odnosu na jul 2014.</w:t>
            </w:r>
            <w:r w:rsidR="00A95390">
              <w:rPr>
                <w:rFonts w:asciiTheme="minorHAnsi" w:hAnsiTheme="minorHAnsi" w:cstheme="minorHAnsi"/>
                <w:sz w:val="20"/>
                <w:szCs w:val="18"/>
              </w:rPr>
              <w:t xml:space="preserve"> za 0,7%, </w:t>
            </w:r>
            <w:r w:rsidR="00912ADF">
              <w:rPr>
                <w:rFonts w:asciiTheme="minorHAnsi" w:hAnsiTheme="minorHAnsi" w:cstheme="minorHAnsi"/>
                <w:sz w:val="20"/>
                <w:szCs w:val="18"/>
              </w:rPr>
              <w:t xml:space="preserve">i </w:t>
            </w:r>
            <w:r w:rsidR="00C15F7A" w:rsidRPr="00677E65">
              <w:rPr>
                <w:rFonts w:asciiTheme="minorHAnsi" w:hAnsiTheme="minorHAnsi" w:cstheme="minorHAnsi"/>
                <w:sz w:val="20"/>
                <w:szCs w:val="18"/>
              </w:rPr>
              <w:t>manja je za 0,4%</w:t>
            </w:r>
            <w:r w:rsidR="00912ADF">
              <w:rPr>
                <w:rFonts w:asciiTheme="minorHAnsi" w:hAnsiTheme="minorHAnsi" w:cstheme="minorHAnsi"/>
                <w:sz w:val="20"/>
                <w:szCs w:val="18"/>
              </w:rPr>
              <w:t xml:space="preserve"> g-n-g</w:t>
            </w:r>
            <w:r w:rsidR="00C15F7A" w:rsidRPr="00677E65">
              <w:rPr>
                <w:rFonts w:asciiTheme="minorHAnsi" w:hAnsiTheme="minorHAnsi" w:cstheme="minorHAnsi"/>
                <w:sz w:val="20"/>
                <w:szCs w:val="18"/>
              </w:rPr>
              <w:t>. Neto zarada</w:t>
            </w:r>
            <w:r w:rsidR="00912ADF">
              <w:rPr>
                <w:rFonts w:asciiTheme="minorHAnsi" w:hAnsiTheme="minorHAnsi" w:cstheme="minorHAnsi"/>
                <w:sz w:val="20"/>
                <w:szCs w:val="18"/>
              </w:rPr>
              <w:t xml:space="preserve"> </w:t>
            </w:r>
            <w:r w:rsidR="00912ADF" w:rsidRPr="00677E65">
              <w:rPr>
                <w:rFonts w:asciiTheme="minorHAnsi" w:hAnsiTheme="minorHAnsi" w:cstheme="minorHAnsi"/>
                <w:sz w:val="20"/>
                <w:szCs w:val="18"/>
              </w:rPr>
              <w:t xml:space="preserve"> je </w:t>
            </w:r>
            <w:r w:rsidR="00C15F7A" w:rsidRPr="00677E65">
              <w:rPr>
                <w:rFonts w:asciiTheme="minorHAnsi" w:hAnsiTheme="minorHAnsi" w:cstheme="minorHAnsi"/>
                <w:sz w:val="20"/>
                <w:szCs w:val="18"/>
              </w:rPr>
              <w:t xml:space="preserve"> u avgustu 2014. iznosila 473€,</w:t>
            </w:r>
            <w:r w:rsidR="00912ADF">
              <w:rPr>
                <w:rFonts w:asciiTheme="minorHAnsi" w:hAnsiTheme="minorHAnsi" w:cstheme="minorHAnsi"/>
                <w:sz w:val="20"/>
                <w:szCs w:val="18"/>
              </w:rPr>
              <w:t xml:space="preserve"> i</w:t>
            </w:r>
            <w:r w:rsidR="00C15F7A" w:rsidRPr="00677E65">
              <w:rPr>
                <w:rFonts w:asciiTheme="minorHAnsi" w:hAnsiTheme="minorHAnsi" w:cstheme="minorHAnsi"/>
                <w:sz w:val="20"/>
                <w:szCs w:val="18"/>
              </w:rPr>
              <w:t xml:space="preserve"> povećana je</w:t>
            </w:r>
            <w:r w:rsidR="00912ADF">
              <w:rPr>
                <w:rFonts w:asciiTheme="minorHAnsi" w:hAnsiTheme="minorHAnsi" w:cstheme="minorHAnsi"/>
                <w:sz w:val="20"/>
                <w:szCs w:val="18"/>
              </w:rPr>
              <w:t xml:space="preserve"> za 0,6% </w:t>
            </w:r>
            <w:r w:rsidR="00C15F7A" w:rsidRPr="00677E65">
              <w:rPr>
                <w:rFonts w:asciiTheme="minorHAnsi" w:hAnsiTheme="minorHAnsi" w:cstheme="minorHAnsi"/>
                <w:sz w:val="20"/>
                <w:szCs w:val="18"/>
              </w:rPr>
              <w:t xml:space="preserve"> u odnosu na jul 2</w:t>
            </w:r>
            <w:r w:rsidR="00242535">
              <w:rPr>
                <w:rFonts w:asciiTheme="minorHAnsi" w:hAnsiTheme="minorHAnsi" w:cstheme="minorHAnsi"/>
                <w:sz w:val="20"/>
                <w:szCs w:val="18"/>
              </w:rPr>
              <w:t>014</w:t>
            </w:r>
            <w:r w:rsidR="00805AF2">
              <w:rPr>
                <w:rFonts w:asciiTheme="minorHAnsi" w:hAnsiTheme="minorHAnsi" w:cstheme="minorHAnsi"/>
                <w:sz w:val="20"/>
                <w:szCs w:val="18"/>
              </w:rPr>
              <w:t xml:space="preserve">. </w:t>
            </w:r>
            <w:r w:rsidR="00242535">
              <w:rPr>
                <w:rFonts w:asciiTheme="minorHAnsi" w:hAnsiTheme="minorHAnsi" w:cstheme="minorHAnsi"/>
                <w:sz w:val="20"/>
                <w:szCs w:val="18"/>
              </w:rPr>
              <w:t xml:space="preserve">a smanjena je </w:t>
            </w:r>
            <w:r w:rsidR="00C15F7A" w:rsidRPr="00677E65">
              <w:rPr>
                <w:rFonts w:asciiTheme="minorHAnsi" w:hAnsiTheme="minorHAnsi" w:cstheme="minorHAnsi"/>
                <w:sz w:val="20"/>
                <w:szCs w:val="18"/>
              </w:rPr>
              <w:t xml:space="preserve"> za 0,6%</w:t>
            </w:r>
            <w:r w:rsidR="00242535">
              <w:rPr>
                <w:rFonts w:asciiTheme="minorHAnsi" w:hAnsiTheme="minorHAnsi" w:cstheme="minorHAnsi"/>
                <w:sz w:val="20"/>
                <w:szCs w:val="18"/>
              </w:rPr>
              <w:t xml:space="preserve"> u periodu januar-avgust g-n-g</w:t>
            </w:r>
            <w:r w:rsidR="00C15F7A" w:rsidRPr="00677E65">
              <w:rPr>
                <w:rFonts w:asciiTheme="minorHAnsi" w:hAnsiTheme="minorHAnsi" w:cstheme="minorHAnsi"/>
                <w:sz w:val="20"/>
                <w:szCs w:val="18"/>
              </w:rPr>
              <w:t>. Realne neto zarade u avgustu 2014.</w:t>
            </w:r>
            <w:r w:rsidR="00242535">
              <w:rPr>
                <w:rFonts w:asciiTheme="minorHAnsi" w:hAnsiTheme="minorHAnsi" w:cstheme="minorHAnsi"/>
                <w:sz w:val="20"/>
                <w:szCs w:val="18"/>
              </w:rPr>
              <w:t xml:space="preserve"> su povećane 0,5%, i </w:t>
            </w:r>
            <w:r w:rsidR="00C15F7A" w:rsidRPr="00677E65">
              <w:rPr>
                <w:rFonts w:asciiTheme="minorHAnsi" w:hAnsiTheme="minorHAnsi" w:cstheme="minorHAnsi"/>
                <w:sz w:val="20"/>
                <w:szCs w:val="18"/>
              </w:rPr>
              <w:t>0,3%</w:t>
            </w:r>
            <w:r w:rsidR="00242535">
              <w:rPr>
                <w:rFonts w:asciiTheme="minorHAnsi" w:hAnsiTheme="minorHAnsi" w:cstheme="minorHAnsi"/>
                <w:sz w:val="20"/>
                <w:szCs w:val="18"/>
              </w:rPr>
              <w:t xml:space="preserve"> više u periodu u odnosu na prethodnu godinu.</w:t>
            </w:r>
          </w:p>
        </w:tc>
        <w:tc>
          <w:tcPr>
            <w:tcW w:w="3652" w:type="dxa"/>
            <w:tcBorders>
              <w:bottom w:val="thinThickSmallGap" w:sz="18" w:space="0" w:color="auto"/>
            </w:tcBorders>
            <w:vAlign w:val="center"/>
          </w:tcPr>
          <w:p w:rsidR="00DE587D" w:rsidRPr="00715429" w:rsidRDefault="00026971" w:rsidP="00DE587D">
            <w:pPr>
              <w:pStyle w:val="NoSpacing"/>
              <w:jc w:val="center"/>
              <w:rPr>
                <w:noProof/>
                <w:sz w:val="20"/>
                <w:szCs w:val="20"/>
                <w:lang w:val="hr-BA"/>
              </w:rPr>
            </w:pPr>
            <w:r w:rsidRPr="00026971">
              <w:rPr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985848" cy="1844043"/>
                  <wp:effectExtent l="0" t="0" r="0" b="0"/>
                  <wp:docPr id="3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DE587D" w:rsidRPr="00715429" w:rsidTr="0049250B">
        <w:trPr>
          <w:trHeight w:hRule="exact" w:val="3903"/>
        </w:trPr>
        <w:tc>
          <w:tcPr>
            <w:tcW w:w="6946" w:type="dxa"/>
            <w:tcBorders>
              <w:bottom w:val="thinThickSmallGap" w:sz="18" w:space="0" w:color="auto"/>
            </w:tcBorders>
          </w:tcPr>
          <w:p w:rsidR="00DE587D" w:rsidRPr="003A6A2F" w:rsidRDefault="00DE587D" w:rsidP="003A6A2F">
            <w:pPr>
              <w:pStyle w:val="NormalWeb"/>
              <w:numPr>
                <w:ilvl w:val="0"/>
                <w:numId w:val="1"/>
              </w:numPr>
              <w:pBdr>
                <w:bottom w:val="single" w:sz="4" w:space="1" w:color="auto"/>
              </w:pBdr>
              <w:spacing w:before="0" w:beforeAutospacing="0" w:after="0"/>
              <w:ind w:left="357"/>
              <w:jc w:val="both"/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</w:rPr>
            </w:pPr>
            <w:r w:rsidRPr="003A6A2F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  <w:lastRenderedPageBreak/>
              <w:t>Javne finansije</w:t>
            </w:r>
          </w:p>
          <w:p w:rsidR="00375E12" w:rsidRPr="001F005F" w:rsidRDefault="00375E12" w:rsidP="00375E12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1F005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Izvorni prihodi budžeta Crne Gore </w:t>
            </w:r>
            <w:r w:rsidRPr="001F005F">
              <w:rPr>
                <w:rFonts w:asciiTheme="minorHAnsi" w:hAnsiTheme="minorHAnsi" w:cstheme="minorHAnsi"/>
                <w:sz w:val="20"/>
                <w:szCs w:val="20"/>
              </w:rPr>
              <w:t>u avgustu 2014.g. ostvareni su u iznosu od 126</w:t>
            </w:r>
            <w:proofErr w:type="gramStart"/>
            <w:r w:rsidRPr="001F005F">
              <w:rPr>
                <w:rFonts w:asciiTheme="minorHAnsi" w:hAnsiTheme="minorHAnsi" w:cstheme="minorHAnsi"/>
                <w:sz w:val="20"/>
                <w:szCs w:val="20"/>
              </w:rPr>
              <w:t>,6</w:t>
            </w:r>
            <w:proofErr w:type="gramEnd"/>
            <w:r w:rsidRPr="001F005F">
              <w:rPr>
                <w:rFonts w:asciiTheme="minorHAnsi" w:hAnsiTheme="minorHAnsi" w:cstheme="minorHAnsi"/>
                <w:sz w:val="20"/>
                <w:szCs w:val="20"/>
              </w:rPr>
              <w:t xml:space="preserve"> mil.€ što je za 1,2 % više u odnosu na avgust 2013. Naplata prihoda po osnovu PDV-a viša je za 5</w:t>
            </w:r>
            <w:proofErr w:type="gramStart"/>
            <w:r w:rsidRPr="001F005F">
              <w:rPr>
                <w:rFonts w:asciiTheme="minorHAnsi" w:hAnsiTheme="minorHAnsi" w:cstheme="minorHAnsi"/>
                <w:sz w:val="20"/>
                <w:szCs w:val="20"/>
              </w:rPr>
              <w:t>,5</w:t>
            </w:r>
            <w:proofErr w:type="gramEnd"/>
            <w:r w:rsidRPr="001F005F">
              <w:rPr>
                <w:rFonts w:asciiTheme="minorHAnsi" w:hAnsiTheme="minorHAnsi" w:cstheme="minorHAnsi"/>
                <w:sz w:val="20"/>
                <w:szCs w:val="20"/>
              </w:rPr>
              <w:t xml:space="preserve"> % u</w:t>
            </w:r>
            <w:r w:rsidR="00005AD2">
              <w:rPr>
                <w:rFonts w:asciiTheme="minorHAnsi" w:hAnsiTheme="minorHAnsi" w:cstheme="minorHAnsi"/>
                <w:sz w:val="20"/>
                <w:szCs w:val="20"/>
              </w:rPr>
              <w:t xml:space="preserve"> odnosu na avgust prošle godine. </w:t>
            </w:r>
            <w:r w:rsidRPr="001F005F">
              <w:rPr>
                <w:rFonts w:asciiTheme="minorHAnsi" w:hAnsiTheme="minorHAnsi" w:cstheme="minorHAnsi"/>
                <w:sz w:val="20"/>
                <w:szCs w:val="20"/>
              </w:rPr>
              <w:t>Takođe</w:t>
            </w:r>
            <w:proofErr w:type="gramStart"/>
            <w:r w:rsidRPr="001F005F">
              <w:rPr>
                <w:rFonts w:asciiTheme="minorHAnsi" w:hAnsiTheme="minorHAnsi" w:cstheme="minorHAnsi"/>
                <w:sz w:val="20"/>
                <w:szCs w:val="20"/>
              </w:rPr>
              <w:t>,naplata</w:t>
            </w:r>
            <w:proofErr w:type="gramEnd"/>
            <w:r w:rsidRPr="001F005F">
              <w:rPr>
                <w:rFonts w:asciiTheme="minorHAnsi" w:hAnsiTheme="minorHAnsi" w:cstheme="minorHAnsi"/>
                <w:sz w:val="20"/>
                <w:szCs w:val="20"/>
              </w:rPr>
              <w:t xml:space="preserve"> prihoda od poreza i doprinosa na zarade u ovom mj</w:t>
            </w:r>
            <w:r w:rsidR="00B5629A">
              <w:rPr>
                <w:rFonts w:asciiTheme="minorHAnsi" w:hAnsiTheme="minorHAnsi" w:cstheme="minorHAnsi"/>
                <w:sz w:val="20"/>
                <w:szCs w:val="20"/>
              </w:rPr>
              <w:t>esecu povećana je za 1,4%, kao i</w:t>
            </w:r>
            <w:r w:rsidRPr="001F005F">
              <w:rPr>
                <w:rFonts w:asciiTheme="minorHAnsi" w:hAnsiTheme="minorHAnsi" w:cstheme="minorHAnsi"/>
                <w:sz w:val="20"/>
                <w:szCs w:val="20"/>
              </w:rPr>
              <w:t xml:space="preserve"> naplata carina za 6,6% u odnosu na isti mjesec prošle godine. </w:t>
            </w:r>
            <w:r w:rsidRPr="001F005F">
              <w:rPr>
                <w:rFonts w:asciiTheme="minorHAnsi" w:hAnsiTheme="minorHAnsi" w:cstheme="minorHAnsi"/>
                <w:b/>
                <w:sz w:val="20"/>
                <w:szCs w:val="20"/>
              </w:rPr>
              <w:t>Izdaci budžeta</w:t>
            </w:r>
            <w:r w:rsidRPr="001F005F">
              <w:rPr>
                <w:rFonts w:asciiTheme="minorHAnsi" w:hAnsiTheme="minorHAnsi" w:cstheme="minorHAnsi"/>
                <w:sz w:val="20"/>
                <w:szCs w:val="20"/>
              </w:rPr>
              <w:t xml:space="preserve"> u avgustu 2014.g. iznosili su 108</w:t>
            </w:r>
            <w:proofErr w:type="gramStart"/>
            <w:r w:rsidRPr="001F005F">
              <w:rPr>
                <w:rFonts w:asciiTheme="minorHAnsi" w:hAnsiTheme="minorHAnsi" w:cstheme="minorHAnsi"/>
                <w:sz w:val="20"/>
                <w:szCs w:val="20"/>
              </w:rPr>
              <w:t>,0</w:t>
            </w:r>
            <w:proofErr w:type="gramEnd"/>
            <w:r w:rsidRPr="001F005F">
              <w:rPr>
                <w:rFonts w:asciiTheme="minorHAnsi" w:hAnsiTheme="minorHAnsi" w:cstheme="minorHAnsi"/>
                <w:sz w:val="20"/>
                <w:szCs w:val="20"/>
              </w:rPr>
              <w:t xml:space="preserve"> mil</w:t>
            </w:r>
            <w:r w:rsidR="00B5629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1F005F">
              <w:rPr>
                <w:rFonts w:asciiTheme="minorHAnsi" w:hAnsiTheme="minorHAnsi" w:cstheme="minorHAnsi"/>
                <w:sz w:val="20"/>
                <w:szCs w:val="20"/>
              </w:rPr>
              <w:t xml:space="preserve">€ i niži su u odnosu na isti mjesec 2013.g. za 23,5% ili 33,2 mil€. </w:t>
            </w:r>
            <w:r w:rsidR="000A2E85" w:rsidRPr="0081499C">
              <w:rPr>
                <w:rFonts w:asciiTheme="minorHAnsi" w:hAnsiTheme="minorHAnsi" w:cstheme="minorHAnsi"/>
                <w:b/>
              </w:rPr>
              <w:t xml:space="preserve"> Suficit budžeta</w:t>
            </w:r>
            <w:r w:rsidR="000A2E85" w:rsidRPr="0081499C">
              <w:rPr>
                <w:rFonts w:asciiTheme="minorHAnsi" w:hAnsiTheme="minorHAnsi" w:cstheme="minorHAnsi"/>
              </w:rPr>
              <w:t xml:space="preserve"> u avgustu 2014.g. iznosio je 18</w:t>
            </w:r>
            <w:proofErr w:type="gramStart"/>
            <w:r w:rsidR="000A2E85" w:rsidRPr="0081499C">
              <w:rPr>
                <w:rFonts w:asciiTheme="minorHAnsi" w:hAnsiTheme="minorHAnsi" w:cstheme="minorHAnsi"/>
              </w:rPr>
              <w:t>,5</w:t>
            </w:r>
            <w:proofErr w:type="gramEnd"/>
            <w:r w:rsidR="000A2E85" w:rsidRPr="0081499C">
              <w:rPr>
                <w:rFonts w:asciiTheme="minorHAnsi" w:hAnsiTheme="minorHAnsi" w:cstheme="minorHAnsi"/>
              </w:rPr>
              <w:t xml:space="preserve"> mil.€. U periodu januar-avgust 2014.g. ostvaren je budžetski deficit od 29</w:t>
            </w:r>
            <w:proofErr w:type="gramStart"/>
            <w:r w:rsidR="000A2E85" w:rsidRPr="0081499C">
              <w:rPr>
                <w:rFonts w:asciiTheme="minorHAnsi" w:hAnsiTheme="minorHAnsi" w:cstheme="minorHAnsi"/>
              </w:rPr>
              <w:t>,5</w:t>
            </w:r>
            <w:proofErr w:type="gramEnd"/>
            <w:r w:rsidR="000A2E85" w:rsidRPr="0081499C">
              <w:rPr>
                <w:rFonts w:asciiTheme="minorHAnsi" w:hAnsiTheme="minorHAnsi" w:cstheme="minorHAnsi"/>
              </w:rPr>
              <w:t xml:space="preserve"> mil.€. U odnosu na isti period 2013. </w:t>
            </w:r>
            <w:proofErr w:type="gramStart"/>
            <w:r w:rsidR="000A2E85" w:rsidRPr="0081499C">
              <w:rPr>
                <w:rFonts w:asciiTheme="minorHAnsi" w:hAnsiTheme="minorHAnsi" w:cstheme="minorHAnsi"/>
              </w:rPr>
              <w:t>g</w:t>
            </w:r>
            <w:proofErr w:type="gramEnd"/>
            <w:r w:rsidR="000A2E85" w:rsidRPr="0081499C">
              <w:rPr>
                <w:rFonts w:asciiTheme="minorHAnsi" w:hAnsiTheme="minorHAnsi" w:cstheme="minorHAnsi"/>
              </w:rPr>
              <w:t xml:space="preserve">. kumulativni deficit je niži za oko 100 mil. € </w:t>
            </w:r>
            <w:proofErr w:type="gramStart"/>
            <w:r w:rsidR="000A2E85" w:rsidRPr="0081499C">
              <w:rPr>
                <w:rFonts w:asciiTheme="minorHAnsi" w:hAnsiTheme="minorHAnsi" w:cstheme="minorHAnsi"/>
              </w:rPr>
              <w:t>usled</w:t>
            </w:r>
            <w:proofErr w:type="gramEnd"/>
            <w:r w:rsidR="000A2E85" w:rsidRPr="0081499C">
              <w:rPr>
                <w:rFonts w:asciiTheme="minorHAnsi" w:hAnsiTheme="minorHAnsi" w:cstheme="minorHAnsi"/>
              </w:rPr>
              <w:t xml:space="preserve"> visokog iznosa plaćenih garancija u 2013. g.</w:t>
            </w:r>
            <w:r w:rsidR="000A2E85">
              <w:rPr>
                <w:rFonts w:asciiTheme="minorHAnsi" w:hAnsiTheme="minorHAnsi" w:cstheme="minorHAnsi"/>
              </w:rPr>
              <w:t xml:space="preserve"> </w:t>
            </w:r>
            <w:r w:rsidRPr="001F005F">
              <w:rPr>
                <w:rFonts w:asciiTheme="minorHAnsi" w:hAnsiTheme="minorHAnsi" w:cstheme="minorHAnsi"/>
                <w:b/>
                <w:sz w:val="20"/>
                <w:szCs w:val="20"/>
              </w:rPr>
              <w:t>Državni dug</w:t>
            </w:r>
            <w:r w:rsidRPr="001F005F">
              <w:rPr>
                <w:rFonts w:asciiTheme="minorHAnsi" w:hAnsiTheme="minorHAnsi" w:cstheme="minorHAnsi"/>
                <w:sz w:val="20"/>
                <w:szCs w:val="20"/>
              </w:rPr>
              <w:t xml:space="preserve"> na kraju juna 2014. </w:t>
            </w:r>
            <w:proofErr w:type="gramStart"/>
            <w:r w:rsidRPr="001F005F">
              <w:rPr>
                <w:rFonts w:asciiTheme="minorHAnsi" w:hAnsiTheme="minorHAnsi" w:cstheme="minorHAnsi"/>
                <w:sz w:val="20"/>
                <w:szCs w:val="20"/>
              </w:rPr>
              <w:t>iznosio</w:t>
            </w:r>
            <w:proofErr w:type="gramEnd"/>
            <w:r w:rsidRPr="001F005F">
              <w:rPr>
                <w:rFonts w:asciiTheme="minorHAnsi" w:hAnsiTheme="minorHAnsi" w:cstheme="minorHAnsi"/>
                <w:sz w:val="20"/>
                <w:szCs w:val="20"/>
              </w:rPr>
              <w:t xml:space="preserve"> je 2.022,1 mil.€, što predstavlja 57,5 % procijenjenog BDP-a Crne Gore i povećan je za 1,4 p.p. u odnosu na kraj 2013, kao rezultat nominalnog rasta zaduženja, i smanjen je  za 0,5 p.p. u odnosu na kraj 2013.  Unutrašnji dug iznosio je 438</w:t>
            </w:r>
            <w:proofErr w:type="gramStart"/>
            <w:r w:rsidRPr="001F005F">
              <w:rPr>
                <w:rFonts w:asciiTheme="minorHAnsi" w:hAnsiTheme="minorHAnsi" w:cstheme="minorHAnsi"/>
                <w:sz w:val="20"/>
                <w:szCs w:val="20"/>
              </w:rPr>
              <w:t>,3</w:t>
            </w:r>
            <w:proofErr w:type="gramEnd"/>
            <w:r w:rsidRPr="001F005F">
              <w:rPr>
                <w:rFonts w:asciiTheme="minorHAnsi" w:hAnsiTheme="minorHAnsi" w:cstheme="minorHAnsi"/>
                <w:sz w:val="20"/>
                <w:szCs w:val="20"/>
              </w:rPr>
              <w:t xml:space="preserve"> mil.€, a dug prema nerezidentima 1.583,8 mil.€.</w:t>
            </w:r>
          </w:p>
          <w:p w:rsidR="00DE587D" w:rsidRPr="002A1639" w:rsidRDefault="00DE587D" w:rsidP="00340909">
            <w:pPr>
              <w:spacing w:after="0" w:line="240" w:lineRule="auto"/>
              <w:jc w:val="both"/>
              <w:rPr>
                <w:rFonts w:cs="Calibri"/>
                <w:b/>
                <w:b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3794" w:type="dxa"/>
            <w:gridSpan w:val="2"/>
            <w:tcBorders>
              <w:bottom w:val="thinThickSmallGap" w:sz="18" w:space="0" w:color="auto"/>
            </w:tcBorders>
            <w:vAlign w:val="center"/>
          </w:tcPr>
          <w:p w:rsidR="00DE587D" w:rsidRPr="003C1215" w:rsidRDefault="00A95F41" w:rsidP="00DE587D">
            <w:pPr>
              <w:rPr>
                <w:noProof/>
                <w:sz w:val="17"/>
                <w:szCs w:val="17"/>
                <w:lang w:val="sr-Latn-CS" w:eastAsia="sr-Latn-CS"/>
              </w:rPr>
            </w:pPr>
            <w:r w:rsidRPr="00A95F41">
              <w:rPr>
                <w:noProof/>
                <w:sz w:val="17"/>
                <w:szCs w:val="17"/>
              </w:rPr>
              <w:drawing>
                <wp:inline distT="0" distB="0" distL="0" distR="0">
                  <wp:extent cx="2116868" cy="2248755"/>
                  <wp:effectExtent l="0" t="0" r="0" b="0"/>
                  <wp:docPr id="2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DE587D" w:rsidRPr="00715429" w:rsidTr="00375E12">
        <w:trPr>
          <w:trHeight w:hRule="exact" w:val="4811"/>
        </w:trPr>
        <w:tc>
          <w:tcPr>
            <w:tcW w:w="6946" w:type="dxa"/>
            <w:tcBorders>
              <w:bottom w:val="thinThickSmallGap" w:sz="18" w:space="0" w:color="auto"/>
            </w:tcBorders>
          </w:tcPr>
          <w:p w:rsidR="00DE587D" w:rsidRPr="000712B9" w:rsidRDefault="00DE587D" w:rsidP="000712B9">
            <w:pPr>
              <w:pStyle w:val="NormalWeb"/>
              <w:numPr>
                <w:ilvl w:val="0"/>
                <w:numId w:val="1"/>
              </w:numPr>
              <w:spacing w:before="0" w:beforeAutospacing="0" w:after="0"/>
              <w:ind w:left="357"/>
              <w:jc w:val="both"/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</w:pPr>
            <w:r w:rsidRPr="000712B9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  <w:t>Monetarni sektor</w:t>
            </w:r>
          </w:p>
          <w:p w:rsidR="00375E12" w:rsidRPr="003C543D" w:rsidRDefault="00375E12" w:rsidP="00375E12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U monetarnoj oblasti nastavljen je rast kreditnih plasmana, ukupnog kapitala i depozita banaka.</w:t>
            </w:r>
            <w:r w:rsidR="00456F4F">
              <w:rPr>
                <w:b/>
                <w:noProof/>
                <w:sz w:val="20"/>
                <w:szCs w:val="20"/>
              </w:rPr>
              <w:t xml:space="preserve"> </w:t>
            </w:r>
            <w:r w:rsidRPr="00344093">
              <w:rPr>
                <w:noProof/>
                <w:sz w:val="20"/>
                <w:szCs w:val="20"/>
              </w:rPr>
              <w:t>Ukup</w:t>
            </w:r>
            <w:r>
              <w:rPr>
                <w:noProof/>
                <w:sz w:val="20"/>
                <w:szCs w:val="20"/>
              </w:rPr>
              <w:t xml:space="preserve">ni </w:t>
            </w:r>
            <w:r w:rsidRPr="00A858D1">
              <w:rPr>
                <w:b/>
                <w:noProof/>
                <w:sz w:val="20"/>
                <w:szCs w:val="20"/>
              </w:rPr>
              <w:t>krediti</w:t>
            </w:r>
            <w:r>
              <w:rPr>
                <w:noProof/>
                <w:sz w:val="20"/>
                <w:szCs w:val="20"/>
              </w:rPr>
              <w:t xml:space="preserve"> banaka su, u avgustu, iznosili 2.453,0 mil.€, što je za 39,0 mil.€ više u odnosu na kraj prethodne godine ili 1,6%, odnosno za 50,3 mil.€  ili 2,1% više u odnosu na prethodni mjesec. Po osnovu kredita, banke su najviše potraživale od privrede i banaka (73,6%). Sredstva deponovana u bankama su zadržala trend rasta, tako da su</w:t>
            </w:r>
            <w:r>
              <w:rPr>
                <w:b/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 xml:space="preserve">ukupni </w:t>
            </w:r>
            <w:r w:rsidRPr="004512FD">
              <w:rPr>
                <w:b/>
                <w:noProof/>
                <w:sz w:val="20"/>
                <w:szCs w:val="20"/>
              </w:rPr>
              <w:t>depozit</w:t>
            </w:r>
            <w:r>
              <w:rPr>
                <w:b/>
                <w:noProof/>
                <w:sz w:val="20"/>
                <w:szCs w:val="20"/>
              </w:rPr>
              <w:t xml:space="preserve">i </w:t>
            </w:r>
            <w:r w:rsidRPr="00436828">
              <w:rPr>
                <w:noProof/>
                <w:sz w:val="20"/>
                <w:szCs w:val="20"/>
              </w:rPr>
              <w:t>iznosili</w:t>
            </w:r>
            <w:r>
              <w:rPr>
                <w:noProof/>
                <w:sz w:val="20"/>
                <w:szCs w:val="20"/>
              </w:rPr>
              <w:t xml:space="preserve"> 2.254,5 mil.€ i na mjesečnom nivou ostvarili rast od 3,0% i na godišnjem 5,1%. Najveći deponenti u bankarskom sistemu su sektori stanovništva i privrede. Pri tome se na depozite stanovništva odnosilo 1.288,5 mil.€ ili 57,2%, dok su depoziti privrede sa iznosom od 639,4 mil.€ činili 28,4% ukupnih depozita. U avgustu je počela sa radom “Lovćen” banka, koja predstavlja 12-tu banku u crnogorskom bankarskom sistemu,</w:t>
            </w:r>
            <w:r w:rsidR="009B37AE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 xml:space="preserve">a čija će  glavna orjentacija biti na pružanju kreditne podrške malim i srednjim preduzećima iz sektora turizma, energetike i agrobiznisa. </w:t>
            </w:r>
            <w:r w:rsidRPr="00DB0286">
              <w:rPr>
                <w:b/>
                <w:noProof/>
                <w:sz w:val="20"/>
                <w:szCs w:val="20"/>
              </w:rPr>
              <w:t>Nelikvidnost</w:t>
            </w:r>
            <w:r>
              <w:rPr>
                <w:noProof/>
                <w:sz w:val="20"/>
                <w:szCs w:val="20"/>
              </w:rPr>
              <w:t xml:space="preserve"> realnog sektora se najviše  ogleda kroz broj blokiranih pravnih lica. Krajem avgusta od 60.390 pravnih li</w:t>
            </w:r>
            <w:r w:rsidR="009B37AE">
              <w:rPr>
                <w:noProof/>
                <w:sz w:val="20"/>
                <w:szCs w:val="20"/>
              </w:rPr>
              <w:t>ca i</w:t>
            </w:r>
            <w:r>
              <w:rPr>
                <w:noProof/>
                <w:sz w:val="20"/>
                <w:szCs w:val="20"/>
              </w:rPr>
              <w:t xml:space="preserve"> preduzetnika, u blokadi je bilo 13.774 ili 22,8%, što u poređenju sa prethodnim mjesecom predstavlja povećanje od 0,89% .</w:t>
            </w:r>
            <w:r w:rsidR="00102786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Ukupan dug po osnovu koga je izvršena blokada računa je iznosio 462,5 mil. €, što j</w:t>
            </w:r>
            <w:r w:rsidR="00676BD4">
              <w:rPr>
                <w:noProof/>
                <w:sz w:val="20"/>
                <w:szCs w:val="20"/>
              </w:rPr>
              <w:t xml:space="preserve">e za 3,76% više </w:t>
            </w:r>
            <w:r w:rsidR="0003370D">
              <w:rPr>
                <w:noProof/>
                <w:sz w:val="20"/>
                <w:szCs w:val="20"/>
              </w:rPr>
              <w:t xml:space="preserve"> u odnosu na prethodni mjesec.</w:t>
            </w:r>
          </w:p>
          <w:p w:rsidR="00DE587D" w:rsidRPr="00715429" w:rsidRDefault="00DE587D" w:rsidP="002916F7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cstheme="minorHAnsi"/>
                <w:b/>
                <w:sz w:val="20"/>
                <w:szCs w:val="20"/>
                <w:lang w:val="hr-BA"/>
              </w:rPr>
            </w:pPr>
          </w:p>
        </w:tc>
        <w:tc>
          <w:tcPr>
            <w:tcW w:w="3794" w:type="dxa"/>
            <w:gridSpan w:val="2"/>
            <w:tcBorders>
              <w:bottom w:val="thinThickSmallGap" w:sz="18" w:space="0" w:color="auto"/>
            </w:tcBorders>
            <w:vAlign w:val="center"/>
          </w:tcPr>
          <w:p w:rsidR="00DE587D" w:rsidRPr="00715429" w:rsidRDefault="00375E12" w:rsidP="00DE587D">
            <w:pPr>
              <w:rPr>
                <w:noProof/>
                <w:sz w:val="17"/>
                <w:szCs w:val="17"/>
                <w:lang w:val="hr-BA" w:eastAsia="sr-Latn-CS"/>
              </w:rPr>
            </w:pPr>
            <w:r w:rsidRPr="00375E12">
              <w:rPr>
                <w:noProof/>
                <w:sz w:val="17"/>
                <w:szCs w:val="17"/>
              </w:rPr>
              <w:drawing>
                <wp:inline distT="0" distB="0" distL="0" distR="0">
                  <wp:extent cx="2268000" cy="2181225"/>
                  <wp:effectExtent l="19050" t="0" r="0" b="0"/>
                  <wp:docPr id="7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DE587D" w:rsidRPr="00715429" w:rsidTr="00375E12">
        <w:trPr>
          <w:trHeight w:hRule="exact" w:val="6457"/>
        </w:trPr>
        <w:tc>
          <w:tcPr>
            <w:tcW w:w="6946" w:type="dxa"/>
            <w:tcBorders>
              <w:bottom w:val="thinThickSmallGap" w:sz="18" w:space="0" w:color="auto"/>
            </w:tcBorders>
          </w:tcPr>
          <w:p w:rsidR="00DE587D" w:rsidRPr="00354DDA" w:rsidRDefault="00DE587D" w:rsidP="008902D3">
            <w:pPr>
              <w:pStyle w:val="NormalWeb"/>
              <w:numPr>
                <w:ilvl w:val="0"/>
                <w:numId w:val="1"/>
              </w:numPr>
              <w:spacing w:before="0" w:beforeAutospacing="0" w:after="0"/>
              <w:ind w:left="357"/>
              <w:jc w:val="both"/>
              <w:rPr>
                <w:rFonts w:asciiTheme="minorHAnsi" w:hAnsiTheme="minorHAnsi" w:cs="Calibri"/>
                <w:b/>
                <w:bCs/>
                <w:noProof/>
                <w:color w:val="000000"/>
                <w:sz w:val="20"/>
                <w:szCs w:val="20"/>
              </w:rPr>
            </w:pPr>
            <w:r w:rsidRPr="000712B9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  <w:t xml:space="preserve">Spoljnotrgovinska razmjena </w:t>
            </w:r>
          </w:p>
          <w:p w:rsidR="007946DB" w:rsidRPr="002260FD" w:rsidRDefault="00D96335" w:rsidP="002260FD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sr-Latn-CS"/>
              </w:rPr>
            </w:pPr>
            <w:r w:rsidRPr="002260FD">
              <w:rPr>
                <w:rFonts w:asciiTheme="minorHAnsi" w:hAnsiTheme="minorHAnsi" w:cstheme="minorHAnsi"/>
                <w:b/>
                <w:sz w:val="20"/>
                <w:szCs w:val="20"/>
                <w:lang w:val="sr-Latn-CS"/>
              </w:rPr>
              <w:t>Spoljnotrgovinski deficit  u periodu januar – avgust 2014.  povećan je za 4,6 % i ostvaren u iznosu  od 972,4 mil.€, usljed  većeg procentualnog pada izvoza od uvoza roba</w:t>
            </w:r>
            <w:r w:rsidRPr="002260FD">
              <w:rPr>
                <w:rFonts w:asciiTheme="minorHAnsi" w:hAnsiTheme="minorHAnsi" w:cstheme="minorHAnsi"/>
                <w:sz w:val="20"/>
                <w:szCs w:val="20"/>
                <w:lang w:val="sr-Latn-CS"/>
              </w:rPr>
              <w:t xml:space="preserve">. </w:t>
            </w:r>
            <w:r w:rsidRPr="002260FD">
              <w:rPr>
                <w:sz w:val="20"/>
                <w:szCs w:val="20"/>
              </w:rPr>
              <w:t xml:space="preserve">Visina spoljnotrgovinskog deficita uglavnom je generisana smanjenjem izvozne proizvodnje metalske industrije i negativnim energetskim bilansom. </w:t>
            </w:r>
            <w:r w:rsidR="002F7DB2" w:rsidRPr="002260FD">
              <w:rPr>
                <w:sz w:val="20"/>
                <w:szCs w:val="20"/>
              </w:rPr>
              <w:t>Ukupna robna razmjena za navedeni period iznosi 1.384,6 mil</w:t>
            </w:r>
            <w:proofErr w:type="gramStart"/>
            <w:r w:rsidR="002F7DB2" w:rsidRPr="002260FD">
              <w:rPr>
                <w:sz w:val="20"/>
                <w:szCs w:val="20"/>
              </w:rPr>
              <w:t>.€</w:t>
            </w:r>
            <w:proofErr w:type="gramEnd"/>
            <w:r w:rsidR="002F7DB2" w:rsidRPr="002260FD">
              <w:rPr>
                <w:sz w:val="20"/>
                <w:szCs w:val="20"/>
              </w:rPr>
              <w:t xml:space="preserve">, što ukazuje na pad od 4,0%, dok je pokrivenost uvoza izvozom manja za 4,1 </w:t>
            </w:r>
            <w:r w:rsidR="009571D8" w:rsidRPr="002260FD">
              <w:rPr>
                <w:sz w:val="20"/>
                <w:szCs w:val="20"/>
              </w:rPr>
              <w:t xml:space="preserve">p.p </w:t>
            </w:r>
            <w:r w:rsidR="004453B9" w:rsidRPr="002260FD">
              <w:rPr>
                <w:sz w:val="20"/>
                <w:szCs w:val="20"/>
              </w:rPr>
              <w:t>i</w:t>
            </w:r>
            <w:r w:rsidR="002F7DB2" w:rsidRPr="002260FD">
              <w:rPr>
                <w:sz w:val="20"/>
                <w:szCs w:val="20"/>
              </w:rPr>
              <w:t xml:space="preserve"> iznosi 17,5%. </w:t>
            </w:r>
            <w:r w:rsidRPr="002260FD">
              <w:rPr>
                <w:sz w:val="20"/>
                <w:szCs w:val="20"/>
              </w:rPr>
              <w:t>U</w:t>
            </w:r>
            <w:r w:rsidRPr="002260FD">
              <w:rPr>
                <w:rFonts w:asciiTheme="minorHAnsi" w:hAnsiTheme="minorHAnsi" w:cstheme="minorHAnsi"/>
                <w:sz w:val="20"/>
                <w:szCs w:val="20"/>
                <w:lang w:val="sr-Latn-CS"/>
              </w:rPr>
              <w:t xml:space="preserve">kupan </w:t>
            </w:r>
            <w:proofErr w:type="gramStart"/>
            <w:r w:rsidRPr="002260FD">
              <w:rPr>
                <w:rFonts w:asciiTheme="minorHAnsi" w:hAnsiTheme="minorHAnsi" w:cstheme="minorHAnsi"/>
                <w:sz w:val="20"/>
                <w:szCs w:val="20"/>
                <w:lang w:val="sr-Latn-CS"/>
              </w:rPr>
              <w:t>izvoz  vrijedio</w:t>
            </w:r>
            <w:proofErr w:type="gramEnd"/>
            <w:r w:rsidRPr="002260FD">
              <w:rPr>
                <w:rFonts w:asciiTheme="minorHAnsi" w:hAnsiTheme="minorHAnsi" w:cstheme="minorHAnsi"/>
                <w:sz w:val="20"/>
                <w:szCs w:val="20"/>
                <w:lang w:val="sr-Latn-CS"/>
              </w:rPr>
              <w:t xml:space="preserve"> je  206,1 mil.€, što je za 19,6% manje g-n-g. Na smanjenje vrijednosti izvoza najviše je uticao pad izvoza električne energije (66,0%) i aluminijuma (23,0%). </w:t>
            </w:r>
            <w:r w:rsidR="00375E12">
              <w:rPr>
                <w:rFonts w:asciiTheme="minorHAnsi" w:hAnsiTheme="minorHAnsi" w:cstheme="minorHAnsi"/>
                <w:sz w:val="20"/>
                <w:szCs w:val="20"/>
                <w:lang w:val="sr-Latn-CS"/>
              </w:rPr>
              <w:t>K</w:t>
            </w:r>
            <w:r w:rsidRPr="002260FD">
              <w:rPr>
                <w:rFonts w:asciiTheme="minorHAnsi" w:hAnsiTheme="minorHAnsi" w:cstheme="minorHAnsi"/>
                <w:sz w:val="20"/>
                <w:szCs w:val="20"/>
                <w:lang w:val="sr-Latn-CS"/>
              </w:rPr>
              <w:t xml:space="preserve">ategorija hrana i žive životinje </w:t>
            </w:r>
            <w:r w:rsidR="00375E12">
              <w:rPr>
                <w:rFonts w:asciiTheme="minorHAnsi" w:hAnsiTheme="minorHAnsi" w:cstheme="minorHAnsi"/>
                <w:sz w:val="20"/>
                <w:szCs w:val="20"/>
                <w:lang w:val="sr-Latn-CS"/>
              </w:rPr>
              <w:t xml:space="preserve">je </w:t>
            </w:r>
            <w:r w:rsidRPr="002260FD">
              <w:rPr>
                <w:rFonts w:asciiTheme="minorHAnsi" w:hAnsiTheme="minorHAnsi" w:cstheme="minorHAnsi"/>
                <w:sz w:val="20"/>
                <w:szCs w:val="20"/>
                <w:lang w:val="sr-Latn-CS"/>
              </w:rPr>
              <w:t>povećala učešće u ukupnom izvozu sa 7,0% na 19,0%, kao rezultat povećanja izvoza mesa i prerada mesa sa 4,6 mil.€ na 27,6 mil.€. Izvoz pića bilježi rast od 8,0% (</w:t>
            </w:r>
            <w:r w:rsidR="00545372" w:rsidRPr="002260FD">
              <w:rPr>
                <w:rFonts w:asciiTheme="minorHAnsi" w:hAnsiTheme="minorHAnsi" w:cstheme="minorHAnsi"/>
                <w:sz w:val="20"/>
                <w:szCs w:val="20"/>
                <w:lang w:val="sr-Latn-CS"/>
              </w:rPr>
              <w:t xml:space="preserve"> </w:t>
            </w:r>
            <w:r w:rsidR="00A34E8F" w:rsidRPr="002260FD">
              <w:rPr>
                <w:rFonts w:asciiTheme="minorHAnsi" w:hAnsiTheme="minorHAnsi" w:cstheme="minorHAnsi"/>
                <w:sz w:val="20"/>
                <w:szCs w:val="20"/>
                <w:lang w:val="sr-Latn-CS"/>
              </w:rPr>
              <w:t xml:space="preserve">i </w:t>
            </w:r>
            <w:r w:rsidRPr="002260FD">
              <w:rPr>
                <w:rFonts w:asciiTheme="minorHAnsi" w:hAnsiTheme="minorHAnsi" w:cstheme="minorHAnsi"/>
                <w:sz w:val="20"/>
                <w:szCs w:val="20"/>
                <w:lang w:val="sr-Latn-CS"/>
              </w:rPr>
              <w:t xml:space="preserve">pored pada proizvodnje od 12,2%), pri čemu je </w:t>
            </w:r>
            <w:r w:rsidR="00375E12">
              <w:rPr>
                <w:rFonts w:asciiTheme="minorHAnsi" w:hAnsiTheme="minorHAnsi" w:cstheme="minorHAnsi"/>
                <w:sz w:val="20"/>
                <w:szCs w:val="20"/>
                <w:lang w:val="sr-Latn-CS"/>
              </w:rPr>
              <w:t xml:space="preserve">izvoz </w:t>
            </w:r>
            <w:r w:rsidRPr="002260FD">
              <w:rPr>
                <w:rFonts w:asciiTheme="minorHAnsi" w:hAnsiTheme="minorHAnsi" w:cstheme="minorHAnsi"/>
                <w:sz w:val="20"/>
                <w:szCs w:val="20"/>
                <w:lang w:val="sr-Latn-CS"/>
              </w:rPr>
              <w:t>u Rusiju</w:t>
            </w:r>
            <w:r w:rsidR="00375E12">
              <w:rPr>
                <w:rFonts w:asciiTheme="minorHAnsi" w:hAnsiTheme="minorHAnsi" w:cstheme="minorHAnsi"/>
                <w:sz w:val="20"/>
                <w:szCs w:val="20"/>
                <w:lang w:val="sr-Latn-CS"/>
              </w:rPr>
              <w:t xml:space="preserve"> viši za oko</w:t>
            </w:r>
            <w:r w:rsidRPr="002260FD">
              <w:rPr>
                <w:rFonts w:asciiTheme="minorHAnsi" w:hAnsiTheme="minorHAnsi" w:cstheme="minorHAnsi"/>
                <w:sz w:val="20"/>
                <w:szCs w:val="20"/>
                <w:lang w:val="sr-Latn-CS"/>
              </w:rPr>
              <w:t xml:space="preserve"> 70,0%.</w:t>
            </w:r>
            <w:r w:rsidR="007C5F96" w:rsidRPr="002260FD">
              <w:rPr>
                <w:rFonts w:asciiTheme="minorHAnsi" w:hAnsiTheme="minorHAnsi" w:cstheme="minorHAnsi"/>
                <w:sz w:val="20"/>
                <w:szCs w:val="20"/>
                <w:lang w:val="sr-Latn-CS"/>
              </w:rPr>
              <w:t xml:space="preserve"> </w:t>
            </w:r>
            <w:r w:rsidRPr="002260FD">
              <w:rPr>
                <w:rFonts w:asciiTheme="minorHAnsi" w:hAnsiTheme="minorHAnsi" w:cstheme="minorHAnsi"/>
                <w:sz w:val="20"/>
                <w:szCs w:val="20"/>
                <w:lang w:val="sr-Latn-CS"/>
              </w:rPr>
              <w:t>Ukupan uvoz vrijedio je 1.178,5 mil.€, što je za 0,6% manje g-n-g. Blagom smanjenjenju uvoza najviše je doprinio pad uvoza kategorija ostala transportna sredstva (84,0%), električna energija (23,0%) i  nafta i naftni derivati (3,0%).</w:t>
            </w:r>
          </w:p>
          <w:p w:rsidR="00545372" w:rsidRPr="002260FD" w:rsidRDefault="00545372" w:rsidP="002260FD">
            <w:pPr>
              <w:spacing w:after="0" w:line="240" w:lineRule="auto"/>
              <w:jc w:val="both"/>
              <w:rPr>
                <w:rFonts w:asciiTheme="minorHAnsi" w:hAnsiTheme="minorHAnsi"/>
                <w:bCs/>
                <w:noProof/>
                <w:sz w:val="20"/>
                <w:szCs w:val="20"/>
                <w:lang w:val="hr-BA"/>
              </w:rPr>
            </w:pPr>
            <w:r w:rsidRPr="002260F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 </w:t>
            </w:r>
            <w:r w:rsidRPr="002260FD">
              <w:rPr>
                <w:rFonts w:asciiTheme="minorHAnsi" w:hAnsiTheme="minorHAnsi"/>
                <w:b/>
                <w:bCs/>
                <w:noProof/>
                <w:sz w:val="20"/>
                <w:szCs w:val="20"/>
                <w:lang w:val="hr-BA"/>
              </w:rPr>
              <w:t>prvih sedam mjeseci 2014. nastavljen je trend rasta priliva SDI, tako da su neto SDI  iznosile 189,9 mil.€, što je za 1,2% vi</w:t>
            </w:r>
            <w:r w:rsidRPr="002260FD">
              <w:rPr>
                <w:rFonts w:asciiTheme="minorHAnsi" w:hAnsiTheme="minorHAnsi"/>
                <w:b/>
                <w:bCs/>
                <w:noProof/>
                <w:sz w:val="20"/>
                <w:szCs w:val="20"/>
                <w:lang w:val="sr-Latn-CS"/>
              </w:rPr>
              <w:t xml:space="preserve">še nego </w:t>
            </w:r>
            <w:r w:rsidRPr="002260FD">
              <w:rPr>
                <w:rFonts w:asciiTheme="minorHAnsi" w:hAnsiTheme="minorHAnsi"/>
                <w:b/>
                <w:bCs/>
                <w:noProof/>
                <w:sz w:val="20"/>
                <w:szCs w:val="20"/>
                <w:lang w:val="hr-BA"/>
              </w:rPr>
              <w:t>u uporednom periodu iz 2013.(187,6 mil.€).</w:t>
            </w:r>
            <w:r w:rsidRPr="002260FD">
              <w:rPr>
                <w:rFonts w:asciiTheme="minorHAnsi" w:hAnsiTheme="minorHAnsi"/>
                <w:bCs/>
                <w:noProof/>
                <w:sz w:val="20"/>
                <w:szCs w:val="20"/>
                <w:lang w:val="hr-BA"/>
              </w:rPr>
              <w:t xml:space="preserve"> Ukupan priliv SDI iznosio je 259,2 mil.€, sa učešćem vlasničkih ulaganja od 47,6% ili 2,7% više nego u 2013. U strukturi priliva ostvaren je rast po osnovu vlasničkih i dužničkih ulaganja, tj. investicije u preduzeća i banke 10,4%, (125,1% više), investicije u nekretnine 37,1% (11% manje), interkompanijski dug 50,9% (14,9% više) i ostalo 1,6% (11,0% manje). Ukupan odliv SDI iznosio je 69,4 mil.€ </w:t>
            </w:r>
            <w:r w:rsidR="00676BD4">
              <w:rPr>
                <w:rFonts w:asciiTheme="minorHAnsi" w:hAnsiTheme="minorHAnsi"/>
                <w:bCs/>
                <w:noProof/>
                <w:sz w:val="20"/>
                <w:szCs w:val="20"/>
                <w:lang w:val="hr-BA"/>
              </w:rPr>
              <w:t xml:space="preserve"> </w:t>
            </w:r>
            <w:r w:rsidRPr="002260FD">
              <w:rPr>
                <w:rFonts w:asciiTheme="minorHAnsi" w:hAnsiTheme="minorHAnsi"/>
                <w:bCs/>
                <w:noProof/>
                <w:sz w:val="20"/>
                <w:szCs w:val="20"/>
                <w:lang w:val="hr-BA"/>
              </w:rPr>
              <w:t>što je za 23,6% više nego u 2013.(56,2 mil.€). U strukturi odliva najveći dio se odnosio na povlačenje sredstava nerezidenata 85,4%, dok su ulaganja rezidenata u inostranstvo 14,6 %.</w:t>
            </w:r>
          </w:p>
          <w:p w:rsidR="00545372" w:rsidRPr="002260FD" w:rsidRDefault="00545372" w:rsidP="00545372">
            <w:pPr>
              <w:rPr>
                <w:sz w:val="20"/>
                <w:szCs w:val="20"/>
              </w:rPr>
            </w:pPr>
          </w:p>
          <w:p w:rsidR="00545372" w:rsidRPr="00CF3A55" w:rsidRDefault="00545372" w:rsidP="00D9633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D96335" w:rsidRPr="00354DDA" w:rsidRDefault="00D96335" w:rsidP="002916F7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hr-BA"/>
              </w:rPr>
            </w:pPr>
          </w:p>
        </w:tc>
        <w:tc>
          <w:tcPr>
            <w:tcW w:w="3794" w:type="dxa"/>
            <w:gridSpan w:val="2"/>
            <w:tcBorders>
              <w:bottom w:val="thinThickSmallGap" w:sz="18" w:space="0" w:color="auto"/>
            </w:tcBorders>
            <w:vAlign w:val="center"/>
          </w:tcPr>
          <w:p w:rsidR="00DE587D" w:rsidRPr="00715429" w:rsidRDefault="00ED69B4" w:rsidP="00DE587D">
            <w:pPr>
              <w:jc w:val="center"/>
              <w:rPr>
                <w:noProof/>
                <w:sz w:val="17"/>
                <w:szCs w:val="17"/>
                <w:lang w:val="hr-BA" w:eastAsia="sr-Latn-CS"/>
              </w:rPr>
            </w:pPr>
            <w:r w:rsidRPr="00ED69B4">
              <w:rPr>
                <w:noProof/>
                <w:sz w:val="17"/>
                <w:szCs w:val="17"/>
              </w:rPr>
              <w:drawing>
                <wp:inline distT="0" distB="0" distL="0" distR="0">
                  <wp:extent cx="2340000" cy="1872000"/>
                  <wp:effectExtent l="0" t="0" r="0" b="0"/>
                  <wp:docPr id="9" name="Chart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</w:tbl>
    <w:p w:rsidR="0082570B" w:rsidRPr="004A3489" w:rsidRDefault="0082570B" w:rsidP="00D51C00">
      <w:pPr>
        <w:rPr>
          <w:rFonts w:asciiTheme="minorHAnsi" w:hAnsiTheme="minorHAnsi" w:cstheme="minorHAnsi"/>
          <w:sz w:val="20"/>
          <w:szCs w:val="20"/>
        </w:rPr>
        <w:sectPr w:rsidR="0082570B" w:rsidRPr="004A3489" w:rsidSect="009C5011">
          <w:pgSz w:w="11907" w:h="16839" w:code="9"/>
          <w:pgMar w:top="720" w:right="720" w:bottom="709" w:left="720" w:header="720" w:footer="720" w:gutter="0"/>
          <w:cols w:space="720"/>
          <w:rtlGutter/>
          <w:docGrid w:linePitch="360"/>
        </w:sectPr>
      </w:pPr>
    </w:p>
    <w:p w:rsidR="002A1639" w:rsidRPr="00715429" w:rsidRDefault="0082570B" w:rsidP="00332574">
      <w:pPr>
        <w:jc w:val="center"/>
        <w:outlineLvl w:val="0"/>
        <w:rPr>
          <w:noProof/>
          <w:sz w:val="17"/>
          <w:szCs w:val="16"/>
          <w:lang w:val="hr-BA"/>
        </w:rPr>
      </w:pPr>
      <w:r w:rsidRPr="00715429">
        <w:rPr>
          <w:noProof/>
          <w:sz w:val="17"/>
          <w:szCs w:val="16"/>
          <w:lang w:val="hr-BA"/>
        </w:rPr>
        <w:lastRenderedPageBreak/>
        <w:t xml:space="preserve">Tabela 1: </w:t>
      </w:r>
      <w:r w:rsidRPr="00715429">
        <w:rPr>
          <w:b/>
          <w:bCs/>
          <w:noProof/>
          <w:sz w:val="17"/>
          <w:szCs w:val="16"/>
          <w:lang w:val="hr-BA"/>
        </w:rPr>
        <w:t>MAKROEKONOMSKI INDIKATORI</w:t>
      </w:r>
      <w:r w:rsidRPr="00715429">
        <w:rPr>
          <w:noProof/>
          <w:sz w:val="17"/>
          <w:szCs w:val="16"/>
          <w:lang w:val="hr-BA"/>
        </w:rPr>
        <w:t xml:space="preserve"> – </w:t>
      </w:r>
      <w:r w:rsidR="002916F7">
        <w:rPr>
          <w:noProof/>
          <w:sz w:val="17"/>
          <w:szCs w:val="16"/>
          <w:lang w:val="hr-BA"/>
        </w:rPr>
        <w:t>avgust</w:t>
      </w:r>
      <w:r w:rsidR="00725E16">
        <w:rPr>
          <w:noProof/>
          <w:sz w:val="17"/>
          <w:szCs w:val="16"/>
          <w:lang w:val="hr-BA"/>
        </w:rPr>
        <w:t xml:space="preserve"> </w:t>
      </w:r>
      <w:r w:rsidRPr="00715429">
        <w:rPr>
          <w:noProof/>
          <w:sz w:val="17"/>
          <w:szCs w:val="16"/>
          <w:lang w:val="hr-BA"/>
        </w:rPr>
        <w:t>201</w:t>
      </w:r>
      <w:r w:rsidR="00B355D6" w:rsidRPr="00715429">
        <w:rPr>
          <w:noProof/>
          <w:sz w:val="17"/>
          <w:szCs w:val="16"/>
          <w:lang w:val="hr-BA"/>
        </w:rPr>
        <w:t>4</w:t>
      </w:r>
      <w:r w:rsidRPr="00715429">
        <w:rPr>
          <w:noProof/>
          <w:sz w:val="17"/>
          <w:szCs w:val="16"/>
          <w:lang w:val="hr-BA"/>
        </w:rPr>
        <w:t>.</w:t>
      </w:r>
      <w:bookmarkStart w:id="0" w:name="_GoBack"/>
      <w:bookmarkEnd w:id="0"/>
    </w:p>
    <w:p w:rsidR="0082570B" w:rsidRPr="00715429" w:rsidRDefault="0082570B" w:rsidP="00875C4F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</w:p>
    <w:p w:rsidR="00784DAE" w:rsidRPr="00715429" w:rsidRDefault="00784DAE" w:rsidP="00875C4F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</w:p>
    <w:p w:rsidR="00332574" w:rsidRPr="00715429" w:rsidRDefault="00332574" w:rsidP="00332574">
      <w:pPr>
        <w:spacing w:after="0" w:line="240" w:lineRule="auto"/>
        <w:outlineLvl w:val="0"/>
        <w:rPr>
          <w:b/>
          <w:i/>
          <w:noProof/>
          <w:sz w:val="16"/>
          <w:szCs w:val="16"/>
          <w:lang w:val="hr-BA"/>
        </w:rPr>
      </w:pPr>
      <w:r w:rsidRPr="00715429">
        <w:rPr>
          <w:b/>
          <w:i/>
          <w:noProof/>
          <w:sz w:val="16"/>
          <w:szCs w:val="16"/>
          <w:lang w:val="hr-BA"/>
        </w:rPr>
        <w:t>Izvor: MONSTAT, Centralna Banka, Zavod za zapošljavanje Crne Gore</w:t>
      </w:r>
    </w:p>
    <w:p w:rsidR="00332574" w:rsidRPr="00715429" w:rsidRDefault="00332574" w:rsidP="00332574">
      <w:pPr>
        <w:spacing w:after="0"/>
        <w:ind w:firstLine="142"/>
        <w:rPr>
          <w:i/>
          <w:iCs/>
          <w:noProof/>
          <w:sz w:val="12"/>
          <w:szCs w:val="12"/>
          <w:lang w:val="hr-BA"/>
        </w:rPr>
      </w:pPr>
      <w:r w:rsidRPr="00715429">
        <w:rPr>
          <w:i/>
          <w:iCs/>
          <w:noProof/>
          <w:sz w:val="12"/>
          <w:szCs w:val="12"/>
          <w:lang w:val="hr-BA"/>
        </w:rPr>
        <w:t>Svi indikatori su prikazani kao godišnje stope rasta (stopa promjene indikatora u posmatranom mjesecu u odnosu na isti mjesec prethodne godine u %) ukoliko nije drugačije naznačeno u nazivu</w:t>
      </w:r>
    </w:p>
    <w:p w:rsidR="0083011C" w:rsidRDefault="00332574" w:rsidP="00332574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  <w:r w:rsidRPr="00715429">
        <w:rPr>
          <w:i/>
          <w:iCs/>
          <w:noProof/>
          <w:sz w:val="12"/>
          <w:szCs w:val="12"/>
          <w:lang w:val="hr-BA"/>
        </w:rPr>
        <w:t>M-n-M označava mjesečnu promjenu (stopa promjene indikatora u posmatranom mjesecu u odnosu na prethodni mjesec u %)</w:t>
      </w:r>
      <w:r w:rsidR="00B012FF">
        <w:rPr>
          <w:i/>
          <w:iCs/>
          <w:noProof/>
          <w:sz w:val="12"/>
          <w:szCs w:val="12"/>
          <w:lang w:val="hr-BA"/>
        </w:rPr>
        <w:t xml:space="preserve"> </w:t>
      </w:r>
      <w:r w:rsidR="00E2362B">
        <w:rPr>
          <w:i/>
          <w:iCs/>
          <w:noProof/>
          <w:sz w:val="12"/>
          <w:szCs w:val="12"/>
          <w:lang w:val="hr-BA"/>
        </w:rPr>
        <w:t>g-n-g</w:t>
      </w:r>
      <w:r w:rsidR="00E2362B" w:rsidRPr="00715429">
        <w:rPr>
          <w:i/>
          <w:iCs/>
          <w:noProof/>
          <w:sz w:val="12"/>
          <w:szCs w:val="12"/>
          <w:lang w:val="hr-BA"/>
        </w:rPr>
        <w:t xml:space="preserve"> označava </w:t>
      </w:r>
      <w:r w:rsidR="00E2362B">
        <w:rPr>
          <w:i/>
          <w:iCs/>
          <w:noProof/>
          <w:sz w:val="12"/>
          <w:szCs w:val="12"/>
          <w:lang w:val="hr-BA"/>
        </w:rPr>
        <w:t>godišnju</w:t>
      </w:r>
      <w:r w:rsidR="00E2362B" w:rsidRPr="00715429">
        <w:rPr>
          <w:i/>
          <w:iCs/>
          <w:noProof/>
          <w:sz w:val="12"/>
          <w:szCs w:val="12"/>
          <w:lang w:val="hr-BA"/>
        </w:rPr>
        <w:t xml:space="preserve"> promjenu (stopa promjene indikatora u posmatranom mjesecu</w:t>
      </w:r>
      <w:r w:rsidR="000D1AA8">
        <w:rPr>
          <w:i/>
          <w:iCs/>
          <w:noProof/>
          <w:sz w:val="12"/>
          <w:szCs w:val="12"/>
          <w:lang w:val="hr-BA"/>
        </w:rPr>
        <w:t xml:space="preserve"> </w:t>
      </w:r>
      <w:r w:rsidR="00E2362B">
        <w:rPr>
          <w:i/>
          <w:iCs/>
          <w:noProof/>
          <w:sz w:val="12"/>
          <w:szCs w:val="12"/>
          <w:lang w:val="hr-BA"/>
        </w:rPr>
        <w:t xml:space="preserve">ili periodu </w:t>
      </w:r>
      <w:r w:rsidR="00E2362B" w:rsidRPr="00715429">
        <w:rPr>
          <w:i/>
          <w:iCs/>
          <w:noProof/>
          <w:sz w:val="12"/>
          <w:szCs w:val="12"/>
          <w:lang w:val="hr-BA"/>
        </w:rPr>
        <w:t xml:space="preserve"> u odnosu na </w:t>
      </w:r>
      <w:r w:rsidR="00E2362B">
        <w:rPr>
          <w:i/>
          <w:iCs/>
          <w:noProof/>
          <w:sz w:val="12"/>
          <w:szCs w:val="12"/>
          <w:lang w:val="hr-BA"/>
        </w:rPr>
        <w:t>isti mmjesec ili periodprethodne godine</w:t>
      </w:r>
      <w:r w:rsidR="00E2362B" w:rsidRPr="00715429">
        <w:rPr>
          <w:i/>
          <w:iCs/>
          <w:noProof/>
          <w:sz w:val="12"/>
          <w:szCs w:val="12"/>
          <w:lang w:val="hr-BA"/>
        </w:rPr>
        <w:t xml:space="preserve"> u %)</w:t>
      </w:r>
    </w:p>
    <w:p w:rsidR="0083011C" w:rsidRDefault="0083011C" w:rsidP="00332574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</w:p>
    <w:p w:rsidR="002916F7" w:rsidRDefault="002916F7" w:rsidP="00332574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496"/>
        <w:gridCol w:w="596"/>
        <w:gridCol w:w="595"/>
        <w:gridCol w:w="598"/>
        <w:gridCol w:w="614"/>
        <w:gridCol w:w="825"/>
        <w:gridCol w:w="653"/>
        <w:gridCol w:w="692"/>
        <w:gridCol w:w="653"/>
        <w:gridCol w:w="653"/>
        <w:gridCol w:w="653"/>
        <w:gridCol w:w="653"/>
        <w:gridCol w:w="656"/>
        <w:gridCol w:w="653"/>
        <w:gridCol w:w="653"/>
        <w:gridCol w:w="825"/>
        <w:gridCol w:w="770"/>
        <w:gridCol w:w="931"/>
      </w:tblGrid>
      <w:tr w:rsidR="00052BB7" w:rsidRPr="009653E3" w:rsidTr="00052BB7">
        <w:trPr>
          <w:trHeight w:val="412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Indikatori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VII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VIII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IX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X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XI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XII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2014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II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III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IV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VI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VII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VIII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M-n-M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avg '14 / avg '13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jan - avg '14 / jan - avg '13</w:t>
            </w:r>
          </w:p>
        </w:tc>
      </w:tr>
      <w:tr w:rsidR="00052BB7" w:rsidRPr="009653E3" w:rsidTr="00052BB7">
        <w:trPr>
          <w:trHeight w:hRule="exact" w:val="227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REALNI SEKTOR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</w:tr>
      <w:tr w:rsidR="00052BB7" w:rsidRPr="009653E3" w:rsidTr="00052BB7">
        <w:trPr>
          <w:trHeight w:hRule="exact" w:val="227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Industrijska proizvodnja (stopa rasta)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5,10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9,00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3,00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10,50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21,40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14,50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7,40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5,70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-20,60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-27,90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-23,40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-26,40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-16,30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-12,70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5,4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-12,7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-15,1</w:t>
            </w:r>
          </w:p>
        </w:tc>
      </w:tr>
      <w:tr w:rsidR="00052BB7" w:rsidRPr="009653E3" w:rsidTr="00052BB7">
        <w:trPr>
          <w:trHeight w:hRule="exact" w:val="227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Prerađivačka industrija (stopa rasta)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11,70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4,70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6,50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22,70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28,20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48,80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39,80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20,50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18,40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-44,90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-10,90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-5,00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-24,60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-19,70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6,8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-19,7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-3,8</w:t>
            </w:r>
          </w:p>
        </w:tc>
      </w:tr>
      <w:tr w:rsidR="00052BB7" w:rsidRPr="009653E3" w:rsidTr="00052BB7">
        <w:trPr>
          <w:trHeight w:hRule="exact" w:val="227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Noćenja u turizmu (stopa rasta)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-3,60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4,30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30,30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30,30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1,10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22,10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2,00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2,70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5,30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2,10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-4,20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-1,30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0,90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2,40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66,9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2,4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1,2</w:t>
            </w:r>
          </w:p>
        </w:tc>
      </w:tr>
      <w:tr w:rsidR="00052BB7" w:rsidRPr="009653E3" w:rsidTr="00052BB7">
        <w:trPr>
          <w:trHeight w:hRule="exact" w:val="227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Promet u maloprodaji (stopa rasta)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11,50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14,40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16,00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16,00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12,80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14,20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-1,90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4,90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2,50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3,10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2,60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3,90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3,50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4,30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11,5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4,3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3,0</w:t>
            </w:r>
          </w:p>
        </w:tc>
      </w:tr>
      <w:tr w:rsidR="00052BB7" w:rsidRPr="009653E3" w:rsidTr="00052BB7">
        <w:trPr>
          <w:trHeight w:hRule="exact" w:val="227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Vrijednost radova u gradjevinarstvu (stopa rasta)</w:t>
            </w:r>
          </w:p>
        </w:tc>
        <w:tc>
          <w:tcPr>
            <w:tcW w:w="55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3,8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27,9</w:t>
            </w:r>
          </w:p>
        </w:tc>
        <w:tc>
          <w:tcPr>
            <w:tcW w:w="6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30,3</w:t>
            </w:r>
          </w:p>
        </w:tc>
        <w:tc>
          <w:tcPr>
            <w:tcW w:w="6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3,3</w:t>
            </w:r>
          </w:p>
        </w:tc>
        <w:tc>
          <w:tcPr>
            <w:tcW w:w="4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052BB7" w:rsidRPr="009653E3" w:rsidTr="00052BB7">
        <w:trPr>
          <w:trHeight w:hRule="exact" w:val="227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INFLACIJA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052BB7" w:rsidRPr="009653E3" w:rsidTr="00052BB7">
        <w:trPr>
          <w:trHeight w:hRule="exact" w:val="227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Indeks potrošačkih cijena (stopa rasta)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2,7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2,2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1,8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-1,4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-1,3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-1,2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-1,1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-1,1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</w:tr>
      <w:tr w:rsidR="00052BB7" w:rsidRPr="009653E3" w:rsidTr="00052BB7">
        <w:trPr>
          <w:trHeight w:hRule="exact" w:val="227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Harmonizovani indeks potrošačkih cijena (stopa rasta)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2,2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1,7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1,5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-0,8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n/p</w:t>
            </w:r>
          </w:p>
        </w:tc>
      </w:tr>
      <w:tr w:rsidR="00052BB7" w:rsidRPr="009653E3" w:rsidTr="00052BB7">
        <w:trPr>
          <w:trHeight w:hRule="exact" w:val="227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Indeks proizvodjačkih cijena (stopa rasta)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2,2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-2,0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-1,1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-1,3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-1,2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-0,2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1,0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1,0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-0,3</w:t>
            </w:r>
          </w:p>
        </w:tc>
      </w:tr>
      <w:tr w:rsidR="00052BB7" w:rsidRPr="009653E3" w:rsidTr="00052BB7">
        <w:trPr>
          <w:trHeight w:hRule="exact" w:val="227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ZAPOSLENOST I ZARADE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052BB7" w:rsidRPr="009653E3" w:rsidTr="00052BB7">
        <w:trPr>
          <w:trHeight w:hRule="exact" w:val="227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Zaposlenost (broj, kraj perioda)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178.815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176.588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169.044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169.044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167.607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167.173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167.616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168.805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170.177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172.202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174.917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179.774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181.408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178.558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-1,6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1,1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0,8</w:t>
            </w:r>
          </w:p>
        </w:tc>
      </w:tr>
      <w:tr w:rsidR="00052BB7" w:rsidRPr="009653E3" w:rsidTr="00052BB7">
        <w:trPr>
          <w:trHeight w:hRule="exact" w:val="227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Broj nezaposlenih (broj, kraj perioda)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30.102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30.947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33.271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33.271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34.680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34.514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34.804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34.664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34.671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33.906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32.763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31.570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31.115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31.163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0,7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4,6</w:t>
            </w:r>
          </w:p>
        </w:tc>
      </w:tr>
      <w:tr w:rsidR="00052BB7" w:rsidRPr="009653E3" w:rsidTr="00052BB7">
        <w:trPr>
          <w:trHeight w:hRule="exact" w:val="227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Stopa nezaposlenosti (%)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13,0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13,3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13,3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14,3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14,9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14,9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15,0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14,9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14,9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14,6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14,1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13,6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13,4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13,4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0,8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4,6</w:t>
            </w:r>
          </w:p>
        </w:tc>
      </w:tr>
      <w:tr w:rsidR="00052BB7" w:rsidRPr="009653E3" w:rsidTr="00052BB7">
        <w:trPr>
          <w:trHeight w:hRule="exact" w:val="227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Stopa nezaposlenosti (ARS) (%)</w:t>
            </w:r>
          </w:p>
        </w:tc>
        <w:tc>
          <w:tcPr>
            <w:tcW w:w="55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17,8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19,5</w:t>
            </w:r>
          </w:p>
        </w:tc>
        <w:tc>
          <w:tcPr>
            <w:tcW w:w="6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19,5</w:t>
            </w:r>
          </w:p>
        </w:tc>
        <w:tc>
          <w:tcPr>
            <w:tcW w:w="6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4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052BB7" w:rsidRPr="009653E3" w:rsidTr="00052BB7">
        <w:trPr>
          <w:trHeight w:hRule="exact" w:val="227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Oglašena radna mjesta (broj)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853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1.495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796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796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648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1.130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1.028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1.051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3.077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5.399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4.984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6.311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3.616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2.235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-38,2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49,5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161,3</w:t>
            </w:r>
          </w:p>
        </w:tc>
      </w:tr>
      <w:tr w:rsidR="00052BB7" w:rsidRPr="009653E3" w:rsidTr="00052BB7">
        <w:trPr>
          <w:trHeight w:hRule="exact" w:val="227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Prosječna mjesečna bruto zarada (u €)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712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721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721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721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728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738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726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729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720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720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726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725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713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718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</w:tr>
      <w:tr w:rsidR="00052BB7" w:rsidRPr="009653E3" w:rsidTr="00052BB7">
        <w:trPr>
          <w:trHeight w:hRule="exact" w:val="227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Prosječna mjesečna neto zarada (u €)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469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475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475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475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480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486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480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474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474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470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473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-0,8</w:t>
            </w:r>
          </w:p>
        </w:tc>
      </w:tr>
      <w:tr w:rsidR="00052BB7" w:rsidRPr="009653E3" w:rsidTr="00052BB7">
        <w:trPr>
          <w:trHeight w:hRule="exact" w:val="227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MONETARNI SEKTOR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052BB7" w:rsidRPr="009653E3" w:rsidTr="00052BB7">
        <w:trPr>
          <w:trHeight w:hRule="exact" w:val="227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Ukupni krediti (kumulativ, mil. €)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2.505,8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2.538,3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2.474,5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2.474,5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2.463,9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2.411,9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2.407,9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2.415,0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2.405,0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2.386,6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2.383,1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2.376,2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2.402,7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2.453,0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2,1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-3,4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052BB7" w:rsidRPr="009653E3" w:rsidTr="00052BB7">
        <w:trPr>
          <w:trHeight w:hRule="exact" w:val="227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 xml:space="preserve">Ukupni krediti (stopa rasta) 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5,5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5,7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2,0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4,8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5,4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3,0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-3,0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-3,7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-3,4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-3,2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-3,8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-3,3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-4,1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-3,4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2,1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-3,4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052BB7" w:rsidRPr="009653E3" w:rsidTr="00052BB7">
        <w:trPr>
          <w:trHeight w:hRule="exact" w:val="227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Nekvalitetni krediti (kumulativ, mil €)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447,0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441,9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438,6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438,6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428,3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423,2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425,6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426,3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393,9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406,1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417,6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402,6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422,4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052BB7" w:rsidRPr="009653E3" w:rsidTr="00052BB7">
        <w:trPr>
          <w:trHeight w:hRule="exact" w:val="227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Udio nekvalitetnih kredita u ukupnim kreditima (u %)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17,8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17,4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17,7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17,7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17,4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17,5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17,7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17,7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16,4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17,0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17,5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16,9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17,2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052BB7" w:rsidRPr="009653E3" w:rsidTr="00052BB7">
        <w:trPr>
          <w:trHeight w:hRule="exact" w:val="227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Ukupni depoziti (kumulativ, mil €)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2.075,0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2.144,3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2.104,3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2.104,3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2.084,9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2.098,6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2.096,7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2.101,7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2.104,3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2.094,8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2.114,3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2.146,4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2.188,2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2.254,5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3,0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5,1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052BB7" w:rsidRPr="009653E3" w:rsidTr="00052BB7">
        <w:trPr>
          <w:trHeight w:hRule="exact" w:val="227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Ukupni depoziti (stopa rasta)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5,5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9,7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5,2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7,1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5,1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6,0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6,4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5,6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5,3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7,3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7,1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6,8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5,5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5,1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3,0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5,1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052BB7" w:rsidRPr="009653E3" w:rsidTr="00052BB7">
        <w:trPr>
          <w:trHeight w:hRule="exact" w:val="227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Krediti privredi (kumulativ, u mil €)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970,2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947,6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951,1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951,1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955,2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948,4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942,6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951,6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947,7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958,5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959,8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950,4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932,3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911,3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-2,3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-3,8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052BB7" w:rsidRPr="009653E3" w:rsidTr="00052BB7">
        <w:trPr>
          <w:trHeight w:hRule="exact" w:val="227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Krediti domaćinstvima (kumulativ, u mil €)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882,5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880,6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886,8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886,8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887,1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881,3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881,1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882,6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887,1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887,4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890,7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891,5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893,6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893,0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1,4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052BB7" w:rsidRPr="009653E3" w:rsidTr="00052BB7">
        <w:trPr>
          <w:trHeight w:hRule="exact" w:val="227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Depoziti privrede (kumulativ, u mil €)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576,2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612,3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572,8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572,8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553,9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554,8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554,0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549,6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542,8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533,0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551,7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576,4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596,1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639,4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7,3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4,4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052BB7" w:rsidRPr="009653E3" w:rsidTr="00052BB7">
        <w:trPr>
          <w:trHeight w:hRule="exact" w:val="227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Lična štednja (kumulativ, u mil €)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1.192,9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1.218,1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1.218,1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1.218,1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1.221,0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1.237,7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1.235,1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1.236,4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1.239,2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1.247,8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1.245,5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1.244,5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1.270,1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1.288,5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1,5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5,8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052BB7" w:rsidRPr="009653E3" w:rsidTr="00052BB7">
        <w:trPr>
          <w:trHeight w:hRule="exact" w:val="227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Kamatna stopa na kredite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9,38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9,33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9,33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9,33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9,33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9,36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9,40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9,42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9,42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9,45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9,51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9,54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9,55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9,31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-0,24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-0,02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052BB7" w:rsidRPr="009653E3" w:rsidTr="00052BB7">
        <w:trPr>
          <w:trHeight w:hRule="exact" w:val="227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Kamatna stopa na depozite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2,93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2,83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2,67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2,67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2,60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2,55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2,41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2,45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2,34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2,31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2,25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2,19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2,08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2,01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-0,07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-0,82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052BB7" w:rsidRPr="009653E3" w:rsidTr="00052BB7">
        <w:trPr>
          <w:trHeight w:hRule="exact" w:val="227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EKSTERNI SEKTOR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052BB7" w:rsidRPr="009653E3" w:rsidTr="00052BB7">
        <w:trPr>
          <w:trHeight w:hRule="exact" w:val="227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Izvoz roba (u mil. €)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31,8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28,4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24,6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24,6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31,2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34,5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22,6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22,2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24,7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23,2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25,7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28,3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31,7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27,7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-12,8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-2,5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-19,6</w:t>
            </w:r>
          </w:p>
        </w:tc>
      </w:tr>
      <w:tr w:rsidR="00052BB7" w:rsidRPr="009653E3" w:rsidTr="00052BB7">
        <w:trPr>
          <w:trHeight w:hRule="exact" w:val="227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Uvoz roba (u mil. €)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172,6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164,9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161,4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161,4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130,7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149,0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83,1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112,7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145,9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158,4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157,9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171,9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184,3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164,3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-10,9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-0,6</w:t>
            </w:r>
          </w:p>
        </w:tc>
      </w:tr>
      <w:tr w:rsidR="00052BB7" w:rsidRPr="009653E3" w:rsidTr="00052BB7">
        <w:trPr>
          <w:trHeight w:hRule="exact" w:val="227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Spoljnotrgovinski bilans (u mil €)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-140,8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-136,5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-136,9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-136,9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-99,6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-114,5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-60,5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-90,5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-121,2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-135,2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-132,2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-143,6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-152,5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-136,6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-10,5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4,6</w:t>
            </w:r>
          </w:p>
        </w:tc>
      </w:tr>
      <w:tr w:rsidR="00052BB7" w:rsidRPr="009653E3" w:rsidTr="00052BB7">
        <w:trPr>
          <w:trHeight w:hRule="exact" w:val="227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Strane direktne investicije (mil.€)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32,5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30,7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-19,8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-19,8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12,6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55,5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17,0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28,8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32,1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17,1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29,0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39,7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26,1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-34,3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-19,7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1,2</w:t>
            </w:r>
          </w:p>
        </w:tc>
      </w:tr>
      <w:tr w:rsidR="00052BB7" w:rsidRPr="009653E3" w:rsidTr="00052BB7">
        <w:trPr>
          <w:trHeight w:hRule="exact" w:val="227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MEĐUNARODNO OKRUŽENJE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052BB7" w:rsidRPr="009653E3" w:rsidTr="00052BB7">
        <w:trPr>
          <w:trHeight w:hRule="exact" w:val="227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Brent crude oil (USD/barel)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107,7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115,7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105,9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105,9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111,5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107,8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108,8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109,7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107,7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108,0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109,6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112,5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105,6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103,0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-2,5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-11,0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</w:tr>
      <w:tr w:rsidR="00052BB7" w:rsidRPr="009653E3" w:rsidTr="00052BB7">
        <w:trPr>
          <w:trHeight w:hRule="exact" w:val="227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Aluminijum (USD/T)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1.769,6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1.816,2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1.814,6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1.814,6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1.748,0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1.739,8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1.740,8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1.695,2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1.705,4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1.810,7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1.751,1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1.839,0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1.948,3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2.030,5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4,2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11,8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-3,8</w:t>
            </w:r>
          </w:p>
        </w:tc>
      </w:tr>
      <w:tr w:rsidR="00052BB7" w:rsidRPr="009653E3" w:rsidTr="00052BB7">
        <w:trPr>
          <w:trHeight w:hRule="exact" w:val="227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Euribor (12 mjeseci)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0,53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0,53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0,54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0,54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0,53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0,50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0,56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0,55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0,59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0,61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0,57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0,49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0,49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0,43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-0,06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-0,10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0,00</w:t>
            </w:r>
          </w:p>
        </w:tc>
      </w:tr>
      <w:tr w:rsidR="00052BB7" w:rsidRPr="009653E3" w:rsidTr="00052BB7">
        <w:trPr>
          <w:trHeight w:hRule="exact" w:val="227"/>
        </w:trPr>
        <w:tc>
          <w:tcPr>
            <w:tcW w:w="1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9653E3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Inflacija u Eurozoni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1,6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1,3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0,7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052BB7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4E6F45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4E6F45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4E6F45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052BB7" w:rsidRPr="009653E3" w:rsidRDefault="00052BB7" w:rsidP="004E6F45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052BB7" w:rsidRPr="009653E3" w:rsidRDefault="00052BB7" w:rsidP="004E6F45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052BB7" w:rsidRPr="009653E3" w:rsidRDefault="00052BB7" w:rsidP="004E6F45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052BB7" w:rsidRPr="009653E3" w:rsidRDefault="00052BB7" w:rsidP="004E6F45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9653E3">
              <w:rPr>
                <w:rFonts w:cs="Calibri"/>
                <w:sz w:val="14"/>
                <w:szCs w:val="14"/>
                <w:lang w:val="sr-Latn-CS" w:eastAsia="sr-Latn-CS"/>
              </w:rPr>
              <w:t>-1,0</w:t>
            </w:r>
          </w:p>
        </w:tc>
      </w:tr>
    </w:tbl>
    <w:p w:rsidR="00052BB7" w:rsidRDefault="00052BB7" w:rsidP="00784DAE">
      <w:pPr>
        <w:spacing w:after="0" w:line="240" w:lineRule="auto"/>
        <w:ind w:firstLine="142"/>
        <w:jc w:val="center"/>
        <w:rPr>
          <w:noProof/>
          <w:sz w:val="18"/>
          <w:szCs w:val="18"/>
          <w:lang w:val="hr-BA"/>
        </w:rPr>
      </w:pPr>
    </w:p>
    <w:p w:rsidR="00052BB7" w:rsidRDefault="00052BB7" w:rsidP="00784DAE">
      <w:pPr>
        <w:spacing w:after="0" w:line="240" w:lineRule="auto"/>
        <w:ind w:firstLine="142"/>
        <w:jc w:val="center"/>
        <w:rPr>
          <w:noProof/>
          <w:sz w:val="18"/>
          <w:szCs w:val="18"/>
          <w:lang w:val="hr-BA"/>
        </w:rPr>
      </w:pPr>
    </w:p>
    <w:p w:rsidR="00CD707C" w:rsidRPr="0065398C" w:rsidRDefault="00A30E95" w:rsidP="00784DAE">
      <w:pPr>
        <w:spacing w:after="0" w:line="240" w:lineRule="auto"/>
        <w:ind w:firstLine="142"/>
        <w:jc w:val="center"/>
        <w:rPr>
          <w:noProof/>
          <w:sz w:val="18"/>
          <w:szCs w:val="18"/>
          <w:lang w:val="hr-BA"/>
        </w:rPr>
      </w:pPr>
      <w:r w:rsidRPr="0065398C">
        <w:rPr>
          <w:noProof/>
          <w:sz w:val="18"/>
          <w:szCs w:val="18"/>
          <w:lang w:val="hr-BA"/>
        </w:rPr>
        <w:t>T</w:t>
      </w:r>
      <w:r w:rsidR="00784DAE" w:rsidRPr="0065398C">
        <w:rPr>
          <w:noProof/>
          <w:sz w:val="18"/>
          <w:szCs w:val="18"/>
          <w:lang w:val="hr-BA"/>
        </w:rPr>
        <w:t xml:space="preserve">abela 2: </w:t>
      </w:r>
      <w:r w:rsidR="00784DAE" w:rsidRPr="0065398C">
        <w:rPr>
          <w:b/>
          <w:bCs/>
          <w:noProof/>
          <w:sz w:val="18"/>
          <w:szCs w:val="18"/>
          <w:lang w:val="hr-BA"/>
        </w:rPr>
        <w:t>BUDŽET CRNE GORE</w:t>
      </w:r>
      <w:r w:rsidR="00784DAE" w:rsidRPr="0065398C">
        <w:rPr>
          <w:noProof/>
          <w:sz w:val="18"/>
          <w:szCs w:val="18"/>
          <w:lang w:val="hr-BA"/>
        </w:rPr>
        <w:t xml:space="preserve"> –</w:t>
      </w:r>
      <w:r w:rsidR="003A6F63">
        <w:rPr>
          <w:noProof/>
          <w:sz w:val="18"/>
          <w:szCs w:val="18"/>
          <w:lang w:val="hr-BA"/>
        </w:rPr>
        <w:t xml:space="preserve"> </w:t>
      </w:r>
      <w:r w:rsidR="00052BB7">
        <w:rPr>
          <w:noProof/>
          <w:sz w:val="18"/>
          <w:szCs w:val="18"/>
          <w:lang w:val="hr-BA"/>
        </w:rPr>
        <w:t>avgust</w:t>
      </w:r>
      <w:r w:rsidR="009C5011" w:rsidRPr="0065398C">
        <w:rPr>
          <w:noProof/>
          <w:sz w:val="18"/>
          <w:szCs w:val="18"/>
          <w:lang w:val="hr-BA"/>
        </w:rPr>
        <w:t xml:space="preserve"> 2014</w:t>
      </w:r>
    </w:p>
    <w:p w:rsidR="00CD707C" w:rsidRDefault="00CD707C" w:rsidP="00784DAE">
      <w:pPr>
        <w:spacing w:after="0" w:line="240" w:lineRule="auto"/>
        <w:ind w:firstLine="142"/>
        <w:jc w:val="center"/>
        <w:rPr>
          <w:i/>
          <w:iCs/>
          <w:noProof/>
          <w:sz w:val="12"/>
          <w:szCs w:val="12"/>
          <w:lang w:val="hr-BA"/>
        </w:rPr>
      </w:pPr>
    </w:p>
    <w:p w:rsidR="002916F7" w:rsidRDefault="002916F7" w:rsidP="00784DAE">
      <w:pPr>
        <w:spacing w:after="0" w:line="240" w:lineRule="auto"/>
        <w:ind w:firstLine="142"/>
        <w:jc w:val="center"/>
        <w:rPr>
          <w:i/>
          <w:iCs/>
          <w:noProof/>
          <w:sz w:val="12"/>
          <w:szCs w:val="12"/>
          <w:lang w:val="hr-BA"/>
        </w:rPr>
      </w:pPr>
    </w:p>
    <w:tbl>
      <w:tblPr>
        <w:tblW w:w="5000" w:type="pct"/>
        <w:tblLook w:val="04A0"/>
      </w:tblPr>
      <w:tblGrid>
        <w:gridCol w:w="3102"/>
        <w:gridCol w:w="780"/>
        <w:gridCol w:w="780"/>
        <w:gridCol w:w="779"/>
        <w:gridCol w:w="779"/>
        <w:gridCol w:w="779"/>
        <w:gridCol w:w="779"/>
        <w:gridCol w:w="779"/>
        <w:gridCol w:w="779"/>
        <w:gridCol w:w="779"/>
        <w:gridCol w:w="779"/>
        <w:gridCol w:w="779"/>
        <w:gridCol w:w="698"/>
        <w:gridCol w:w="698"/>
        <w:gridCol w:w="698"/>
        <w:gridCol w:w="865"/>
        <w:gridCol w:w="888"/>
        <w:gridCol w:w="855"/>
      </w:tblGrid>
      <w:tr w:rsidR="00052BB7" w:rsidRPr="00083F8F" w:rsidTr="00E72ABE">
        <w:trPr>
          <w:trHeight w:val="615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BB7" w:rsidRPr="00083F8F" w:rsidRDefault="00052BB7" w:rsidP="00052BB7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083F8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083F8F">
              <w:rPr>
                <w:rFonts w:cs="Calibri"/>
                <w:sz w:val="16"/>
                <w:szCs w:val="16"/>
              </w:rPr>
              <w:t>2013</w:t>
            </w:r>
          </w:p>
        </w:tc>
        <w:tc>
          <w:tcPr>
            <w:tcW w:w="185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083F8F">
              <w:rPr>
                <w:rFonts w:cs="Calibri"/>
                <w:sz w:val="16"/>
                <w:szCs w:val="16"/>
              </w:rPr>
              <w:t>2014 </w:t>
            </w:r>
          </w:p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083F8F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E72ABE">
              <w:rPr>
                <w:rFonts w:cs="Calibri"/>
                <w:sz w:val="16"/>
                <w:szCs w:val="16"/>
              </w:rPr>
              <w:t>plan 2014</w:t>
            </w:r>
          </w:p>
        </w:tc>
        <w:tc>
          <w:tcPr>
            <w:tcW w:w="7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083F8F">
              <w:rPr>
                <w:rFonts w:cs="Calibri"/>
                <w:sz w:val="16"/>
                <w:szCs w:val="16"/>
              </w:rPr>
              <w:t>Analitika-AVGUST</w:t>
            </w:r>
          </w:p>
        </w:tc>
      </w:tr>
      <w:tr w:rsidR="00052BB7" w:rsidRPr="00083F8F" w:rsidTr="004E6F45">
        <w:trPr>
          <w:trHeight w:val="750"/>
        </w:trPr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083F8F">
              <w:rPr>
                <w:rFonts w:cs="Calibri"/>
                <w:b/>
                <w:bCs/>
                <w:sz w:val="16"/>
                <w:szCs w:val="16"/>
              </w:rPr>
              <w:t>BUDŽET CRNE GORE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083F8F">
              <w:rPr>
                <w:rFonts w:cs="Calibri"/>
                <w:sz w:val="14"/>
                <w:szCs w:val="14"/>
              </w:rPr>
              <w:t>VIII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083F8F">
              <w:rPr>
                <w:rFonts w:cs="Calibri"/>
                <w:sz w:val="14"/>
                <w:szCs w:val="14"/>
              </w:rPr>
              <w:t>IX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083F8F">
              <w:rPr>
                <w:rFonts w:cs="Calibri"/>
                <w:sz w:val="14"/>
                <w:szCs w:val="14"/>
              </w:rPr>
              <w:t>X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083F8F">
              <w:rPr>
                <w:rFonts w:cs="Calibri"/>
                <w:sz w:val="14"/>
                <w:szCs w:val="14"/>
              </w:rPr>
              <w:t>XI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083F8F">
              <w:rPr>
                <w:rFonts w:cs="Calibri"/>
                <w:sz w:val="14"/>
                <w:szCs w:val="14"/>
              </w:rPr>
              <w:t>XII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083F8F">
              <w:rPr>
                <w:rFonts w:cs="Calibri"/>
                <w:sz w:val="14"/>
                <w:szCs w:val="14"/>
              </w:rPr>
              <w:t>I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083F8F">
              <w:rPr>
                <w:rFonts w:cs="Calibri"/>
                <w:sz w:val="14"/>
                <w:szCs w:val="14"/>
              </w:rPr>
              <w:t>II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083F8F">
              <w:rPr>
                <w:rFonts w:cs="Calibri"/>
                <w:sz w:val="14"/>
                <w:szCs w:val="14"/>
              </w:rPr>
              <w:t>III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083F8F">
              <w:rPr>
                <w:rFonts w:cs="Calibri"/>
                <w:sz w:val="14"/>
                <w:szCs w:val="14"/>
              </w:rPr>
              <w:t>IV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083F8F">
              <w:rPr>
                <w:rFonts w:cs="Calibri"/>
                <w:sz w:val="14"/>
                <w:szCs w:val="14"/>
              </w:rPr>
              <w:t>V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083F8F">
              <w:rPr>
                <w:rFonts w:cs="Calibri"/>
                <w:sz w:val="14"/>
                <w:szCs w:val="14"/>
              </w:rPr>
              <w:t>VI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083F8F">
              <w:rPr>
                <w:rFonts w:cs="Calibri"/>
                <w:sz w:val="14"/>
                <w:szCs w:val="14"/>
              </w:rPr>
              <w:t>VII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083F8F">
              <w:rPr>
                <w:rFonts w:cs="Calibri"/>
                <w:sz w:val="14"/>
                <w:szCs w:val="14"/>
              </w:rPr>
              <w:t>VIII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083F8F">
              <w:rPr>
                <w:rFonts w:cs="Calibri"/>
                <w:sz w:val="14"/>
                <w:szCs w:val="14"/>
              </w:rPr>
              <w:t>VIII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proofErr w:type="gramStart"/>
            <w:r w:rsidRPr="00083F8F">
              <w:rPr>
                <w:rFonts w:cs="Calibri"/>
                <w:sz w:val="14"/>
                <w:szCs w:val="14"/>
              </w:rPr>
              <w:t>avg</w:t>
            </w:r>
            <w:proofErr w:type="gramEnd"/>
            <w:r w:rsidRPr="00083F8F">
              <w:rPr>
                <w:rFonts w:cs="Calibri"/>
                <w:sz w:val="14"/>
                <w:szCs w:val="14"/>
              </w:rPr>
              <w:t xml:space="preserve"> 2014/avg 2013 (%)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proofErr w:type="gramStart"/>
            <w:r w:rsidRPr="00083F8F">
              <w:rPr>
                <w:rFonts w:cs="Calibri"/>
                <w:sz w:val="14"/>
                <w:szCs w:val="14"/>
              </w:rPr>
              <w:t>jan-avg</w:t>
            </w:r>
            <w:proofErr w:type="gramEnd"/>
            <w:r w:rsidRPr="00083F8F">
              <w:rPr>
                <w:rFonts w:cs="Calibri"/>
                <w:sz w:val="14"/>
                <w:szCs w:val="14"/>
              </w:rPr>
              <w:t xml:space="preserve"> 2014/jan-avg 2013 (%)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proofErr w:type="gramStart"/>
            <w:r w:rsidRPr="00083F8F">
              <w:rPr>
                <w:rFonts w:cs="Calibri"/>
                <w:sz w:val="14"/>
                <w:szCs w:val="14"/>
              </w:rPr>
              <w:t>avg</w:t>
            </w:r>
            <w:proofErr w:type="gramEnd"/>
            <w:r w:rsidRPr="00083F8F">
              <w:rPr>
                <w:rFonts w:cs="Calibri"/>
                <w:sz w:val="14"/>
                <w:szCs w:val="14"/>
              </w:rPr>
              <w:t xml:space="preserve"> 2014/avg 2014 plan (%)</w:t>
            </w:r>
          </w:p>
        </w:tc>
      </w:tr>
      <w:tr w:rsidR="004E6F45" w:rsidRPr="00083F8F" w:rsidTr="004E6F45">
        <w:trPr>
          <w:trHeight w:val="330"/>
        </w:trPr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083F8F">
              <w:rPr>
                <w:rFonts w:cs="Calibri"/>
                <w:b/>
                <w:bCs/>
                <w:sz w:val="16"/>
                <w:szCs w:val="16"/>
              </w:rPr>
              <w:t>IZVORNI PRIHODI, od čega: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125,05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116,34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117,28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95,78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142,43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70,78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82,13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100,71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109,08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102,20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109,93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120,67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126,56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sz w:val="14"/>
                <w:szCs w:val="14"/>
              </w:rPr>
              <w:t>126,25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1,20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7,35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0,25</w:t>
            </w:r>
          </w:p>
        </w:tc>
      </w:tr>
      <w:tr w:rsidR="004E6F45" w:rsidRPr="00083F8F" w:rsidTr="004E6F45">
        <w:trPr>
          <w:trHeight w:val="330"/>
        </w:trPr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083F8F">
              <w:rPr>
                <w:rFonts w:cs="Calibri"/>
                <w:sz w:val="16"/>
                <w:szCs w:val="16"/>
              </w:rPr>
              <w:t>Porezi i doprinosi na  zarade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44,81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47,38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54,03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37,52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75,77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21,23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34,36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37,91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40,21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45,74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45,71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44,52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45,43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083F8F">
              <w:rPr>
                <w:rFonts w:cs="Calibri"/>
                <w:sz w:val="14"/>
                <w:szCs w:val="14"/>
              </w:rPr>
              <w:t>44,79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1,38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12,77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1,42</w:t>
            </w:r>
          </w:p>
        </w:tc>
      </w:tr>
      <w:tr w:rsidR="004E6F45" w:rsidRPr="00083F8F" w:rsidTr="004E6F45">
        <w:trPr>
          <w:trHeight w:val="315"/>
        </w:trPr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083F8F">
              <w:rPr>
                <w:rFonts w:cs="Calibri"/>
                <w:sz w:val="16"/>
                <w:szCs w:val="16"/>
              </w:rPr>
              <w:t>Porez na dobit pravnih lica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2,84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2,33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1,29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1,13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1,04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0,96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12,11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11,31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2,49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2,38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5,92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2,52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083F8F">
              <w:rPr>
                <w:rFonts w:cs="Calibri"/>
                <w:sz w:val="14"/>
                <w:szCs w:val="14"/>
              </w:rPr>
              <w:t>3,10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-11,27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12,57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-18,78</w:t>
            </w:r>
          </w:p>
        </w:tc>
      </w:tr>
      <w:tr w:rsidR="004E6F45" w:rsidRPr="00083F8F" w:rsidTr="004E6F45">
        <w:trPr>
          <w:trHeight w:val="300"/>
        </w:trPr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083F8F">
              <w:rPr>
                <w:rFonts w:cs="Calibri"/>
                <w:sz w:val="16"/>
                <w:szCs w:val="16"/>
              </w:rPr>
              <w:t>Porez na dodatu vrijednost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47,07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40,69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37,65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33,51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40,19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32,17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31,16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34,92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39,01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33,08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37,06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45,61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49,64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083F8F">
              <w:rPr>
                <w:rFonts w:cs="Calibri"/>
                <w:sz w:val="14"/>
                <w:szCs w:val="14"/>
              </w:rPr>
              <w:t>48,89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5,48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9,21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1,54</w:t>
            </w:r>
          </w:p>
        </w:tc>
      </w:tr>
      <w:tr w:rsidR="004E6F45" w:rsidRPr="00083F8F" w:rsidTr="004E6F45">
        <w:trPr>
          <w:trHeight w:val="300"/>
        </w:trPr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083F8F">
              <w:rPr>
                <w:rFonts w:cs="Calibri"/>
                <w:sz w:val="16"/>
                <w:szCs w:val="16"/>
              </w:rPr>
              <w:t>Akcize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20,98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17,25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14,55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13,08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13,19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9,74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8,37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9,53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10,78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12,29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14,55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15,75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19,49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083F8F">
              <w:rPr>
                <w:rFonts w:cs="Calibri"/>
                <w:sz w:val="14"/>
                <w:szCs w:val="14"/>
              </w:rPr>
              <w:t>19,93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-7,09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-2,77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-2,21</w:t>
            </w:r>
          </w:p>
        </w:tc>
      </w:tr>
      <w:tr w:rsidR="004E6F45" w:rsidRPr="00083F8F" w:rsidTr="004E6F45">
        <w:trPr>
          <w:trHeight w:val="315"/>
        </w:trPr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083F8F">
              <w:rPr>
                <w:rFonts w:cs="Calibri"/>
                <w:sz w:val="16"/>
                <w:szCs w:val="16"/>
              </w:rPr>
              <w:t>Porez na medj trgovinu i transak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2,21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2,04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2,04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1,48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1,69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0,96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1,30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1,64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1,83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1,87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2,14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2,58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2,35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083F8F">
              <w:rPr>
                <w:rFonts w:cs="Calibri"/>
                <w:sz w:val="14"/>
                <w:szCs w:val="14"/>
              </w:rPr>
              <w:t>2,35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6,61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-2,31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0,03</w:t>
            </w:r>
          </w:p>
        </w:tc>
      </w:tr>
      <w:tr w:rsidR="004E6F45" w:rsidRPr="00083F8F" w:rsidTr="004E6F45">
        <w:trPr>
          <w:trHeight w:val="330"/>
        </w:trPr>
        <w:tc>
          <w:tcPr>
            <w:tcW w:w="947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083F8F">
              <w:rPr>
                <w:rFonts w:cs="Calibri"/>
                <w:b/>
                <w:bCs/>
                <w:sz w:val="16"/>
                <w:szCs w:val="16"/>
              </w:rPr>
              <w:t>IZDACI BUDŽETA, od čega :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141,28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119,00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99,42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98,49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150,13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94,32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88,93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115,88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122,33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101,78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112,86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107,27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108,04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083F8F">
              <w:rPr>
                <w:rFonts w:cs="Calibri"/>
                <w:sz w:val="14"/>
                <w:szCs w:val="14"/>
              </w:rPr>
              <w:t>111,47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-23,52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-5,02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-3,07</w:t>
            </w:r>
          </w:p>
        </w:tc>
      </w:tr>
      <w:tr w:rsidR="004E6F45" w:rsidRPr="00083F8F" w:rsidTr="004E6F45">
        <w:trPr>
          <w:trHeight w:val="304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083F8F">
              <w:rPr>
                <w:rFonts w:cs="Calibri"/>
                <w:sz w:val="16"/>
                <w:szCs w:val="16"/>
              </w:rPr>
              <w:t>Bruto zarade i doprinosi na teret posl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29,27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30,77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30,66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30,67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28,82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31,75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31,99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28,95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33,40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33,99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36,25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31,64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33,57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083F8F">
              <w:rPr>
                <w:rFonts w:cs="Calibri"/>
                <w:sz w:val="14"/>
                <w:szCs w:val="14"/>
              </w:rPr>
              <w:t>32,21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14,67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6,66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4,22</w:t>
            </w:r>
          </w:p>
        </w:tc>
      </w:tr>
      <w:tr w:rsidR="004E6F45" w:rsidRPr="00083F8F" w:rsidTr="004E6F45">
        <w:trPr>
          <w:trHeight w:val="405"/>
        </w:trPr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083F8F">
              <w:rPr>
                <w:rFonts w:cs="Calibri"/>
                <w:sz w:val="16"/>
                <w:szCs w:val="16"/>
              </w:rPr>
              <w:t>Rashodi za materijal i usluge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6,44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6,99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8,39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6,48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17,95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3,84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5,14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8,71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6,06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6,59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7,95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7,56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7,34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083F8F">
              <w:rPr>
                <w:rFonts w:cs="Calibri"/>
                <w:sz w:val="14"/>
                <w:szCs w:val="14"/>
              </w:rPr>
              <w:t>7,43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13,94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5,03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-1,33</w:t>
            </w:r>
          </w:p>
        </w:tc>
      </w:tr>
      <w:tr w:rsidR="004E6F45" w:rsidRPr="00083F8F" w:rsidTr="004E6F45">
        <w:trPr>
          <w:trHeight w:val="300"/>
        </w:trPr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083F8F">
              <w:rPr>
                <w:rFonts w:cs="Calibri"/>
                <w:sz w:val="16"/>
                <w:szCs w:val="16"/>
              </w:rPr>
              <w:t>Kamate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2,10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18,71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0,80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0,75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5,12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2,31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1,11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4,62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24,66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0,92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5,61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6,41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1,40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083F8F">
              <w:rPr>
                <w:rFonts w:cs="Calibri"/>
                <w:sz w:val="14"/>
                <w:szCs w:val="14"/>
              </w:rPr>
              <w:t>6,11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-33,34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11,93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-77,05</w:t>
            </w:r>
          </w:p>
        </w:tc>
      </w:tr>
      <w:tr w:rsidR="004E6F45" w:rsidRPr="00083F8F" w:rsidTr="004E6F45">
        <w:trPr>
          <w:trHeight w:val="300"/>
        </w:trPr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083F8F">
              <w:rPr>
                <w:rFonts w:cs="Calibri"/>
                <w:sz w:val="16"/>
                <w:szCs w:val="16"/>
              </w:rPr>
              <w:t>Transferi za socijalnu zaštitu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39,18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40,14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39,79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39,83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43,05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39,56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41,43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41,91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40,42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40,51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40,39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42,65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41,82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083F8F">
              <w:rPr>
                <w:rFonts w:cs="Calibri"/>
                <w:sz w:val="14"/>
                <w:szCs w:val="14"/>
              </w:rPr>
              <w:t>41,52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6,72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2,66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0,72</w:t>
            </w:r>
          </w:p>
        </w:tc>
      </w:tr>
      <w:tr w:rsidR="004E6F45" w:rsidRPr="00083F8F" w:rsidTr="004E6F45">
        <w:trPr>
          <w:trHeight w:val="387"/>
        </w:trPr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083F8F">
              <w:rPr>
                <w:rFonts w:cs="Calibri"/>
                <w:sz w:val="16"/>
                <w:szCs w:val="16"/>
              </w:rPr>
              <w:t>Transferi instit, pojed i NVO sektoru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9,04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8,25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7,30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4,75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17,85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4,73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3,67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11,94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8,80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7,96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8,71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7,34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8,85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083F8F">
              <w:rPr>
                <w:rFonts w:cs="Calibri"/>
                <w:sz w:val="14"/>
                <w:szCs w:val="14"/>
              </w:rPr>
              <w:t>8,42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-2,03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10,42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5,17</w:t>
            </w:r>
          </w:p>
        </w:tc>
      </w:tr>
      <w:tr w:rsidR="004E6F45" w:rsidRPr="00083F8F" w:rsidTr="004E6F45">
        <w:trPr>
          <w:trHeight w:val="315"/>
        </w:trPr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083F8F">
              <w:rPr>
                <w:rFonts w:cs="Calibri"/>
                <w:sz w:val="16"/>
                <w:szCs w:val="16"/>
              </w:rPr>
              <w:t>Kapitalni izdaci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5,50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5,91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6,63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6,49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22,14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1,67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1,07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6,63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3,51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6,72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6,75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6,40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8,57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083F8F">
              <w:rPr>
                <w:rFonts w:cs="Calibri"/>
                <w:sz w:val="14"/>
                <w:szCs w:val="14"/>
              </w:rPr>
              <w:t>9,36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55,89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25,86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-8,41</w:t>
            </w:r>
          </w:p>
        </w:tc>
      </w:tr>
      <w:tr w:rsidR="004E6F45" w:rsidRPr="00083F8F" w:rsidTr="004E6F45">
        <w:trPr>
          <w:trHeight w:val="330"/>
        </w:trPr>
        <w:tc>
          <w:tcPr>
            <w:tcW w:w="947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083F8F">
              <w:rPr>
                <w:rFonts w:cs="Calibri"/>
                <w:b/>
                <w:bCs/>
                <w:sz w:val="16"/>
                <w:szCs w:val="16"/>
              </w:rPr>
              <w:t>Suficit / Deficit budžeta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-16,22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-2,66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17,86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-2,71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-7,70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-23,54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-6,80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-15,17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-13,25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0,41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-3,02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13,39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18,51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14,78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-214,13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-77,45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25,27</w:t>
            </w:r>
          </w:p>
        </w:tc>
      </w:tr>
      <w:tr w:rsidR="004E6F45" w:rsidRPr="00083F8F" w:rsidTr="004E6F45">
        <w:trPr>
          <w:trHeight w:val="330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083F8F">
              <w:rPr>
                <w:rFonts w:cs="Calibri"/>
                <w:sz w:val="16"/>
                <w:szCs w:val="16"/>
              </w:rPr>
              <w:t>Primarni deficit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-14,12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16,06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18,66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-1,96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-2,58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-21,23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-5,69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-10,55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11,42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1,34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2,60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19,80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19,92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083F8F">
              <w:rPr>
                <w:rFonts w:cs="Calibri"/>
                <w:sz w:val="14"/>
                <w:szCs w:val="14"/>
              </w:rPr>
              <w:t>20,89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-241,07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-119,85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-4,65</w:t>
            </w:r>
          </w:p>
        </w:tc>
      </w:tr>
      <w:tr w:rsidR="004E6F45" w:rsidRPr="00083F8F" w:rsidTr="004E6F45">
        <w:trPr>
          <w:trHeight w:val="330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083F8F">
              <w:rPr>
                <w:rFonts w:cs="Calibri"/>
                <w:sz w:val="16"/>
                <w:szCs w:val="16"/>
              </w:rPr>
              <w:t>Otplata dugova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16,98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24,39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14,01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17,57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71,64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6,53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4,92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9,83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38,71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8,79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60,61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42,13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11,80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083F8F">
              <w:rPr>
                <w:rFonts w:cs="Calibri"/>
                <w:sz w:val="14"/>
                <w:szCs w:val="14"/>
              </w:rPr>
              <w:t>14,29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-30,52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60,58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-17,41</w:t>
            </w:r>
          </w:p>
        </w:tc>
      </w:tr>
      <w:tr w:rsidR="004E6F45" w:rsidRPr="00083F8F" w:rsidTr="004E6F45">
        <w:trPr>
          <w:trHeight w:val="330"/>
        </w:trPr>
        <w:tc>
          <w:tcPr>
            <w:tcW w:w="947" w:type="pct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083F8F">
              <w:rPr>
                <w:rFonts w:cs="Calibri"/>
                <w:b/>
                <w:bCs/>
                <w:sz w:val="16"/>
                <w:szCs w:val="16"/>
              </w:rPr>
              <w:t>Državni dug (stanje duga)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1844,90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1846,50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1832,00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1886,30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1873,15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1950,10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1950,70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2005,80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1990,30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2080,07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2022,06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083F8F">
              <w:rPr>
                <w:rFonts w:cs="Calibri"/>
                <w:sz w:val="14"/>
                <w:szCs w:val="14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-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-</w:t>
            </w:r>
          </w:p>
        </w:tc>
      </w:tr>
      <w:tr w:rsidR="004E6F45" w:rsidRPr="00083F8F" w:rsidTr="004E6F45">
        <w:trPr>
          <w:trHeight w:val="330"/>
        </w:trPr>
        <w:tc>
          <w:tcPr>
            <w:tcW w:w="9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083F8F">
              <w:rPr>
                <w:rFonts w:cs="Calibri"/>
                <w:sz w:val="16"/>
                <w:szCs w:val="16"/>
              </w:rPr>
              <w:t>Domaći dug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433,80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480,90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471,70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440,40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440,13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517,60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513,40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572,40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588,10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481,75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438,25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083F8F">
              <w:rPr>
                <w:rFonts w:cs="Calibri"/>
                <w:sz w:val="14"/>
                <w:szCs w:val="14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-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-</w:t>
            </w:r>
          </w:p>
        </w:tc>
      </w:tr>
      <w:tr w:rsidR="004E6F45" w:rsidRPr="00083F8F" w:rsidTr="004E6F45">
        <w:trPr>
          <w:trHeight w:val="315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083F8F">
              <w:rPr>
                <w:rFonts w:cs="Calibri"/>
                <w:sz w:val="16"/>
                <w:szCs w:val="16"/>
              </w:rPr>
              <w:t>Inostrani dug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1411,10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1365,60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1360,30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1445,90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color w:val="000000"/>
                <w:sz w:val="14"/>
                <w:szCs w:val="14"/>
              </w:rPr>
              <w:t>1433,02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1432,50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1437,30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1433,40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052BB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1402,20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4E6F4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1598,32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4E6F4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1583,81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4E6F4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4E6F4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BB7" w:rsidRPr="00083F8F" w:rsidRDefault="00052BB7" w:rsidP="004E6F45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083F8F">
              <w:rPr>
                <w:rFonts w:cs="Calibri"/>
                <w:sz w:val="14"/>
                <w:szCs w:val="14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4E6F4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-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4E6F4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2BB7" w:rsidRPr="00083F8F" w:rsidRDefault="00052BB7" w:rsidP="004E6F4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083F8F">
              <w:rPr>
                <w:rFonts w:cs="Calibri"/>
                <w:i/>
                <w:iCs/>
                <w:color w:val="000000"/>
                <w:sz w:val="14"/>
                <w:szCs w:val="14"/>
              </w:rPr>
              <w:t>-</w:t>
            </w:r>
          </w:p>
        </w:tc>
      </w:tr>
    </w:tbl>
    <w:p w:rsidR="002916F7" w:rsidRDefault="002916F7" w:rsidP="00784DAE">
      <w:pPr>
        <w:spacing w:after="0" w:line="240" w:lineRule="auto"/>
        <w:ind w:firstLine="142"/>
        <w:jc w:val="center"/>
        <w:rPr>
          <w:i/>
          <w:iCs/>
          <w:noProof/>
          <w:sz w:val="12"/>
          <w:szCs w:val="12"/>
          <w:lang w:val="hr-BA"/>
        </w:rPr>
      </w:pPr>
    </w:p>
    <w:p w:rsidR="002916F7" w:rsidRDefault="002916F7" w:rsidP="00784DAE">
      <w:pPr>
        <w:spacing w:after="0" w:line="240" w:lineRule="auto"/>
        <w:ind w:firstLine="142"/>
        <w:jc w:val="center"/>
        <w:rPr>
          <w:i/>
          <w:iCs/>
          <w:noProof/>
          <w:sz w:val="12"/>
          <w:szCs w:val="12"/>
          <w:lang w:val="hr-BA"/>
        </w:rPr>
      </w:pPr>
    </w:p>
    <w:p w:rsidR="002916F7" w:rsidRDefault="002916F7" w:rsidP="00784DAE">
      <w:pPr>
        <w:spacing w:after="0" w:line="240" w:lineRule="auto"/>
        <w:ind w:firstLine="142"/>
        <w:jc w:val="center"/>
        <w:rPr>
          <w:i/>
          <w:iCs/>
          <w:noProof/>
          <w:sz w:val="12"/>
          <w:szCs w:val="12"/>
          <w:lang w:val="hr-BA"/>
        </w:rPr>
      </w:pPr>
    </w:p>
    <w:p w:rsidR="00332574" w:rsidRPr="0065398C" w:rsidRDefault="00332574" w:rsidP="00332574">
      <w:pPr>
        <w:outlineLvl w:val="0"/>
        <w:rPr>
          <w:b/>
          <w:i/>
          <w:noProof/>
          <w:sz w:val="18"/>
          <w:szCs w:val="18"/>
          <w:lang w:val="hr-BA"/>
        </w:rPr>
      </w:pPr>
      <w:r w:rsidRPr="0065398C">
        <w:rPr>
          <w:b/>
          <w:i/>
          <w:noProof/>
          <w:sz w:val="18"/>
          <w:szCs w:val="18"/>
          <w:lang w:val="hr-BA"/>
        </w:rPr>
        <w:t>Izvor: Ministarstvo finansija Crne Gore</w:t>
      </w:r>
    </w:p>
    <w:sectPr w:rsidR="00332574" w:rsidRPr="0065398C" w:rsidSect="005025EC">
      <w:pgSz w:w="16839" w:h="11907" w:orient="landscape" w:code="9"/>
      <w:pgMar w:top="284" w:right="254" w:bottom="284" w:left="42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D6D" w:rsidRDefault="00273D6D" w:rsidP="00965FCD">
      <w:pPr>
        <w:spacing w:after="0" w:line="240" w:lineRule="auto"/>
      </w:pPr>
      <w:r>
        <w:separator/>
      </w:r>
    </w:p>
  </w:endnote>
  <w:endnote w:type="continuationSeparator" w:id="0">
    <w:p w:rsidR="00273D6D" w:rsidRDefault="00273D6D" w:rsidP="00965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D6D" w:rsidRDefault="00273D6D" w:rsidP="00965FCD">
      <w:pPr>
        <w:spacing w:after="0" w:line="240" w:lineRule="auto"/>
      </w:pPr>
      <w:r>
        <w:separator/>
      </w:r>
    </w:p>
  </w:footnote>
  <w:footnote w:type="continuationSeparator" w:id="0">
    <w:p w:rsidR="00273D6D" w:rsidRDefault="00273D6D" w:rsidP="00965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2C1A"/>
    <w:multiLevelType w:val="hybridMultilevel"/>
    <w:tmpl w:val="30AA2F4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16C16"/>
    <w:multiLevelType w:val="hybridMultilevel"/>
    <w:tmpl w:val="A8881E4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B535E"/>
    <w:multiLevelType w:val="hybridMultilevel"/>
    <w:tmpl w:val="23CE0FC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A7F5D"/>
    <w:multiLevelType w:val="hybridMultilevel"/>
    <w:tmpl w:val="D5861986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6B83CB2"/>
    <w:multiLevelType w:val="hybridMultilevel"/>
    <w:tmpl w:val="6DF487A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F455C5"/>
    <w:multiLevelType w:val="hybridMultilevel"/>
    <w:tmpl w:val="D3BEC524"/>
    <w:lvl w:ilvl="0" w:tplc="9378DD6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32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AD75D1E"/>
    <w:multiLevelType w:val="hybridMultilevel"/>
    <w:tmpl w:val="D1FE9B4C"/>
    <w:lvl w:ilvl="0" w:tplc="3CB0BA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D15614F"/>
    <w:multiLevelType w:val="hybridMultilevel"/>
    <w:tmpl w:val="9BF2355E"/>
    <w:lvl w:ilvl="0" w:tplc="08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DE6489D"/>
    <w:multiLevelType w:val="hybridMultilevel"/>
    <w:tmpl w:val="FE768EF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3D37D0"/>
    <w:multiLevelType w:val="hybridMultilevel"/>
    <w:tmpl w:val="D4C08A40"/>
    <w:lvl w:ilvl="0" w:tplc="08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03C509B"/>
    <w:multiLevelType w:val="hybridMultilevel"/>
    <w:tmpl w:val="C694C4E4"/>
    <w:lvl w:ilvl="0" w:tplc="103E7AA0">
      <w:numFmt w:val="bullet"/>
      <w:lvlText w:val="*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8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21B54940"/>
    <w:multiLevelType w:val="hybridMultilevel"/>
    <w:tmpl w:val="E408973A"/>
    <w:lvl w:ilvl="0" w:tplc="08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9535C14"/>
    <w:multiLevelType w:val="hybridMultilevel"/>
    <w:tmpl w:val="8EEEE808"/>
    <w:lvl w:ilvl="0" w:tplc="5F662FB4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B03CE7"/>
    <w:multiLevelType w:val="hybridMultilevel"/>
    <w:tmpl w:val="9FECAB34"/>
    <w:lvl w:ilvl="0" w:tplc="7DA6C83E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  <w:sz w:val="20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47E02C45"/>
    <w:multiLevelType w:val="hybridMultilevel"/>
    <w:tmpl w:val="1324B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B60745"/>
    <w:multiLevelType w:val="hybridMultilevel"/>
    <w:tmpl w:val="1E52891C"/>
    <w:lvl w:ilvl="0" w:tplc="08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301141A"/>
    <w:multiLevelType w:val="hybridMultilevel"/>
    <w:tmpl w:val="D0A8692C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55BA0AB7"/>
    <w:multiLevelType w:val="hybridMultilevel"/>
    <w:tmpl w:val="75E8BCEE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56A37EC6"/>
    <w:multiLevelType w:val="hybridMultilevel"/>
    <w:tmpl w:val="B78AAF86"/>
    <w:lvl w:ilvl="0" w:tplc="213C6408">
      <w:start w:val="1"/>
      <w:numFmt w:val="decimal"/>
      <w:lvlText w:val="%1."/>
      <w:lvlJc w:val="left"/>
      <w:pPr>
        <w:ind w:left="1800" w:hanging="360"/>
      </w:pPr>
      <w:rPr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58C121CD"/>
    <w:multiLevelType w:val="hybridMultilevel"/>
    <w:tmpl w:val="F1943F8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1D2112"/>
    <w:multiLevelType w:val="hybridMultilevel"/>
    <w:tmpl w:val="B8425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6E7D4B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5ECC0A8D"/>
    <w:multiLevelType w:val="hybridMultilevel"/>
    <w:tmpl w:val="0A4EB86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097970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61246544"/>
    <w:multiLevelType w:val="hybridMultilevel"/>
    <w:tmpl w:val="3D148D9E"/>
    <w:lvl w:ilvl="0" w:tplc="B564503E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66417E"/>
    <w:multiLevelType w:val="hybridMultilevel"/>
    <w:tmpl w:val="62A2514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215A22"/>
    <w:multiLevelType w:val="hybridMultilevel"/>
    <w:tmpl w:val="018EDD7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7715E1"/>
    <w:multiLevelType w:val="hybridMultilevel"/>
    <w:tmpl w:val="0016A45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7"/>
  </w:num>
  <w:num w:numId="3">
    <w:abstractNumId w:val="27"/>
  </w:num>
  <w:num w:numId="4">
    <w:abstractNumId w:val="19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20"/>
  </w:num>
  <w:num w:numId="8">
    <w:abstractNumId w:val="2"/>
  </w:num>
  <w:num w:numId="9">
    <w:abstractNumId w:val="0"/>
  </w:num>
  <w:num w:numId="10">
    <w:abstractNumId w:val="26"/>
  </w:num>
  <w:num w:numId="11">
    <w:abstractNumId w:val="1"/>
  </w:num>
  <w:num w:numId="12">
    <w:abstractNumId w:val="25"/>
  </w:num>
  <w:num w:numId="13">
    <w:abstractNumId w:val="22"/>
  </w:num>
  <w:num w:numId="14">
    <w:abstractNumId w:val="8"/>
  </w:num>
  <w:num w:numId="15">
    <w:abstractNumId w:val="6"/>
  </w:num>
  <w:num w:numId="16">
    <w:abstractNumId w:val="15"/>
  </w:num>
  <w:num w:numId="17">
    <w:abstractNumId w:val="10"/>
  </w:num>
  <w:num w:numId="18">
    <w:abstractNumId w:val="18"/>
  </w:num>
  <w:num w:numId="19">
    <w:abstractNumId w:val="9"/>
  </w:num>
  <w:num w:numId="20">
    <w:abstractNumId w:val="16"/>
  </w:num>
  <w:num w:numId="21">
    <w:abstractNumId w:val="17"/>
  </w:num>
  <w:num w:numId="22">
    <w:abstractNumId w:val="13"/>
  </w:num>
  <w:num w:numId="23">
    <w:abstractNumId w:val="12"/>
  </w:num>
  <w:num w:numId="24">
    <w:abstractNumId w:val="24"/>
  </w:num>
  <w:num w:numId="25">
    <w:abstractNumId w:val="4"/>
  </w:num>
  <w:num w:numId="26">
    <w:abstractNumId w:val="11"/>
  </w:num>
  <w:num w:numId="27">
    <w:abstractNumId w:val="21"/>
  </w:num>
  <w:num w:numId="28">
    <w:abstractNumId w:val="3"/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22"/>
  </w:hdrShapeDefaults>
  <w:footnotePr>
    <w:footnote w:id="-1"/>
    <w:footnote w:id="0"/>
  </w:footnotePr>
  <w:endnotePr>
    <w:endnote w:id="-1"/>
    <w:endnote w:id="0"/>
  </w:endnotePr>
  <w:compat/>
  <w:rsids>
    <w:rsidRoot w:val="00D61692"/>
    <w:rsid w:val="000000CB"/>
    <w:rsid w:val="000009E1"/>
    <w:rsid w:val="000010A3"/>
    <w:rsid w:val="00003D78"/>
    <w:rsid w:val="000040B3"/>
    <w:rsid w:val="00004B56"/>
    <w:rsid w:val="00005AD2"/>
    <w:rsid w:val="00005D5A"/>
    <w:rsid w:val="00007424"/>
    <w:rsid w:val="0001459D"/>
    <w:rsid w:val="000147A0"/>
    <w:rsid w:val="00014AAB"/>
    <w:rsid w:val="00014D0B"/>
    <w:rsid w:val="00014E6A"/>
    <w:rsid w:val="0001641E"/>
    <w:rsid w:val="0001692A"/>
    <w:rsid w:val="00017070"/>
    <w:rsid w:val="00017AE3"/>
    <w:rsid w:val="0002071C"/>
    <w:rsid w:val="00021033"/>
    <w:rsid w:val="000216CA"/>
    <w:rsid w:val="000224B4"/>
    <w:rsid w:val="00022789"/>
    <w:rsid w:val="00022F81"/>
    <w:rsid w:val="0002327A"/>
    <w:rsid w:val="00024DC9"/>
    <w:rsid w:val="0002564B"/>
    <w:rsid w:val="00025AC0"/>
    <w:rsid w:val="000263A4"/>
    <w:rsid w:val="00026971"/>
    <w:rsid w:val="000300F0"/>
    <w:rsid w:val="000314E5"/>
    <w:rsid w:val="00031722"/>
    <w:rsid w:val="00031FAD"/>
    <w:rsid w:val="00032524"/>
    <w:rsid w:val="00032D34"/>
    <w:rsid w:val="0003370D"/>
    <w:rsid w:val="000341DE"/>
    <w:rsid w:val="00034923"/>
    <w:rsid w:val="0003497A"/>
    <w:rsid w:val="00034D42"/>
    <w:rsid w:val="00034F07"/>
    <w:rsid w:val="0003544A"/>
    <w:rsid w:val="00036822"/>
    <w:rsid w:val="000369E1"/>
    <w:rsid w:val="00037558"/>
    <w:rsid w:val="00037B58"/>
    <w:rsid w:val="0004205C"/>
    <w:rsid w:val="000421A3"/>
    <w:rsid w:val="00042CE6"/>
    <w:rsid w:val="00043DED"/>
    <w:rsid w:val="000449CD"/>
    <w:rsid w:val="00044CB0"/>
    <w:rsid w:val="00045654"/>
    <w:rsid w:val="00045D59"/>
    <w:rsid w:val="00046C9E"/>
    <w:rsid w:val="00050101"/>
    <w:rsid w:val="00050EAB"/>
    <w:rsid w:val="00052732"/>
    <w:rsid w:val="00052BB7"/>
    <w:rsid w:val="00052DC4"/>
    <w:rsid w:val="00054068"/>
    <w:rsid w:val="000547A1"/>
    <w:rsid w:val="00055E5C"/>
    <w:rsid w:val="00055F78"/>
    <w:rsid w:val="0005630C"/>
    <w:rsid w:val="00056750"/>
    <w:rsid w:val="00056E43"/>
    <w:rsid w:val="000572EC"/>
    <w:rsid w:val="0005797E"/>
    <w:rsid w:val="000601A4"/>
    <w:rsid w:val="00060976"/>
    <w:rsid w:val="00061391"/>
    <w:rsid w:val="000624EE"/>
    <w:rsid w:val="00064395"/>
    <w:rsid w:val="000645F3"/>
    <w:rsid w:val="00067726"/>
    <w:rsid w:val="00067FD6"/>
    <w:rsid w:val="00070965"/>
    <w:rsid w:val="000712B9"/>
    <w:rsid w:val="0007229B"/>
    <w:rsid w:val="000734AF"/>
    <w:rsid w:val="00073786"/>
    <w:rsid w:val="0007424D"/>
    <w:rsid w:val="00074378"/>
    <w:rsid w:val="000746C7"/>
    <w:rsid w:val="000747AC"/>
    <w:rsid w:val="00074C3E"/>
    <w:rsid w:val="00074D69"/>
    <w:rsid w:val="0007530C"/>
    <w:rsid w:val="0007555E"/>
    <w:rsid w:val="000771F2"/>
    <w:rsid w:val="00080AEE"/>
    <w:rsid w:val="000812E2"/>
    <w:rsid w:val="0008138F"/>
    <w:rsid w:val="00082D87"/>
    <w:rsid w:val="00083320"/>
    <w:rsid w:val="00085B67"/>
    <w:rsid w:val="00090FDD"/>
    <w:rsid w:val="00091154"/>
    <w:rsid w:val="00091539"/>
    <w:rsid w:val="000915D3"/>
    <w:rsid w:val="000917D8"/>
    <w:rsid w:val="000924C0"/>
    <w:rsid w:val="000925F7"/>
    <w:rsid w:val="00094311"/>
    <w:rsid w:val="000945C9"/>
    <w:rsid w:val="0009505C"/>
    <w:rsid w:val="0009548F"/>
    <w:rsid w:val="000956EB"/>
    <w:rsid w:val="00097527"/>
    <w:rsid w:val="00097E38"/>
    <w:rsid w:val="000A0BBC"/>
    <w:rsid w:val="000A1159"/>
    <w:rsid w:val="000A14DA"/>
    <w:rsid w:val="000A2350"/>
    <w:rsid w:val="000A2E85"/>
    <w:rsid w:val="000A2F52"/>
    <w:rsid w:val="000A33CB"/>
    <w:rsid w:val="000A4226"/>
    <w:rsid w:val="000A42FE"/>
    <w:rsid w:val="000A43CE"/>
    <w:rsid w:val="000A47FF"/>
    <w:rsid w:val="000A4E37"/>
    <w:rsid w:val="000A5E23"/>
    <w:rsid w:val="000A787A"/>
    <w:rsid w:val="000B19D0"/>
    <w:rsid w:val="000B1DD7"/>
    <w:rsid w:val="000B2B16"/>
    <w:rsid w:val="000B34E4"/>
    <w:rsid w:val="000B40A4"/>
    <w:rsid w:val="000B45AB"/>
    <w:rsid w:val="000B4800"/>
    <w:rsid w:val="000B48EE"/>
    <w:rsid w:val="000B502D"/>
    <w:rsid w:val="000B54A3"/>
    <w:rsid w:val="000B5DD4"/>
    <w:rsid w:val="000B6252"/>
    <w:rsid w:val="000B62D3"/>
    <w:rsid w:val="000B67B1"/>
    <w:rsid w:val="000B69BF"/>
    <w:rsid w:val="000B788B"/>
    <w:rsid w:val="000B7AE2"/>
    <w:rsid w:val="000C06C5"/>
    <w:rsid w:val="000C0B0A"/>
    <w:rsid w:val="000C108E"/>
    <w:rsid w:val="000C1965"/>
    <w:rsid w:val="000C3655"/>
    <w:rsid w:val="000C36DB"/>
    <w:rsid w:val="000C5764"/>
    <w:rsid w:val="000C5FBB"/>
    <w:rsid w:val="000C65A2"/>
    <w:rsid w:val="000C6818"/>
    <w:rsid w:val="000C7278"/>
    <w:rsid w:val="000C72DD"/>
    <w:rsid w:val="000D0368"/>
    <w:rsid w:val="000D0374"/>
    <w:rsid w:val="000D09EB"/>
    <w:rsid w:val="000D1AA8"/>
    <w:rsid w:val="000D52CF"/>
    <w:rsid w:val="000D588E"/>
    <w:rsid w:val="000D5D48"/>
    <w:rsid w:val="000D5ED7"/>
    <w:rsid w:val="000D6CD4"/>
    <w:rsid w:val="000D6DF1"/>
    <w:rsid w:val="000D765B"/>
    <w:rsid w:val="000D7A66"/>
    <w:rsid w:val="000E13EB"/>
    <w:rsid w:val="000E2251"/>
    <w:rsid w:val="000E2351"/>
    <w:rsid w:val="000E294A"/>
    <w:rsid w:val="000E3987"/>
    <w:rsid w:val="000E40CC"/>
    <w:rsid w:val="000E6096"/>
    <w:rsid w:val="000E77A4"/>
    <w:rsid w:val="000E7E9D"/>
    <w:rsid w:val="000F1186"/>
    <w:rsid w:val="000F1AA9"/>
    <w:rsid w:val="000F4D73"/>
    <w:rsid w:val="000F5B09"/>
    <w:rsid w:val="000F6577"/>
    <w:rsid w:val="000F6C6B"/>
    <w:rsid w:val="000F756E"/>
    <w:rsid w:val="000F7DDF"/>
    <w:rsid w:val="00100371"/>
    <w:rsid w:val="001021CB"/>
    <w:rsid w:val="00102786"/>
    <w:rsid w:val="001030CC"/>
    <w:rsid w:val="0010339D"/>
    <w:rsid w:val="00103CA9"/>
    <w:rsid w:val="0010452C"/>
    <w:rsid w:val="00106446"/>
    <w:rsid w:val="0010656B"/>
    <w:rsid w:val="00107128"/>
    <w:rsid w:val="00107647"/>
    <w:rsid w:val="00107A07"/>
    <w:rsid w:val="001124C4"/>
    <w:rsid w:val="00112853"/>
    <w:rsid w:val="00112E23"/>
    <w:rsid w:val="00114109"/>
    <w:rsid w:val="001141E2"/>
    <w:rsid w:val="00114378"/>
    <w:rsid w:val="00115519"/>
    <w:rsid w:val="00115C83"/>
    <w:rsid w:val="00116365"/>
    <w:rsid w:val="001164A1"/>
    <w:rsid w:val="00116A8F"/>
    <w:rsid w:val="00117AB0"/>
    <w:rsid w:val="00120A3A"/>
    <w:rsid w:val="00123CBD"/>
    <w:rsid w:val="00124730"/>
    <w:rsid w:val="001251D5"/>
    <w:rsid w:val="001276C7"/>
    <w:rsid w:val="00127B5A"/>
    <w:rsid w:val="00131185"/>
    <w:rsid w:val="001326B7"/>
    <w:rsid w:val="00134816"/>
    <w:rsid w:val="00134A21"/>
    <w:rsid w:val="00134C6C"/>
    <w:rsid w:val="00136E70"/>
    <w:rsid w:val="00141FDD"/>
    <w:rsid w:val="00143FCB"/>
    <w:rsid w:val="00144C86"/>
    <w:rsid w:val="00144EE5"/>
    <w:rsid w:val="0014607D"/>
    <w:rsid w:val="00147278"/>
    <w:rsid w:val="00150707"/>
    <w:rsid w:val="00152409"/>
    <w:rsid w:val="00152E4F"/>
    <w:rsid w:val="001530CE"/>
    <w:rsid w:val="0015322D"/>
    <w:rsid w:val="00153490"/>
    <w:rsid w:val="00154145"/>
    <w:rsid w:val="0015515C"/>
    <w:rsid w:val="00156E33"/>
    <w:rsid w:val="001575F1"/>
    <w:rsid w:val="00157601"/>
    <w:rsid w:val="001577A1"/>
    <w:rsid w:val="00160183"/>
    <w:rsid w:val="001610BD"/>
    <w:rsid w:val="001613FC"/>
    <w:rsid w:val="001627A3"/>
    <w:rsid w:val="00163041"/>
    <w:rsid w:val="00163A7B"/>
    <w:rsid w:val="001644C7"/>
    <w:rsid w:val="001646BA"/>
    <w:rsid w:val="00165773"/>
    <w:rsid w:val="00165DE6"/>
    <w:rsid w:val="00167281"/>
    <w:rsid w:val="001672AB"/>
    <w:rsid w:val="001678F1"/>
    <w:rsid w:val="00170C82"/>
    <w:rsid w:val="00170CCE"/>
    <w:rsid w:val="00172816"/>
    <w:rsid w:val="00172D59"/>
    <w:rsid w:val="001730BE"/>
    <w:rsid w:val="00174836"/>
    <w:rsid w:val="0017540F"/>
    <w:rsid w:val="0017563A"/>
    <w:rsid w:val="00177AD9"/>
    <w:rsid w:val="00181309"/>
    <w:rsid w:val="001824C2"/>
    <w:rsid w:val="0018289E"/>
    <w:rsid w:val="0018331D"/>
    <w:rsid w:val="0018592D"/>
    <w:rsid w:val="0018626E"/>
    <w:rsid w:val="0018666E"/>
    <w:rsid w:val="00186BEF"/>
    <w:rsid w:val="00186F09"/>
    <w:rsid w:val="0018794A"/>
    <w:rsid w:val="00187C66"/>
    <w:rsid w:val="00190285"/>
    <w:rsid w:val="00191F90"/>
    <w:rsid w:val="00192506"/>
    <w:rsid w:val="00192F1E"/>
    <w:rsid w:val="001931C2"/>
    <w:rsid w:val="00193785"/>
    <w:rsid w:val="001942BA"/>
    <w:rsid w:val="001971A8"/>
    <w:rsid w:val="001A2829"/>
    <w:rsid w:val="001A2F7A"/>
    <w:rsid w:val="001A392F"/>
    <w:rsid w:val="001A594D"/>
    <w:rsid w:val="001A5B99"/>
    <w:rsid w:val="001A65F4"/>
    <w:rsid w:val="001A7319"/>
    <w:rsid w:val="001B0396"/>
    <w:rsid w:val="001B25FF"/>
    <w:rsid w:val="001B3267"/>
    <w:rsid w:val="001B3BE3"/>
    <w:rsid w:val="001B4CB9"/>
    <w:rsid w:val="001B4F99"/>
    <w:rsid w:val="001B7AD0"/>
    <w:rsid w:val="001B7D00"/>
    <w:rsid w:val="001C0237"/>
    <w:rsid w:val="001C0AB4"/>
    <w:rsid w:val="001C1490"/>
    <w:rsid w:val="001C1928"/>
    <w:rsid w:val="001C1F7E"/>
    <w:rsid w:val="001C22CB"/>
    <w:rsid w:val="001C23DD"/>
    <w:rsid w:val="001C264C"/>
    <w:rsid w:val="001C2751"/>
    <w:rsid w:val="001C51EC"/>
    <w:rsid w:val="001C5CE9"/>
    <w:rsid w:val="001C6120"/>
    <w:rsid w:val="001C6698"/>
    <w:rsid w:val="001C6750"/>
    <w:rsid w:val="001C70BA"/>
    <w:rsid w:val="001D0226"/>
    <w:rsid w:val="001D0A32"/>
    <w:rsid w:val="001D21BD"/>
    <w:rsid w:val="001D37FD"/>
    <w:rsid w:val="001D4E81"/>
    <w:rsid w:val="001E2403"/>
    <w:rsid w:val="001E29C8"/>
    <w:rsid w:val="001E29D1"/>
    <w:rsid w:val="001E2BC7"/>
    <w:rsid w:val="001E33FE"/>
    <w:rsid w:val="001E4EAE"/>
    <w:rsid w:val="001E5BE3"/>
    <w:rsid w:val="001E5E69"/>
    <w:rsid w:val="001F1378"/>
    <w:rsid w:val="001F19CC"/>
    <w:rsid w:val="001F27F8"/>
    <w:rsid w:val="001F2B57"/>
    <w:rsid w:val="001F3E69"/>
    <w:rsid w:val="001F4C02"/>
    <w:rsid w:val="001F69DD"/>
    <w:rsid w:val="001F7445"/>
    <w:rsid w:val="001F7C33"/>
    <w:rsid w:val="001F7C4B"/>
    <w:rsid w:val="002000E5"/>
    <w:rsid w:val="00200A3F"/>
    <w:rsid w:val="00201AEB"/>
    <w:rsid w:val="0020246C"/>
    <w:rsid w:val="00203447"/>
    <w:rsid w:val="002049C0"/>
    <w:rsid w:val="00205D15"/>
    <w:rsid w:val="00205E88"/>
    <w:rsid w:val="00206062"/>
    <w:rsid w:val="0020648A"/>
    <w:rsid w:val="00207613"/>
    <w:rsid w:val="00207B53"/>
    <w:rsid w:val="0021042E"/>
    <w:rsid w:val="00212126"/>
    <w:rsid w:val="00212633"/>
    <w:rsid w:val="002127F9"/>
    <w:rsid w:val="002128D8"/>
    <w:rsid w:val="002129D4"/>
    <w:rsid w:val="00212CDE"/>
    <w:rsid w:val="002135A2"/>
    <w:rsid w:val="0021614C"/>
    <w:rsid w:val="00220834"/>
    <w:rsid w:val="00220B59"/>
    <w:rsid w:val="002210E9"/>
    <w:rsid w:val="00222175"/>
    <w:rsid w:val="00223E45"/>
    <w:rsid w:val="00224AD0"/>
    <w:rsid w:val="002251C3"/>
    <w:rsid w:val="00225534"/>
    <w:rsid w:val="00225F74"/>
    <w:rsid w:val="002260FD"/>
    <w:rsid w:val="002263B3"/>
    <w:rsid w:val="0022695C"/>
    <w:rsid w:val="00227682"/>
    <w:rsid w:val="00227D75"/>
    <w:rsid w:val="0023090D"/>
    <w:rsid w:val="00230DE8"/>
    <w:rsid w:val="00230FA2"/>
    <w:rsid w:val="00231268"/>
    <w:rsid w:val="00232A05"/>
    <w:rsid w:val="00233D4D"/>
    <w:rsid w:val="0023443E"/>
    <w:rsid w:val="00234902"/>
    <w:rsid w:val="00235857"/>
    <w:rsid w:val="00236B99"/>
    <w:rsid w:val="00237066"/>
    <w:rsid w:val="00237CC5"/>
    <w:rsid w:val="00240136"/>
    <w:rsid w:val="002402CA"/>
    <w:rsid w:val="00240CF4"/>
    <w:rsid w:val="002417C5"/>
    <w:rsid w:val="00242535"/>
    <w:rsid w:val="002427AE"/>
    <w:rsid w:val="00243419"/>
    <w:rsid w:val="00245A6C"/>
    <w:rsid w:val="00245B04"/>
    <w:rsid w:val="00247F1B"/>
    <w:rsid w:val="002503CE"/>
    <w:rsid w:val="0025102C"/>
    <w:rsid w:val="0025137D"/>
    <w:rsid w:val="00252FF6"/>
    <w:rsid w:val="00253ECF"/>
    <w:rsid w:val="00253F71"/>
    <w:rsid w:val="00256550"/>
    <w:rsid w:val="0025757E"/>
    <w:rsid w:val="00257D9D"/>
    <w:rsid w:val="00257EFB"/>
    <w:rsid w:val="00260688"/>
    <w:rsid w:val="00260976"/>
    <w:rsid w:val="00260EF0"/>
    <w:rsid w:val="002611D1"/>
    <w:rsid w:val="0026475B"/>
    <w:rsid w:val="0026489F"/>
    <w:rsid w:val="00265023"/>
    <w:rsid w:val="002650CF"/>
    <w:rsid w:val="00265406"/>
    <w:rsid w:val="00265A3D"/>
    <w:rsid w:val="002662BE"/>
    <w:rsid w:val="002668AA"/>
    <w:rsid w:val="0026780C"/>
    <w:rsid w:val="002679BB"/>
    <w:rsid w:val="0027004E"/>
    <w:rsid w:val="00270FD9"/>
    <w:rsid w:val="002717A8"/>
    <w:rsid w:val="002723A7"/>
    <w:rsid w:val="002723D9"/>
    <w:rsid w:val="00273280"/>
    <w:rsid w:val="00273D6D"/>
    <w:rsid w:val="00274EBC"/>
    <w:rsid w:val="00275609"/>
    <w:rsid w:val="00280105"/>
    <w:rsid w:val="00282488"/>
    <w:rsid w:val="00282DBE"/>
    <w:rsid w:val="00283704"/>
    <w:rsid w:val="002843B8"/>
    <w:rsid w:val="00284B2C"/>
    <w:rsid w:val="00285B0F"/>
    <w:rsid w:val="00287A18"/>
    <w:rsid w:val="002916F7"/>
    <w:rsid w:val="00292EC3"/>
    <w:rsid w:val="00294586"/>
    <w:rsid w:val="00294DE0"/>
    <w:rsid w:val="00296127"/>
    <w:rsid w:val="00296B08"/>
    <w:rsid w:val="00297AC4"/>
    <w:rsid w:val="002A046A"/>
    <w:rsid w:val="002A0CAC"/>
    <w:rsid w:val="002A0D49"/>
    <w:rsid w:val="002A10A8"/>
    <w:rsid w:val="002A1639"/>
    <w:rsid w:val="002A1B2B"/>
    <w:rsid w:val="002A1CC2"/>
    <w:rsid w:val="002A1DC4"/>
    <w:rsid w:val="002A235B"/>
    <w:rsid w:val="002A2CED"/>
    <w:rsid w:val="002A4910"/>
    <w:rsid w:val="002A5C73"/>
    <w:rsid w:val="002A68B8"/>
    <w:rsid w:val="002B10AE"/>
    <w:rsid w:val="002B318C"/>
    <w:rsid w:val="002B3824"/>
    <w:rsid w:val="002B552A"/>
    <w:rsid w:val="002B74C5"/>
    <w:rsid w:val="002C010C"/>
    <w:rsid w:val="002C1A52"/>
    <w:rsid w:val="002C1FBF"/>
    <w:rsid w:val="002C25C6"/>
    <w:rsid w:val="002C4737"/>
    <w:rsid w:val="002C47B8"/>
    <w:rsid w:val="002C4845"/>
    <w:rsid w:val="002C4A81"/>
    <w:rsid w:val="002C6888"/>
    <w:rsid w:val="002C78FB"/>
    <w:rsid w:val="002C7BD3"/>
    <w:rsid w:val="002D0814"/>
    <w:rsid w:val="002D0F81"/>
    <w:rsid w:val="002D170B"/>
    <w:rsid w:val="002D175D"/>
    <w:rsid w:val="002D2E80"/>
    <w:rsid w:val="002D3579"/>
    <w:rsid w:val="002D3B0F"/>
    <w:rsid w:val="002D4073"/>
    <w:rsid w:val="002D447A"/>
    <w:rsid w:val="002D4C76"/>
    <w:rsid w:val="002D4CDE"/>
    <w:rsid w:val="002D5187"/>
    <w:rsid w:val="002D5865"/>
    <w:rsid w:val="002D6F60"/>
    <w:rsid w:val="002D77A7"/>
    <w:rsid w:val="002D7BA6"/>
    <w:rsid w:val="002E294A"/>
    <w:rsid w:val="002E3693"/>
    <w:rsid w:val="002E4D6D"/>
    <w:rsid w:val="002E6CB0"/>
    <w:rsid w:val="002F03B5"/>
    <w:rsid w:val="002F184C"/>
    <w:rsid w:val="002F19E7"/>
    <w:rsid w:val="002F2166"/>
    <w:rsid w:val="002F323A"/>
    <w:rsid w:val="002F3B70"/>
    <w:rsid w:val="002F47D9"/>
    <w:rsid w:val="002F5002"/>
    <w:rsid w:val="002F567B"/>
    <w:rsid w:val="002F579B"/>
    <w:rsid w:val="002F58BF"/>
    <w:rsid w:val="002F6AB2"/>
    <w:rsid w:val="002F707E"/>
    <w:rsid w:val="002F7C7C"/>
    <w:rsid w:val="002F7DB2"/>
    <w:rsid w:val="003004B8"/>
    <w:rsid w:val="003022A7"/>
    <w:rsid w:val="00303D85"/>
    <w:rsid w:val="00303F02"/>
    <w:rsid w:val="0030680B"/>
    <w:rsid w:val="00307512"/>
    <w:rsid w:val="00307F4D"/>
    <w:rsid w:val="0031098B"/>
    <w:rsid w:val="00311A9D"/>
    <w:rsid w:val="00312994"/>
    <w:rsid w:val="00313CA3"/>
    <w:rsid w:val="0031558E"/>
    <w:rsid w:val="00315780"/>
    <w:rsid w:val="00315B94"/>
    <w:rsid w:val="003165E5"/>
    <w:rsid w:val="003201BC"/>
    <w:rsid w:val="00320293"/>
    <w:rsid w:val="003212E4"/>
    <w:rsid w:val="003217C9"/>
    <w:rsid w:val="00321CA6"/>
    <w:rsid w:val="00322DF3"/>
    <w:rsid w:val="00326769"/>
    <w:rsid w:val="00327AC3"/>
    <w:rsid w:val="00327BFC"/>
    <w:rsid w:val="00330832"/>
    <w:rsid w:val="00330C13"/>
    <w:rsid w:val="00331520"/>
    <w:rsid w:val="00331B5C"/>
    <w:rsid w:val="00331C0E"/>
    <w:rsid w:val="00331D9F"/>
    <w:rsid w:val="003324D9"/>
    <w:rsid w:val="00332574"/>
    <w:rsid w:val="0033273E"/>
    <w:rsid w:val="0033276A"/>
    <w:rsid w:val="0033283B"/>
    <w:rsid w:val="00333C49"/>
    <w:rsid w:val="00336033"/>
    <w:rsid w:val="00337648"/>
    <w:rsid w:val="00340752"/>
    <w:rsid w:val="00340909"/>
    <w:rsid w:val="003409C9"/>
    <w:rsid w:val="00341583"/>
    <w:rsid w:val="00341F7C"/>
    <w:rsid w:val="00344581"/>
    <w:rsid w:val="00344DF2"/>
    <w:rsid w:val="003454A9"/>
    <w:rsid w:val="0034655C"/>
    <w:rsid w:val="00346A8A"/>
    <w:rsid w:val="00346FFA"/>
    <w:rsid w:val="00347594"/>
    <w:rsid w:val="00350CFE"/>
    <w:rsid w:val="0035139C"/>
    <w:rsid w:val="003524FD"/>
    <w:rsid w:val="00354DDA"/>
    <w:rsid w:val="003561B8"/>
    <w:rsid w:val="003568F4"/>
    <w:rsid w:val="00357182"/>
    <w:rsid w:val="00357B8D"/>
    <w:rsid w:val="00357E66"/>
    <w:rsid w:val="00360100"/>
    <w:rsid w:val="00360197"/>
    <w:rsid w:val="00361C27"/>
    <w:rsid w:val="003625F1"/>
    <w:rsid w:val="003634DC"/>
    <w:rsid w:val="003638CF"/>
    <w:rsid w:val="00363C84"/>
    <w:rsid w:val="00364D14"/>
    <w:rsid w:val="00365311"/>
    <w:rsid w:val="003655B6"/>
    <w:rsid w:val="00365E46"/>
    <w:rsid w:val="003667BB"/>
    <w:rsid w:val="00366F41"/>
    <w:rsid w:val="00375E12"/>
    <w:rsid w:val="00376523"/>
    <w:rsid w:val="0037726C"/>
    <w:rsid w:val="00377697"/>
    <w:rsid w:val="00377A53"/>
    <w:rsid w:val="003809F3"/>
    <w:rsid w:val="0038117E"/>
    <w:rsid w:val="0038135E"/>
    <w:rsid w:val="003813A6"/>
    <w:rsid w:val="00381900"/>
    <w:rsid w:val="00381B03"/>
    <w:rsid w:val="0038259A"/>
    <w:rsid w:val="00382F01"/>
    <w:rsid w:val="00384DC2"/>
    <w:rsid w:val="00387C29"/>
    <w:rsid w:val="00387DAD"/>
    <w:rsid w:val="00390732"/>
    <w:rsid w:val="00391CC7"/>
    <w:rsid w:val="0039257B"/>
    <w:rsid w:val="003935B1"/>
    <w:rsid w:val="0039441A"/>
    <w:rsid w:val="003965DA"/>
    <w:rsid w:val="00396D7E"/>
    <w:rsid w:val="00396FDF"/>
    <w:rsid w:val="00397760"/>
    <w:rsid w:val="003A0325"/>
    <w:rsid w:val="003A0776"/>
    <w:rsid w:val="003A0C23"/>
    <w:rsid w:val="003A0F73"/>
    <w:rsid w:val="003A1150"/>
    <w:rsid w:val="003A1E5E"/>
    <w:rsid w:val="003A5C77"/>
    <w:rsid w:val="003A5EB6"/>
    <w:rsid w:val="003A6A2F"/>
    <w:rsid w:val="003A6F63"/>
    <w:rsid w:val="003A785D"/>
    <w:rsid w:val="003A7A69"/>
    <w:rsid w:val="003B04DA"/>
    <w:rsid w:val="003B0E7A"/>
    <w:rsid w:val="003B15C8"/>
    <w:rsid w:val="003B17BB"/>
    <w:rsid w:val="003B1992"/>
    <w:rsid w:val="003B1A29"/>
    <w:rsid w:val="003B1C22"/>
    <w:rsid w:val="003B1D25"/>
    <w:rsid w:val="003B2900"/>
    <w:rsid w:val="003B2B30"/>
    <w:rsid w:val="003B2CAA"/>
    <w:rsid w:val="003B30D8"/>
    <w:rsid w:val="003B3299"/>
    <w:rsid w:val="003B436A"/>
    <w:rsid w:val="003B48D5"/>
    <w:rsid w:val="003B4F8C"/>
    <w:rsid w:val="003B5512"/>
    <w:rsid w:val="003B62EC"/>
    <w:rsid w:val="003B6749"/>
    <w:rsid w:val="003B6844"/>
    <w:rsid w:val="003B75FC"/>
    <w:rsid w:val="003B7F5E"/>
    <w:rsid w:val="003C0B90"/>
    <w:rsid w:val="003C1215"/>
    <w:rsid w:val="003C14C9"/>
    <w:rsid w:val="003C15EF"/>
    <w:rsid w:val="003C1D23"/>
    <w:rsid w:val="003C4817"/>
    <w:rsid w:val="003C5E7B"/>
    <w:rsid w:val="003C6A22"/>
    <w:rsid w:val="003C7870"/>
    <w:rsid w:val="003C79AC"/>
    <w:rsid w:val="003D1EDB"/>
    <w:rsid w:val="003D4359"/>
    <w:rsid w:val="003D4739"/>
    <w:rsid w:val="003D56FD"/>
    <w:rsid w:val="003D75A1"/>
    <w:rsid w:val="003D78F3"/>
    <w:rsid w:val="003D7D58"/>
    <w:rsid w:val="003E0266"/>
    <w:rsid w:val="003E0C4A"/>
    <w:rsid w:val="003E221F"/>
    <w:rsid w:val="003E3296"/>
    <w:rsid w:val="003E3C65"/>
    <w:rsid w:val="003E3F0E"/>
    <w:rsid w:val="003E4749"/>
    <w:rsid w:val="003E4CC0"/>
    <w:rsid w:val="003E51DE"/>
    <w:rsid w:val="003E5D3F"/>
    <w:rsid w:val="003E60D1"/>
    <w:rsid w:val="003E719B"/>
    <w:rsid w:val="003E757E"/>
    <w:rsid w:val="003F0052"/>
    <w:rsid w:val="003F0CAE"/>
    <w:rsid w:val="003F0EA8"/>
    <w:rsid w:val="003F250B"/>
    <w:rsid w:val="003F5183"/>
    <w:rsid w:val="003F56BD"/>
    <w:rsid w:val="003F5A35"/>
    <w:rsid w:val="003F7085"/>
    <w:rsid w:val="0040060E"/>
    <w:rsid w:val="00400C11"/>
    <w:rsid w:val="004010A8"/>
    <w:rsid w:val="00401DED"/>
    <w:rsid w:val="00402680"/>
    <w:rsid w:val="00404546"/>
    <w:rsid w:val="00406097"/>
    <w:rsid w:val="00406C7B"/>
    <w:rsid w:val="00407182"/>
    <w:rsid w:val="004078E5"/>
    <w:rsid w:val="00407FE4"/>
    <w:rsid w:val="00412F68"/>
    <w:rsid w:val="0041311D"/>
    <w:rsid w:val="00413CAA"/>
    <w:rsid w:val="00413FFD"/>
    <w:rsid w:val="00415784"/>
    <w:rsid w:val="00415806"/>
    <w:rsid w:val="004159BE"/>
    <w:rsid w:val="004168B3"/>
    <w:rsid w:val="0041784C"/>
    <w:rsid w:val="00417DAC"/>
    <w:rsid w:val="00417E13"/>
    <w:rsid w:val="00420CBC"/>
    <w:rsid w:val="00421432"/>
    <w:rsid w:val="00421CD5"/>
    <w:rsid w:val="00421E9D"/>
    <w:rsid w:val="00422784"/>
    <w:rsid w:val="00423EE9"/>
    <w:rsid w:val="00425EC2"/>
    <w:rsid w:val="00427187"/>
    <w:rsid w:val="00427696"/>
    <w:rsid w:val="00427FB8"/>
    <w:rsid w:val="004306A4"/>
    <w:rsid w:val="00431253"/>
    <w:rsid w:val="00432066"/>
    <w:rsid w:val="00435D37"/>
    <w:rsid w:val="00436469"/>
    <w:rsid w:val="00436FB4"/>
    <w:rsid w:val="004379FA"/>
    <w:rsid w:val="00442E20"/>
    <w:rsid w:val="0044465C"/>
    <w:rsid w:val="004453B9"/>
    <w:rsid w:val="0044550D"/>
    <w:rsid w:val="00445736"/>
    <w:rsid w:val="00446DA9"/>
    <w:rsid w:val="004471B9"/>
    <w:rsid w:val="00447221"/>
    <w:rsid w:val="004509F6"/>
    <w:rsid w:val="00453CE3"/>
    <w:rsid w:val="00454093"/>
    <w:rsid w:val="00454C7D"/>
    <w:rsid w:val="00455227"/>
    <w:rsid w:val="00456F4F"/>
    <w:rsid w:val="004574D9"/>
    <w:rsid w:val="0045758B"/>
    <w:rsid w:val="00461324"/>
    <w:rsid w:val="0046148B"/>
    <w:rsid w:val="00461657"/>
    <w:rsid w:val="00461995"/>
    <w:rsid w:val="004634E4"/>
    <w:rsid w:val="004639A5"/>
    <w:rsid w:val="004655E7"/>
    <w:rsid w:val="0046659C"/>
    <w:rsid w:val="00466A02"/>
    <w:rsid w:val="00466E96"/>
    <w:rsid w:val="00466F15"/>
    <w:rsid w:val="00467156"/>
    <w:rsid w:val="00467511"/>
    <w:rsid w:val="0047022C"/>
    <w:rsid w:val="00470C90"/>
    <w:rsid w:val="004725CB"/>
    <w:rsid w:val="0047278D"/>
    <w:rsid w:val="00475763"/>
    <w:rsid w:val="00475BE2"/>
    <w:rsid w:val="00480082"/>
    <w:rsid w:val="00483B9D"/>
    <w:rsid w:val="0048470D"/>
    <w:rsid w:val="004848E8"/>
    <w:rsid w:val="00484EA7"/>
    <w:rsid w:val="004865CE"/>
    <w:rsid w:val="004868F5"/>
    <w:rsid w:val="0048699B"/>
    <w:rsid w:val="00487296"/>
    <w:rsid w:val="0049070F"/>
    <w:rsid w:val="00491368"/>
    <w:rsid w:val="0049250B"/>
    <w:rsid w:val="00492CE5"/>
    <w:rsid w:val="004932C1"/>
    <w:rsid w:val="00493B63"/>
    <w:rsid w:val="004940E0"/>
    <w:rsid w:val="00496006"/>
    <w:rsid w:val="00496861"/>
    <w:rsid w:val="004A1113"/>
    <w:rsid w:val="004A2665"/>
    <w:rsid w:val="004A3449"/>
    <w:rsid w:val="004A3489"/>
    <w:rsid w:val="004A350C"/>
    <w:rsid w:val="004A382B"/>
    <w:rsid w:val="004A3894"/>
    <w:rsid w:val="004A38D1"/>
    <w:rsid w:val="004A3B47"/>
    <w:rsid w:val="004A55B1"/>
    <w:rsid w:val="004A56BE"/>
    <w:rsid w:val="004A5717"/>
    <w:rsid w:val="004A61E8"/>
    <w:rsid w:val="004A62DA"/>
    <w:rsid w:val="004B1C2A"/>
    <w:rsid w:val="004B1ECF"/>
    <w:rsid w:val="004B378C"/>
    <w:rsid w:val="004B41B2"/>
    <w:rsid w:val="004B5F63"/>
    <w:rsid w:val="004B7800"/>
    <w:rsid w:val="004B7883"/>
    <w:rsid w:val="004B7C4B"/>
    <w:rsid w:val="004C0135"/>
    <w:rsid w:val="004C0541"/>
    <w:rsid w:val="004C16F3"/>
    <w:rsid w:val="004C1D3E"/>
    <w:rsid w:val="004C206D"/>
    <w:rsid w:val="004C2EA5"/>
    <w:rsid w:val="004C373F"/>
    <w:rsid w:val="004C3C31"/>
    <w:rsid w:val="004C659C"/>
    <w:rsid w:val="004D49A0"/>
    <w:rsid w:val="004D4E0F"/>
    <w:rsid w:val="004D7775"/>
    <w:rsid w:val="004E02D3"/>
    <w:rsid w:val="004E12DB"/>
    <w:rsid w:val="004E28B9"/>
    <w:rsid w:val="004E4063"/>
    <w:rsid w:val="004E475F"/>
    <w:rsid w:val="004E5F03"/>
    <w:rsid w:val="004E6169"/>
    <w:rsid w:val="004E6C21"/>
    <w:rsid w:val="004E6F45"/>
    <w:rsid w:val="004E7335"/>
    <w:rsid w:val="004E7676"/>
    <w:rsid w:val="004F17AF"/>
    <w:rsid w:val="004F2797"/>
    <w:rsid w:val="004F288B"/>
    <w:rsid w:val="004F31D0"/>
    <w:rsid w:val="004F3817"/>
    <w:rsid w:val="004F4CFC"/>
    <w:rsid w:val="004F50B8"/>
    <w:rsid w:val="004F5DA8"/>
    <w:rsid w:val="004F62C2"/>
    <w:rsid w:val="004F7808"/>
    <w:rsid w:val="004F7D2D"/>
    <w:rsid w:val="004F7F54"/>
    <w:rsid w:val="004F7F71"/>
    <w:rsid w:val="005025EC"/>
    <w:rsid w:val="005027D6"/>
    <w:rsid w:val="0050365D"/>
    <w:rsid w:val="005065E6"/>
    <w:rsid w:val="005070CF"/>
    <w:rsid w:val="005078B9"/>
    <w:rsid w:val="00507D4D"/>
    <w:rsid w:val="00511F1F"/>
    <w:rsid w:val="0051201B"/>
    <w:rsid w:val="0051345D"/>
    <w:rsid w:val="00516264"/>
    <w:rsid w:val="00516511"/>
    <w:rsid w:val="00517175"/>
    <w:rsid w:val="00517B19"/>
    <w:rsid w:val="00521DE6"/>
    <w:rsid w:val="005221F4"/>
    <w:rsid w:val="00522282"/>
    <w:rsid w:val="00524587"/>
    <w:rsid w:val="0052511E"/>
    <w:rsid w:val="0052531F"/>
    <w:rsid w:val="005253D1"/>
    <w:rsid w:val="005264EC"/>
    <w:rsid w:val="00530AE6"/>
    <w:rsid w:val="00531684"/>
    <w:rsid w:val="00532B88"/>
    <w:rsid w:val="005331BD"/>
    <w:rsid w:val="0053330B"/>
    <w:rsid w:val="005337B0"/>
    <w:rsid w:val="00533C4D"/>
    <w:rsid w:val="005340BA"/>
    <w:rsid w:val="005343F8"/>
    <w:rsid w:val="00534ED3"/>
    <w:rsid w:val="0053502A"/>
    <w:rsid w:val="0053621B"/>
    <w:rsid w:val="00536525"/>
    <w:rsid w:val="0053722D"/>
    <w:rsid w:val="005374C9"/>
    <w:rsid w:val="00540842"/>
    <w:rsid w:val="00540D55"/>
    <w:rsid w:val="00541131"/>
    <w:rsid w:val="00541D70"/>
    <w:rsid w:val="005429A2"/>
    <w:rsid w:val="005436E2"/>
    <w:rsid w:val="00543A1F"/>
    <w:rsid w:val="00543F14"/>
    <w:rsid w:val="00545372"/>
    <w:rsid w:val="005468F5"/>
    <w:rsid w:val="00546967"/>
    <w:rsid w:val="00547212"/>
    <w:rsid w:val="005479C8"/>
    <w:rsid w:val="00547B34"/>
    <w:rsid w:val="00547C53"/>
    <w:rsid w:val="005523CF"/>
    <w:rsid w:val="00552402"/>
    <w:rsid w:val="0055364A"/>
    <w:rsid w:val="00553E61"/>
    <w:rsid w:val="0055409D"/>
    <w:rsid w:val="00555066"/>
    <w:rsid w:val="0055507E"/>
    <w:rsid w:val="00555A5E"/>
    <w:rsid w:val="005562D6"/>
    <w:rsid w:val="005568D7"/>
    <w:rsid w:val="0055713F"/>
    <w:rsid w:val="00557DB0"/>
    <w:rsid w:val="00560113"/>
    <w:rsid w:val="00560529"/>
    <w:rsid w:val="00560667"/>
    <w:rsid w:val="00561992"/>
    <w:rsid w:val="00562086"/>
    <w:rsid w:val="00564436"/>
    <w:rsid w:val="005644BB"/>
    <w:rsid w:val="0056509E"/>
    <w:rsid w:val="00565662"/>
    <w:rsid w:val="00566BFA"/>
    <w:rsid w:val="005700F4"/>
    <w:rsid w:val="00570C9B"/>
    <w:rsid w:val="00570EEF"/>
    <w:rsid w:val="005715D6"/>
    <w:rsid w:val="00571A37"/>
    <w:rsid w:val="0057438A"/>
    <w:rsid w:val="00575B7D"/>
    <w:rsid w:val="005764FB"/>
    <w:rsid w:val="00580172"/>
    <w:rsid w:val="00580859"/>
    <w:rsid w:val="00581749"/>
    <w:rsid w:val="005818A8"/>
    <w:rsid w:val="00581D4E"/>
    <w:rsid w:val="005829D9"/>
    <w:rsid w:val="00583591"/>
    <w:rsid w:val="005838F0"/>
    <w:rsid w:val="0058458E"/>
    <w:rsid w:val="005852DA"/>
    <w:rsid w:val="005858DC"/>
    <w:rsid w:val="00585B6B"/>
    <w:rsid w:val="00585F7B"/>
    <w:rsid w:val="005874DD"/>
    <w:rsid w:val="0058776D"/>
    <w:rsid w:val="00590ABD"/>
    <w:rsid w:val="00590B7B"/>
    <w:rsid w:val="005916D5"/>
    <w:rsid w:val="00592DF3"/>
    <w:rsid w:val="00593B25"/>
    <w:rsid w:val="00595DA2"/>
    <w:rsid w:val="00596079"/>
    <w:rsid w:val="005966E6"/>
    <w:rsid w:val="005A054F"/>
    <w:rsid w:val="005A0B3D"/>
    <w:rsid w:val="005A13E6"/>
    <w:rsid w:val="005A17DE"/>
    <w:rsid w:val="005A1C61"/>
    <w:rsid w:val="005A4AB8"/>
    <w:rsid w:val="005A5064"/>
    <w:rsid w:val="005A5229"/>
    <w:rsid w:val="005B0DB1"/>
    <w:rsid w:val="005B18F4"/>
    <w:rsid w:val="005B25F8"/>
    <w:rsid w:val="005B2BF5"/>
    <w:rsid w:val="005B32A9"/>
    <w:rsid w:val="005B5CB7"/>
    <w:rsid w:val="005B5F21"/>
    <w:rsid w:val="005B7040"/>
    <w:rsid w:val="005C19AB"/>
    <w:rsid w:val="005C363C"/>
    <w:rsid w:val="005C3915"/>
    <w:rsid w:val="005C3D3E"/>
    <w:rsid w:val="005C4CBE"/>
    <w:rsid w:val="005C4DBD"/>
    <w:rsid w:val="005C4E87"/>
    <w:rsid w:val="005C5F38"/>
    <w:rsid w:val="005D07D1"/>
    <w:rsid w:val="005D0E14"/>
    <w:rsid w:val="005D2F3D"/>
    <w:rsid w:val="005D4BC4"/>
    <w:rsid w:val="005D5D14"/>
    <w:rsid w:val="005D5E2D"/>
    <w:rsid w:val="005D6EEB"/>
    <w:rsid w:val="005D751B"/>
    <w:rsid w:val="005E0358"/>
    <w:rsid w:val="005E038B"/>
    <w:rsid w:val="005E150E"/>
    <w:rsid w:val="005E199C"/>
    <w:rsid w:val="005E2852"/>
    <w:rsid w:val="005E2B06"/>
    <w:rsid w:val="005E2EE9"/>
    <w:rsid w:val="005E35C9"/>
    <w:rsid w:val="005E4CD1"/>
    <w:rsid w:val="005E55DD"/>
    <w:rsid w:val="005E5941"/>
    <w:rsid w:val="005E6D35"/>
    <w:rsid w:val="005F060E"/>
    <w:rsid w:val="005F13D5"/>
    <w:rsid w:val="005F38AB"/>
    <w:rsid w:val="005F50EA"/>
    <w:rsid w:val="005F568D"/>
    <w:rsid w:val="005F66B5"/>
    <w:rsid w:val="006006C6"/>
    <w:rsid w:val="0060487F"/>
    <w:rsid w:val="006050EA"/>
    <w:rsid w:val="0060648E"/>
    <w:rsid w:val="006070E0"/>
    <w:rsid w:val="006071F2"/>
    <w:rsid w:val="00607217"/>
    <w:rsid w:val="00607500"/>
    <w:rsid w:val="00607541"/>
    <w:rsid w:val="0061084D"/>
    <w:rsid w:val="00610DDD"/>
    <w:rsid w:val="00611BC2"/>
    <w:rsid w:val="006127E9"/>
    <w:rsid w:val="00612A53"/>
    <w:rsid w:val="00612A74"/>
    <w:rsid w:val="00612F5E"/>
    <w:rsid w:val="00613676"/>
    <w:rsid w:val="006139C9"/>
    <w:rsid w:val="006142D5"/>
    <w:rsid w:val="006152FB"/>
    <w:rsid w:val="0061569F"/>
    <w:rsid w:val="00616B6E"/>
    <w:rsid w:val="00617CA0"/>
    <w:rsid w:val="00620ACF"/>
    <w:rsid w:val="00620FA4"/>
    <w:rsid w:val="0062188F"/>
    <w:rsid w:val="00621B53"/>
    <w:rsid w:val="0062271A"/>
    <w:rsid w:val="00622F10"/>
    <w:rsid w:val="00622FAC"/>
    <w:rsid w:val="00623BC4"/>
    <w:rsid w:val="00624C12"/>
    <w:rsid w:val="00630010"/>
    <w:rsid w:val="006304FD"/>
    <w:rsid w:val="00632692"/>
    <w:rsid w:val="00634B74"/>
    <w:rsid w:val="006357BA"/>
    <w:rsid w:val="0063610A"/>
    <w:rsid w:val="006364A1"/>
    <w:rsid w:val="00642A13"/>
    <w:rsid w:val="00642F40"/>
    <w:rsid w:val="006435D8"/>
    <w:rsid w:val="00645ED4"/>
    <w:rsid w:val="00647463"/>
    <w:rsid w:val="00647B12"/>
    <w:rsid w:val="006509EE"/>
    <w:rsid w:val="00650AC3"/>
    <w:rsid w:val="00651027"/>
    <w:rsid w:val="0065108A"/>
    <w:rsid w:val="006534C5"/>
    <w:rsid w:val="0065398C"/>
    <w:rsid w:val="00653CF3"/>
    <w:rsid w:val="0065416C"/>
    <w:rsid w:val="00654A8A"/>
    <w:rsid w:val="0065518C"/>
    <w:rsid w:val="00655E97"/>
    <w:rsid w:val="0065775B"/>
    <w:rsid w:val="00657F58"/>
    <w:rsid w:val="00661339"/>
    <w:rsid w:val="00661C7E"/>
    <w:rsid w:val="00661E40"/>
    <w:rsid w:val="00663690"/>
    <w:rsid w:val="00664DEB"/>
    <w:rsid w:val="00666EFC"/>
    <w:rsid w:val="0066756D"/>
    <w:rsid w:val="00670373"/>
    <w:rsid w:val="006705D4"/>
    <w:rsid w:val="00670C5E"/>
    <w:rsid w:val="00670C6E"/>
    <w:rsid w:val="00671200"/>
    <w:rsid w:val="00671844"/>
    <w:rsid w:val="00671961"/>
    <w:rsid w:val="006719B2"/>
    <w:rsid w:val="006723F0"/>
    <w:rsid w:val="00672DCB"/>
    <w:rsid w:val="006751BF"/>
    <w:rsid w:val="006752C1"/>
    <w:rsid w:val="006756E9"/>
    <w:rsid w:val="006759B4"/>
    <w:rsid w:val="00675DCF"/>
    <w:rsid w:val="006760A4"/>
    <w:rsid w:val="00676256"/>
    <w:rsid w:val="00676A4B"/>
    <w:rsid w:val="00676BD4"/>
    <w:rsid w:val="00676C8B"/>
    <w:rsid w:val="0067730D"/>
    <w:rsid w:val="00677E65"/>
    <w:rsid w:val="006807FE"/>
    <w:rsid w:val="00680A78"/>
    <w:rsid w:val="00681351"/>
    <w:rsid w:val="00681A9E"/>
    <w:rsid w:val="00682718"/>
    <w:rsid w:val="00684818"/>
    <w:rsid w:val="00684902"/>
    <w:rsid w:val="00685393"/>
    <w:rsid w:val="006900D2"/>
    <w:rsid w:val="00690A2B"/>
    <w:rsid w:val="00690D87"/>
    <w:rsid w:val="00690EA9"/>
    <w:rsid w:val="006910F4"/>
    <w:rsid w:val="00692810"/>
    <w:rsid w:val="0069434B"/>
    <w:rsid w:val="00694445"/>
    <w:rsid w:val="00694991"/>
    <w:rsid w:val="00695141"/>
    <w:rsid w:val="00695AC5"/>
    <w:rsid w:val="006966E3"/>
    <w:rsid w:val="006971AF"/>
    <w:rsid w:val="00697A91"/>
    <w:rsid w:val="006A0B4A"/>
    <w:rsid w:val="006A144B"/>
    <w:rsid w:val="006A174E"/>
    <w:rsid w:val="006A1C8D"/>
    <w:rsid w:val="006A290B"/>
    <w:rsid w:val="006A478E"/>
    <w:rsid w:val="006A4801"/>
    <w:rsid w:val="006A5DE6"/>
    <w:rsid w:val="006A5F7F"/>
    <w:rsid w:val="006A6C58"/>
    <w:rsid w:val="006A6FB2"/>
    <w:rsid w:val="006B159D"/>
    <w:rsid w:val="006B21AB"/>
    <w:rsid w:val="006B22E5"/>
    <w:rsid w:val="006B2866"/>
    <w:rsid w:val="006B3579"/>
    <w:rsid w:val="006B4777"/>
    <w:rsid w:val="006B5211"/>
    <w:rsid w:val="006B5863"/>
    <w:rsid w:val="006B729D"/>
    <w:rsid w:val="006B7725"/>
    <w:rsid w:val="006C1458"/>
    <w:rsid w:val="006C15C6"/>
    <w:rsid w:val="006C1751"/>
    <w:rsid w:val="006C1C26"/>
    <w:rsid w:val="006C27EC"/>
    <w:rsid w:val="006C28CF"/>
    <w:rsid w:val="006C2906"/>
    <w:rsid w:val="006C2EF6"/>
    <w:rsid w:val="006C3C84"/>
    <w:rsid w:val="006C5096"/>
    <w:rsid w:val="006C5F17"/>
    <w:rsid w:val="006C6303"/>
    <w:rsid w:val="006C6B7E"/>
    <w:rsid w:val="006C6BF9"/>
    <w:rsid w:val="006C6C06"/>
    <w:rsid w:val="006C7BA4"/>
    <w:rsid w:val="006C7EA3"/>
    <w:rsid w:val="006D1A57"/>
    <w:rsid w:val="006D1BC2"/>
    <w:rsid w:val="006D2608"/>
    <w:rsid w:val="006D2A9C"/>
    <w:rsid w:val="006D2B20"/>
    <w:rsid w:val="006D2D6C"/>
    <w:rsid w:val="006D3720"/>
    <w:rsid w:val="006D3727"/>
    <w:rsid w:val="006D3763"/>
    <w:rsid w:val="006D4A5C"/>
    <w:rsid w:val="006D53D7"/>
    <w:rsid w:val="006D5B24"/>
    <w:rsid w:val="006D7398"/>
    <w:rsid w:val="006D74DB"/>
    <w:rsid w:val="006E11AC"/>
    <w:rsid w:val="006E11E0"/>
    <w:rsid w:val="006E4128"/>
    <w:rsid w:val="006E4746"/>
    <w:rsid w:val="006E4B91"/>
    <w:rsid w:val="006E6751"/>
    <w:rsid w:val="006E7282"/>
    <w:rsid w:val="006F0752"/>
    <w:rsid w:val="006F1525"/>
    <w:rsid w:val="006F1AFE"/>
    <w:rsid w:val="006F2861"/>
    <w:rsid w:val="006F4259"/>
    <w:rsid w:val="006F4309"/>
    <w:rsid w:val="006F4C84"/>
    <w:rsid w:val="006F5E1B"/>
    <w:rsid w:val="006F6B2B"/>
    <w:rsid w:val="006F6D5E"/>
    <w:rsid w:val="006F7123"/>
    <w:rsid w:val="006F7C03"/>
    <w:rsid w:val="00701093"/>
    <w:rsid w:val="007027D1"/>
    <w:rsid w:val="00703B0B"/>
    <w:rsid w:val="00705089"/>
    <w:rsid w:val="007055C9"/>
    <w:rsid w:val="007067B2"/>
    <w:rsid w:val="00706A33"/>
    <w:rsid w:val="00706CF0"/>
    <w:rsid w:val="00707E96"/>
    <w:rsid w:val="00710BC7"/>
    <w:rsid w:val="00712271"/>
    <w:rsid w:val="00712C9A"/>
    <w:rsid w:val="00712CC4"/>
    <w:rsid w:val="00713AA0"/>
    <w:rsid w:val="00715429"/>
    <w:rsid w:val="00715597"/>
    <w:rsid w:val="00715DEB"/>
    <w:rsid w:val="00716A7D"/>
    <w:rsid w:val="00716B14"/>
    <w:rsid w:val="0071757A"/>
    <w:rsid w:val="00717FE8"/>
    <w:rsid w:val="00720A33"/>
    <w:rsid w:val="00721DCD"/>
    <w:rsid w:val="007227E1"/>
    <w:rsid w:val="00722A4C"/>
    <w:rsid w:val="007234B4"/>
    <w:rsid w:val="00725D07"/>
    <w:rsid w:val="00725E16"/>
    <w:rsid w:val="00727967"/>
    <w:rsid w:val="00727BED"/>
    <w:rsid w:val="007307C9"/>
    <w:rsid w:val="007319C8"/>
    <w:rsid w:val="00731BF4"/>
    <w:rsid w:val="007326D7"/>
    <w:rsid w:val="00733BCB"/>
    <w:rsid w:val="0073431B"/>
    <w:rsid w:val="00734688"/>
    <w:rsid w:val="00734729"/>
    <w:rsid w:val="00736A98"/>
    <w:rsid w:val="00736C15"/>
    <w:rsid w:val="00736E76"/>
    <w:rsid w:val="0073706D"/>
    <w:rsid w:val="007375FD"/>
    <w:rsid w:val="00737DB4"/>
    <w:rsid w:val="007406F2"/>
    <w:rsid w:val="007409AF"/>
    <w:rsid w:val="00742C04"/>
    <w:rsid w:val="00743684"/>
    <w:rsid w:val="007452A1"/>
    <w:rsid w:val="00745BCE"/>
    <w:rsid w:val="00745F91"/>
    <w:rsid w:val="00746132"/>
    <w:rsid w:val="007469F9"/>
    <w:rsid w:val="00747828"/>
    <w:rsid w:val="00750866"/>
    <w:rsid w:val="007515DA"/>
    <w:rsid w:val="007534AA"/>
    <w:rsid w:val="00753C0A"/>
    <w:rsid w:val="00753E85"/>
    <w:rsid w:val="007548EE"/>
    <w:rsid w:val="00754D46"/>
    <w:rsid w:val="00754F86"/>
    <w:rsid w:val="0075551E"/>
    <w:rsid w:val="00755DB9"/>
    <w:rsid w:val="00755FB7"/>
    <w:rsid w:val="0075626E"/>
    <w:rsid w:val="00756761"/>
    <w:rsid w:val="00756F11"/>
    <w:rsid w:val="007579F4"/>
    <w:rsid w:val="00757A6C"/>
    <w:rsid w:val="0076100C"/>
    <w:rsid w:val="00761287"/>
    <w:rsid w:val="0076182F"/>
    <w:rsid w:val="007618B8"/>
    <w:rsid w:val="00762622"/>
    <w:rsid w:val="0076413B"/>
    <w:rsid w:val="00764D09"/>
    <w:rsid w:val="007652FD"/>
    <w:rsid w:val="0076645A"/>
    <w:rsid w:val="007675AF"/>
    <w:rsid w:val="00770772"/>
    <w:rsid w:val="00771538"/>
    <w:rsid w:val="00771D94"/>
    <w:rsid w:val="007722BC"/>
    <w:rsid w:val="00772523"/>
    <w:rsid w:val="00772A01"/>
    <w:rsid w:val="00772F45"/>
    <w:rsid w:val="00773C65"/>
    <w:rsid w:val="00775529"/>
    <w:rsid w:val="00776710"/>
    <w:rsid w:val="00776A67"/>
    <w:rsid w:val="00776DE5"/>
    <w:rsid w:val="00777134"/>
    <w:rsid w:val="00781377"/>
    <w:rsid w:val="00781FAF"/>
    <w:rsid w:val="00783810"/>
    <w:rsid w:val="00783A9F"/>
    <w:rsid w:val="00784166"/>
    <w:rsid w:val="0078476D"/>
    <w:rsid w:val="00784BF8"/>
    <w:rsid w:val="00784DAE"/>
    <w:rsid w:val="00784E09"/>
    <w:rsid w:val="00785339"/>
    <w:rsid w:val="00786F50"/>
    <w:rsid w:val="00787A25"/>
    <w:rsid w:val="00787E88"/>
    <w:rsid w:val="00791DC2"/>
    <w:rsid w:val="00793A27"/>
    <w:rsid w:val="00793F4D"/>
    <w:rsid w:val="007941BB"/>
    <w:rsid w:val="007946DB"/>
    <w:rsid w:val="00794B8C"/>
    <w:rsid w:val="00796ED1"/>
    <w:rsid w:val="007978AC"/>
    <w:rsid w:val="00797B66"/>
    <w:rsid w:val="00797BA2"/>
    <w:rsid w:val="007A0816"/>
    <w:rsid w:val="007A1882"/>
    <w:rsid w:val="007A1CFE"/>
    <w:rsid w:val="007A2091"/>
    <w:rsid w:val="007A2838"/>
    <w:rsid w:val="007A299E"/>
    <w:rsid w:val="007A2D7A"/>
    <w:rsid w:val="007A33EE"/>
    <w:rsid w:val="007A3B09"/>
    <w:rsid w:val="007A5A5D"/>
    <w:rsid w:val="007A67CB"/>
    <w:rsid w:val="007A6A82"/>
    <w:rsid w:val="007A73EE"/>
    <w:rsid w:val="007A7E1A"/>
    <w:rsid w:val="007B0888"/>
    <w:rsid w:val="007B0B93"/>
    <w:rsid w:val="007B41C4"/>
    <w:rsid w:val="007B5A1B"/>
    <w:rsid w:val="007B5C2E"/>
    <w:rsid w:val="007B7DBE"/>
    <w:rsid w:val="007B7EED"/>
    <w:rsid w:val="007C1EE8"/>
    <w:rsid w:val="007C2107"/>
    <w:rsid w:val="007C2827"/>
    <w:rsid w:val="007C43BE"/>
    <w:rsid w:val="007C49FF"/>
    <w:rsid w:val="007C5F96"/>
    <w:rsid w:val="007C601C"/>
    <w:rsid w:val="007D0106"/>
    <w:rsid w:val="007D033B"/>
    <w:rsid w:val="007D0956"/>
    <w:rsid w:val="007D39CD"/>
    <w:rsid w:val="007D410B"/>
    <w:rsid w:val="007D48C4"/>
    <w:rsid w:val="007D4C9D"/>
    <w:rsid w:val="007D4EE7"/>
    <w:rsid w:val="007D5AB1"/>
    <w:rsid w:val="007D6AA1"/>
    <w:rsid w:val="007D78E3"/>
    <w:rsid w:val="007E01F2"/>
    <w:rsid w:val="007E0203"/>
    <w:rsid w:val="007E056C"/>
    <w:rsid w:val="007E0761"/>
    <w:rsid w:val="007E081D"/>
    <w:rsid w:val="007E1AB8"/>
    <w:rsid w:val="007E293C"/>
    <w:rsid w:val="007E36EB"/>
    <w:rsid w:val="007E380A"/>
    <w:rsid w:val="007E5CC1"/>
    <w:rsid w:val="007E7DDD"/>
    <w:rsid w:val="007F182C"/>
    <w:rsid w:val="007F33E9"/>
    <w:rsid w:val="007F388B"/>
    <w:rsid w:val="007F4571"/>
    <w:rsid w:val="007F4D55"/>
    <w:rsid w:val="007F5FD8"/>
    <w:rsid w:val="007F61AF"/>
    <w:rsid w:val="007F775F"/>
    <w:rsid w:val="007F7F34"/>
    <w:rsid w:val="0080031F"/>
    <w:rsid w:val="00801411"/>
    <w:rsid w:val="00801DB8"/>
    <w:rsid w:val="0080291E"/>
    <w:rsid w:val="00802B7F"/>
    <w:rsid w:val="00804F0B"/>
    <w:rsid w:val="00805844"/>
    <w:rsid w:val="00805AF2"/>
    <w:rsid w:val="00805F78"/>
    <w:rsid w:val="00806B4B"/>
    <w:rsid w:val="00810837"/>
    <w:rsid w:val="00810CC6"/>
    <w:rsid w:val="00810CDD"/>
    <w:rsid w:val="00811332"/>
    <w:rsid w:val="0081184B"/>
    <w:rsid w:val="00811943"/>
    <w:rsid w:val="00811DF5"/>
    <w:rsid w:val="00812862"/>
    <w:rsid w:val="00812E0B"/>
    <w:rsid w:val="00813346"/>
    <w:rsid w:val="00813F13"/>
    <w:rsid w:val="00814063"/>
    <w:rsid w:val="00815A2F"/>
    <w:rsid w:val="00815E6D"/>
    <w:rsid w:val="00817A6A"/>
    <w:rsid w:val="0082070B"/>
    <w:rsid w:val="0082084A"/>
    <w:rsid w:val="00822F67"/>
    <w:rsid w:val="008239BC"/>
    <w:rsid w:val="008251C2"/>
    <w:rsid w:val="0082570B"/>
    <w:rsid w:val="008269CE"/>
    <w:rsid w:val="0082721B"/>
    <w:rsid w:val="0083011C"/>
    <w:rsid w:val="008312F3"/>
    <w:rsid w:val="008343BA"/>
    <w:rsid w:val="0083553F"/>
    <w:rsid w:val="008355A8"/>
    <w:rsid w:val="00835BC9"/>
    <w:rsid w:val="00836A00"/>
    <w:rsid w:val="00841315"/>
    <w:rsid w:val="00842AFE"/>
    <w:rsid w:val="00842C5E"/>
    <w:rsid w:val="00842FB5"/>
    <w:rsid w:val="00843DFF"/>
    <w:rsid w:val="00844116"/>
    <w:rsid w:val="00844B4B"/>
    <w:rsid w:val="00845320"/>
    <w:rsid w:val="00845675"/>
    <w:rsid w:val="0084680E"/>
    <w:rsid w:val="00847B5B"/>
    <w:rsid w:val="00847C9F"/>
    <w:rsid w:val="00847EBF"/>
    <w:rsid w:val="0085098F"/>
    <w:rsid w:val="0085138D"/>
    <w:rsid w:val="00854098"/>
    <w:rsid w:val="00855ED0"/>
    <w:rsid w:val="0085673A"/>
    <w:rsid w:val="00856DE2"/>
    <w:rsid w:val="008573C7"/>
    <w:rsid w:val="00857B59"/>
    <w:rsid w:val="00860BDB"/>
    <w:rsid w:val="00861096"/>
    <w:rsid w:val="008617B7"/>
    <w:rsid w:val="00861D85"/>
    <w:rsid w:val="00861F52"/>
    <w:rsid w:val="00863019"/>
    <w:rsid w:val="00864891"/>
    <w:rsid w:val="00864D7E"/>
    <w:rsid w:val="008654E2"/>
    <w:rsid w:val="008656F4"/>
    <w:rsid w:val="00866008"/>
    <w:rsid w:val="00870795"/>
    <w:rsid w:val="00871ED5"/>
    <w:rsid w:val="008722E4"/>
    <w:rsid w:val="00873808"/>
    <w:rsid w:val="00873FD5"/>
    <w:rsid w:val="00874F31"/>
    <w:rsid w:val="0087527E"/>
    <w:rsid w:val="00875C4F"/>
    <w:rsid w:val="008770B1"/>
    <w:rsid w:val="00877642"/>
    <w:rsid w:val="00877FE9"/>
    <w:rsid w:val="00880646"/>
    <w:rsid w:val="00881C0B"/>
    <w:rsid w:val="00882650"/>
    <w:rsid w:val="00883754"/>
    <w:rsid w:val="008842AB"/>
    <w:rsid w:val="008844C7"/>
    <w:rsid w:val="008855BC"/>
    <w:rsid w:val="00886294"/>
    <w:rsid w:val="00886302"/>
    <w:rsid w:val="00886930"/>
    <w:rsid w:val="00886F12"/>
    <w:rsid w:val="008902D3"/>
    <w:rsid w:val="0089194A"/>
    <w:rsid w:val="0089243B"/>
    <w:rsid w:val="00892AFB"/>
    <w:rsid w:val="0089368B"/>
    <w:rsid w:val="00893A0A"/>
    <w:rsid w:val="0089702D"/>
    <w:rsid w:val="00897403"/>
    <w:rsid w:val="008A1B88"/>
    <w:rsid w:val="008A1D16"/>
    <w:rsid w:val="008A1FE3"/>
    <w:rsid w:val="008A20BC"/>
    <w:rsid w:val="008A280E"/>
    <w:rsid w:val="008A30DD"/>
    <w:rsid w:val="008A31C0"/>
    <w:rsid w:val="008A3BC7"/>
    <w:rsid w:val="008A3F44"/>
    <w:rsid w:val="008A466B"/>
    <w:rsid w:val="008A68EC"/>
    <w:rsid w:val="008A73B0"/>
    <w:rsid w:val="008B285E"/>
    <w:rsid w:val="008B2B3C"/>
    <w:rsid w:val="008B4A2E"/>
    <w:rsid w:val="008B58DE"/>
    <w:rsid w:val="008B599F"/>
    <w:rsid w:val="008B6202"/>
    <w:rsid w:val="008B665D"/>
    <w:rsid w:val="008B6D0D"/>
    <w:rsid w:val="008B6F16"/>
    <w:rsid w:val="008C01EB"/>
    <w:rsid w:val="008C15C8"/>
    <w:rsid w:val="008C215C"/>
    <w:rsid w:val="008C2299"/>
    <w:rsid w:val="008C2443"/>
    <w:rsid w:val="008C34B7"/>
    <w:rsid w:val="008C3941"/>
    <w:rsid w:val="008C4151"/>
    <w:rsid w:val="008C5163"/>
    <w:rsid w:val="008C5984"/>
    <w:rsid w:val="008C7C7F"/>
    <w:rsid w:val="008D0308"/>
    <w:rsid w:val="008D0998"/>
    <w:rsid w:val="008D1539"/>
    <w:rsid w:val="008D20A3"/>
    <w:rsid w:val="008D27EB"/>
    <w:rsid w:val="008D2C8B"/>
    <w:rsid w:val="008D30AF"/>
    <w:rsid w:val="008D3CDF"/>
    <w:rsid w:val="008D4618"/>
    <w:rsid w:val="008D5823"/>
    <w:rsid w:val="008D644F"/>
    <w:rsid w:val="008D6A5D"/>
    <w:rsid w:val="008D6E5C"/>
    <w:rsid w:val="008D6E96"/>
    <w:rsid w:val="008D6F6A"/>
    <w:rsid w:val="008D6F78"/>
    <w:rsid w:val="008D76BE"/>
    <w:rsid w:val="008E0886"/>
    <w:rsid w:val="008E0E90"/>
    <w:rsid w:val="008E10D6"/>
    <w:rsid w:val="008E27E6"/>
    <w:rsid w:val="008E2B58"/>
    <w:rsid w:val="008E33EA"/>
    <w:rsid w:val="008E3805"/>
    <w:rsid w:val="008E3D20"/>
    <w:rsid w:val="008E4582"/>
    <w:rsid w:val="008E462B"/>
    <w:rsid w:val="008E5EDA"/>
    <w:rsid w:val="008E636B"/>
    <w:rsid w:val="008E6D00"/>
    <w:rsid w:val="008E6F6E"/>
    <w:rsid w:val="008E7183"/>
    <w:rsid w:val="008E77D5"/>
    <w:rsid w:val="008F0415"/>
    <w:rsid w:val="008F0BE5"/>
    <w:rsid w:val="008F195C"/>
    <w:rsid w:val="008F34CB"/>
    <w:rsid w:val="008F3986"/>
    <w:rsid w:val="008F4F59"/>
    <w:rsid w:val="008F56AC"/>
    <w:rsid w:val="008F6653"/>
    <w:rsid w:val="008F6C10"/>
    <w:rsid w:val="008F71E6"/>
    <w:rsid w:val="008F7755"/>
    <w:rsid w:val="009008A2"/>
    <w:rsid w:val="00900F62"/>
    <w:rsid w:val="0090210D"/>
    <w:rsid w:val="0090227C"/>
    <w:rsid w:val="00902289"/>
    <w:rsid w:val="009022BB"/>
    <w:rsid w:val="009045B3"/>
    <w:rsid w:val="0090493D"/>
    <w:rsid w:val="00904C72"/>
    <w:rsid w:val="00904D4B"/>
    <w:rsid w:val="00904F52"/>
    <w:rsid w:val="00905430"/>
    <w:rsid w:val="00905BF5"/>
    <w:rsid w:val="00905F6A"/>
    <w:rsid w:val="00907FE0"/>
    <w:rsid w:val="00910CBD"/>
    <w:rsid w:val="0091144B"/>
    <w:rsid w:val="00912260"/>
    <w:rsid w:val="009126D6"/>
    <w:rsid w:val="00912ADF"/>
    <w:rsid w:val="00912CF8"/>
    <w:rsid w:val="00914124"/>
    <w:rsid w:val="00915488"/>
    <w:rsid w:val="00915576"/>
    <w:rsid w:val="00915B6A"/>
    <w:rsid w:val="0091631F"/>
    <w:rsid w:val="00916A0F"/>
    <w:rsid w:val="00917A7F"/>
    <w:rsid w:val="00920528"/>
    <w:rsid w:val="00922BF8"/>
    <w:rsid w:val="0092368D"/>
    <w:rsid w:val="0092378E"/>
    <w:rsid w:val="0092403C"/>
    <w:rsid w:val="009241C9"/>
    <w:rsid w:val="0092474C"/>
    <w:rsid w:val="00925448"/>
    <w:rsid w:val="00925536"/>
    <w:rsid w:val="00925FF2"/>
    <w:rsid w:val="009271A2"/>
    <w:rsid w:val="009309A2"/>
    <w:rsid w:val="009329C9"/>
    <w:rsid w:val="00933305"/>
    <w:rsid w:val="0093378D"/>
    <w:rsid w:val="0093484E"/>
    <w:rsid w:val="00935A48"/>
    <w:rsid w:val="00937C0F"/>
    <w:rsid w:val="009404CE"/>
    <w:rsid w:val="00940D56"/>
    <w:rsid w:val="00941C71"/>
    <w:rsid w:val="00941E99"/>
    <w:rsid w:val="0094299F"/>
    <w:rsid w:val="00942C49"/>
    <w:rsid w:val="009472A1"/>
    <w:rsid w:val="00947B02"/>
    <w:rsid w:val="00947E4E"/>
    <w:rsid w:val="009508FA"/>
    <w:rsid w:val="00951A56"/>
    <w:rsid w:val="009543FD"/>
    <w:rsid w:val="009545F5"/>
    <w:rsid w:val="009553DE"/>
    <w:rsid w:val="00955421"/>
    <w:rsid w:val="0095549B"/>
    <w:rsid w:val="00956F1D"/>
    <w:rsid w:val="0095708D"/>
    <w:rsid w:val="009570EC"/>
    <w:rsid w:val="009571D8"/>
    <w:rsid w:val="00957325"/>
    <w:rsid w:val="00960DB5"/>
    <w:rsid w:val="009611F6"/>
    <w:rsid w:val="00961D65"/>
    <w:rsid w:val="00962311"/>
    <w:rsid w:val="00962341"/>
    <w:rsid w:val="00962426"/>
    <w:rsid w:val="009636C3"/>
    <w:rsid w:val="009637F1"/>
    <w:rsid w:val="009647DB"/>
    <w:rsid w:val="00965B35"/>
    <w:rsid w:val="00965E55"/>
    <w:rsid w:val="00965FCD"/>
    <w:rsid w:val="009667E4"/>
    <w:rsid w:val="00966C86"/>
    <w:rsid w:val="00966CC3"/>
    <w:rsid w:val="009674E4"/>
    <w:rsid w:val="00967750"/>
    <w:rsid w:val="009707F3"/>
    <w:rsid w:val="00970817"/>
    <w:rsid w:val="009729C4"/>
    <w:rsid w:val="00972F5D"/>
    <w:rsid w:val="00973022"/>
    <w:rsid w:val="0097377E"/>
    <w:rsid w:val="00974320"/>
    <w:rsid w:val="00974AD2"/>
    <w:rsid w:val="00974F42"/>
    <w:rsid w:val="00975511"/>
    <w:rsid w:val="00976263"/>
    <w:rsid w:val="00980D4F"/>
    <w:rsid w:val="0098296F"/>
    <w:rsid w:val="00982E62"/>
    <w:rsid w:val="009836D7"/>
    <w:rsid w:val="0098375C"/>
    <w:rsid w:val="009851E4"/>
    <w:rsid w:val="0098562F"/>
    <w:rsid w:val="00985C9B"/>
    <w:rsid w:val="009860B5"/>
    <w:rsid w:val="00992420"/>
    <w:rsid w:val="00992B90"/>
    <w:rsid w:val="00993E5A"/>
    <w:rsid w:val="0099417D"/>
    <w:rsid w:val="00994D96"/>
    <w:rsid w:val="009960CD"/>
    <w:rsid w:val="00997454"/>
    <w:rsid w:val="009A0736"/>
    <w:rsid w:val="009A1376"/>
    <w:rsid w:val="009A24E1"/>
    <w:rsid w:val="009A2EA5"/>
    <w:rsid w:val="009A4C61"/>
    <w:rsid w:val="009A4CA6"/>
    <w:rsid w:val="009A5640"/>
    <w:rsid w:val="009A63D0"/>
    <w:rsid w:val="009A6AC7"/>
    <w:rsid w:val="009A6D2F"/>
    <w:rsid w:val="009A74A7"/>
    <w:rsid w:val="009A792A"/>
    <w:rsid w:val="009A7E4A"/>
    <w:rsid w:val="009B07AA"/>
    <w:rsid w:val="009B1049"/>
    <w:rsid w:val="009B159E"/>
    <w:rsid w:val="009B1B81"/>
    <w:rsid w:val="009B1C0A"/>
    <w:rsid w:val="009B320B"/>
    <w:rsid w:val="009B37AE"/>
    <w:rsid w:val="009B5779"/>
    <w:rsid w:val="009B65AF"/>
    <w:rsid w:val="009B6603"/>
    <w:rsid w:val="009B6985"/>
    <w:rsid w:val="009C0493"/>
    <w:rsid w:val="009C162D"/>
    <w:rsid w:val="009C1D43"/>
    <w:rsid w:val="009C406B"/>
    <w:rsid w:val="009C41DE"/>
    <w:rsid w:val="009C42D7"/>
    <w:rsid w:val="009C4EAF"/>
    <w:rsid w:val="009C5011"/>
    <w:rsid w:val="009C5462"/>
    <w:rsid w:val="009C62C0"/>
    <w:rsid w:val="009C6D28"/>
    <w:rsid w:val="009C756D"/>
    <w:rsid w:val="009D04AF"/>
    <w:rsid w:val="009D198A"/>
    <w:rsid w:val="009D2F97"/>
    <w:rsid w:val="009D36B4"/>
    <w:rsid w:val="009D3AEA"/>
    <w:rsid w:val="009D3E8D"/>
    <w:rsid w:val="009D45FA"/>
    <w:rsid w:val="009D64D9"/>
    <w:rsid w:val="009D6D64"/>
    <w:rsid w:val="009D7885"/>
    <w:rsid w:val="009E04A3"/>
    <w:rsid w:val="009E21B0"/>
    <w:rsid w:val="009E36CD"/>
    <w:rsid w:val="009E3E79"/>
    <w:rsid w:val="009E510B"/>
    <w:rsid w:val="009E51BC"/>
    <w:rsid w:val="009E58AC"/>
    <w:rsid w:val="009E5D48"/>
    <w:rsid w:val="009E70C1"/>
    <w:rsid w:val="009E7177"/>
    <w:rsid w:val="009F0EB0"/>
    <w:rsid w:val="009F1090"/>
    <w:rsid w:val="009F18E0"/>
    <w:rsid w:val="009F2C2B"/>
    <w:rsid w:val="009F3035"/>
    <w:rsid w:val="009F3089"/>
    <w:rsid w:val="009F327D"/>
    <w:rsid w:val="009F35DF"/>
    <w:rsid w:val="009F3C6F"/>
    <w:rsid w:val="009F3CF9"/>
    <w:rsid w:val="009F3DA9"/>
    <w:rsid w:val="009F4195"/>
    <w:rsid w:val="009F4E29"/>
    <w:rsid w:val="00A00218"/>
    <w:rsid w:val="00A0035B"/>
    <w:rsid w:val="00A01261"/>
    <w:rsid w:val="00A0226B"/>
    <w:rsid w:val="00A040F6"/>
    <w:rsid w:val="00A060B3"/>
    <w:rsid w:val="00A06C70"/>
    <w:rsid w:val="00A06E10"/>
    <w:rsid w:val="00A07539"/>
    <w:rsid w:val="00A10CF5"/>
    <w:rsid w:val="00A119B4"/>
    <w:rsid w:val="00A119F1"/>
    <w:rsid w:val="00A11CDE"/>
    <w:rsid w:val="00A11E17"/>
    <w:rsid w:val="00A14996"/>
    <w:rsid w:val="00A16685"/>
    <w:rsid w:val="00A16C9B"/>
    <w:rsid w:val="00A17447"/>
    <w:rsid w:val="00A178C8"/>
    <w:rsid w:val="00A20571"/>
    <w:rsid w:val="00A2097F"/>
    <w:rsid w:val="00A209F6"/>
    <w:rsid w:val="00A20D1B"/>
    <w:rsid w:val="00A22776"/>
    <w:rsid w:val="00A22911"/>
    <w:rsid w:val="00A22FCE"/>
    <w:rsid w:val="00A233F2"/>
    <w:rsid w:val="00A23A9A"/>
    <w:rsid w:val="00A2480A"/>
    <w:rsid w:val="00A24849"/>
    <w:rsid w:val="00A2559B"/>
    <w:rsid w:val="00A25D5F"/>
    <w:rsid w:val="00A30660"/>
    <w:rsid w:val="00A30E95"/>
    <w:rsid w:val="00A3121D"/>
    <w:rsid w:val="00A324F2"/>
    <w:rsid w:val="00A33860"/>
    <w:rsid w:val="00A34E49"/>
    <w:rsid w:val="00A34E8F"/>
    <w:rsid w:val="00A34E9D"/>
    <w:rsid w:val="00A3560C"/>
    <w:rsid w:val="00A35630"/>
    <w:rsid w:val="00A35C10"/>
    <w:rsid w:val="00A360C2"/>
    <w:rsid w:val="00A36406"/>
    <w:rsid w:val="00A36F39"/>
    <w:rsid w:val="00A37526"/>
    <w:rsid w:val="00A3777A"/>
    <w:rsid w:val="00A40D24"/>
    <w:rsid w:val="00A4133A"/>
    <w:rsid w:val="00A419CE"/>
    <w:rsid w:val="00A423C3"/>
    <w:rsid w:val="00A429F2"/>
    <w:rsid w:val="00A4482B"/>
    <w:rsid w:val="00A44F75"/>
    <w:rsid w:val="00A451E5"/>
    <w:rsid w:val="00A45934"/>
    <w:rsid w:val="00A45F99"/>
    <w:rsid w:val="00A468B1"/>
    <w:rsid w:val="00A4692E"/>
    <w:rsid w:val="00A46C9C"/>
    <w:rsid w:val="00A46DEF"/>
    <w:rsid w:val="00A478AD"/>
    <w:rsid w:val="00A524E5"/>
    <w:rsid w:val="00A52BC0"/>
    <w:rsid w:val="00A52EA8"/>
    <w:rsid w:val="00A5443B"/>
    <w:rsid w:val="00A55077"/>
    <w:rsid w:val="00A55764"/>
    <w:rsid w:val="00A55823"/>
    <w:rsid w:val="00A559ED"/>
    <w:rsid w:val="00A55A6E"/>
    <w:rsid w:val="00A55AB0"/>
    <w:rsid w:val="00A5642C"/>
    <w:rsid w:val="00A56F16"/>
    <w:rsid w:val="00A57868"/>
    <w:rsid w:val="00A57CDB"/>
    <w:rsid w:val="00A6220E"/>
    <w:rsid w:val="00A62711"/>
    <w:rsid w:val="00A63167"/>
    <w:rsid w:val="00A63DB2"/>
    <w:rsid w:val="00A66994"/>
    <w:rsid w:val="00A66BEC"/>
    <w:rsid w:val="00A67103"/>
    <w:rsid w:val="00A67F78"/>
    <w:rsid w:val="00A719D1"/>
    <w:rsid w:val="00A72B22"/>
    <w:rsid w:val="00A73828"/>
    <w:rsid w:val="00A74590"/>
    <w:rsid w:val="00A75004"/>
    <w:rsid w:val="00A76BD3"/>
    <w:rsid w:val="00A80523"/>
    <w:rsid w:val="00A8105B"/>
    <w:rsid w:val="00A8196A"/>
    <w:rsid w:val="00A81A72"/>
    <w:rsid w:val="00A81DD8"/>
    <w:rsid w:val="00A84EF6"/>
    <w:rsid w:val="00A85320"/>
    <w:rsid w:val="00A85322"/>
    <w:rsid w:val="00A862EE"/>
    <w:rsid w:val="00A86AE2"/>
    <w:rsid w:val="00A90134"/>
    <w:rsid w:val="00A919D2"/>
    <w:rsid w:val="00A92C88"/>
    <w:rsid w:val="00A93193"/>
    <w:rsid w:val="00A94105"/>
    <w:rsid w:val="00A9414F"/>
    <w:rsid w:val="00A94444"/>
    <w:rsid w:val="00A944B7"/>
    <w:rsid w:val="00A95390"/>
    <w:rsid w:val="00A95F41"/>
    <w:rsid w:val="00A96249"/>
    <w:rsid w:val="00A965E6"/>
    <w:rsid w:val="00A96B95"/>
    <w:rsid w:val="00A975A4"/>
    <w:rsid w:val="00AA1568"/>
    <w:rsid w:val="00AA4229"/>
    <w:rsid w:val="00AA4C9B"/>
    <w:rsid w:val="00AA53FC"/>
    <w:rsid w:val="00AA57C2"/>
    <w:rsid w:val="00AA6286"/>
    <w:rsid w:val="00AA6372"/>
    <w:rsid w:val="00AA728A"/>
    <w:rsid w:val="00AB08DE"/>
    <w:rsid w:val="00AB1AAD"/>
    <w:rsid w:val="00AB356D"/>
    <w:rsid w:val="00AB3700"/>
    <w:rsid w:val="00AB47EB"/>
    <w:rsid w:val="00AB4C24"/>
    <w:rsid w:val="00AB4C79"/>
    <w:rsid w:val="00AB517A"/>
    <w:rsid w:val="00AB7198"/>
    <w:rsid w:val="00AC28E1"/>
    <w:rsid w:val="00AC2EF2"/>
    <w:rsid w:val="00AC33D0"/>
    <w:rsid w:val="00AC41A8"/>
    <w:rsid w:val="00AC4D78"/>
    <w:rsid w:val="00AC4E44"/>
    <w:rsid w:val="00AC7151"/>
    <w:rsid w:val="00AC717C"/>
    <w:rsid w:val="00AC7CE7"/>
    <w:rsid w:val="00AD02E0"/>
    <w:rsid w:val="00AD0474"/>
    <w:rsid w:val="00AD0892"/>
    <w:rsid w:val="00AD0FC1"/>
    <w:rsid w:val="00AD1B16"/>
    <w:rsid w:val="00AD1CF2"/>
    <w:rsid w:val="00AD2C28"/>
    <w:rsid w:val="00AD308A"/>
    <w:rsid w:val="00AD4978"/>
    <w:rsid w:val="00AD5FD2"/>
    <w:rsid w:val="00AD677F"/>
    <w:rsid w:val="00AD69AC"/>
    <w:rsid w:val="00AD6C85"/>
    <w:rsid w:val="00AD6E0C"/>
    <w:rsid w:val="00AD71D3"/>
    <w:rsid w:val="00AD725A"/>
    <w:rsid w:val="00AD7672"/>
    <w:rsid w:val="00AE1A52"/>
    <w:rsid w:val="00AE2C4C"/>
    <w:rsid w:val="00AE2FC9"/>
    <w:rsid w:val="00AE3B29"/>
    <w:rsid w:val="00AE3EC8"/>
    <w:rsid w:val="00AE46D2"/>
    <w:rsid w:val="00AE745C"/>
    <w:rsid w:val="00AF16EF"/>
    <w:rsid w:val="00AF2A35"/>
    <w:rsid w:val="00AF39C0"/>
    <w:rsid w:val="00AF3F13"/>
    <w:rsid w:val="00AF62DF"/>
    <w:rsid w:val="00AF6471"/>
    <w:rsid w:val="00AF71DC"/>
    <w:rsid w:val="00AF7CF3"/>
    <w:rsid w:val="00B012FF"/>
    <w:rsid w:val="00B022B2"/>
    <w:rsid w:val="00B02D66"/>
    <w:rsid w:val="00B039A4"/>
    <w:rsid w:val="00B0449D"/>
    <w:rsid w:val="00B063C0"/>
    <w:rsid w:val="00B10371"/>
    <w:rsid w:val="00B12463"/>
    <w:rsid w:val="00B12E31"/>
    <w:rsid w:val="00B12FFF"/>
    <w:rsid w:val="00B13932"/>
    <w:rsid w:val="00B1410C"/>
    <w:rsid w:val="00B144B8"/>
    <w:rsid w:val="00B14CA8"/>
    <w:rsid w:val="00B15B7B"/>
    <w:rsid w:val="00B1724F"/>
    <w:rsid w:val="00B20DEE"/>
    <w:rsid w:val="00B215A7"/>
    <w:rsid w:val="00B21B23"/>
    <w:rsid w:val="00B22227"/>
    <w:rsid w:val="00B2229B"/>
    <w:rsid w:val="00B2262C"/>
    <w:rsid w:val="00B2447D"/>
    <w:rsid w:val="00B2654F"/>
    <w:rsid w:val="00B27D61"/>
    <w:rsid w:val="00B30BC0"/>
    <w:rsid w:val="00B3132A"/>
    <w:rsid w:val="00B355D6"/>
    <w:rsid w:val="00B36D48"/>
    <w:rsid w:val="00B40133"/>
    <w:rsid w:val="00B41E7A"/>
    <w:rsid w:val="00B42AAB"/>
    <w:rsid w:val="00B434CF"/>
    <w:rsid w:val="00B43B1F"/>
    <w:rsid w:val="00B45BDC"/>
    <w:rsid w:val="00B46ABF"/>
    <w:rsid w:val="00B47CAB"/>
    <w:rsid w:val="00B50021"/>
    <w:rsid w:val="00B50CF4"/>
    <w:rsid w:val="00B5154B"/>
    <w:rsid w:val="00B51806"/>
    <w:rsid w:val="00B52271"/>
    <w:rsid w:val="00B5329A"/>
    <w:rsid w:val="00B53433"/>
    <w:rsid w:val="00B5629A"/>
    <w:rsid w:val="00B57358"/>
    <w:rsid w:val="00B57E89"/>
    <w:rsid w:val="00B600D9"/>
    <w:rsid w:val="00B603E6"/>
    <w:rsid w:val="00B62D9E"/>
    <w:rsid w:val="00B6394D"/>
    <w:rsid w:val="00B63FBA"/>
    <w:rsid w:val="00B6519A"/>
    <w:rsid w:val="00B663B8"/>
    <w:rsid w:val="00B669C4"/>
    <w:rsid w:val="00B66E0F"/>
    <w:rsid w:val="00B67014"/>
    <w:rsid w:val="00B71665"/>
    <w:rsid w:val="00B71C0B"/>
    <w:rsid w:val="00B72332"/>
    <w:rsid w:val="00B72446"/>
    <w:rsid w:val="00B73FD4"/>
    <w:rsid w:val="00B74693"/>
    <w:rsid w:val="00B74947"/>
    <w:rsid w:val="00B7591E"/>
    <w:rsid w:val="00B75991"/>
    <w:rsid w:val="00B76838"/>
    <w:rsid w:val="00B77D13"/>
    <w:rsid w:val="00B801BF"/>
    <w:rsid w:val="00B810E2"/>
    <w:rsid w:val="00B81BD0"/>
    <w:rsid w:val="00B820AC"/>
    <w:rsid w:val="00B82794"/>
    <w:rsid w:val="00B82B9C"/>
    <w:rsid w:val="00B82F96"/>
    <w:rsid w:val="00B84CCB"/>
    <w:rsid w:val="00B862AF"/>
    <w:rsid w:val="00B86637"/>
    <w:rsid w:val="00B87E79"/>
    <w:rsid w:val="00B90D97"/>
    <w:rsid w:val="00B91241"/>
    <w:rsid w:val="00B91D36"/>
    <w:rsid w:val="00B92746"/>
    <w:rsid w:val="00B92D47"/>
    <w:rsid w:val="00B96894"/>
    <w:rsid w:val="00B969AC"/>
    <w:rsid w:val="00B9719C"/>
    <w:rsid w:val="00BA06C1"/>
    <w:rsid w:val="00BA0B65"/>
    <w:rsid w:val="00BA1E04"/>
    <w:rsid w:val="00BA1F78"/>
    <w:rsid w:val="00BA2E14"/>
    <w:rsid w:val="00BA54D0"/>
    <w:rsid w:val="00BA6C18"/>
    <w:rsid w:val="00BA6F69"/>
    <w:rsid w:val="00BA6FEF"/>
    <w:rsid w:val="00BB058C"/>
    <w:rsid w:val="00BB24C2"/>
    <w:rsid w:val="00BB30FF"/>
    <w:rsid w:val="00BB360B"/>
    <w:rsid w:val="00BB40F6"/>
    <w:rsid w:val="00BB573E"/>
    <w:rsid w:val="00BB5FE7"/>
    <w:rsid w:val="00BB60B2"/>
    <w:rsid w:val="00BB68A6"/>
    <w:rsid w:val="00BB7001"/>
    <w:rsid w:val="00BB785F"/>
    <w:rsid w:val="00BB7878"/>
    <w:rsid w:val="00BB7D3F"/>
    <w:rsid w:val="00BB7F73"/>
    <w:rsid w:val="00BC05DD"/>
    <w:rsid w:val="00BC1BBF"/>
    <w:rsid w:val="00BC2E39"/>
    <w:rsid w:val="00BC3FB6"/>
    <w:rsid w:val="00BC4BB9"/>
    <w:rsid w:val="00BC5779"/>
    <w:rsid w:val="00BC6076"/>
    <w:rsid w:val="00BC6DA1"/>
    <w:rsid w:val="00BC6E86"/>
    <w:rsid w:val="00BC73F7"/>
    <w:rsid w:val="00BC76FE"/>
    <w:rsid w:val="00BD0C9A"/>
    <w:rsid w:val="00BD0F4E"/>
    <w:rsid w:val="00BD18F0"/>
    <w:rsid w:val="00BD30D2"/>
    <w:rsid w:val="00BE1624"/>
    <w:rsid w:val="00BE20AC"/>
    <w:rsid w:val="00BE2E1E"/>
    <w:rsid w:val="00BE3C50"/>
    <w:rsid w:val="00BE3FF4"/>
    <w:rsid w:val="00BE47BD"/>
    <w:rsid w:val="00BE5B52"/>
    <w:rsid w:val="00BE6311"/>
    <w:rsid w:val="00BE6E6D"/>
    <w:rsid w:val="00BF0ACC"/>
    <w:rsid w:val="00BF0C5D"/>
    <w:rsid w:val="00BF1440"/>
    <w:rsid w:val="00BF1786"/>
    <w:rsid w:val="00BF1A0B"/>
    <w:rsid w:val="00BF1CB0"/>
    <w:rsid w:val="00BF1F70"/>
    <w:rsid w:val="00BF2B93"/>
    <w:rsid w:val="00BF301B"/>
    <w:rsid w:val="00BF43FA"/>
    <w:rsid w:val="00BF6AAD"/>
    <w:rsid w:val="00BF7150"/>
    <w:rsid w:val="00BF72CE"/>
    <w:rsid w:val="00C00FED"/>
    <w:rsid w:val="00C0135E"/>
    <w:rsid w:val="00C01F4F"/>
    <w:rsid w:val="00C025D3"/>
    <w:rsid w:val="00C06AB7"/>
    <w:rsid w:val="00C07170"/>
    <w:rsid w:val="00C077DA"/>
    <w:rsid w:val="00C0788A"/>
    <w:rsid w:val="00C07EBB"/>
    <w:rsid w:val="00C11266"/>
    <w:rsid w:val="00C123A0"/>
    <w:rsid w:val="00C12BC9"/>
    <w:rsid w:val="00C131FA"/>
    <w:rsid w:val="00C13F58"/>
    <w:rsid w:val="00C14571"/>
    <w:rsid w:val="00C1491F"/>
    <w:rsid w:val="00C14ED8"/>
    <w:rsid w:val="00C15748"/>
    <w:rsid w:val="00C157D1"/>
    <w:rsid w:val="00C15E22"/>
    <w:rsid w:val="00C15F7A"/>
    <w:rsid w:val="00C16FE2"/>
    <w:rsid w:val="00C20050"/>
    <w:rsid w:val="00C20226"/>
    <w:rsid w:val="00C20BFE"/>
    <w:rsid w:val="00C20E5A"/>
    <w:rsid w:val="00C22E55"/>
    <w:rsid w:val="00C23729"/>
    <w:rsid w:val="00C237D7"/>
    <w:rsid w:val="00C25367"/>
    <w:rsid w:val="00C26844"/>
    <w:rsid w:val="00C2734A"/>
    <w:rsid w:val="00C309B8"/>
    <w:rsid w:val="00C31ABA"/>
    <w:rsid w:val="00C31D0E"/>
    <w:rsid w:val="00C321B7"/>
    <w:rsid w:val="00C32DED"/>
    <w:rsid w:val="00C34184"/>
    <w:rsid w:val="00C34787"/>
    <w:rsid w:val="00C34AC1"/>
    <w:rsid w:val="00C35CAA"/>
    <w:rsid w:val="00C37756"/>
    <w:rsid w:val="00C37AF3"/>
    <w:rsid w:val="00C37B69"/>
    <w:rsid w:val="00C40651"/>
    <w:rsid w:val="00C40CFD"/>
    <w:rsid w:val="00C411FB"/>
    <w:rsid w:val="00C41B46"/>
    <w:rsid w:val="00C41BAB"/>
    <w:rsid w:val="00C41D78"/>
    <w:rsid w:val="00C41E50"/>
    <w:rsid w:val="00C42122"/>
    <w:rsid w:val="00C427B1"/>
    <w:rsid w:val="00C42838"/>
    <w:rsid w:val="00C43371"/>
    <w:rsid w:val="00C45B6B"/>
    <w:rsid w:val="00C4601D"/>
    <w:rsid w:val="00C46235"/>
    <w:rsid w:val="00C47275"/>
    <w:rsid w:val="00C479E2"/>
    <w:rsid w:val="00C50494"/>
    <w:rsid w:val="00C51BC7"/>
    <w:rsid w:val="00C53291"/>
    <w:rsid w:val="00C535A6"/>
    <w:rsid w:val="00C53A70"/>
    <w:rsid w:val="00C549E0"/>
    <w:rsid w:val="00C565D2"/>
    <w:rsid w:val="00C56A3A"/>
    <w:rsid w:val="00C576EA"/>
    <w:rsid w:val="00C57CD2"/>
    <w:rsid w:val="00C603DE"/>
    <w:rsid w:val="00C6164F"/>
    <w:rsid w:val="00C62171"/>
    <w:rsid w:val="00C6348A"/>
    <w:rsid w:val="00C63916"/>
    <w:rsid w:val="00C63D3F"/>
    <w:rsid w:val="00C63FC1"/>
    <w:rsid w:val="00C6406C"/>
    <w:rsid w:val="00C64636"/>
    <w:rsid w:val="00C646AC"/>
    <w:rsid w:val="00C64C5D"/>
    <w:rsid w:val="00C652CE"/>
    <w:rsid w:val="00C6630B"/>
    <w:rsid w:val="00C663B6"/>
    <w:rsid w:val="00C672D1"/>
    <w:rsid w:val="00C701AF"/>
    <w:rsid w:val="00C7054F"/>
    <w:rsid w:val="00C70D2D"/>
    <w:rsid w:val="00C72651"/>
    <w:rsid w:val="00C72C89"/>
    <w:rsid w:val="00C73B10"/>
    <w:rsid w:val="00C74B05"/>
    <w:rsid w:val="00C75F0D"/>
    <w:rsid w:val="00C75F73"/>
    <w:rsid w:val="00C80520"/>
    <w:rsid w:val="00C80EF3"/>
    <w:rsid w:val="00C81007"/>
    <w:rsid w:val="00C83BDD"/>
    <w:rsid w:val="00C84A12"/>
    <w:rsid w:val="00C85EA2"/>
    <w:rsid w:val="00C86D66"/>
    <w:rsid w:val="00C87E02"/>
    <w:rsid w:val="00C90367"/>
    <w:rsid w:val="00C907BB"/>
    <w:rsid w:val="00C909BF"/>
    <w:rsid w:val="00C9152B"/>
    <w:rsid w:val="00C9246F"/>
    <w:rsid w:val="00C9290A"/>
    <w:rsid w:val="00C93342"/>
    <w:rsid w:val="00C93D87"/>
    <w:rsid w:val="00C93DA1"/>
    <w:rsid w:val="00C94C39"/>
    <w:rsid w:val="00C9626E"/>
    <w:rsid w:val="00C97975"/>
    <w:rsid w:val="00CA211C"/>
    <w:rsid w:val="00CA2C46"/>
    <w:rsid w:val="00CA2DC5"/>
    <w:rsid w:val="00CA3070"/>
    <w:rsid w:val="00CA44ED"/>
    <w:rsid w:val="00CA5469"/>
    <w:rsid w:val="00CA6E7C"/>
    <w:rsid w:val="00CA7C68"/>
    <w:rsid w:val="00CA7C77"/>
    <w:rsid w:val="00CB0013"/>
    <w:rsid w:val="00CB01AB"/>
    <w:rsid w:val="00CB04AC"/>
    <w:rsid w:val="00CB0D35"/>
    <w:rsid w:val="00CB1B20"/>
    <w:rsid w:val="00CB1EA7"/>
    <w:rsid w:val="00CB2C84"/>
    <w:rsid w:val="00CB311F"/>
    <w:rsid w:val="00CB3B77"/>
    <w:rsid w:val="00CB407D"/>
    <w:rsid w:val="00CB4560"/>
    <w:rsid w:val="00CB47DE"/>
    <w:rsid w:val="00CB776C"/>
    <w:rsid w:val="00CB7966"/>
    <w:rsid w:val="00CC16C7"/>
    <w:rsid w:val="00CC199B"/>
    <w:rsid w:val="00CC2AAE"/>
    <w:rsid w:val="00CC51BF"/>
    <w:rsid w:val="00CC53C4"/>
    <w:rsid w:val="00CC577F"/>
    <w:rsid w:val="00CC67DD"/>
    <w:rsid w:val="00CC6A54"/>
    <w:rsid w:val="00CC7595"/>
    <w:rsid w:val="00CC7811"/>
    <w:rsid w:val="00CD019B"/>
    <w:rsid w:val="00CD1303"/>
    <w:rsid w:val="00CD16E6"/>
    <w:rsid w:val="00CD1F78"/>
    <w:rsid w:val="00CD3371"/>
    <w:rsid w:val="00CD4B5D"/>
    <w:rsid w:val="00CD68CA"/>
    <w:rsid w:val="00CD699F"/>
    <w:rsid w:val="00CD707C"/>
    <w:rsid w:val="00CD769F"/>
    <w:rsid w:val="00CE0770"/>
    <w:rsid w:val="00CE0D08"/>
    <w:rsid w:val="00CE1254"/>
    <w:rsid w:val="00CE3C0D"/>
    <w:rsid w:val="00CE518B"/>
    <w:rsid w:val="00CE69B5"/>
    <w:rsid w:val="00CE6CFC"/>
    <w:rsid w:val="00CE7444"/>
    <w:rsid w:val="00CF0291"/>
    <w:rsid w:val="00CF0D75"/>
    <w:rsid w:val="00CF162C"/>
    <w:rsid w:val="00CF1DF9"/>
    <w:rsid w:val="00CF4E1E"/>
    <w:rsid w:val="00CF586D"/>
    <w:rsid w:val="00CF5FA3"/>
    <w:rsid w:val="00CF7392"/>
    <w:rsid w:val="00CF76B6"/>
    <w:rsid w:val="00D00156"/>
    <w:rsid w:val="00D004D6"/>
    <w:rsid w:val="00D0057C"/>
    <w:rsid w:val="00D00D24"/>
    <w:rsid w:val="00D0131E"/>
    <w:rsid w:val="00D01C27"/>
    <w:rsid w:val="00D01E6B"/>
    <w:rsid w:val="00D02C61"/>
    <w:rsid w:val="00D0344E"/>
    <w:rsid w:val="00D0409E"/>
    <w:rsid w:val="00D04EE0"/>
    <w:rsid w:val="00D0655B"/>
    <w:rsid w:val="00D06D66"/>
    <w:rsid w:val="00D0711F"/>
    <w:rsid w:val="00D10F1E"/>
    <w:rsid w:val="00D134CD"/>
    <w:rsid w:val="00D14D13"/>
    <w:rsid w:val="00D15C59"/>
    <w:rsid w:val="00D17067"/>
    <w:rsid w:val="00D17EA4"/>
    <w:rsid w:val="00D20419"/>
    <w:rsid w:val="00D20CDA"/>
    <w:rsid w:val="00D21899"/>
    <w:rsid w:val="00D222E7"/>
    <w:rsid w:val="00D2271A"/>
    <w:rsid w:val="00D253F6"/>
    <w:rsid w:val="00D26B12"/>
    <w:rsid w:val="00D26EB8"/>
    <w:rsid w:val="00D27200"/>
    <w:rsid w:val="00D30045"/>
    <w:rsid w:val="00D31577"/>
    <w:rsid w:val="00D31748"/>
    <w:rsid w:val="00D3212B"/>
    <w:rsid w:val="00D32131"/>
    <w:rsid w:val="00D322B0"/>
    <w:rsid w:val="00D32FC1"/>
    <w:rsid w:val="00D333BF"/>
    <w:rsid w:val="00D33EDE"/>
    <w:rsid w:val="00D3402D"/>
    <w:rsid w:val="00D34181"/>
    <w:rsid w:val="00D34827"/>
    <w:rsid w:val="00D35983"/>
    <w:rsid w:val="00D3631D"/>
    <w:rsid w:val="00D36486"/>
    <w:rsid w:val="00D4058D"/>
    <w:rsid w:val="00D40A23"/>
    <w:rsid w:val="00D41AE3"/>
    <w:rsid w:val="00D44ED9"/>
    <w:rsid w:val="00D45256"/>
    <w:rsid w:val="00D47D6A"/>
    <w:rsid w:val="00D501DA"/>
    <w:rsid w:val="00D506A3"/>
    <w:rsid w:val="00D50FD4"/>
    <w:rsid w:val="00D51C00"/>
    <w:rsid w:val="00D51E0A"/>
    <w:rsid w:val="00D526DB"/>
    <w:rsid w:val="00D527AF"/>
    <w:rsid w:val="00D52AB9"/>
    <w:rsid w:val="00D5331F"/>
    <w:rsid w:val="00D5378F"/>
    <w:rsid w:val="00D542E5"/>
    <w:rsid w:val="00D55775"/>
    <w:rsid w:val="00D55D3B"/>
    <w:rsid w:val="00D564C8"/>
    <w:rsid w:val="00D5714E"/>
    <w:rsid w:val="00D57413"/>
    <w:rsid w:val="00D60D35"/>
    <w:rsid w:val="00D61692"/>
    <w:rsid w:val="00D61837"/>
    <w:rsid w:val="00D62029"/>
    <w:rsid w:val="00D6202D"/>
    <w:rsid w:val="00D64F6E"/>
    <w:rsid w:val="00D64FD3"/>
    <w:rsid w:val="00D66F3C"/>
    <w:rsid w:val="00D67D95"/>
    <w:rsid w:val="00D710FD"/>
    <w:rsid w:val="00D71690"/>
    <w:rsid w:val="00D719A0"/>
    <w:rsid w:val="00D733AC"/>
    <w:rsid w:val="00D737CD"/>
    <w:rsid w:val="00D73AA8"/>
    <w:rsid w:val="00D75F50"/>
    <w:rsid w:val="00D765A3"/>
    <w:rsid w:val="00D76A94"/>
    <w:rsid w:val="00D7718A"/>
    <w:rsid w:val="00D778E1"/>
    <w:rsid w:val="00D77F3E"/>
    <w:rsid w:val="00D800B5"/>
    <w:rsid w:val="00D803C1"/>
    <w:rsid w:val="00D80FC5"/>
    <w:rsid w:val="00D834E8"/>
    <w:rsid w:val="00D848EE"/>
    <w:rsid w:val="00D85C94"/>
    <w:rsid w:val="00D85F1E"/>
    <w:rsid w:val="00D8651E"/>
    <w:rsid w:val="00D90D26"/>
    <w:rsid w:val="00D91904"/>
    <w:rsid w:val="00D928AF"/>
    <w:rsid w:val="00D92C91"/>
    <w:rsid w:val="00D94466"/>
    <w:rsid w:val="00D96335"/>
    <w:rsid w:val="00D965EE"/>
    <w:rsid w:val="00D96B77"/>
    <w:rsid w:val="00D96CD3"/>
    <w:rsid w:val="00D97C9E"/>
    <w:rsid w:val="00DA1A1F"/>
    <w:rsid w:val="00DA2655"/>
    <w:rsid w:val="00DA2F0A"/>
    <w:rsid w:val="00DA35C2"/>
    <w:rsid w:val="00DA372E"/>
    <w:rsid w:val="00DA3BC4"/>
    <w:rsid w:val="00DA40A3"/>
    <w:rsid w:val="00DA6330"/>
    <w:rsid w:val="00DB0D61"/>
    <w:rsid w:val="00DB2EE2"/>
    <w:rsid w:val="00DB3E5E"/>
    <w:rsid w:val="00DB3FE3"/>
    <w:rsid w:val="00DB4A28"/>
    <w:rsid w:val="00DB51B0"/>
    <w:rsid w:val="00DB55E7"/>
    <w:rsid w:val="00DB561E"/>
    <w:rsid w:val="00DB67E3"/>
    <w:rsid w:val="00DB6B8F"/>
    <w:rsid w:val="00DB6DB6"/>
    <w:rsid w:val="00DB721D"/>
    <w:rsid w:val="00DB7C5D"/>
    <w:rsid w:val="00DC006E"/>
    <w:rsid w:val="00DC0241"/>
    <w:rsid w:val="00DC04AD"/>
    <w:rsid w:val="00DC1184"/>
    <w:rsid w:val="00DC19DD"/>
    <w:rsid w:val="00DC3690"/>
    <w:rsid w:val="00DC3FF1"/>
    <w:rsid w:val="00DC47F3"/>
    <w:rsid w:val="00DC48C0"/>
    <w:rsid w:val="00DC4AD1"/>
    <w:rsid w:val="00DC4EE0"/>
    <w:rsid w:val="00DC6634"/>
    <w:rsid w:val="00DC74BC"/>
    <w:rsid w:val="00DC7E28"/>
    <w:rsid w:val="00DD0300"/>
    <w:rsid w:val="00DD230D"/>
    <w:rsid w:val="00DD2925"/>
    <w:rsid w:val="00DD2C83"/>
    <w:rsid w:val="00DD351E"/>
    <w:rsid w:val="00DD5A8F"/>
    <w:rsid w:val="00DD6AB8"/>
    <w:rsid w:val="00DD6B2D"/>
    <w:rsid w:val="00DD756A"/>
    <w:rsid w:val="00DD75DD"/>
    <w:rsid w:val="00DE0595"/>
    <w:rsid w:val="00DE1A7C"/>
    <w:rsid w:val="00DE2A1F"/>
    <w:rsid w:val="00DE2C31"/>
    <w:rsid w:val="00DE4794"/>
    <w:rsid w:val="00DE47FC"/>
    <w:rsid w:val="00DE495F"/>
    <w:rsid w:val="00DE587D"/>
    <w:rsid w:val="00DE63E8"/>
    <w:rsid w:val="00DE7609"/>
    <w:rsid w:val="00DF1C86"/>
    <w:rsid w:val="00DF1ED1"/>
    <w:rsid w:val="00DF228E"/>
    <w:rsid w:val="00DF2695"/>
    <w:rsid w:val="00DF27B1"/>
    <w:rsid w:val="00DF2AA3"/>
    <w:rsid w:val="00DF2C31"/>
    <w:rsid w:val="00DF4F9D"/>
    <w:rsid w:val="00DF6B9D"/>
    <w:rsid w:val="00E00EA3"/>
    <w:rsid w:val="00E00EAA"/>
    <w:rsid w:val="00E01B04"/>
    <w:rsid w:val="00E01F45"/>
    <w:rsid w:val="00E0269D"/>
    <w:rsid w:val="00E02E82"/>
    <w:rsid w:val="00E03367"/>
    <w:rsid w:val="00E04E50"/>
    <w:rsid w:val="00E0598B"/>
    <w:rsid w:val="00E05C49"/>
    <w:rsid w:val="00E06855"/>
    <w:rsid w:val="00E0706D"/>
    <w:rsid w:val="00E074E4"/>
    <w:rsid w:val="00E07C08"/>
    <w:rsid w:val="00E10677"/>
    <w:rsid w:val="00E1390E"/>
    <w:rsid w:val="00E139E6"/>
    <w:rsid w:val="00E143F2"/>
    <w:rsid w:val="00E14901"/>
    <w:rsid w:val="00E157D0"/>
    <w:rsid w:val="00E16763"/>
    <w:rsid w:val="00E20800"/>
    <w:rsid w:val="00E2133B"/>
    <w:rsid w:val="00E22571"/>
    <w:rsid w:val="00E2307A"/>
    <w:rsid w:val="00E2362B"/>
    <w:rsid w:val="00E237D9"/>
    <w:rsid w:val="00E249A9"/>
    <w:rsid w:val="00E25472"/>
    <w:rsid w:val="00E27F19"/>
    <w:rsid w:val="00E30184"/>
    <w:rsid w:val="00E301CE"/>
    <w:rsid w:val="00E3083C"/>
    <w:rsid w:val="00E30F05"/>
    <w:rsid w:val="00E318AD"/>
    <w:rsid w:val="00E32169"/>
    <w:rsid w:val="00E32881"/>
    <w:rsid w:val="00E328B1"/>
    <w:rsid w:val="00E34692"/>
    <w:rsid w:val="00E34A15"/>
    <w:rsid w:val="00E35767"/>
    <w:rsid w:val="00E35972"/>
    <w:rsid w:val="00E35BCC"/>
    <w:rsid w:val="00E36E18"/>
    <w:rsid w:val="00E37149"/>
    <w:rsid w:val="00E37A47"/>
    <w:rsid w:val="00E40915"/>
    <w:rsid w:val="00E41355"/>
    <w:rsid w:val="00E42290"/>
    <w:rsid w:val="00E43D7A"/>
    <w:rsid w:val="00E44BCC"/>
    <w:rsid w:val="00E44FC4"/>
    <w:rsid w:val="00E453FC"/>
    <w:rsid w:val="00E456CD"/>
    <w:rsid w:val="00E461A4"/>
    <w:rsid w:val="00E4745C"/>
    <w:rsid w:val="00E474C1"/>
    <w:rsid w:val="00E50BCF"/>
    <w:rsid w:val="00E51282"/>
    <w:rsid w:val="00E523EF"/>
    <w:rsid w:val="00E527EE"/>
    <w:rsid w:val="00E53719"/>
    <w:rsid w:val="00E5473E"/>
    <w:rsid w:val="00E54993"/>
    <w:rsid w:val="00E54D5C"/>
    <w:rsid w:val="00E54F87"/>
    <w:rsid w:val="00E565C1"/>
    <w:rsid w:val="00E56648"/>
    <w:rsid w:val="00E56972"/>
    <w:rsid w:val="00E56E69"/>
    <w:rsid w:val="00E57610"/>
    <w:rsid w:val="00E57695"/>
    <w:rsid w:val="00E57725"/>
    <w:rsid w:val="00E57C4B"/>
    <w:rsid w:val="00E610DC"/>
    <w:rsid w:val="00E62908"/>
    <w:rsid w:val="00E64AA5"/>
    <w:rsid w:val="00E64E93"/>
    <w:rsid w:val="00E660EE"/>
    <w:rsid w:val="00E671BD"/>
    <w:rsid w:val="00E72541"/>
    <w:rsid w:val="00E72808"/>
    <w:rsid w:val="00E72ABE"/>
    <w:rsid w:val="00E72F93"/>
    <w:rsid w:val="00E734B7"/>
    <w:rsid w:val="00E73E27"/>
    <w:rsid w:val="00E75796"/>
    <w:rsid w:val="00E802C5"/>
    <w:rsid w:val="00E8093F"/>
    <w:rsid w:val="00E81A2E"/>
    <w:rsid w:val="00E82901"/>
    <w:rsid w:val="00E82AAA"/>
    <w:rsid w:val="00E82C42"/>
    <w:rsid w:val="00E83DA8"/>
    <w:rsid w:val="00E83E92"/>
    <w:rsid w:val="00E842DE"/>
    <w:rsid w:val="00E84A41"/>
    <w:rsid w:val="00E8523D"/>
    <w:rsid w:val="00E85243"/>
    <w:rsid w:val="00E85E7A"/>
    <w:rsid w:val="00E86C6C"/>
    <w:rsid w:val="00E87BA7"/>
    <w:rsid w:val="00E9031B"/>
    <w:rsid w:val="00E90B13"/>
    <w:rsid w:val="00E9108B"/>
    <w:rsid w:val="00E91311"/>
    <w:rsid w:val="00E91ED3"/>
    <w:rsid w:val="00E92380"/>
    <w:rsid w:val="00E95A95"/>
    <w:rsid w:val="00E95F4E"/>
    <w:rsid w:val="00E979C0"/>
    <w:rsid w:val="00EA0BE5"/>
    <w:rsid w:val="00EA2D02"/>
    <w:rsid w:val="00EA2FB5"/>
    <w:rsid w:val="00EA36C4"/>
    <w:rsid w:val="00EA43D5"/>
    <w:rsid w:val="00EA5738"/>
    <w:rsid w:val="00EA5E4B"/>
    <w:rsid w:val="00EA60A7"/>
    <w:rsid w:val="00EB250E"/>
    <w:rsid w:val="00EB2AA8"/>
    <w:rsid w:val="00EB32D7"/>
    <w:rsid w:val="00EB3658"/>
    <w:rsid w:val="00EB39B5"/>
    <w:rsid w:val="00EB39E1"/>
    <w:rsid w:val="00EB405A"/>
    <w:rsid w:val="00EB54F9"/>
    <w:rsid w:val="00EB568C"/>
    <w:rsid w:val="00EB5F0E"/>
    <w:rsid w:val="00EB6068"/>
    <w:rsid w:val="00EB64B9"/>
    <w:rsid w:val="00EB7CD3"/>
    <w:rsid w:val="00EC0C1D"/>
    <w:rsid w:val="00EC0D33"/>
    <w:rsid w:val="00EC1003"/>
    <w:rsid w:val="00EC3691"/>
    <w:rsid w:val="00EC3842"/>
    <w:rsid w:val="00EC3B14"/>
    <w:rsid w:val="00EC4680"/>
    <w:rsid w:val="00EC6854"/>
    <w:rsid w:val="00EC70BD"/>
    <w:rsid w:val="00ED05BC"/>
    <w:rsid w:val="00ED0E4C"/>
    <w:rsid w:val="00ED21BB"/>
    <w:rsid w:val="00ED2422"/>
    <w:rsid w:val="00ED2988"/>
    <w:rsid w:val="00ED301D"/>
    <w:rsid w:val="00ED3980"/>
    <w:rsid w:val="00ED3FE9"/>
    <w:rsid w:val="00ED4AD3"/>
    <w:rsid w:val="00ED4E43"/>
    <w:rsid w:val="00ED66A9"/>
    <w:rsid w:val="00ED69B4"/>
    <w:rsid w:val="00ED7615"/>
    <w:rsid w:val="00EE0167"/>
    <w:rsid w:val="00EE0860"/>
    <w:rsid w:val="00EE096D"/>
    <w:rsid w:val="00EE0F98"/>
    <w:rsid w:val="00EE2019"/>
    <w:rsid w:val="00EE219A"/>
    <w:rsid w:val="00EE2426"/>
    <w:rsid w:val="00EE337A"/>
    <w:rsid w:val="00EE4F3A"/>
    <w:rsid w:val="00EE5F9C"/>
    <w:rsid w:val="00EE725A"/>
    <w:rsid w:val="00EE7773"/>
    <w:rsid w:val="00EF0EF4"/>
    <w:rsid w:val="00EF3CD5"/>
    <w:rsid w:val="00EF4511"/>
    <w:rsid w:val="00EF490F"/>
    <w:rsid w:val="00EF5EA4"/>
    <w:rsid w:val="00EF668F"/>
    <w:rsid w:val="00EF6766"/>
    <w:rsid w:val="00EF6D1A"/>
    <w:rsid w:val="00EF737D"/>
    <w:rsid w:val="00F004F6"/>
    <w:rsid w:val="00F00B04"/>
    <w:rsid w:val="00F01200"/>
    <w:rsid w:val="00F01A24"/>
    <w:rsid w:val="00F02C33"/>
    <w:rsid w:val="00F032DD"/>
    <w:rsid w:val="00F03604"/>
    <w:rsid w:val="00F037C2"/>
    <w:rsid w:val="00F03B06"/>
    <w:rsid w:val="00F03CCF"/>
    <w:rsid w:val="00F04386"/>
    <w:rsid w:val="00F048C2"/>
    <w:rsid w:val="00F04AF5"/>
    <w:rsid w:val="00F053FC"/>
    <w:rsid w:val="00F064DC"/>
    <w:rsid w:val="00F076BD"/>
    <w:rsid w:val="00F10750"/>
    <w:rsid w:val="00F10EBC"/>
    <w:rsid w:val="00F1178A"/>
    <w:rsid w:val="00F11F0D"/>
    <w:rsid w:val="00F1270D"/>
    <w:rsid w:val="00F13EE1"/>
    <w:rsid w:val="00F1493B"/>
    <w:rsid w:val="00F16D4D"/>
    <w:rsid w:val="00F176FB"/>
    <w:rsid w:val="00F17E2E"/>
    <w:rsid w:val="00F20B19"/>
    <w:rsid w:val="00F21847"/>
    <w:rsid w:val="00F21D60"/>
    <w:rsid w:val="00F22301"/>
    <w:rsid w:val="00F231BA"/>
    <w:rsid w:val="00F2366D"/>
    <w:rsid w:val="00F24232"/>
    <w:rsid w:val="00F24992"/>
    <w:rsid w:val="00F25012"/>
    <w:rsid w:val="00F2525E"/>
    <w:rsid w:val="00F26EE8"/>
    <w:rsid w:val="00F27924"/>
    <w:rsid w:val="00F3219F"/>
    <w:rsid w:val="00F32946"/>
    <w:rsid w:val="00F32E78"/>
    <w:rsid w:val="00F34299"/>
    <w:rsid w:val="00F36375"/>
    <w:rsid w:val="00F37E59"/>
    <w:rsid w:val="00F37F75"/>
    <w:rsid w:val="00F40003"/>
    <w:rsid w:val="00F409E5"/>
    <w:rsid w:val="00F4195C"/>
    <w:rsid w:val="00F41ABF"/>
    <w:rsid w:val="00F43051"/>
    <w:rsid w:val="00F44108"/>
    <w:rsid w:val="00F4794F"/>
    <w:rsid w:val="00F500C1"/>
    <w:rsid w:val="00F52271"/>
    <w:rsid w:val="00F52987"/>
    <w:rsid w:val="00F54342"/>
    <w:rsid w:val="00F54BF8"/>
    <w:rsid w:val="00F550CB"/>
    <w:rsid w:val="00F55573"/>
    <w:rsid w:val="00F5720E"/>
    <w:rsid w:val="00F5737B"/>
    <w:rsid w:val="00F61509"/>
    <w:rsid w:val="00F619FF"/>
    <w:rsid w:val="00F6365F"/>
    <w:rsid w:val="00F63D6B"/>
    <w:rsid w:val="00F65299"/>
    <w:rsid w:val="00F653CD"/>
    <w:rsid w:val="00F658A6"/>
    <w:rsid w:val="00F65D2D"/>
    <w:rsid w:val="00F6620F"/>
    <w:rsid w:val="00F664A5"/>
    <w:rsid w:val="00F6696A"/>
    <w:rsid w:val="00F67252"/>
    <w:rsid w:val="00F67463"/>
    <w:rsid w:val="00F6756A"/>
    <w:rsid w:val="00F70CC9"/>
    <w:rsid w:val="00F72EE3"/>
    <w:rsid w:val="00F737D1"/>
    <w:rsid w:val="00F737F3"/>
    <w:rsid w:val="00F73FC6"/>
    <w:rsid w:val="00F74097"/>
    <w:rsid w:val="00F743B0"/>
    <w:rsid w:val="00F80192"/>
    <w:rsid w:val="00F8107E"/>
    <w:rsid w:val="00F81AF7"/>
    <w:rsid w:val="00F81F17"/>
    <w:rsid w:val="00F8300B"/>
    <w:rsid w:val="00F838C5"/>
    <w:rsid w:val="00F83B3C"/>
    <w:rsid w:val="00F84CEA"/>
    <w:rsid w:val="00F8680A"/>
    <w:rsid w:val="00F911BE"/>
    <w:rsid w:val="00F9185B"/>
    <w:rsid w:val="00F91A17"/>
    <w:rsid w:val="00F92862"/>
    <w:rsid w:val="00F92BD8"/>
    <w:rsid w:val="00F92E4D"/>
    <w:rsid w:val="00F92EB4"/>
    <w:rsid w:val="00F92FB6"/>
    <w:rsid w:val="00F93E6F"/>
    <w:rsid w:val="00F943E3"/>
    <w:rsid w:val="00F94653"/>
    <w:rsid w:val="00F967FC"/>
    <w:rsid w:val="00F96C7B"/>
    <w:rsid w:val="00FA053C"/>
    <w:rsid w:val="00FA0AE5"/>
    <w:rsid w:val="00FA1BE2"/>
    <w:rsid w:val="00FA2AA4"/>
    <w:rsid w:val="00FA3278"/>
    <w:rsid w:val="00FA3780"/>
    <w:rsid w:val="00FA3E67"/>
    <w:rsid w:val="00FB03D2"/>
    <w:rsid w:val="00FB0828"/>
    <w:rsid w:val="00FB33D1"/>
    <w:rsid w:val="00FB3CC6"/>
    <w:rsid w:val="00FB495F"/>
    <w:rsid w:val="00FB54D1"/>
    <w:rsid w:val="00FB55B2"/>
    <w:rsid w:val="00FB6971"/>
    <w:rsid w:val="00FB6B92"/>
    <w:rsid w:val="00FB73F7"/>
    <w:rsid w:val="00FC1555"/>
    <w:rsid w:val="00FC1EDA"/>
    <w:rsid w:val="00FC2E1D"/>
    <w:rsid w:val="00FC39C8"/>
    <w:rsid w:val="00FC3AFD"/>
    <w:rsid w:val="00FC4259"/>
    <w:rsid w:val="00FC6E75"/>
    <w:rsid w:val="00FD004E"/>
    <w:rsid w:val="00FD0116"/>
    <w:rsid w:val="00FD0297"/>
    <w:rsid w:val="00FD06B2"/>
    <w:rsid w:val="00FD0AB9"/>
    <w:rsid w:val="00FD2C51"/>
    <w:rsid w:val="00FD2F04"/>
    <w:rsid w:val="00FD40CE"/>
    <w:rsid w:val="00FD41E4"/>
    <w:rsid w:val="00FD4282"/>
    <w:rsid w:val="00FD6D73"/>
    <w:rsid w:val="00FE0243"/>
    <w:rsid w:val="00FE097A"/>
    <w:rsid w:val="00FE138A"/>
    <w:rsid w:val="00FE28DC"/>
    <w:rsid w:val="00FE3405"/>
    <w:rsid w:val="00FE4291"/>
    <w:rsid w:val="00FE4F9D"/>
    <w:rsid w:val="00FE5A47"/>
    <w:rsid w:val="00FE5CB3"/>
    <w:rsid w:val="00FE6153"/>
    <w:rsid w:val="00FE641C"/>
    <w:rsid w:val="00FE6A48"/>
    <w:rsid w:val="00FE7290"/>
    <w:rsid w:val="00FE76FA"/>
    <w:rsid w:val="00FF0188"/>
    <w:rsid w:val="00FF13A2"/>
    <w:rsid w:val="00FF1463"/>
    <w:rsid w:val="00FF1471"/>
    <w:rsid w:val="00FF2BA5"/>
    <w:rsid w:val="00FF2D0B"/>
    <w:rsid w:val="00FF390E"/>
    <w:rsid w:val="00FF3DED"/>
    <w:rsid w:val="00FF5BDC"/>
    <w:rsid w:val="00FF5D0A"/>
    <w:rsid w:val="00FF614F"/>
    <w:rsid w:val="00FF6A0C"/>
    <w:rsid w:val="00FF7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nhideWhenUsed="0"/>
    <w:lsdException w:name="caption" w:locked="1" w:semiHidden="0" w:unhideWhenUsed="0" w:qFormat="1"/>
    <w:lsdException w:name="annotation reference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27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61692"/>
    <w:rPr>
      <w:rFonts w:eastAsia="PMingLiU" w:cs="Calibri"/>
      <w:lang w:eastAsia="zh-TW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D61692"/>
    <w:rPr>
      <w:rFonts w:eastAsia="PMingLiU" w:cs="Calibri"/>
      <w:sz w:val="22"/>
      <w:szCs w:val="22"/>
      <w:lang w:val="en-US" w:eastAsia="zh-TW" w:bidi="ar-SA"/>
    </w:rPr>
  </w:style>
  <w:style w:type="paragraph" w:styleId="ListParagraph">
    <w:name w:val="List Paragraph"/>
    <w:basedOn w:val="Normal"/>
    <w:uiPriority w:val="99"/>
    <w:qFormat/>
    <w:rsid w:val="00D61692"/>
    <w:pPr>
      <w:ind w:left="720"/>
    </w:pPr>
    <w:rPr>
      <w:rFonts w:eastAsia="PMingLiU" w:cs="Calibri"/>
      <w:lang w:eastAsia="zh-TW"/>
    </w:rPr>
  </w:style>
  <w:style w:type="paragraph" w:styleId="Caption">
    <w:name w:val="caption"/>
    <w:basedOn w:val="Normal"/>
    <w:next w:val="Normal"/>
    <w:link w:val="CaptionChar"/>
    <w:uiPriority w:val="99"/>
    <w:qFormat/>
    <w:rsid w:val="00D61692"/>
    <w:rPr>
      <w:rFonts w:eastAsia="PMingLiU" w:cs="Calibri"/>
      <w:b/>
      <w:bCs/>
      <w:sz w:val="20"/>
      <w:szCs w:val="20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rsid w:val="00D6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169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5C4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0421A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42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421A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42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421A3"/>
    <w:rPr>
      <w:b/>
      <w:bCs/>
    </w:rPr>
  </w:style>
  <w:style w:type="paragraph" w:customStyle="1" w:styleId="xmsonormal">
    <w:name w:val="x_msonormal"/>
    <w:basedOn w:val="Normal"/>
    <w:uiPriority w:val="99"/>
    <w:rsid w:val="006944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65FC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65FCD"/>
    <w:rPr>
      <w:rFonts w:cs="Times New Roman"/>
    </w:rPr>
  </w:style>
  <w:style w:type="paragraph" w:customStyle="1" w:styleId="msonospacing0">
    <w:name w:val="msonospacing"/>
    <w:uiPriority w:val="99"/>
    <w:rsid w:val="0055364A"/>
    <w:rPr>
      <w:rFonts w:ascii="PMingLiU" w:eastAsia="PMingLiU" w:hAnsi="Times New Roman"/>
      <w:lang w:eastAsia="zh-TW"/>
    </w:rPr>
  </w:style>
  <w:style w:type="table" w:styleId="TableGrid">
    <w:name w:val="Table Grid"/>
    <w:basedOn w:val="TableNormal"/>
    <w:uiPriority w:val="99"/>
    <w:rsid w:val="00CD130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384DC2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5253D1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styleId="FootnoteText">
    <w:name w:val="footnote text"/>
    <w:basedOn w:val="Normal"/>
    <w:link w:val="FootnoteTextChar"/>
    <w:uiPriority w:val="99"/>
    <w:semiHidden/>
    <w:rsid w:val="007F61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F61AF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F61AF"/>
    <w:rPr>
      <w:rFonts w:cs="Times New Roman"/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rsid w:val="0002564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6630B"/>
    <w:rPr>
      <w:rFonts w:ascii="Times New Roman" w:hAnsi="Times New Roman" w:cs="Times New Roman"/>
      <w:sz w:val="2"/>
    </w:rPr>
  </w:style>
  <w:style w:type="character" w:styleId="Hyperlink">
    <w:name w:val="Hyperlink"/>
    <w:basedOn w:val="DefaultParagraphFont"/>
    <w:uiPriority w:val="99"/>
    <w:rsid w:val="00034D4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497A"/>
    <w:rPr>
      <w:color w:val="800080"/>
      <w:u w:val="single"/>
    </w:rPr>
  </w:style>
  <w:style w:type="paragraph" w:customStyle="1" w:styleId="xl170">
    <w:name w:val="xl170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171">
    <w:name w:val="xl171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172">
    <w:name w:val="xl17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173">
    <w:name w:val="xl17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4">
    <w:name w:val="xl17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5">
    <w:name w:val="xl17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6">
    <w:name w:val="xl17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7">
    <w:name w:val="xl17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8">
    <w:name w:val="xl17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9">
    <w:name w:val="xl17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0">
    <w:name w:val="xl18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1">
    <w:name w:val="xl18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2">
    <w:name w:val="xl18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3">
    <w:name w:val="xl18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4">
    <w:name w:val="xl18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5">
    <w:name w:val="xl18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6">
    <w:name w:val="xl18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7">
    <w:name w:val="xl18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8">
    <w:name w:val="xl18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189">
    <w:name w:val="xl18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0">
    <w:name w:val="xl19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1">
    <w:name w:val="xl19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2">
    <w:name w:val="xl19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3">
    <w:name w:val="xl19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4">
    <w:name w:val="xl19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5">
    <w:name w:val="xl19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6">
    <w:name w:val="xl19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7">
    <w:name w:val="xl19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8">
    <w:name w:val="xl19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9">
    <w:name w:val="xl19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00">
    <w:name w:val="xl20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1">
    <w:name w:val="xl20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2">
    <w:name w:val="xl20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3">
    <w:name w:val="xl20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4">
    <w:name w:val="xl20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5">
    <w:name w:val="xl20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6">
    <w:name w:val="xl20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7">
    <w:name w:val="xl20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8">
    <w:name w:val="xl20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9">
    <w:name w:val="xl20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10">
    <w:name w:val="xl21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1">
    <w:name w:val="xl21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2">
    <w:name w:val="xl21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3">
    <w:name w:val="xl21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4">
    <w:name w:val="xl21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5">
    <w:name w:val="xl21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6">
    <w:name w:val="xl216"/>
    <w:basedOn w:val="Normal"/>
    <w:rsid w:val="000349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7">
    <w:name w:val="xl21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character" w:customStyle="1" w:styleId="hps">
    <w:name w:val="hps"/>
    <w:basedOn w:val="DefaultParagraphFont"/>
    <w:rsid w:val="00172816"/>
  </w:style>
  <w:style w:type="character" w:customStyle="1" w:styleId="atn">
    <w:name w:val="atn"/>
    <w:basedOn w:val="DefaultParagraphFont"/>
    <w:rsid w:val="00172816"/>
  </w:style>
  <w:style w:type="paragraph" w:customStyle="1" w:styleId="xl230">
    <w:name w:val="xl230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31">
    <w:name w:val="xl231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32">
    <w:name w:val="xl23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3">
    <w:name w:val="xl233"/>
    <w:basedOn w:val="Normal"/>
    <w:rsid w:val="00842C5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4">
    <w:name w:val="xl234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5">
    <w:name w:val="xl23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6">
    <w:name w:val="xl236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color w:val="FF0000"/>
      <w:sz w:val="18"/>
      <w:szCs w:val="18"/>
      <w:lang w:val="sr-Latn-CS" w:eastAsia="sr-Latn-CS"/>
    </w:rPr>
  </w:style>
  <w:style w:type="paragraph" w:customStyle="1" w:styleId="xl237">
    <w:name w:val="xl237"/>
    <w:basedOn w:val="Normal"/>
    <w:rsid w:val="00842C5E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8">
    <w:name w:val="xl23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39">
    <w:name w:val="xl23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0">
    <w:name w:val="xl24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1">
    <w:name w:val="xl24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2">
    <w:name w:val="xl24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3">
    <w:name w:val="xl24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4">
    <w:name w:val="xl24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5">
    <w:name w:val="xl24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6">
    <w:name w:val="xl24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7">
    <w:name w:val="xl24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8">
    <w:name w:val="xl24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9">
    <w:name w:val="xl24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0">
    <w:name w:val="xl25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1">
    <w:name w:val="xl25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2">
    <w:name w:val="xl25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253">
    <w:name w:val="xl25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4">
    <w:name w:val="xl25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5">
    <w:name w:val="xl25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6">
    <w:name w:val="xl25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7">
    <w:name w:val="xl25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8">
    <w:name w:val="xl25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9">
    <w:name w:val="xl25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0">
    <w:name w:val="xl26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1">
    <w:name w:val="xl26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2">
    <w:name w:val="xl26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3">
    <w:name w:val="xl26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64">
    <w:name w:val="xl26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5">
    <w:name w:val="xl26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6">
    <w:name w:val="xl26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7">
    <w:name w:val="xl26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8">
    <w:name w:val="xl26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9">
    <w:name w:val="xl26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0">
    <w:name w:val="xl27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1">
    <w:name w:val="xl27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2">
    <w:name w:val="xl27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3">
    <w:name w:val="xl27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4">
    <w:name w:val="xl27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5">
    <w:name w:val="xl27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6">
    <w:name w:val="xl27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7">
    <w:name w:val="xl27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8">
    <w:name w:val="xl27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9">
    <w:name w:val="xl279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80">
    <w:name w:val="xl28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1">
    <w:name w:val="xl28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2">
    <w:name w:val="xl28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3">
    <w:name w:val="xl28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4">
    <w:name w:val="xl28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5">
    <w:name w:val="xl28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6">
    <w:name w:val="xl286"/>
    <w:basedOn w:val="Normal"/>
    <w:rsid w:val="00842C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7">
    <w:name w:val="xl287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8">
    <w:name w:val="xl288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9">
    <w:name w:val="xl289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0">
    <w:name w:val="xl290"/>
    <w:basedOn w:val="Normal"/>
    <w:rsid w:val="00CE3C0D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91">
    <w:name w:val="xl291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2">
    <w:name w:val="xl292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3">
    <w:name w:val="xl293"/>
    <w:basedOn w:val="Normal"/>
    <w:rsid w:val="00CE3C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94">
    <w:name w:val="xl294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95">
    <w:name w:val="xl295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96">
    <w:name w:val="xl296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7">
    <w:name w:val="xl297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8">
    <w:name w:val="xl298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9">
    <w:name w:val="xl299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0">
    <w:name w:val="xl300"/>
    <w:basedOn w:val="Normal"/>
    <w:rsid w:val="00CE3C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1">
    <w:name w:val="xl301"/>
    <w:basedOn w:val="Normal"/>
    <w:rsid w:val="00CE3C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2">
    <w:name w:val="xl30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3">
    <w:name w:val="xl30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4">
    <w:name w:val="xl30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5">
    <w:name w:val="xl30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6">
    <w:name w:val="xl30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7">
    <w:name w:val="xl30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8">
    <w:name w:val="xl30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9">
    <w:name w:val="xl30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0">
    <w:name w:val="xl31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1">
    <w:name w:val="xl31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2">
    <w:name w:val="xl31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3">
    <w:name w:val="xl31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314">
    <w:name w:val="xl31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15">
    <w:name w:val="xl31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16">
    <w:name w:val="xl31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7">
    <w:name w:val="xl31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8">
    <w:name w:val="xl31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9">
    <w:name w:val="xl31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0">
    <w:name w:val="xl32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1">
    <w:name w:val="xl32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2">
    <w:name w:val="xl32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3">
    <w:name w:val="xl323"/>
    <w:basedOn w:val="Normal"/>
    <w:rsid w:val="00052BB7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324">
    <w:name w:val="xl324"/>
    <w:basedOn w:val="Normal"/>
    <w:rsid w:val="00052B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5">
    <w:name w:val="xl325"/>
    <w:basedOn w:val="Normal"/>
    <w:rsid w:val="00052B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6">
    <w:name w:val="xl32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27">
    <w:name w:val="xl32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28">
    <w:name w:val="xl328"/>
    <w:basedOn w:val="Normal"/>
    <w:rsid w:val="00052B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29">
    <w:name w:val="xl32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4"/>
      <w:szCs w:val="14"/>
      <w:lang w:val="sr-Latn-CS" w:eastAsia="sr-Latn-CS"/>
    </w:rPr>
  </w:style>
  <w:style w:type="paragraph" w:customStyle="1" w:styleId="xl330">
    <w:name w:val="xl33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31">
    <w:name w:val="xl331"/>
    <w:basedOn w:val="Normal"/>
    <w:rsid w:val="00052BB7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32">
    <w:name w:val="xl33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3">
    <w:name w:val="xl33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4">
    <w:name w:val="xl33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5">
    <w:name w:val="xl33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6">
    <w:name w:val="xl33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7">
    <w:name w:val="xl33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8">
    <w:name w:val="xl33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9">
    <w:name w:val="xl33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0">
    <w:name w:val="xl340"/>
    <w:basedOn w:val="Normal"/>
    <w:rsid w:val="00052BB7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color w:val="FF0000"/>
      <w:sz w:val="14"/>
      <w:szCs w:val="14"/>
      <w:lang w:val="sr-Latn-CS" w:eastAsia="sr-Latn-CS"/>
    </w:rPr>
  </w:style>
  <w:style w:type="paragraph" w:customStyle="1" w:styleId="xl341">
    <w:name w:val="xl34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2">
    <w:name w:val="xl34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3">
    <w:name w:val="xl34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4">
    <w:name w:val="xl34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5">
    <w:name w:val="xl34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6">
    <w:name w:val="xl34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7">
    <w:name w:val="xl34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8">
    <w:name w:val="xl34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9">
    <w:name w:val="xl34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0">
    <w:name w:val="xl35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1">
    <w:name w:val="xl35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2">
    <w:name w:val="xl35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3">
    <w:name w:val="xl35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4">
    <w:name w:val="xl35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5">
    <w:name w:val="xl35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6">
    <w:name w:val="xl35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7">
    <w:name w:val="xl35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8">
    <w:name w:val="xl358"/>
    <w:basedOn w:val="Normal"/>
    <w:rsid w:val="00052BB7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59">
    <w:name w:val="xl35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0">
    <w:name w:val="xl36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1">
    <w:name w:val="xl36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2">
    <w:name w:val="xl36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3">
    <w:name w:val="xl363"/>
    <w:basedOn w:val="Normal"/>
    <w:rsid w:val="00052B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4">
    <w:name w:val="xl364"/>
    <w:basedOn w:val="Normal"/>
    <w:rsid w:val="00052B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5">
    <w:name w:val="xl36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66">
    <w:name w:val="xl36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7">
    <w:name w:val="xl36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68">
    <w:name w:val="xl36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9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76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8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19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9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238372">
                                      <w:marLeft w:val="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66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03605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dovan.zivkovic\Dropbox\MINISTARSTVO%20FINANSIJA%20(1)\SEP\02_MMI\MMI%202014\MMI%202014-09\mmi%202014-09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dolasci%20i%20no&#263;enja%20(Rusija%20i%20Ukrajina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_sirovi%20podaci_2013%2002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Documents%20and%20Settings\olja.tomanovic\My%20Documents\Dropbox\MINISTARSTVO%20FINANSIJA\SEP\02_MMI\MMI%202014\MMI%202014-09\mmi%202014-09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tanko.jeknic\Desktop\Dropbox\MINISTARSTVO%20FINANSIJA%20(1)\SEP\02_MMI\MMI%202014\MMI%202014-09\mmi%202014-09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ja.novosel\Desktop\ratko\Book1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zdenka.dabovic\Desktop\MMI\Meso%20i%20mesne%20preradjevin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 sz="1000"/>
            </a:pPr>
            <a:r>
              <a:rPr lang="en-US" sz="1000"/>
              <a:t>Inflacija u Eurozoni</a:t>
            </a:r>
          </a:p>
        </c:rich>
      </c:tx>
      <c:layout>
        <c:manualLayout>
          <c:xMode val="edge"/>
          <c:yMode val="edge"/>
          <c:x val="0.31181685499058642"/>
          <c:y val="0"/>
        </c:manualLayout>
      </c:layout>
      <c:overlay val="1"/>
    </c:title>
    <c:plotArea>
      <c:layout>
        <c:manualLayout>
          <c:layoutTarget val="inner"/>
          <c:xMode val="edge"/>
          <c:yMode val="edge"/>
          <c:x val="0.15914830508474681"/>
          <c:y val="9.3186582809224344E-2"/>
          <c:w val="0.81387947269304117"/>
          <c:h val="0.69766509433962665"/>
        </c:manualLayout>
      </c:layout>
      <c:lineChart>
        <c:grouping val="standard"/>
        <c:ser>
          <c:idx val="0"/>
          <c:order val="0"/>
          <c:marker>
            <c:symbol val="none"/>
          </c:marker>
          <c:cat>
            <c:strRef>
              <c:f>'Database za makro'!$G$53:$AX$53</c:f>
              <c:strCache>
                <c:ptCount val="44"/>
                <c:pt idx="0">
                  <c:v>2011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2012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2013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  <c:pt idx="28">
                  <c:v>V</c:v>
                </c:pt>
                <c:pt idx="29">
                  <c:v>VI</c:v>
                </c:pt>
                <c:pt idx="30">
                  <c:v>VII</c:v>
                </c:pt>
                <c:pt idx="31">
                  <c:v>VIII</c:v>
                </c:pt>
                <c:pt idx="32">
                  <c:v>IX</c:v>
                </c:pt>
                <c:pt idx="33">
                  <c:v>X</c:v>
                </c:pt>
                <c:pt idx="34">
                  <c:v>XI</c:v>
                </c:pt>
                <c:pt idx="35">
                  <c:v>XII</c:v>
                </c:pt>
                <c:pt idx="36">
                  <c:v>2014</c:v>
                </c:pt>
                <c:pt idx="37">
                  <c:v>II</c:v>
                </c:pt>
                <c:pt idx="38">
                  <c:v>III</c:v>
                </c:pt>
                <c:pt idx="39">
                  <c:v>IV</c:v>
                </c:pt>
                <c:pt idx="40">
                  <c:v>V</c:v>
                </c:pt>
                <c:pt idx="41">
                  <c:v>VI</c:v>
                </c:pt>
                <c:pt idx="42">
                  <c:v>VII</c:v>
                </c:pt>
                <c:pt idx="43">
                  <c:v>VIII</c:v>
                </c:pt>
              </c:strCache>
            </c:strRef>
          </c:cat>
          <c:val>
            <c:numRef>
              <c:f>'Database za makro'!$G$48:$AX$48</c:f>
              <c:numCache>
                <c:formatCode>0.00</c:formatCode>
                <c:ptCount val="44"/>
                <c:pt idx="0">
                  <c:v>2.2999999999999998</c:v>
                </c:pt>
                <c:pt idx="1">
                  <c:v>2.4</c:v>
                </c:pt>
                <c:pt idx="2">
                  <c:v>2.7</c:v>
                </c:pt>
                <c:pt idx="3">
                  <c:v>2.8</c:v>
                </c:pt>
                <c:pt idx="4">
                  <c:v>2.7</c:v>
                </c:pt>
                <c:pt idx="5">
                  <c:v>2.7</c:v>
                </c:pt>
                <c:pt idx="6">
                  <c:v>2.5</c:v>
                </c:pt>
                <c:pt idx="7">
                  <c:v>2.5</c:v>
                </c:pt>
                <c:pt idx="8">
                  <c:v>3</c:v>
                </c:pt>
                <c:pt idx="9">
                  <c:v>3</c:v>
                </c:pt>
                <c:pt idx="10">
                  <c:v>3</c:v>
                </c:pt>
                <c:pt idx="11">
                  <c:v>2.7</c:v>
                </c:pt>
                <c:pt idx="12">
                  <c:v>2.7</c:v>
                </c:pt>
                <c:pt idx="13">
                  <c:v>2.73</c:v>
                </c:pt>
                <c:pt idx="14">
                  <c:v>2.7</c:v>
                </c:pt>
                <c:pt idx="15">
                  <c:v>2.6</c:v>
                </c:pt>
                <c:pt idx="16">
                  <c:v>2.4</c:v>
                </c:pt>
                <c:pt idx="17">
                  <c:v>2.4</c:v>
                </c:pt>
                <c:pt idx="18">
                  <c:v>2.4</c:v>
                </c:pt>
                <c:pt idx="19">
                  <c:v>2.4</c:v>
                </c:pt>
                <c:pt idx="20">
                  <c:v>2.6</c:v>
                </c:pt>
                <c:pt idx="21">
                  <c:v>2.5</c:v>
                </c:pt>
                <c:pt idx="22">
                  <c:v>2.2000000000000002</c:v>
                </c:pt>
                <c:pt idx="23">
                  <c:v>2.2000000000000002</c:v>
                </c:pt>
                <c:pt idx="24">
                  <c:v>2</c:v>
                </c:pt>
                <c:pt idx="25">
                  <c:v>1.8</c:v>
                </c:pt>
                <c:pt idx="26">
                  <c:v>1.7000000000000024</c:v>
                </c:pt>
                <c:pt idx="27">
                  <c:v>1.2</c:v>
                </c:pt>
                <c:pt idx="28">
                  <c:v>1.4</c:v>
                </c:pt>
                <c:pt idx="29">
                  <c:v>1.6</c:v>
                </c:pt>
                <c:pt idx="30">
                  <c:v>1.6</c:v>
                </c:pt>
                <c:pt idx="31">
                  <c:v>1.3</c:v>
                </c:pt>
                <c:pt idx="32">
                  <c:v>1.1000000000000001</c:v>
                </c:pt>
                <c:pt idx="33">
                  <c:v>0.70000000000000062</c:v>
                </c:pt>
                <c:pt idx="34">
                  <c:v>0.9</c:v>
                </c:pt>
                <c:pt idx="35">
                  <c:v>0.8</c:v>
                </c:pt>
                <c:pt idx="36">
                  <c:v>0.8</c:v>
                </c:pt>
                <c:pt idx="37">
                  <c:v>0.70000000000000062</c:v>
                </c:pt>
                <c:pt idx="38">
                  <c:v>0.5</c:v>
                </c:pt>
                <c:pt idx="39">
                  <c:v>0.70000000000000062</c:v>
                </c:pt>
                <c:pt idx="40">
                  <c:v>0.5</c:v>
                </c:pt>
                <c:pt idx="41">
                  <c:v>0.5</c:v>
                </c:pt>
                <c:pt idx="42">
                  <c:v>0.4</c:v>
                </c:pt>
                <c:pt idx="43">
                  <c:v>0.4</c:v>
                </c:pt>
              </c:numCache>
            </c:numRef>
          </c:val>
        </c:ser>
        <c:marker val="1"/>
        <c:axId val="90401408"/>
        <c:axId val="90796416"/>
      </c:lineChart>
      <c:catAx>
        <c:axId val="90401408"/>
        <c:scaling>
          <c:orientation val="minMax"/>
        </c:scaling>
        <c:axPos val="b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90796416"/>
        <c:crosses val="autoZero"/>
        <c:auto val="1"/>
        <c:lblAlgn val="ctr"/>
        <c:lblOffset val="100"/>
      </c:catAx>
      <c:valAx>
        <c:axId val="90796416"/>
        <c:scaling>
          <c:orientation val="minMax"/>
        </c:scaling>
        <c:axPos val="l"/>
        <c:majorGridlines>
          <c:spPr>
            <a:ln w="6350">
              <a:prstDash val="sysDot"/>
            </a:ln>
          </c:spPr>
        </c:majorGridlines>
        <c:numFmt formatCode="0.00" sourceLinked="1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90401408"/>
        <c:crosses val="autoZero"/>
        <c:crossBetween val="between"/>
      </c:valAx>
    </c:plotArea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 sz="1000" b="1"/>
            </a:pPr>
            <a:r>
              <a:rPr lang="en-US" sz="1000" b="1"/>
              <a:t>Noćenja </a:t>
            </a:r>
            <a:r>
              <a:rPr lang="sr-Latn-CS" sz="1000" b="1"/>
              <a:t>stranih </a:t>
            </a:r>
            <a:r>
              <a:rPr lang="en-US" sz="1000" b="1"/>
              <a:t>turista, </a:t>
            </a:r>
            <a:endParaRPr lang="sr-Latn-CS" sz="1000" b="1"/>
          </a:p>
          <a:p>
            <a:pPr>
              <a:defRPr lang="sr-Latn-CS" sz="1000" b="1"/>
            </a:pPr>
            <a:r>
              <a:rPr lang="en-US" sz="1000" b="1"/>
              <a:t>stope rasta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v>Rusija</c:v>
          </c:tx>
          <c:marker>
            <c:symbol val="none"/>
          </c:marker>
          <c:cat>
            <c:strRef>
              <c:f>Sheet1!$N$50:$Z$50</c:f>
              <c:strCache>
                <c:ptCount val="13"/>
                <c:pt idx="0">
                  <c:v>VIII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2014</c:v>
                </c:pt>
                <c:pt idx="6">
                  <c:v>II</c:v>
                </c:pt>
                <c:pt idx="7">
                  <c:v>III</c:v>
                </c:pt>
                <c:pt idx="8">
                  <c:v>IV</c:v>
                </c:pt>
                <c:pt idx="9">
                  <c:v>V</c:v>
                </c:pt>
                <c:pt idx="10">
                  <c:v>VI</c:v>
                </c:pt>
                <c:pt idx="11">
                  <c:v>VII</c:v>
                </c:pt>
                <c:pt idx="12">
                  <c:v>VIII</c:v>
                </c:pt>
              </c:strCache>
            </c:strRef>
          </c:cat>
          <c:val>
            <c:numRef>
              <c:f>Sheet1!$N$58:$Z$58</c:f>
              <c:numCache>
                <c:formatCode>0.0</c:formatCode>
                <c:ptCount val="13"/>
                <c:pt idx="0">
                  <c:v>9.5664292186002093</c:v>
                </c:pt>
                <c:pt idx="1">
                  <c:v>8.8887164225438688</c:v>
                </c:pt>
                <c:pt idx="2">
                  <c:v>49.398911097306978</c:v>
                </c:pt>
                <c:pt idx="3">
                  <c:v>34.030509450254144</c:v>
                </c:pt>
                <c:pt idx="4">
                  <c:v>116.64653297898045</c:v>
                </c:pt>
                <c:pt idx="5">
                  <c:v>17.143700206550587</c:v>
                </c:pt>
                <c:pt idx="6">
                  <c:v>-3.3398501140436259</c:v>
                </c:pt>
                <c:pt idx="7">
                  <c:v>33.068783068783056</c:v>
                </c:pt>
                <c:pt idx="8">
                  <c:v>11.793635030973666</c:v>
                </c:pt>
                <c:pt idx="9">
                  <c:v>0.34333190787463025</c:v>
                </c:pt>
                <c:pt idx="10">
                  <c:v>9.4198609907908519</c:v>
                </c:pt>
                <c:pt idx="11">
                  <c:v>12.622247649873868</c:v>
                </c:pt>
                <c:pt idx="12">
                  <c:v>5.2409561859263931</c:v>
                </c:pt>
              </c:numCache>
            </c:numRef>
          </c:val>
          <c:smooth val="1"/>
        </c:ser>
        <c:ser>
          <c:idx val="1"/>
          <c:order val="1"/>
          <c:tx>
            <c:v>Ukrajina</c:v>
          </c:tx>
          <c:marker>
            <c:symbol val="none"/>
          </c:marker>
          <c:cat>
            <c:strRef>
              <c:f>Sheet1!$N$50:$Z$50</c:f>
              <c:strCache>
                <c:ptCount val="13"/>
                <c:pt idx="0">
                  <c:v>VIII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2014</c:v>
                </c:pt>
                <c:pt idx="6">
                  <c:v>II</c:v>
                </c:pt>
                <c:pt idx="7">
                  <c:v>III</c:v>
                </c:pt>
                <c:pt idx="8">
                  <c:v>IV</c:v>
                </c:pt>
                <c:pt idx="9">
                  <c:v>V</c:v>
                </c:pt>
                <c:pt idx="10">
                  <c:v>VI</c:v>
                </c:pt>
                <c:pt idx="11">
                  <c:v>VII</c:v>
                </c:pt>
                <c:pt idx="12">
                  <c:v>VIII</c:v>
                </c:pt>
              </c:strCache>
            </c:strRef>
          </c:cat>
          <c:val>
            <c:numRef>
              <c:f>Sheet1!$N$59:$Z$59</c:f>
              <c:numCache>
                <c:formatCode>0.0</c:formatCode>
                <c:ptCount val="13"/>
                <c:pt idx="0">
                  <c:v>14.090575861398278</c:v>
                </c:pt>
                <c:pt idx="1">
                  <c:v>74.983434808156318</c:v>
                </c:pt>
                <c:pt idx="2">
                  <c:v>60.06289308176099</c:v>
                </c:pt>
                <c:pt idx="3">
                  <c:v>62.975027144408251</c:v>
                </c:pt>
                <c:pt idx="4">
                  <c:v>113.39130434782605</c:v>
                </c:pt>
                <c:pt idx="5">
                  <c:v>84.776119402985074</c:v>
                </c:pt>
                <c:pt idx="6">
                  <c:v>59.830866807610661</c:v>
                </c:pt>
                <c:pt idx="7">
                  <c:v>199.42446043165467</c:v>
                </c:pt>
                <c:pt idx="8">
                  <c:v>77.829747427501857</c:v>
                </c:pt>
                <c:pt idx="9">
                  <c:v>68.180708180707569</c:v>
                </c:pt>
                <c:pt idx="10">
                  <c:v>7.167614936890911</c:v>
                </c:pt>
                <c:pt idx="11">
                  <c:v>17.132344486604591</c:v>
                </c:pt>
                <c:pt idx="12">
                  <c:v>-3.7058892954089515</c:v>
                </c:pt>
              </c:numCache>
            </c:numRef>
          </c:val>
          <c:smooth val="1"/>
        </c:ser>
        <c:ser>
          <c:idx val="2"/>
          <c:order val="2"/>
          <c:tx>
            <c:v>Srbija</c:v>
          </c:tx>
          <c:marker>
            <c:symbol val="none"/>
          </c:marker>
          <c:cat>
            <c:strRef>
              <c:f>Sheet1!$N$50:$Z$50</c:f>
              <c:strCache>
                <c:ptCount val="13"/>
                <c:pt idx="0">
                  <c:v>VIII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2014</c:v>
                </c:pt>
                <c:pt idx="6">
                  <c:v>II</c:v>
                </c:pt>
                <c:pt idx="7">
                  <c:v>III</c:v>
                </c:pt>
                <c:pt idx="8">
                  <c:v>IV</c:v>
                </c:pt>
                <c:pt idx="9">
                  <c:v>V</c:v>
                </c:pt>
                <c:pt idx="10">
                  <c:v>VI</c:v>
                </c:pt>
                <c:pt idx="11">
                  <c:v>VII</c:v>
                </c:pt>
                <c:pt idx="12">
                  <c:v>VIII</c:v>
                </c:pt>
              </c:strCache>
            </c:strRef>
          </c:cat>
          <c:val>
            <c:numRef>
              <c:f>Sheet1!$N$60:$Z$60</c:f>
              <c:numCache>
                <c:formatCode>0.0</c:formatCode>
                <c:ptCount val="13"/>
                <c:pt idx="0">
                  <c:v>-0.53423159278447963</c:v>
                </c:pt>
                <c:pt idx="1">
                  <c:v>2.0275682663557792</c:v>
                </c:pt>
                <c:pt idx="2">
                  <c:v>-1.0895800289635313</c:v>
                </c:pt>
                <c:pt idx="3">
                  <c:v>-4.526534859521294</c:v>
                </c:pt>
                <c:pt idx="4">
                  <c:v>35.758071107478543</c:v>
                </c:pt>
                <c:pt idx="5">
                  <c:v>12.581983670191399</c:v>
                </c:pt>
                <c:pt idx="6">
                  <c:v>-3.7040805942810682</c:v>
                </c:pt>
                <c:pt idx="7">
                  <c:v>28.782540614601537</c:v>
                </c:pt>
                <c:pt idx="8">
                  <c:v>-11.604316081928019</c:v>
                </c:pt>
                <c:pt idx="9">
                  <c:v>6.6942096764045855</c:v>
                </c:pt>
                <c:pt idx="10">
                  <c:v>-9.097217668786751</c:v>
                </c:pt>
                <c:pt idx="11">
                  <c:v>-3.3947748864105742</c:v>
                </c:pt>
                <c:pt idx="12">
                  <c:v>-0.93027289725802165</c:v>
                </c:pt>
              </c:numCache>
            </c:numRef>
          </c:val>
          <c:smooth val="1"/>
        </c:ser>
        <c:marker val="1"/>
        <c:axId val="90825856"/>
        <c:axId val="90827392"/>
      </c:lineChart>
      <c:catAx>
        <c:axId val="90825856"/>
        <c:scaling>
          <c:orientation val="minMax"/>
        </c:scaling>
        <c:axPos val="b"/>
        <c:tickLblPos val="nextTo"/>
        <c:txPr>
          <a:bodyPr/>
          <a:lstStyle/>
          <a:p>
            <a:pPr>
              <a:defRPr lang="sr-Latn-CS" sz="600"/>
            </a:pPr>
            <a:endParaRPr lang="en-US"/>
          </a:p>
        </c:txPr>
        <c:crossAx val="90827392"/>
        <c:crosses val="autoZero"/>
        <c:auto val="1"/>
        <c:lblAlgn val="ctr"/>
        <c:lblOffset val="100"/>
      </c:catAx>
      <c:valAx>
        <c:axId val="90827392"/>
        <c:scaling>
          <c:orientation val="minMax"/>
        </c:scaling>
        <c:axPos val="l"/>
        <c:numFmt formatCode="0.0" sourceLinked="1"/>
        <c:tickLblPos val="nextTo"/>
        <c:txPr>
          <a:bodyPr/>
          <a:lstStyle/>
          <a:p>
            <a:pPr>
              <a:defRPr lang="sr-Latn-CS" sz="600"/>
            </a:pPr>
            <a:endParaRPr lang="en-US"/>
          </a:p>
        </c:txPr>
        <c:crossAx val="90825856"/>
        <c:crosses val="autoZero"/>
        <c:crossBetween val="between"/>
      </c:valAx>
      <c:spPr>
        <a:ln>
          <a:noFill/>
        </a:ln>
      </c:spPr>
    </c:plotArea>
    <c:legend>
      <c:legendPos val="b"/>
      <c:txPr>
        <a:bodyPr/>
        <a:lstStyle/>
        <a:p>
          <a:pPr>
            <a:defRPr lang="sr-Latn-CS" sz="600"/>
          </a:pPr>
          <a:endParaRPr lang="en-US"/>
        </a:p>
      </c:txPr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 sz="1000"/>
            </a:pPr>
            <a:r>
              <a:rPr lang="sr-Latn-CS" sz="1000"/>
              <a:t>Ci</a:t>
            </a:r>
            <a:r>
              <a:rPr lang="en-US" sz="1000"/>
              <a:t>jene</a:t>
            </a:r>
          </a:p>
        </c:rich>
      </c:tx>
      <c:layout>
        <c:manualLayout>
          <c:xMode val="edge"/>
          <c:yMode val="edge"/>
          <c:x val="0.42544047619047892"/>
          <c:y val="2.2398589065255731E-2"/>
        </c:manualLayout>
      </c:layout>
    </c:title>
    <c:plotArea>
      <c:layout>
        <c:manualLayout>
          <c:layoutTarget val="inner"/>
          <c:xMode val="edge"/>
          <c:yMode val="edge"/>
          <c:x val="0.15855379188712729"/>
          <c:y val="0.12434038800705458"/>
          <c:w val="0.77985008818342594"/>
          <c:h val="0.51202910052910444"/>
        </c:manualLayout>
      </c:layout>
      <c:lineChart>
        <c:grouping val="standard"/>
        <c:ser>
          <c:idx val="0"/>
          <c:order val="0"/>
          <c:tx>
            <c:strRef>
              <c:f>'Makroekonomski indikatori'!$C$21</c:f>
              <c:strCache>
                <c:ptCount val="1"/>
                <c:pt idx="0">
                  <c:v>CPI-godišnje stope rasta</c:v>
                </c:pt>
              </c:strCache>
            </c:strRef>
          </c:tx>
          <c:spPr>
            <a:ln w="28575">
              <a:solidFill>
                <a:srgbClr val="0000FF"/>
              </a:solidFill>
              <a:prstDash val="sysDot"/>
            </a:ln>
          </c:spPr>
          <c:marker>
            <c:symbol val="none"/>
          </c:marker>
          <c:cat>
            <c:strRef>
              <c:f>'Makroekonomski indikatori'!$AI$30:$AV$30</c:f>
              <c:strCache>
                <c:ptCount val="13"/>
                <c:pt idx="0">
                  <c:v>VIII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2014</c:v>
                </c:pt>
                <c:pt idx="6">
                  <c:v>II</c:v>
                </c:pt>
                <c:pt idx="7">
                  <c:v>III</c:v>
                </c:pt>
                <c:pt idx="8">
                  <c:v>IV</c:v>
                </c:pt>
                <c:pt idx="9">
                  <c:v>V</c:v>
                </c:pt>
                <c:pt idx="10">
                  <c:v>VI</c:v>
                </c:pt>
                <c:pt idx="11">
                  <c:v>VII</c:v>
                </c:pt>
                <c:pt idx="12">
                  <c:v>VIII</c:v>
                </c:pt>
              </c:strCache>
            </c:strRef>
          </c:cat>
          <c:val>
            <c:numRef>
              <c:f>'Makroekonomski indikatori'!$AI$21:$AV$21</c:f>
              <c:numCache>
                <c:formatCode>0.0</c:formatCode>
                <c:ptCount val="13"/>
                <c:pt idx="0">
                  <c:v>2.2000000000000002</c:v>
                </c:pt>
                <c:pt idx="1">
                  <c:v>1.8</c:v>
                </c:pt>
                <c:pt idx="2">
                  <c:v>0.5</c:v>
                </c:pt>
                <c:pt idx="3">
                  <c:v>0</c:v>
                </c:pt>
                <c:pt idx="4">
                  <c:v>0.30000000000000032</c:v>
                </c:pt>
                <c:pt idx="5" formatCode="General">
                  <c:v>-0.4</c:v>
                </c:pt>
                <c:pt idx="6" formatCode="General">
                  <c:v>-0.60000000000000064</c:v>
                </c:pt>
                <c:pt idx="7" formatCode="General">
                  <c:v>-0.9</c:v>
                </c:pt>
                <c:pt idx="8" formatCode="General">
                  <c:v>-1.4</c:v>
                </c:pt>
                <c:pt idx="9" formatCode="General">
                  <c:v>-1.3</c:v>
                </c:pt>
                <c:pt idx="10" formatCode="General">
                  <c:v>-0.1</c:v>
                </c:pt>
                <c:pt idx="11" formatCode="General">
                  <c:v>-1.2</c:v>
                </c:pt>
                <c:pt idx="12" formatCode="General">
                  <c:v>-1.1000000000000001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'Makroekonomski indikatori'!$C$23</c:f>
              <c:strCache>
                <c:ptCount val="1"/>
                <c:pt idx="0">
                  <c:v>HICP-godišnje stope rasta</c:v>
                </c:pt>
              </c:strCache>
            </c:strRef>
          </c:tx>
          <c:spPr>
            <a:ln w="28575">
              <a:solidFill>
                <a:srgbClr val="CC0099"/>
              </a:solidFill>
            </a:ln>
          </c:spPr>
          <c:marker>
            <c:symbol val="none"/>
          </c:marker>
          <c:cat>
            <c:strRef>
              <c:f>'Makroekonomski indikatori'!$AI$30:$AV$30</c:f>
              <c:strCache>
                <c:ptCount val="13"/>
                <c:pt idx="0">
                  <c:v>VIII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2014</c:v>
                </c:pt>
                <c:pt idx="6">
                  <c:v>II</c:v>
                </c:pt>
                <c:pt idx="7">
                  <c:v>III</c:v>
                </c:pt>
                <c:pt idx="8">
                  <c:v>IV</c:v>
                </c:pt>
                <c:pt idx="9">
                  <c:v>V</c:v>
                </c:pt>
                <c:pt idx="10">
                  <c:v>VI</c:v>
                </c:pt>
                <c:pt idx="11">
                  <c:v>VII</c:v>
                </c:pt>
                <c:pt idx="12">
                  <c:v>VIII</c:v>
                </c:pt>
              </c:strCache>
            </c:strRef>
          </c:cat>
          <c:val>
            <c:numRef>
              <c:f>'Makroekonomski indikatori'!$AI$23:$AV$23</c:f>
              <c:numCache>
                <c:formatCode>#,##0.0</c:formatCode>
                <c:ptCount val="13"/>
                <c:pt idx="0">
                  <c:v>1.7000000000000002</c:v>
                </c:pt>
                <c:pt idx="1">
                  <c:v>1.5</c:v>
                </c:pt>
                <c:pt idx="2">
                  <c:v>0.30000000000000032</c:v>
                </c:pt>
                <c:pt idx="3">
                  <c:v>0</c:v>
                </c:pt>
                <c:pt idx="4">
                  <c:v>0.4</c:v>
                </c:pt>
                <c:pt idx="5" formatCode="General">
                  <c:v>0.1</c:v>
                </c:pt>
                <c:pt idx="6" formatCode="0.0">
                  <c:v>0</c:v>
                </c:pt>
                <c:pt idx="7" formatCode="General">
                  <c:v>-0.4</c:v>
                </c:pt>
                <c:pt idx="8" formatCode="General">
                  <c:v>-0.8</c:v>
                </c:pt>
                <c:pt idx="9" formatCode="General">
                  <c:v>-0.70000000000000062</c:v>
                </c:pt>
                <c:pt idx="10" formatCode="General">
                  <c:v>0.2</c:v>
                </c:pt>
                <c:pt idx="11" formatCode="General">
                  <c:v>-0.9</c:v>
                </c:pt>
                <c:pt idx="12" formatCode="General">
                  <c:v>-0.70000000000000062</c:v>
                </c:pt>
              </c:numCache>
            </c:numRef>
          </c:val>
          <c:smooth val="1"/>
        </c:ser>
        <c:ser>
          <c:idx val="2"/>
          <c:order val="2"/>
          <c:tx>
            <c:strRef>
              <c:f>'Makroekonomski indikatori'!$C$26</c:f>
              <c:strCache>
                <c:ptCount val="1"/>
                <c:pt idx="0">
                  <c:v>Proizvođačke cijene-godišnje stope rasta</c:v>
                </c:pt>
              </c:strCache>
            </c:strRef>
          </c:tx>
          <c:spPr>
            <a:ln w="28575">
              <a:solidFill>
                <a:srgbClr val="33CC33"/>
              </a:solidFill>
              <a:prstDash val="dash"/>
            </a:ln>
          </c:spPr>
          <c:marker>
            <c:symbol val="none"/>
          </c:marker>
          <c:cat>
            <c:strRef>
              <c:f>'Makroekonomski indikatori'!$AI$30:$AV$30</c:f>
              <c:strCache>
                <c:ptCount val="13"/>
                <c:pt idx="0">
                  <c:v>VIII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2014</c:v>
                </c:pt>
                <c:pt idx="6">
                  <c:v>II</c:v>
                </c:pt>
                <c:pt idx="7">
                  <c:v>III</c:v>
                </c:pt>
                <c:pt idx="8">
                  <c:v>IV</c:v>
                </c:pt>
                <c:pt idx="9">
                  <c:v>V</c:v>
                </c:pt>
                <c:pt idx="10">
                  <c:v>VI</c:v>
                </c:pt>
                <c:pt idx="11">
                  <c:v>VII</c:v>
                </c:pt>
                <c:pt idx="12">
                  <c:v>VIII</c:v>
                </c:pt>
              </c:strCache>
            </c:strRef>
          </c:cat>
          <c:val>
            <c:numRef>
              <c:f>'Makroekonomski indikatori'!$AI$26:$AV$26</c:f>
              <c:numCache>
                <c:formatCode>0.0</c:formatCode>
                <c:ptCount val="13"/>
                <c:pt idx="0">
                  <c:v>-2</c:v>
                </c:pt>
                <c:pt idx="1">
                  <c:v>-0.4</c:v>
                </c:pt>
                <c:pt idx="2">
                  <c:v>-0.9</c:v>
                </c:pt>
                <c:pt idx="3">
                  <c:v>-1.1000000000000001</c:v>
                </c:pt>
                <c:pt idx="4">
                  <c:v>-0.60000000000000064</c:v>
                </c:pt>
                <c:pt idx="5" formatCode="General">
                  <c:v>-1.3</c:v>
                </c:pt>
                <c:pt idx="6" formatCode="General">
                  <c:v>-1.2</c:v>
                </c:pt>
                <c:pt idx="7" formatCode="General">
                  <c:v>-0.30000000000000032</c:v>
                </c:pt>
                <c:pt idx="8" formatCode="General">
                  <c:v>-0.2</c:v>
                </c:pt>
                <c:pt idx="9" formatCode="General">
                  <c:v>-0.1</c:v>
                </c:pt>
                <c:pt idx="10" formatCode="General">
                  <c:v>0</c:v>
                </c:pt>
                <c:pt idx="11" formatCode="General">
                  <c:v>0.1</c:v>
                </c:pt>
                <c:pt idx="12">
                  <c:v>1</c:v>
                </c:pt>
              </c:numCache>
            </c:numRef>
          </c:val>
          <c:smooth val="1"/>
        </c:ser>
        <c:marker val="1"/>
        <c:axId val="98435072"/>
        <c:axId val="98436608"/>
      </c:lineChart>
      <c:catAx>
        <c:axId val="98435072"/>
        <c:scaling>
          <c:orientation val="minMax"/>
        </c:scaling>
        <c:axPos val="b"/>
        <c:tickLblPos val="low"/>
        <c:txPr>
          <a:bodyPr/>
          <a:lstStyle/>
          <a:p>
            <a:pPr>
              <a:defRPr lang="sr-Latn-CS" sz="600"/>
            </a:pPr>
            <a:endParaRPr lang="en-US"/>
          </a:p>
        </c:txPr>
        <c:crossAx val="98436608"/>
        <c:crosses val="autoZero"/>
        <c:auto val="1"/>
        <c:lblAlgn val="ctr"/>
        <c:lblOffset val="100"/>
      </c:catAx>
      <c:valAx>
        <c:axId val="98436608"/>
        <c:scaling>
          <c:orientation val="minMax"/>
        </c:scaling>
        <c:axPos val="l"/>
        <c:numFmt formatCode="0.0" sourceLinked="1"/>
        <c:tickLblPos val="nextTo"/>
        <c:txPr>
          <a:bodyPr/>
          <a:lstStyle/>
          <a:p>
            <a:pPr>
              <a:defRPr lang="sr-Latn-CS" sz="600"/>
            </a:pPr>
            <a:endParaRPr lang="en-US"/>
          </a:p>
        </c:txPr>
        <c:crossAx val="98435072"/>
        <c:crosses val="autoZero"/>
        <c:crossBetween val="between"/>
        <c:majorUnit val="1"/>
      </c:valAx>
    </c:plotArea>
    <c:legend>
      <c:legendPos val="b"/>
      <c:txPr>
        <a:bodyPr/>
        <a:lstStyle/>
        <a:p>
          <a:pPr>
            <a:defRPr lang="sr-Latn-CS" sz="600"/>
          </a:pPr>
          <a:endParaRPr lang="en-US"/>
        </a:p>
      </c:txPr>
    </c:legend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9292362758881837"/>
          <c:y val="8.2644493647924713E-2"/>
          <c:w val="0.63685639585708476"/>
          <c:h val="0.70512943570188724"/>
        </c:manualLayout>
      </c:layout>
      <c:lineChart>
        <c:grouping val="standard"/>
        <c:ser>
          <c:idx val="0"/>
          <c:order val="0"/>
          <c:marker>
            <c:symbol val="none"/>
          </c:marker>
          <c:cat>
            <c:strRef>
              <c:f>'Makroekonomski indikatori'!$AI$9:$AV$9</c:f>
              <c:strCache>
                <c:ptCount val="13"/>
                <c:pt idx="0">
                  <c:v>VIII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2014</c:v>
                </c:pt>
                <c:pt idx="6">
                  <c:v>II</c:v>
                </c:pt>
                <c:pt idx="7">
                  <c:v>III</c:v>
                </c:pt>
                <c:pt idx="8">
                  <c:v>IV</c:v>
                </c:pt>
                <c:pt idx="9">
                  <c:v>V</c:v>
                </c:pt>
                <c:pt idx="10">
                  <c:v>VI</c:v>
                </c:pt>
                <c:pt idx="11">
                  <c:v>VII</c:v>
                </c:pt>
                <c:pt idx="12">
                  <c:v>VIII</c:v>
                </c:pt>
              </c:strCache>
            </c:strRef>
          </c:cat>
          <c:val>
            <c:numRef>
              <c:f>'Makroekonomski indikatori'!$AI$21:$AV$21</c:f>
              <c:numCache>
                <c:formatCode>#,##0</c:formatCode>
                <c:ptCount val="13"/>
                <c:pt idx="0">
                  <c:v>176588</c:v>
                </c:pt>
                <c:pt idx="1">
                  <c:v>169044</c:v>
                </c:pt>
                <c:pt idx="2">
                  <c:v>169044</c:v>
                </c:pt>
                <c:pt idx="3">
                  <c:v>167607</c:v>
                </c:pt>
                <c:pt idx="4">
                  <c:v>167173</c:v>
                </c:pt>
                <c:pt idx="5">
                  <c:v>167616</c:v>
                </c:pt>
                <c:pt idx="6">
                  <c:v>168805</c:v>
                </c:pt>
                <c:pt idx="7">
                  <c:v>170177</c:v>
                </c:pt>
                <c:pt idx="8">
                  <c:v>172202</c:v>
                </c:pt>
                <c:pt idx="9">
                  <c:v>174917</c:v>
                </c:pt>
                <c:pt idx="10">
                  <c:v>179774</c:v>
                </c:pt>
                <c:pt idx="11">
                  <c:v>181408</c:v>
                </c:pt>
                <c:pt idx="12">
                  <c:v>178558</c:v>
                </c:pt>
              </c:numCache>
            </c:numRef>
          </c:val>
        </c:ser>
        <c:marker val="1"/>
        <c:axId val="98577408"/>
        <c:axId val="98591488"/>
      </c:lineChart>
      <c:lineChart>
        <c:grouping val="standard"/>
        <c:ser>
          <c:idx val="1"/>
          <c:order val="1"/>
          <c:marker>
            <c:symbol val="none"/>
          </c:marker>
          <c:cat>
            <c:strRef>
              <c:f>'Makroekonomski indikatori'!$AI$9:$AV$9</c:f>
              <c:strCache>
                <c:ptCount val="13"/>
                <c:pt idx="0">
                  <c:v>VIII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2014</c:v>
                </c:pt>
                <c:pt idx="6">
                  <c:v>II</c:v>
                </c:pt>
                <c:pt idx="7">
                  <c:v>III</c:v>
                </c:pt>
                <c:pt idx="8">
                  <c:v>IV</c:v>
                </c:pt>
                <c:pt idx="9">
                  <c:v>V</c:v>
                </c:pt>
                <c:pt idx="10">
                  <c:v>VI</c:v>
                </c:pt>
                <c:pt idx="11">
                  <c:v>VII</c:v>
                </c:pt>
                <c:pt idx="12">
                  <c:v>VIII</c:v>
                </c:pt>
              </c:strCache>
            </c:strRef>
          </c:cat>
          <c:val>
            <c:numRef>
              <c:f>'Makroekonomski indikatori'!$AI$22:$AV$22</c:f>
              <c:numCache>
                <c:formatCode>#,##0</c:formatCode>
                <c:ptCount val="13"/>
                <c:pt idx="0">
                  <c:v>30947</c:v>
                </c:pt>
                <c:pt idx="1">
                  <c:v>33271</c:v>
                </c:pt>
                <c:pt idx="2">
                  <c:v>33271</c:v>
                </c:pt>
                <c:pt idx="3">
                  <c:v>34680</c:v>
                </c:pt>
                <c:pt idx="4">
                  <c:v>34514</c:v>
                </c:pt>
                <c:pt idx="5">
                  <c:v>34804</c:v>
                </c:pt>
                <c:pt idx="6">
                  <c:v>34664</c:v>
                </c:pt>
                <c:pt idx="7">
                  <c:v>34671</c:v>
                </c:pt>
                <c:pt idx="8">
                  <c:v>33906</c:v>
                </c:pt>
                <c:pt idx="9">
                  <c:v>32763</c:v>
                </c:pt>
                <c:pt idx="10">
                  <c:v>31570</c:v>
                </c:pt>
                <c:pt idx="11">
                  <c:v>31115</c:v>
                </c:pt>
                <c:pt idx="12">
                  <c:v>31163</c:v>
                </c:pt>
              </c:numCache>
            </c:numRef>
          </c:val>
        </c:ser>
        <c:marker val="1"/>
        <c:axId val="98603776"/>
        <c:axId val="98593408"/>
      </c:lineChart>
      <c:catAx>
        <c:axId val="98577408"/>
        <c:scaling>
          <c:orientation val="minMax"/>
        </c:scaling>
        <c:axPos val="b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98591488"/>
        <c:crosses val="autoZero"/>
        <c:auto val="1"/>
        <c:lblAlgn val="ctr"/>
        <c:lblOffset val="100"/>
      </c:catAx>
      <c:valAx>
        <c:axId val="98591488"/>
        <c:scaling>
          <c:orientation val="minMax"/>
          <c:min val="164000"/>
        </c:scaling>
        <c:axPos val="l"/>
        <c:majorGridlines>
          <c:spPr>
            <a:ln>
              <a:prstDash val="sysDot"/>
            </a:ln>
          </c:spPr>
        </c:majorGridlines>
        <c:numFmt formatCode="#,##0.0" sourceLinked="0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98577408"/>
        <c:crosses val="autoZero"/>
        <c:crossBetween val="between"/>
        <c:dispUnits>
          <c:builtInUnit val="thousands"/>
        </c:dispUnits>
      </c:valAx>
      <c:valAx>
        <c:axId val="98593408"/>
        <c:scaling>
          <c:orientation val="maxMin"/>
          <c:max val="35000"/>
          <c:min val="27000"/>
        </c:scaling>
        <c:axPos val="r"/>
        <c:numFmt formatCode="#,##0.0" sourceLinked="0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98603776"/>
        <c:crosses val="max"/>
        <c:crossBetween val="between"/>
        <c:dispUnits>
          <c:builtInUnit val="thousands"/>
        </c:dispUnits>
      </c:valAx>
      <c:catAx>
        <c:axId val="98603776"/>
        <c:scaling>
          <c:orientation val="minMax"/>
        </c:scaling>
        <c:delete val="1"/>
        <c:axPos val="t"/>
        <c:tickLblPos val="none"/>
        <c:crossAx val="98593408"/>
        <c:crosses val="autoZero"/>
        <c:auto val="1"/>
        <c:lblAlgn val="ctr"/>
        <c:lblOffset val="100"/>
      </c:catAx>
    </c:plotArea>
    <c:plotVisOnly val="1"/>
  </c:chart>
  <c:spPr>
    <a:ln>
      <a:noFill/>
    </a:ln>
  </c:spPr>
  <c:externalData r:id="rId1"/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7523877646207472"/>
          <c:y val="4.1424676898629414E-2"/>
          <c:w val="0.64460499846746466"/>
          <c:h val="0.71881996927188663"/>
        </c:manualLayout>
      </c:layout>
      <c:barChart>
        <c:barDir val="col"/>
        <c:grouping val="clustered"/>
        <c:ser>
          <c:idx val="2"/>
          <c:order val="2"/>
          <c:tx>
            <c:strRef>
              <c:f>'Fiskalni indikatori (4)'!$BG$30</c:f>
              <c:strCache>
                <c:ptCount val="1"/>
                <c:pt idx="0">
                  <c:v>Suficit/Deficit</c:v>
                </c:pt>
              </c:strCache>
            </c:strRef>
          </c:tx>
          <c:spPr>
            <a:solidFill>
              <a:srgbClr val="EEECE1"/>
            </a:solidFill>
            <a:ln>
              <a:solidFill>
                <a:srgbClr val="C00000"/>
              </a:solidFill>
            </a:ln>
          </c:spPr>
          <c:cat>
            <c:strRef>
              <c:f>'\Users\stanko.jeknic\Desktop\MMI 8\[mmi 2014-08-1.xlsx]Fiskalni indikatori (3)'!$CD$6:$CN$6</c:f>
              <c:strCache>
                <c:ptCount val="11"/>
                <c:pt idx="0">
                  <c:v>III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I</c:v>
                </c:pt>
              </c:strCache>
            </c:strRef>
          </c:cat>
          <c:val>
            <c:numRef>
              <c:f>'Fiskalni indikatori (4)'!$CL$20:$CX$20</c:f>
              <c:numCache>
                <c:formatCode>0.00,,</c:formatCode>
                <c:ptCount val="13"/>
                <c:pt idx="0">
                  <c:v>-37817120.375714526</c:v>
                </c:pt>
                <c:pt idx="1">
                  <c:v>-16221972.00090231</c:v>
                </c:pt>
                <c:pt idx="2">
                  <c:v>-2657604.3090550057</c:v>
                </c:pt>
                <c:pt idx="3">
                  <c:v>17862496.387521476</c:v>
                </c:pt>
                <c:pt idx="4">
                  <c:v>-2710356.1671831482</c:v>
                </c:pt>
                <c:pt idx="5">
                  <c:v>-7703230.0812701583</c:v>
                </c:pt>
                <c:pt idx="6">
                  <c:v>-23541980.639999989</c:v>
                </c:pt>
                <c:pt idx="7">
                  <c:v>-6801498.5899999607</c:v>
                </c:pt>
                <c:pt idx="8">
                  <c:v>-15174581.920000017</c:v>
                </c:pt>
                <c:pt idx="9">
                  <c:v>-13245329.880000032</c:v>
                </c:pt>
                <c:pt idx="10">
                  <c:v>413809.78000000125</c:v>
                </c:pt>
                <c:pt idx="11">
                  <c:v>-3015817.3300000667</c:v>
                </c:pt>
                <c:pt idx="12">
                  <c:v>13388115.429999935</c:v>
                </c:pt>
              </c:numCache>
            </c:numRef>
          </c:val>
        </c:ser>
        <c:axId val="99879936"/>
        <c:axId val="99878400"/>
      </c:barChart>
      <c:lineChart>
        <c:grouping val="standard"/>
        <c:ser>
          <c:idx val="0"/>
          <c:order val="0"/>
          <c:tx>
            <c:strRef>
              <c:f>'Fiskalni indikatori (4)'!$BG$29</c:f>
              <c:strCache>
                <c:ptCount val="1"/>
                <c:pt idx="0">
                  <c:v>Izdaci budžeta</c:v>
                </c:pt>
              </c:strCache>
            </c:strRef>
          </c:tx>
          <c:spPr>
            <a:ln>
              <a:solidFill>
                <a:schemeClr val="tx2">
                  <a:lumMod val="75000"/>
                </a:schemeClr>
              </a:solidFill>
            </a:ln>
          </c:spPr>
          <c:marker>
            <c:symbol val="diamond"/>
            <c:size val="4"/>
            <c:spPr>
              <a:solidFill>
                <a:schemeClr val="tx2">
                  <a:lumMod val="75000"/>
                </a:schemeClr>
              </a:solidFill>
              <a:ln cap="flat">
                <a:solidFill>
                  <a:sysClr val="windowText" lastClr="000000"/>
                </a:solidFill>
                <a:round/>
              </a:ln>
            </c:spPr>
          </c:marker>
          <c:cat>
            <c:strRef>
              <c:f>'Fiskalni indikatori (4)'!$CM$6:$CY$6</c:f>
              <c:strCache>
                <c:ptCount val="13"/>
                <c:pt idx="0">
                  <c:v>VIII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I</c:v>
                </c:pt>
                <c:pt idx="6">
                  <c:v>II</c:v>
                </c:pt>
                <c:pt idx="7">
                  <c:v>III</c:v>
                </c:pt>
                <c:pt idx="8">
                  <c:v>IV</c:v>
                </c:pt>
                <c:pt idx="9">
                  <c:v>V</c:v>
                </c:pt>
                <c:pt idx="10">
                  <c:v>VI</c:v>
                </c:pt>
                <c:pt idx="11">
                  <c:v>VII</c:v>
                </c:pt>
                <c:pt idx="12">
                  <c:v>VIII</c:v>
                </c:pt>
              </c:strCache>
            </c:strRef>
          </c:cat>
          <c:val>
            <c:numRef>
              <c:f>'Fiskalni indikatori (4)'!$CM$13:$CY$13</c:f>
              <c:numCache>
                <c:formatCode>0.00,,</c:formatCode>
                <c:ptCount val="13"/>
                <c:pt idx="0">
                  <c:v>141275399.6509023</c:v>
                </c:pt>
                <c:pt idx="1">
                  <c:v>118999622.08905503</c:v>
                </c:pt>
                <c:pt idx="2">
                  <c:v>99421131.212479472</c:v>
                </c:pt>
                <c:pt idx="3">
                  <c:v>98492109.327183142</c:v>
                </c:pt>
                <c:pt idx="4">
                  <c:v>150132599.31127</c:v>
                </c:pt>
                <c:pt idx="5">
                  <c:v>94324014.019999981</c:v>
                </c:pt>
                <c:pt idx="6">
                  <c:v>88934834.459999964</c:v>
                </c:pt>
                <c:pt idx="7">
                  <c:v>115882745.85000001</c:v>
                </c:pt>
                <c:pt idx="8">
                  <c:v>122329978.45999999</c:v>
                </c:pt>
                <c:pt idx="9">
                  <c:v>101783889</c:v>
                </c:pt>
                <c:pt idx="10">
                  <c:v>112862638.75000007</c:v>
                </c:pt>
                <c:pt idx="11">
                  <c:v>107268825.28000003</c:v>
                </c:pt>
                <c:pt idx="12">
                  <c:v>108040397.42999998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'Fiskalni indikatori (4)'!$BG$28</c:f>
              <c:strCache>
                <c:ptCount val="1"/>
                <c:pt idx="0">
                  <c:v>Izvorni prihodi</c:v>
                </c:pt>
              </c:strCache>
            </c:strRef>
          </c:tx>
          <c:spPr>
            <a:ln>
              <a:solidFill>
                <a:srgbClr val="C00000"/>
              </a:solidFill>
            </a:ln>
          </c:spPr>
          <c:marker>
            <c:symbol val="none"/>
          </c:marker>
          <c:cat>
            <c:strRef>
              <c:f>'Fiskalni indikatori (4)'!$CM$6:$CY$6</c:f>
              <c:strCache>
                <c:ptCount val="13"/>
                <c:pt idx="0">
                  <c:v>VIII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I</c:v>
                </c:pt>
                <c:pt idx="6">
                  <c:v>II</c:v>
                </c:pt>
                <c:pt idx="7">
                  <c:v>III</c:v>
                </c:pt>
                <c:pt idx="8">
                  <c:v>IV</c:v>
                </c:pt>
                <c:pt idx="9">
                  <c:v>V</c:v>
                </c:pt>
                <c:pt idx="10">
                  <c:v>VI</c:v>
                </c:pt>
                <c:pt idx="11">
                  <c:v>VII</c:v>
                </c:pt>
                <c:pt idx="12">
                  <c:v>VIII</c:v>
                </c:pt>
              </c:strCache>
            </c:strRef>
          </c:cat>
          <c:val>
            <c:numRef>
              <c:f>'Fiskalni indikatori (4)'!$CM$7:$CY$7</c:f>
              <c:numCache>
                <c:formatCode>0.00,,</c:formatCode>
                <c:ptCount val="13"/>
                <c:pt idx="0">
                  <c:v>125053427.64999999</c:v>
                </c:pt>
                <c:pt idx="1">
                  <c:v>116342017.78000002</c:v>
                </c:pt>
                <c:pt idx="2">
                  <c:v>117283627.60000001</c:v>
                </c:pt>
                <c:pt idx="3">
                  <c:v>95781753.159999892</c:v>
                </c:pt>
                <c:pt idx="4">
                  <c:v>142429369.22999999</c:v>
                </c:pt>
                <c:pt idx="5">
                  <c:v>70782033.379999891</c:v>
                </c:pt>
                <c:pt idx="6">
                  <c:v>82133335.86999999</c:v>
                </c:pt>
                <c:pt idx="7">
                  <c:v>100708163.93000002</c:v>
                </c:pt>
                <c:pt idx="8">
                  <c:v>109084648.57999997</c:v>
                </c:pt>
                <c:pt idx="9">
                  <c:v>102197698.78</c:v>
                </c:pt>
                <c:pt idx="10">
                  <c:v>109931818.73999999</c:v>
                </c:pt>
                <c:pt idx="11">
                  <c:v>120674612.23999998</c:v>
                </c:pt>
                <c:pt idx="12">
                  <c:v>126556433.90000002</c:v>
                </c:pt>
              </c:numCache>
            </c:numRef>
          </c:val>
          <c:smooth val="1"/>
        </c:ser>
        <c:marker val="1"/>
        <c:axId val="99281152"/>
        <c:axId val="99876864"/>
      </c:lineChart>
      <c:dateAx>
        <c:axId val="99281152"/>
        <c:scaling>
          <c:orientation val="minMax"/>
        </c:scaling>
        <c:axPos val="b"/>
        <c:numFmt formatCode="#,##0.00" sourceLinked="0"/>
        <c:tickLblPos val="nextTo"/>
        <c:txPr>
          <a:bodyPr/>
          <a:lstStyle/>
          <a:p>
            <a:pPr>
              <a:defRPr lang="sr-Latn-CS" sz="650" baseline="0"/>
            </a:pPr>
            <a:endParaRPr lang="en-US"/>
          </a:p>
        </c:txPr>
        <c:crossAx val="99876864"/>
        <c:crosses val="autoZero"/>
        <c:lblOffset val="100"/>
        <c:baseTimeUnit val="days"/>
      </c:dateAx>
      <c:valAx>
        <c:axId val="99876864"/>
        <c:scaling>
          <c:orientation val="minMax"/>
        </c:scaling>
        <c:axPos val="l"/>
        <c:numFmt formatCode="0.0,," sourceLinked="0"/>
        <c:tickLblPos val="nextTo"/>
        <c:txPr>
          <a:bodyPr/>
          <a:lstStyle/>
          <a:p>
            <a:pPr>
              <a:defRPr lang="sr-Latn-CS"/>
            </a:pPr>
            <a:endParaRPr lang="en-US"/>
          </a:p>
        </c:txPr>
        <c:crossAx val="99281152"/>
        <c:crosses val="autoZero"/>
        <c:crossBetween val="between"/>
      </c:valAx>
      <c:valAx>
        <c:axId val="99878400"/>
        <c:scaling>
          <c:orientation val="minMax"/>
          <c:max val="130000000"/>
          <c:min val="-50000000"/>
        </c:scaling>
        <c:axPos val="r"/>
        <c:numFmt formatCode="0.0,," sourceLinked="0"/>
        <c:tickLblPos val="nextTo"/>
        <c:txPr>
          <a:bodyPr/>
          <a:lstStyle/>
          <a:p>
            <a:pPr>
              <a:defRPr lang="sr-Latn-CS"/>
            </a:pPr>
            <a:endParaRPr lang="en-US"/>
          </a:p>
        </c:txPr>
        <c:crossAx val="99879936"/>
        <c:crosses val="max"/>
        <c:crossBetween val="between"/>
        <c:majorUnit val="20000000"/>
      </c:valAx>
      <c:catAx>
        <c:axId val="99879936"/>
        <c:scaling>
          <c:orientation val="minMax"/>
        </c:scaling>
        <c:delete val="1"/>
        <c:axPos val="b"/>
        <c:numFmt formatCode="General" sourceLinked="1"/>
        <c:tickLblPos val="none"/>
        <c:crossAx val="99878400"/>
        <c:crosses val="autoZero"/>
        <c:auto val="1"/>
        <c:lblAlgn val="ctr"/>
        <c:lblOffset val="100"/>
      </c:catAx>
      <c:spPr>
        <a:ln>
          <a:solidFill>
            <a:schemeClr val="tx1"/>
          </a:solidFill>
        </a:ln>
      </c:spPr>
    </c:plotArea>
    <c:legend>
      <c:legendPos val="b"/>
      <c:layout>
        <c:manualLayout>
          <c:xMode val="edge"/>
          <c:yMode val="edge"/>
          <c:x val="0.1036177031350089"/>
          <c:y val="0.90727313557946498"/>
          <c:w val="0.85875831653178591"/>
          <c:h val="8.707929498767096E-2"/>
        </c:manualLayout>
      </c:layout>
      <c:txPr>
        <a:bodyPr/>
        <a:lstStyle/>
        <a:p>
          <a:pPr>
            <a:defRPr lang="sr-Latn-CS"/>
          </a:pPr>
          <a:endParaRPr lang="en-US"/>
        </a:p>
      </c:txPr>
    </c:legend>
    <c:plotVisOnly val="1"/>
    <c:dispBlanksAs val="gap"/>
  </c:chart>
  <c:spPr>
    <a:ln w="6350">
      <a:noFill/>
      <a:prstDash val="sysDot"/>
    </a:ln>
  </c:spPr>
  <c:txPr>
    <a:bodyPr/>
    <a:lstStyle/>
    <a:p>
      <a:pPr>
        <a:defRPr sz="700" baseline="0"/>
      </a:pPr>
      <a:endParaRPr lang="en-US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 sz="1000"/>
            </a:pPr>
            <a:r>
              <a:rPr lang="x-none" sz="1000"/>
              <a:t>U</a:t>
            </a:r>
            <a:r>
              <a:rPr lang="en-US" sz="1000"/>
              <a:t>kupni krediti po sektorima,</a:t>
            </a:r>
            <a:r>
              <a:rPr lang="x-none" sz="1000"/>
              <a:t>u </a:t>
            </a:r>
            <a:r>
              <a:rPr lang="en-US" sz="1000"/>
              <a:t>% 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dLbls>
            <c:txPr>
              <a:bodyPr/>
              <a:lstStyle/>
              <a:p>
                <a:pPr>
                  <a:defRPr lang="sr-Latn-CS"/>
                </a:pPr>
                <a:endParaRPr lang="en-US"/>
              </a:p>
            </c:txPr>
            <c:showVal val="1"/>
            <c:showLeaderLines val="1"/>
          </c:dLbls>
          <c:cat>
            <c:strRef>
              <c:f>Sheet1!$D$9:$D$13</c:f>
              <c:strCache>
                <c:ptCount val="5"/>
                <c:pt idx="0">
                  <c:v>nef.instit.</c:v>
                </c:pt>
                <c:pt idx="1">
                  <c:v>fiz.lica</c:v>
                </c:pt>
                <c:pt idx="2">
                  <c:v>fin.instit.</c:v>
                </c:pt>
                <c:pt idx="3">
                  <c:v>opšta Vl.</c:v>
                </c:pt>
                <c:pt idx="4">
                  <c:v>ostalo</c:v>
                </c:pt>
              </c:strCache>
            </c:strRef>
          </c:cat>
          <c:val>
            <c:numRef>
              <c:f>Sheet1!$E$9:$E$13</c:f>
              <c:numCache>
                <c:formatCode>0.0%</c:formatCode>
                <c:ptCount val="5"/>
                <c:pt idx="0">
                  <c:v>0.40100000000000002</c:v>
                </c:pt>
                <c:pt idx="1">
                  <c:v>0.36400000000000032</c:v>
                </c:pt>
                <c:pt idx="2">
                  <c:v>0.17800000000000021</c:v>
                </c:pt>
                <c:pt idx="3">
                  <c:v>5.4000000000000034E-2</c:v>
                </c:pt>
                <c:pt idx="4">
                  <c:v>3.0000000000000092E-3</c:v>
                </c:pt>
              </c:numCache>
            </c:numRef>
          </c:val>
        </c:ser>
      </c:pie3DChart>
    </c:plotArea>
    <c:legend>
      <c:legendPos val="b"/>
      <c:layout>
        <c:manualLayout>
          <c:xMode val="edge"/>
          <c:yMode val="edge"/>
          <c:x val="8.1962081128747699E-2"/>
          <c:y val="0.80980595766140873"/>
          <c:w val="0.91447045855379416"/>
          <c:h val="0.12614746300817201"/>
        </c:manualLayout>
      </c:layout>
      <c:txPr>
        <a:bodyPr/>
        <a:lstStyle/>
        <a:p>
          <a:pPr>
            <a:defRPr lang="sr-Latn-CS" sz="700"/>
          </a:pPr>
          <a:endParaRPr lang="en-US"/>
        </a:p>
      </c:txPr>
    </c:legend>
    <c:plotVisOnly val="1"/>
  </c:chart>
  <c:spPr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 sz="800"/>
            </a:pPr>
            <a:r>
              <a:rPr lang="en-US" sz="800"/>
              <a:t>            IZVOZ</a:t>
            </a:r>
            <a:r>
              <a:rPr lang="en-US" sz="800" baseline="0"/>
              <a:t> </a:t>
            </a:r>
            <a:r>
              <a:rPr lang="sr-Latn-CS" sz="800" baseline="0"/>
              <a:t> MESA  I  PRERADA OD MESA</a:t>
            </a:r>
            <a:endParaRPr lang="en-US" sz="800"/>
          </a:p>
        </c:rich>
      </c:tx>
    </c:title>
    <c:plotArea>
      <c:layout>
        <c:manualLayout>
          <c:layoutTarget val="inner"/>
          <c:xMode val="edge"/>
          <c:yMode val="edge"/>
          <c:x val="0.27193717948717949"/>
          <c:y val="0.26469711538461538"/>
          <c:w val="0.66836196581196217"/>
          <c:h val="0.55735363247863523"/>
        </c:manualLayout>
      </c:layout>
      <c:lineChart>
        <c:grouping val="stacked"/>
        <c:ser>
          <c:idx val="0"/>
          <c:order val="0"/>
          <c:tx>
            <c:strRef>
              <c:f>Sheet1!$C$5</c:f>
              <c:strCache>
                <c:ptCount val="1"/>
                <c:pt idx="0">
                  <c:v>januar-avgust 2013</c:v>
                </c:pt>
              </c:strCache>
            </c:strRef>
          </c:tx>
          <c:marker>
            <c:symbol val="none"/>
          </c:marker>
          <c:cat>
            <c:strRef>
              <c:f>Sheet1!$D$8:$K$8</c:f>
              <c:strCache>
                <c:ptCount val="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</c:strCache>
            </c:strRef>
          </c:cat>
          <c:val>
            <c:numRef>
              <c:f>Sheet1!$D$9:$K$9</c:f>
              <c:numCache>
                <c:formatCode>#,##0.00</c:formatCode>
                <c:ptCount val="8"/>
                <c:pt idx="0">
                  <c:v>0.41100000000000031</c:v>
                </c:pt>
                <c:pt idx="1">
                  <c:v>0.46900000000000008</c:v>
                </c:pt>
                <c:pt idx="2">
                  <c:v>0.48200000000000032</c:v>
                </c:pt>
                <c:pt idx="3">
                  <c:v>0.71900000000000064</c:v>
                </c:pt>
                <c:pt idx="4">
                  <c:v>0.42100000000000032</c:v>
                </c:pt>
                <c:pt idx="5">
                  <c:v>0.58799999999999997</c:v>
                </c:pt>
                <c:pt idx="6">
                  <c:v>0.76200000000000234</c:v>
                </c:pt>
                <c:pt idx="7">
                  <c:v>0.77600000000000269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Sheet1!$C$10</c:f>
              <c:strCache>
                <c:ptCount val="1"/>
                <c:pt idx="0">
                  <c:v>januar - avgust 2014</c:v>
                </c:pt>
              </c:strCache>
            </c:strRef>
          </c:tx>
          <c:marker>
            <c:symbol val="none"/>
          </c:marker>
          <c:cat>
            <c:strRef>
              <c:f>Sheet1!$D$8:$K$8</c:f>
              <c:strCache>
                <c:ptCount val="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</c:strCache>
            </c:strRef>
          </c:cat>
          <c:val>
            <c:numRef>
              <c:f>Sheet1!$D$10:$K$10</c:f>
              <c:numCache>
                <c:formatCode>#,##0.00</c:formatCode>
                <c:ptCount val="8"/>
                <c:pt idx="0">
                  <c:v>0.501</c:v>
                </c:pt>
                <c:pt idx="1">
                  <c:v>0.64300000000000235</c:v>
                </c:pt>
                <c:pt idx="2">
                  <c:v>0.64500000000000235</c:v>
                </c:pt>
                <c:pt idx="3">
                  <c:v>0.90400000000000003</c:v>
                </c:pt>
                <c:pt idx="4">
                  <c:v>3.7440000000000002</c:v>
                </c:pt>
                <c:pt idx="5">
                  <c:v>6.75</c:v>
                </c:pt>
                <c:pt idx="6">
                  <c:v>8.5260000000000016</c:v>
                </c:pt>
                <c:pt idx="7">
                  <c:v>5.8629999999999827</c:v>
                </c:pt>
              </c:numCache>
            </c:numRef>
          </c:val>
          <c:smooth val="1"/>
        </c:ser>
        <c:marker val="1"/>
        <c:axId val="99935744"/>
        <c:axId val="99937280"/>
      </c:lineChart>
      <c:catAx>
        <c:axId val="99935744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lang="sr-Latn-CS" sz="600"/>
            </a:pPr>
            <a:endParaRPr lang="en-US"/>
          </a:p>
        </c:txPr>
        <c:crossAx val="99937280"/>
        <c:crosses val="autoZero"/>
        <c:auto val="1"/>
        <c:lblAlgn val="ctr"/>
        <c:lblOffset val="100"/>
        <c:tickMarkSkip val="1"/>
      </c:catAx>
      <c:valAx>
        <c:axId val="99937280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 lang="sr-Latn-CS" sz="700"/>
                </a:pPr>
                <a:r>
                  <a:rPr lang="en-US" sz="700"/>
                  <a:t>u mil.eura</a:t>
                </a:r>
              </a:p>
            </c:rich>
          </c:tx>
        </c:title>
        <c:numFmt formatCode="#,##0.00" sourceLinked="1"/>
        <c:majorTickMark val="none"/>
        <c:tickLblPos val="nextTo"/>
        <c:txPr>
          <a:bodyPr/>
          <a:lstStyle/>
          <a:p>
            <a:pPr>
              <a:defRPr lang="sr-Latn-CS" sz="600"/>
            </a:pPr>
            <a:endParaRPr lang="en-US"/>
          </a:p>
        </c:txPr>
        <c:crossAx val="99935744"/>
        <c:crosses val="autoZero"/>
        <c:crossBetween val="between"/>
      </c:valAx>
      <c:spPr>
        <a:ln>
          <a:noFill/>
        </a:ln>
      </c:spPr>
    </c:plotArea>
    <c:legend>
      <c:legendPos val="t"/>
      <c:legendEntry>
        <c:idx val="0"/>
        <c:txPr>
          <a:bodyPr/>
          <a:lstStyle/>
          <a:p>
            <a:pPr>
              <a:defRPr sz="800"/>
            </a:pPr>
            <a:endParaRPr lang="en-US"/>
          </a:p>
        </c:txPr>
      </c:legendEntry>
      <c:legendEntry>
        <c:idx val="1"/>
        <c:txPr>
          <a:bodyPr/>
          <a:lstStyle/>
          <a:p>
            <a:pPr>
              <a:defRPr sz="800"/>
            </a:pPr>
            <a:endParaRPr lang="en-US"/>
          </a:p>
        </c:txPr>
      </c:legendEntry>
      <c:layout>
        <c:manualLayout>
          <c:xMode val="edge"/>
          <c:yMode val="edge"/>
          <c:x val="0.05"/>
          <c:y val="0.12052136752136751"/>
          <c:w val="0.9"/>
          <c:h val="0.13739155982905982"/>
        </c:manualLayout>
      </c:layout>
      <c:txPr>
        <a:bodyPr/>
        <a:lstStyle/>
        <a:p>
          <a:pPr>
            <a:defRPr lang="sr-Latn-CS" sz="600"/>
          </a:pPr>
          <a:endParaRPr lang="en-US"/>
        </a:p>
      </c:txPr>
    </c:legend>
    <c:plotVisOnly val="1"/>
    <c:dispBlanksAs val="zero"/>
  </c:chart>
  <c:spPr>
    <a:ln>
      <a:noFill/>
    </a:ln>
  </c:sp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0.11265</cdr:x>
      <cdr:y>0.15167</cdr:y>
    </cdr:from>
    <cdr:to>
      <cdr:x>0.44444</cdr:x>
      <cdr:y>0.23136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515056" y="416278"/>
          <a:ext cx="1516945" cy="21872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sr-Latn-CS" sz="1100"/>
        </a:p>
      </cdr:txBody>
    </cdr:sp>
  </cdr:relSizeAnchor>
  <cdr:relSizeAnchor xmlns:cdr="http://schemas.openxmlformats.org/drawingml/2006/chartDrawing">
    <cdr:from>
      <cdr:x>0.23372</cdr:x>
      <cdr:y>0.05832</cdr:y>
    </cdr:from>
    <cdr:to>
      <cdr:x>0.43372</cdr:x>
      <cdr:y>0.15807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464132" y="107545"/>
          <a:ext cx="397170" cy="18394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sr-Latn-CS" sz="800"/>
            <a:t>broj</a:t>
          </a:r>
          <a:r>
            <a:rPr lang="sr-Latn-CS" sz="800" baseline="0"/>
            <a:t> zaposlenih</a:t>
          </a:r>
          <a:endParaRPr lang="sr-Latn-CS" sz="800"/>
        </a:p>
      </cdr:txBody>
    </cdr:sp>
  </cdr:relSizeAnchor>
  <cdr:relSizeAnchor xmlns:cdr="http://schemas.openxmlformats.org/drawingml/2006/chartDrawing">
    <cdr:from>
      <cdr:x>0.21221</cdr:x>
      <cdr:y>0.62954</cdr:y>
    </cdr:from>
    <cdr:to>
      <cdr:x>0.78478</cdr:x>
      <cdr:y>0.78395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421419" y="1160890"/>
          <a:ext cx="1137035" cy="28474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sr-Latn-CS" sz="700"/>
            <a:t>broj</a:t>
          </a:r>
          <a:r>
            <a:rPr lang="sr-Latn-CS" sz="700" baseline="0"/>
            <a:t> </a:t>
          </a:r>
          <a:r>
            <a:rPr lang="sr-Latn-CS" sz="800" baseline="0"/>
            <a:t>nezaposlenih</a:t>
          </a:r>
          <a:endParaRPr lang="sr-Latn-CS" sz="8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E5FFE6-A1DE-4AE3-836F-277A46DAB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2566</Words>
  <Characters>14627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17159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stanko.jeknic</cp:lastModifiedBy>
  <cp:revision>6</cp:revision>
  <cp:lastPrinted>2014-10-07T07:42:00Z</cp:lastPrinted>
  <dcterms:created xsi:type="dcterms:W3CDTF">2014-10-07T08:15:00Z</dcterms:created>
  <dcterms:modified xsi:type="dcterms:W3CDTF">2014-10-09T08:11:00Z</dcterms:modified>
</cp:coreProperties>
</file>