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715429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  <w:lang w:val="hr-BA"/>
        </w:rPr>
      </w:pPr>
      <w:r w:rsidRPr="00715429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CRNA GORA</w:t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MINISTARSTVO FINANSIJA</w:t>
      </w:r>
    </w:p>
    <w:p w:rsidR="0082570B" w:rsidRPr="00715429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Direktorat</w:t>
      </w:r>
      <w:r w:rsidR="0082570B" w:rsidRPr="00715429">
        <w:rPr>
          <w:b/>
          <w:bCs/>
          <w:noProof/>
          <w:sz w:val="28"/>
          <w:szCs w:val="28"/>
          <w:lang w:val="hr-BA"/>
        </w:rPr>
        <w:t xml:space="preserve"> za ekonomsku politiku i razvoj</w:t>
      </w:r>
    </w:p>
    <w:p w:rsidR="0082570B" w:rsidRPr="00715429" w:rsidRDefault="0082570B" w:rsidP="00D61692">
      <w:pPr>
        <w:rPr>
          <w:rFonts w:cs="Calibri"/>
          <w:noProof/>
          <w:lang w:val="hr-BA"/>
        </w:rPr>
      </w:pPr>
    </w:p>
    <w:p w:rsidR="0082570B" w:rsidRPr="00715429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  <w:lang w:val="hr-BA"/>
        </w:rPr>
      </w:pPr>
      <w:r w:rsidRPr="00715429">
        <w:rPr>
          <w:rFonts w:cs="Calibri"/>
          <w:b/>
          <w:bCs/>
          <w:iCs/>
          <w:noProof/>
          <w:sz w:val="52"/>
          <w:szCs w:val="52"/>
          <w:lang w:val="hr-BA"/>
        </w:rPr>
        <w:t>MJESEČNI MAKROEKONOMSKI INDIKATORI</w:t>
      </w:r>
    </w:p>
    <w:p w:rsidR="0082570B" w:rsidRPr="00715429" w:rsidRDefault="002916F7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  <w:lang w:val="hr-BA"/>
        </w:rPr>
      </w:pPr>
      <w:r>
        <w:rPr>
          <w:rFonts w:cs="Calibri"/>
          <w:b/>
          <w:bCs/>
          <w:noProof/>
          <w:sz w:val="32"/>
          <w:szCs w:val="32"/>
          <w:lang w:val="hr-BA"/>
        </w:rPr>
        <w:t>Septembar</w:t>
      </w:r>
      <w:r w:rsidR="007D0106" w:rsidRPr="00715429">
        <w:rPr>
          <w:rFonts w:cs="Calibri"/>
          <w:b/>
          <w:bCs/>
          <w:noProof/>
          <w:sz w:val="32"/>
          <w:szCs w:val="32"/>
          <w:lang w:val="hr-BA"/>
        </w:rPr>
        <w:t xml:space="preserve"> </w:t>
      </w:r>
      <w:r w:rsidR="006D2B20" w:rsidRPr="00715429">
        <w:rPr>
          <w:rFonts w:cs="Calibri"/>
          <w:b/>
          <w:bCs/>
          <w:noProof/>
          <w:sz w:val="32"/>
          <w:szCs w:val="32"/>
          <w:lang w:val="hr-BA"/>
        </w:rPr>
        <w:t>2014</w:t>
      </w:r>
      <w:r w:rsidR="0082570B" w:rsidRPr="00715429">
        <w:rPr>
          <w:rFonts w:cs="Calibri"/>
          <w:b/>
          <w:bCs/>
          <w:noProof/>
          <w:sz w:val="32"/>
          <w:szCs w:val="32"/>
          <w:lang w:val="hr-BA"/>
        </w:rPr>
        <w:t>.</w:t>
      </w: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0216CA" w:rsidP="00D20CDA">
      <w:pPr>
        <w:spacing w:after="0" w:line="240" w:lineRule="auto"/>
        <w:rPr>
          <w:rFonts w:cs="Calibri"/>
          <w:bCs/>
          <w:noProof/>
          <w:sz w:val="28"/>
          <w:szCs w:val="28"/>
          <w:lang w:val="hr-BA"/>
        </w:rPr>
      </w:pPr>
      <w:r w:rsidRPr="000216CA">
        <w:rPr>
          <w:noProof/>
          <w:lang w:val="hr-B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4pt;margin-top:5in;width:252.6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912ADF" w:rsidRDefault="00912ADF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912ADF" w:rsidRDefault="00912ADF" w:rsidP="00E2362B">
                  <w:pPr>
                    <w:pStyle w:val="NoSpacing"/>
                    <w:ind w:left="851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912ADF" w:rsidRPr="00E72ABE" w:rsidRDefault="00912ADF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jc w:val="both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E72ABE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>Evropska Centralna banka je započela program kvantitativne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 xml:space="preserve"> podrške u cilju podsticanja ekonomskog rasta</w:t>
                  </w:r>
                </w:p>
                <w:p w:rsidR="00912ADF" w:rsidRPr="00E72ABE" w:rsidRDefault="00912ADF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</w:pPr>
                  <w:r w:rsidRPr="00E72ABE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>U avgustu 2014. godine zabilježen blagi rast dolazaka i noćenja turista</w:t>
                  </w:r>
                </w:p>
                <w:p w:rsidR="00912ADF" w:rsidRDefault="00912ADF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</w:pPr>
                  <w:r w:rsidRPr="00E72ABE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>Potrošačke cijene (HICP) u avgustu 2014. su, drugi mjesec za redom, bez promjena na mjesečnom nivou</w:t>
                  </w:r>
                </w:p>
                <w:p w:rsidR="00912ADF" w:rsidRPr="00E72ABE" w:rsidRDefault="00912ADF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</w:pPr>
                  <w:r w:rsidRPr="00E72ABE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 xml:space="preserve">Izvorni prihodi budžeta Crne Gore u avgustu 2014.g. ostvareni u iznosu od 126,6 mil.€ 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 xml:space="preserve">, </w:t>
                  </w:r>
                  <w:r w:rsidRPr="00E72ABE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 xml:space="preserve">1,2 % više 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>g-n-g</w:t>
                  </w:r>
                </w:p>
                <w:p w:rsidR="00912ADF" w:rsidRPr="00E72ABE" w:rsidRDefault="00912ADF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</w:pPr>
                  <w:r w:rsidRPr="00E72ABE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>Spoljnotrgovinski deficit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 xml:space="preserve"> </w:t>
                  </w:r>
                  <w:r w:rsidRPr="00E72ABE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>u periodu januar – avgust 2014.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 xml:space="preserve"> povećan je za </w:t>
                  </w:r>
                  <w:r w:rsidRPr="00E72ABE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sr-Latn-CS"/>
                    </w:rPr>
                    <w:t>4,6%</w:t>
                  </w:r>
                </w:p>
              </w:txbxContent>
            </v:textbox>
            <w10:wrap type="tight" anchorx="margin" anchory="margin"/>
          </v:shape>
        </w:pict>
      </w:r>
    </w:p>
    <w:p w:rsidR="0082570B" w:rsidRPr="00715429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  <w:lang w:val="hr-BA"/>
        </w:rPr>
      </w:pPr>
    </w:p>
    <w:p w:rsidR="0082570B" w:rsidRPr="00715429" w:rsidRDefault="0085138D" w:rsidP="00D61692">
      <w:pPr>
        <w:pStyle w:val="NoSpacing"/>
        <w:rPr>
          <w:bCs/>
          <w:iCs/>
          <w:noProof/>
          <w:sz w:val="26"/>
          <w:szCs w:val="26"/>
          <w:lang w:val="hr-BA"/>
        </w:rPr>
      </w:pPr>
      <w:r>
        <w:rPr>
          <w:bCs/>
          <w:iCs/>
          <w:noProof/>
          <w:sz w:val="26"/>
          <w:szCs w:val="26"/>
          <w:lang w:val="hr-BA"/>
        </w:rPr>
        <w:t xml:space="preserve">          </w:t>
      </w:r>
    </w:p>
    <w:p w:rsidR="0082570B" w:rsidRPr="00715429" w:rsidRDefault="0085138D" w:rsidP="00694445">
      <w:pPr>
        <w:pStyle w:val="NoSpacing"/>
        <w:rPr>
          <w:bCs/>
          <w:noProof/>
          <w:sz w:val="28"/>
          <w:szCs w:val="20"/>
          <w:lang w:val="hr-BA"/>
        </w:rPr>
      </w:pPr>
      <w:r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  <w:r w:rsidRPr="00715429">
        <w:rPr>
          <w:b/>
          <w:bCs/>
          <w:noProof/>
          <w:color w:val="000000"/>
          <w:sz w:val="16"/>
          <w:szCs w:val="16"/>
          <w:lang w:val="hr-BA"/>
        </w:rPr>
        <w:t xml:space="preserve">Autori priloga: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Radovan Živković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 Radojka Martinović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, Olja Tomanović, </w:t>
      </w:r>
      <w:r w:rsidR="00074D6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Stanko Jeknić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C646AC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4B5F63" w:rsidRPr="00715429">
        <w:rPr>
          <w:bCs/>
          <w:noProof/>
          <w:color w:val="000000"/>
          <w:sz w:val="16"/>
          <w:szCs w:val="16"/>
          <w:lang w:val="hr-BA"/>
        </w:rPr>
        <w:t>Marija Novosel</w:t>
      </w:r>
      <w:r w:rsidR="00A423C3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 xml:space="preserve"> Zdenka</w:t>
      </w:r>
      <w:r w:rsidR="00F03604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Dabović</w:t>
      </w:r>
      <w:r w:rsidR="00E2362B">
        <w:rPr>
          <w:bCs/>
          <w:noProof/>
          <w:color w:val="000000"/>
          <w:sz w:val="16"/>
          <w:szCs w:val="16"/>
          <w:lang w:val="hr-BA"/>
        </w:rPr>
        <w:t>, Milanka Jovanović</w:t>
      </w: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noProof/>
          <w:lang w:val="hr-BA"/>
        </w:rPr>
      </w:pPr>
    </w:p>
    <w:tbl>
      <w:tblPr>
        <w:tblpPr w:leftFromText="180" w:rightFromText="180" w:vertAnchor="text" w:tblpX="108" w:tblpY="1"/>
        <w:tblOverlap w:val="never"/>
        <w:tblW w:w="10716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6930"/>
        <w:gridCol w:w="3644"/>
        <w:gridCol w:w="142"/>
      </w:tblGrid>
      <w:tr w:rsidR="0082570B" w:rsidRPr="00715429" w:rsidTr="00677E65">
        <w:trPr>
          <w:gridAfter w:val="1"/>
          <w:wAfter w:w="142" w:type="dxa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5065E6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</w:pPr>
            <w:r w:rsidRPr="00715429"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  <w:t>Međunarodno okruženje</w:t>
            </w:r>
          </w:p>
        </w:tc>
        <w:tc>
          <w:tcPr>
            <w:tcW w:w="3652" w:type="dxa"/>
            <w:vMerge w:val="restart"/>
            <w:tcBorders>
              <w:bottom w:val="nil"/>
            </w:tcBorders>
            <w:vAlign w:val="center"/>
          </w:tcPr>
          <w:p w:rsidR="0082570B" w:rsidRPr="00715429" w:rsidRDefault="00A81DD8" w:rsidP="001D21BD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  <w:r w:rsidRPr="00A81DD8">
              <w:rPr>
                <w:rFonts w:cs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124000" cy="1908000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715429" w:rsidTr="00677E65">
        <w:trPr>
          <w:gridAfter w:val="1"/>
          <w:wAfter w:w="142" w:type="dxa"/>
          <w:trHeight w:hRule="exact" w:val="3175"/>
        </w:trPr>
        <w:tc>
          <w:tcPr>
            <w:tcW w:w="6946" w:type="dxa"/>
            <w:tcBorders>
              <w:top w:val="single" w:sz="4" w:space="0" w:color="auto"/>
            </w:tcBorders>
          </w:tcPr>
          <w:p w:rsidR="00273280" w:rsidRPr="002E482B" w:rsidRDefault="00E72ABE" w:rsidP="00273280">
            <w:pPr>
              <w:shd w:val="clear" w:color="auto" w:fill="FFFFFF"/>
              <w:spacing w:after="0" w:line="240" w:lineRule="atLeast"/>
              <w:jc w:val="both"/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  <w:lang w:eastAsia="sr-Latn-CS"/>
              </w:rPr>
              <w:t>Evropska c</w:t>
            </w:r>
            <w:r w:rsidR="00273280" w:rsidRPr="00A36406">
              <w:rPr>
                <w:rFonts w:asciiTheme="minorHAnsi" w:hAnsiTheme="minorHAnsi" w:cstheme="minorHAnsi"/>
                <w:b/>
                <w:sz w:val="20"/>
                <w:szCs w:val="24"/>
                <w:lang w:eastAsia="sr-Latn-CS"/>
              </w:rPr>
              <w:t xml:space="preserve">entralna banka </w:t>
            </w:r>
            <w:r w:rsidR="004E6F45" w:rsidRPr="00A36406">
              <w:rPr>
                <w:rFonts w:asciiTheme="minorHAnsi" w:hAnsiTheme="minorHAnsi" w:cstheme="minorHAnsi"/>
                <w:b/>
                <w:sz w:val="20"/>
                <w:szCs w:val="24"/>
                <w:lang w:eastAsia="sr-Latn-CS"/>
              </w:rPr>
              <w:t xml:space="preserve">je </w:t>
            </w:r>
            <w:r w:rsidR="00273280" w:rsidRPr="00A36406">
              <w:rPr>
                <w:rFonts w:asciiTheme="minorHAnsi" w:hAnsiTheme="minorHAnsi" w:cstheme="minorHAnsi"/>
                <w:b/>
                <w:sz w:val="20"/>
                <w:szCs w:val="24"/>
                <w:lang w:eastAsia="sr-Latn-CS"/>
              </w:rPr>
              <w:t>započela pr</w:t>
            </w:r>
            <w:r w:rsidR="004E6F45" w:rsidRPr="00A36406">
              <w:rPr>
                <w:rFonts w:asciiTheme="minorHAnsi" w:hAnsiTheme="minorHAnsi" w:cstheme="minorHAnsi"/>
                <w:b/>
                <w:sz w:val="20"/>
                <w:szCs w:val="24"/>
                <w:lang w:eastAsia="sr-Latn-CS"/>
              </w:rPr>
              <w:t>ogram kvantitativne podrške</w:t>
            </w:r>
            <w:r w:rsidR="004E6F45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koji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m se bankama nude vrlo povoljna dugoročna sredstva</w:t>
            </w:r>
            <w:r w:rsidR="004E6F45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,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ukoliko se</w:t>
            </w:r>
            <w:r w:rsidR="00273280">
              <w:rPr>
                <w:rFonts w:cstheme="minorHAnsi"/>
                <w:sz w:val="20"/>
                <w:szCs w:val="24"/>
                <w:lang w:eastAsia="sr-Latn-CS"/>
              </w:rPr>
              <w:t xml:space="preserve"> ona plasiraju </w:t>
            </w:r>
            <w:proofErr w:type="gramStart"/>
            <w:r w:rsidR="00273280">
              <w:rPr>
                <w:rFonts w:cstheme="minorHAnsi"/>
                <w:sz w:val="20"/>
                <w:szCs w:val="24"/>
                <w:lang w:eastAsia="sr-Latn-CS"/>
              </w:rPr>
              <w:t>u  realni</w:t>
            </w:r>
            <w:proofErr w:type="gramEnd"/>
            <w:r w:rsidR="00273280">
              <w:rPr>
                <w:rFonts w:cstheme="minorHAnsi"/>
                <w:sz w:val="20"/>
                <w:szCs w:val="24"/>
                <w:lang w:eastAsia="sr-Latn-CS"/>
              </w:rPr>
              <w:t xml:space="preserve"> sektor, 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tzv</w:t>
            </w:r>
            <w:r w:rsidR="00273280">
              <w:rPr>
                <w:rFonts w:cstheme="minorHAnsi"/>
                <w:sz w:val="20"/>
                <w:szCs w:val="24"/>
                <w:lang w:eastAsia="sr-Latn-CS"/>
              </w:rPr>
              <w:t>.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</w:t>
            </w:r>
            <w:proofErr w:type="gramStart"/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targetirane</w:t>
            </w:r>
            <w:proofErr w:type="gramEnd"/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dugoročne finansijske operacije</w:t>
            </w:r>
            <w:r w:rsidR="00273280">
              <w:rPr>
                <w:rFonts w:cstheme="minorHAnsi"/>
                <w:sz w:val="20"/>
                <w:szCs w:val="24"/>
                <w:lang w:eastAsia="sr-Latn-CS"/>
              </w:rPr>
              <w:t xml:space="preserve"> (TLTRO)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. Drugi vid podrške je kvantitativna podrška koja se odnosi na otkup hartija od vrijednosti iz portfolija banaka</w:t>
            </w:r>
            <w:r w:rsidR="00A81DD8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, 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a koji su vezani za kredite kompanijama, hipotekarne kredite i drugu definisanu aktivu.</w:t>
            </w:r>
            <w:r w:rsidR="00273280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Ove operacije će započeti sredinom oktobra.</w:t>
            </w:r>
            <w:r w:rsidR="00273280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Program će trajati dvije godine i očekuje se da će vrijednost ove podrške dostići 1.000 mlrd</w:t>
            </w:r>
            <w:proofErr w:type="gramStart"/>
            <w:r w:rsidR="00273280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.€</w:t>
            </w:r>
            <w:proofErr w:type="gramEnd"/>
            <w:r w:rsidR="007409AF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.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Cilj kvantitativne podrške je pokretanje jače kreditne aktivnosti da bi se podstakao slab ekonomski rast i da bi se inflacija podigla </w:t>
            </w:r>
            <w:proofErr w:type="gramStart"/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na </w:t>
            </w:r>
            <w:r w:rsidR="00A36406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optimalan</w:t>
            </w:r>
            <w:proofErr w:type="gramEnd"/>
            <w:r w:rsidR="00A36406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nivo (2%). Sama najava ECB je uslovila rast vrijednosti berzi i na</w:t>
            </w:r>
            <w:r w:rsidR="00A36406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tržištima u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perifernim zemljama Evrope (rast vrijednosti na berzama u Bukureštu, Budimpešti, Zagrebu i Ljubljani). Očekujemo da će se ovaj rast </w:t>
            </w:r>
            <w:r w:rsidR="00677E65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odraziti 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>i na našu ekonomiju</w:t>
            </w:r>
            <w:r w:rsidR="007F5FD8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i zemlje Zapadnog Balkana</w:t>
            </w:r>
            <w:r w:rsidR="00273280" w:rsidRPr="002E482B">
              <w:rPr>
                <w:rFonts w:asciiTheme="minorHAnsi" w:hAnsiTheme="minorHAnsi" w:cstheme="minorHAnsi"/>
                <w:sz w:val="20"/>
                <w:szCs w:val="24"/>
                <w:lang w:eastAsia="sr-Latn-CS"/>
              </w:rPr>
              <w:t xml:space="preserve"> kroz jaču ponudu likvidnih sredstava</w:t>
            </w:r>
            <w:r w:rsidR="00273280">
              <w:rPr>
                <w:rFonts w:cstheme="minorHAnsi"/>
                <w:sz w:val="20"/>
                <w:szCs w:val="24"/>
                <w:lang w:eastAsia="sr-Latn-CS"/>
              </w:rPr>
              <w:t>,</w:t>
            </w:r>
            <w:r w:rsidR="00677E65">
              <w:rPr>
                <w:rFonts w:cstheme="minorHAnsi"/>
                <w:sz w:val="20"/>
                <w:szCs w:val="24"/>
                <w:lang w:eastAsia="sr-Latn-CS"/>
              </w:rPr>
              <w:t xml:space="preserve"> </w:t>
            </w:r>
            <w:r w:rsidR="00273280">
              <w:rPr>
                <w:rFonts w:cstheme="minorHAnsi"/>
                <w:sz w:val="20"/>
                <w:szCs w:val="24"/>
                <w:lang w:eastAsia="sr-Latn-CS"/>
              </w:rPr>
              <w:t xml:space="preserve">a time i pojačanu kreditnu aktivnost. </w:t>
            </w:r>
          </w:p>
          <w:p w:rsidR="00B73FD4" w:rsidRPr="00715429" w:rsidRDefault="00B73FD4" w:rsidP="00A22FCE">
            <w:pPr>
              <w:spacing w:line="240" w:lineRule="auto"/>
              <w:jc w:val="both"/>
              <w:rPr>
                <w:noProof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tcBorders>
              <w:top w:val="nil"/>
            </w:tcBorders>
            <w:vAlign w:val="center"/>
          </w:tcPr>
          <w:p w:rsidR="0082570B" w:rsidRPr="00715429" w:rsidRDefault="0082570B" w:rsidP="001D21BD">
            <w:pPr>
              <w:spacing w:after="0" w:line="240" w:lineRule="auto"/>
              <w:ind w:left="34" w:hanging="34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</w:p>
        </w:tc>
      </w:tr>
      <w:tr w:rsidR="0082570B" w:rsidRPr="00715429" w:rsidTr="00677E65">
        <w:trPr>
          <w:gridAfter w:val="1"/>
          <w:wAfter w:w="14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8A31C0" w:rsidP="00677E65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Style w:val="CaptionChar"/>
                <w:noProof/>
                <w:lang w:val="hr-BA"/>
              </w:rPr>
            </w:pPr>
            <w:r w:rsidRPr="00715429">
              <w:rPr>
                <w:rStyle w:val="CaptionChar"/>
                <w:noProof/>
                <w:lang w:val="hr-BA"/>
              </w:rPr>
              <w:t>Realni sektor</w:t>
            </w:r>
          </w:p>
        </w:tc>
        <w:tc>
          <w:tcPr>
            <w:tcW w:w="3652" w:type="dxa"/>
            <w:vMerge w:val="restart"/>
            <w:vAlign w:val="center"/>
          </w:tcPr>
          <w:p w:rsidR="0082570B" w:rsidRPr="00715429" w:rsidRDefault="009E51BC" w:rsidP="009E51BC">
            <w:pPr>
              <w:spacing w:after="0" w:line="240" w:lineRule="auto"/>
              <w:ind w:left="-250"/>
              <w:jc w:val="center"/>
              <w:rPr>
                <w:noProof/>
                <w:lang w:val="hr-BA"/>
              </w:rPr>
            </w:pPr>
            <w:r w:rsidRPr="009E51BC">
              <w:rPr>
                <w:noProof/>
              </w:rPr>
              <w:drawing>
                <wp:inline distT="0" distB="0" distL="0" distR="0">
                  <wp:extent cx="2268000" cy="226800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DE587D" w:rsidRPr="00715429" w:rsidTr="00677E65">
        <w:trPr>
          <w:gridAfter w:val="1"/>
          <w:wAfter w:w="142" w:type="dxa"/>
          <w:trHeight w:hRule="exact" w:val="3742"/>
        </w:trPr>
        <w:tc>
          <w:tcPr>
            <w:tcW w:w="6946" w:type="dxa"/>
            <w:tcBorders>
              <w:top w:val="single" w:sz="4" w:space="0" w:color="auto"/>
            </w:tcBorders>
          </w:tcPr>
          <w:p w:rsidR="009E51BC" w:rsidRPr="000040B3" w:rsidRDefault="00C63D3F" w:rsidP="00677E65">
            <w:pPr>
              <w:spacing w:before="100" w:beforeAutospacing="1" w:line="240" w:lineRule="auto"/>
              <w:jc w:val="both"/>
              <w:rPr>
                <w:sz w:val="20"/>
                <w:szCs w:val="20"/>
              </w:rPr>
            </w:pPr>
            <w:r w:rsidRPr="000040B3">
              <w:rPr>
                <w:b/>
                <w:sz w:val="20"/>
                <w:szCs w:val="20"/>
              </w:rPr>
              <w:t>U</w:t>
            </w:r>
            <w:r w:rsidR="009E51BC" w:rsidRPr="000040B3">
              <w:rPr>
                <w:b/>
                <w:sz w:val="20"/>
                <w:szCs w:val="20"/>
              </w:rPr>
              <w:t xml:space="preserve"> avgustu 2014. </w:t>
            </w:r>
            <w:proofErr w:type="gramStart"/>
            <w:r w:rsidR="009E51BC" w:rsidRPr="000040B3">
              <w:rPr>
                <w:b/>
                <w:sz w:val="20"/>
                <w:szCs w:val="20"/>
              </w:rPr>
              <w:t>godine</w:t>
            </w:r>
            <w:proofErr w:type="gramEnd"/>
            <w:r w:rsidR="009E51BC" w:rsidRPr="000040B3">
              <w:rPr>
                <w:b/>
                <w:sz w:val="20"/>
                <w:szCs w:val="20"/>
              </w:rPr>
              <w:t xml:space="preserve"> </w:t>
            </w:r>
            <w:r w:rsidRPr="000040B3">
              <w:rPr>
                <w:b/>
                <w:sz w:val="20"/>
                <w:szCs w:val="20"/>
              </w:rPr>
              <w:t>zabilježen je</w:t>
            </w:r>
            <w:r w:rsidR="009E51BC" w:rsidRPr="000040B3">
              <w:rPr>
                <w:b/>
                <w:sz w:val="20"/>
                <w:szCs w:val="20"/>
              </w:rPr>
              <w:t xml:space="preserve"> blagi rast dolazaka i noćenja turista.</w:t>
            </w:r>
            <w:r w:rsidR="009E51BC" w:rsidRPr="000040B3">
              <w:rPr>
                <w:sz w:val="20"/>
                <w:szCs w:val="20"/>
              </w:rPr>
              <w:t xml:space="preserve"> Crnu Goru je u avgustu posjetilo 2</w:t>
            </w:r>
            <w:proofErr w:type="gramStart"/>
            <w:r w:rsidR="009E51BC" w:rsidRPr="000040B3">
              <w:rPr>
                <w:sz w:val="20"/>
                <w:szCs w:val="20"/>
              </w:rPr>
              <w:t>,5</w:t>
            </w:r>
            <w:proofErr w:type="gramEnd"/>
            <w:r w:rsidR="009E51BC" w:rsidRPr="000040B3">
              <w:rPr>
                <w:sz w:val="20"/>
                <w:szCs w:val="20"/>
              </w:rPr>
              <w:t xml:space="preserve">% više turista i ostvareno 2,4% više noćenja g-n-g. Rast noćenja ostvarili su </w:t>
            </w:r>
            <w:r w:rsidR="00496006" w:rsidRPr="000040B3">
              <w:rPr>
                <w:sz w:val="20"/>
                <w:szCs w:val="20"/>
              </w:rPr>
              <w:t>i strani (2</w:t>
            </w:r>
            <w:proofErr w:type="gramStart"/>
            <w:r w:rsidR="00496006" w:rsidRPr="000040B3">
              <w:rPr>
                <w:sz w:val="20"/>
                <w:szCs w:val="20"/>
              </w:rPr>
              <w:t>,4</w:t>
            </w:r>
            <w:proofErr w:type="gramEnd"/>
            <w:r w:rsidR="00496006" w:rsidRPr="000040B3">
              <w:rPr>
                <w:sz w:val="20"/>
                <w:szCs w:val="20"/>
              </w:rPr>
              <w:t>%) i</w:t>
            </w:r>
            <w:r w:rsidR="009E51BC" w:rsidRPr="000040B3">
              <w:rPr>
                <w:sz w:val="20"/>
                <w:szCs w:val="20"/>
              </w:rPr>
              <w:t xml:space="preserve"> domaći turisti</w:t>
            </w:r>
            <w:r w:rsidR="00201AEB">
              <w:rPr>
                <w:sz w:val="20"/>
                <w:szCs w:val="20"/>
              </w:rPr>
              <w:t xml:space="preserve"> </w:t>
            </w:r>
            <w:r w:rsidR="00496006" w:rsidRPr="000040B3">
              <w:rPr>
                <w:sz w:val="20"/>
                <w:szCs w:val="20"/>
              </w:rPr>
              <w:t>(2,0%)</w:t>
            </w:r>
            <w:r w:rsidR="009E51BC" w:rsidRPr="000040B3">
              <w:rPr>
                <w:sz w:val="20"/>
                <w:szCs w:val="20"/>
              </w:rPr>
              <w:t xml:space="preserve">. Rast noćenja stranih turista dominantno je opredijeljen rastom noćenja turista iz Rusije </w:t>
            </w:r>
            <w:r w:rsidR="00531684">
              <w:rPr>
                <w:sz w:val="20"/>
                <w:szCs w:val="20"/>
              </w:rPr>
              <w:t xml:space="preserve">od </w:t>
            </w:r>
            <w:r w:rsidR="009E51BC" w:rsidRPr="000040B3">
              <w:rPr>
                <w:sz w:val="20"/>
                <w:szCs w:val="20"/>
              </w:rPr>
              <w:t>5</w:t>
            </w:r>
            <w:proofErr w:type="gramStart"/>
            <w:r w:rsidR="009E51BC" w:rsidRPr="000040B3">
              <w:rPr>
                <w:sz w:val="20"/>
                <w:szCs w:val="20"/>
              </w:rPr>
              <w:t>,2</w:t>
            </w:r>
            <w:proofErr w:type="gramEnd"/>
            <w:r w:rsidR="009E51BC" w:rsidRPr="000040B3">
              <w:rPr>
                <w:sz w:val="20"/>
                <w:szCs w:val="20"/>
              </w:rPr>
              <w:t>%</w:t>
            </w:r>
            <w:r w:rsidR="00496006" w:rsidRPr="000040B3">
              <w:rPr>
                <w:sz w:val="20"/>
                <w:szCs w:val="20"/>
              </w:rPr>
              <w:t xml:space="preserve">, dok su </w:t>
            </w:r>
            <w:r w:rsidR="009E51BC" w:rsidRPr="000040B3">
              <w:rPr>
                <w:sz w:val="20"/>
                <w:szCs w:val="20"/>
              </w:rPr>
              <w:t xml:space="preserve">turisti iz Ukrajine i Srbije zabilježili pad noćenja od 3,7 i 0,9%, respektivno. Industrijska proizvodnja u avgustu 2014. </w:t>
            </w:r>
            <w:proofErr w:type="gramStart"/>
            <w:r w:rsidR="009E51BC" w:rsidRPr="000040B3">
              <w:rPr>
                <w:sz w:val="20"/>
                <w:szCs w:val="20"/>
              </w:rPr>
              <w:t>g-n-g</w:t>
            </w:r>
            <w:proofErr w:type="gramEnd"/>
            <w:r w:rsidR="009E51BC" w:rsidRPr="000040B3">
              <w:rPr>
                <w:sz w:val="20"/>
                <w:szCs w:val="20"/>
              </w:rPr>
              <w:t xml:space="preserve"> bilježi pad od 12,7%, pri čemu su pad ostvarili sektori „prerađivačka industrija“ (19,7%) i „snabdijevanje el.energijom, gasom i parom“ (3,7%), dok je u sektoru „vađenje rude i kamena“ zabilježen rast od 12,1%. Rast u sektoru „vađenja rude i kamena</w:t>
            </w:r>
            <w:proofErr w:type="gramStart"/>
            <w:r w:rsidR="009E51BC" w:rsidRPr="000040B3">
              <w:rPr>
                <w:sz w:val="20"/>
                <w:szCs w:val="20"/>
              </w:rPr>
              <w:t>“ rezultat</w:t>
            </w:r>
            <w:proofErr w:type="gramEnd"/>
            <w:r w:rsidR="009E51BC" w:rsidRPr="000040B3">
              <w:rPr>
                <w:sz w:val="20"/>
                <w:szCs w:val="20"/>
              </w:rPr>
              <w:t xml:space="preserve"> je rasta u oblasti ostalo rudarstvo (43,4%). Pad sektora „prerađivačka industrija</w:t>
            </w:r>
            <w:proofErr w:type="gramStart"/>
            <w:r w:rsidR="009E51BC" w:rsidRPr="000040B3">
              <w:rPr>
                <w:sz w:val="20"/>
                <w:szCs w:val="20"/>
              </w:rPr>
              <w:t>“ opredijeljen</w:t>
            </w:r>
            <w:proofErr w:type="gramEnd"/>
            <w:r w:rsidR="009E51BC" w:rsidRPr="000040B3">
              <w:rPr>
                <w:sz w:val="20"/>
                <w:szCs w:val="20"/>
              </w:rPr>
              <w:t xml:space="preserve"> je padom proizvodnje prehrambenih proizvoda (1,6%), pića (25,1%), osnovnih farmaceutskih proizvoda (65,1%) i osnovnih metala (28,6%), koji čine 62,1% prerađivačke industrije. Promet u trgovini na malo (tekuće cijene) u avgustu 2014. </w:t>
            </w:r>
            <w:proofErr w:type="gramStart"/>
            <w:r w:rsidR="009E51BC" w:rsidRPr="000040B3">
              <w:rPr>
                <w:sz w:val="20"/>
                <w:szCs w:val="20"/>
              </w:rPr>
              <w:t>bilježi</w:t>
            </w:r>
            <w:proofErr w:type="gramEnd"/>
            <w:r w:rsidR="009E51BC" w:rsidRPr="000040B3">
              <w:rPr>
                <w:sz w:val="20"/>
                <w:szCs w:val="20"/>
              </w:rPr>
              <w:t xml:space="preserve"> rast 4,3% g-n-g, dok je rast u odnosu na</w:t>
            </w:r>
            <w:r w:rsidR="00413CAA">
              <w:rPr>
                <w:sz w:val="20"/>
                <w:szCs w:val="20"/>
              </w:rPr>
              <w:t xml:space="preserve"> prethodni mjesec iznosio 11,5%, što je dominantno rezultat pozitivnih kretanja u oblasti turizma.</w:t>
            </w:r>
          </w:p>
          <w:p w:rsidR="00DE587D" w:rsidRPr="000040B3" w:rsidRDefault="00DE587D" w:rsidP="00677E65">
            <w:pPr>
              <w:spacing w:before="100" w:beforeAutospacing="1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</w:p>
        </w:tc>
        <w:tc>
          <w:tcPr>
            <w:tcW w:w="3652" w:type="dxa"/>
            <w:vMerge/>
            <w:vAlign w:val="center"/>
          </w:tcPr>
          <w:p w:rsidR="00DE587D" w:rsidRPr="00715429" w:rsidRDefault="00DE587D" w:rsidP="009E51BC">
            <w:pPr>
              <w:spacing w:after="119" w:line="240" w:lineRule="auto"/>
              <w:jc w:val="center"/>
              <w:rPr>
                <w:noProof/>
                <w:lang w:val="hr-BA"/>
              </w:rPr>
            </w:pPr>
          </w:p>
        </w:tc>
      </w:tr>
      <w:tr w:rsidR="00DE587D" w:rsidRPr="00715429" w:rsidTr="00677E65">
        <w:trPr>
          <w:gridAfter w:val="1"/>
          <w:wAfter w:w="14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DE587D" w:rsidRPr="00715429" w:rsidRDefault="00DE587D" w:rsidP="00496006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Cijene</w:t>
            </w:r>
          </w:p>
        </w:tc>
        <w:tc>
          <w:tcPr>
            <w:tcW w:w="3652" w:type="dxa"/>
            <w:vMerge w:val="restart"/>
            <w:vAlign w:val="center"/>
          </w:tcPr>
          <w:p w:rsidR="00DE587D" w:rsidRPr="00715429" w:rsidRDefault="00496006" w:rsidP="00496006">
            <w:pPr>
              <w:spacing w:after="0" w:line="240" w:lineRule="auto"/>
              <w:ind w:left="-250"/>
              <w:jc w:val="center"/>
              <w:rPr>
                <w:b/>
                <w:noProof/>
                <w:sz w:val="20"/>
                <w:szCs w:val="20"/>
                <w:lang w:val="hr-BA"/>
              </w:rPr>
            </w:pPr>
            <w:r w:rsidRPr="00496006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268000" cy="2268000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E587D" w:rsidRPr="00715429" w:rsidTr="00677E65">
        <w:trPr>
          <w:gridAfter w:val="1"/>
          <w:wAfter w:w="142" w:type="dxa"/>
          <w:trHeight w:hRule="exact" w:val="3232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496006" w:rsidRPr="000040B3" w:rsidRDefault="00496006" w:rsidP="00496006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0B3">
              <w:rPr>
                <w:rFonts w:asciiTheme="minorHAnsi" w:hAnsiTheme="minorHAnsi"/>
                <w:b/>
                <w:sz w:val="20"/>
                <w:szCs w:val="20"/>
              </w:rPr>
              <w:t>Potrošačke cijene (HICP) u avgustu 2014</w:t>
            </w:r>
            <w:r w:rsidR="000040B3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proofErr w:type="gramStart"/>
            <w:r w:rsidR="000040B3">
              <w:rPr>
                <w:rFonts w:asciiTheme="minorHAnsi" w:hAnsiTheme="minorHAnsi"/>
                <w:b/>
                <w:sz w:val="20"/>
                <w:szCs w:val="20"/>
              </w:rPr>
              <w:t>su</w:t>
            </w:r>
            <w:proofErr w:type="gramEnd"/>
            <w:r w:rsidRPr="000040B3">
              <w:rPr>
                <w:rFonts w:asciiTheme="minorHAnsi" w:hAnsiTheme="minorHAnsi"/>
                <w:b/>
                <w:sz w:val="20"/>
                <w:szCs w:val="20"/>
              </w:rPr>
              <w:t>, drugi mjesec za redom</w:t>
            </w:r>
            <w:r w:rsidR="000040B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0040B3">
              <w:rPr>
                <w:rFonts w:asciiTheme="minorHAnsi" w:hAnsiTheme="minorHAnsi"/>
                <w:b/>
                <w:sz w:val="20"/>
                <w:szCs w:val="20"/>
              </w:rPr>
              <w:t xml:space="preserve"> bez promjena na mjesečnom nivou. </w:t>
            </w:r>
            <w:r w:rsidRPr="000040B3">
              <w:rPr>
                <w:rFonts w:asciiTheme="minorHAnsi" w:hAnsiTheme="minorHAnsi"/>
                <w:sz w:val="20"/>
                <w:szCs w:val="20"/>
              </w:rPr>
              <w:t>Stopa</w:t>
            </w:r>
            <w:r w:rsidRPr="000040B3">
              <w:rPr>
                <w:rFonts w:asciiTheme="minorHAnsi" w:hAnsiTheme="minorHAnsi"/>
                <w:b/>
                <w:sz w:val="20"/>
                <w:szCs w:val="20"/>
              </w:rPr>
              <w:t xml:space="preserve"> i</w:t>
            </w:r>
            <w:r w:rsidRPr="000040B3">
              <w:rPr>
                <w:rFonts w:asciiTheme="minorHAnsi" w:hAnsiTheme="minorHAnsi"/>
                <w:sz w:val="20"/>
                <w:szCs w:val="20"/>
              </w:rPr>
              <w:t>nflacija</w:t>
            </w:r>
            <w:r w:rsidR="00201AEB">
              <w:rPr>
                <w:rFonts w:asciiTheme="minorHAnsi" w:hAnsiTheme="minorHAnsi"/>
                <w:sz w:val="20"/>
                <w:szCs w:val="20"/>
              </w:rPr>
              <w:t xml:space="preserve">, mjerena </w:t>
            </w:r>
            <w:r w:rsidRPr="000040B3">
              <w:rPr>
                <w:rFonts w:asciiTheme="minorHAnsi" w:hAnsiTheme="minorHAnsi"/>
                <w:sz w:val="20"/>
                <w:szCs w:val="20"/>
              </w:rPr>
              <w:t>harmonizovanim indeksom potr</w:t>
            </w:r>
            <w:r w:rsidR="00B5629A">
              <w:rPr>
                <w:rFonts w:asciiTheme="minorHAnsi" w:hAnsiTheme="minorHAnsi"/>
                <w:sz w:val="20"/>
                <w:szCs w:val="20"/>
              </w:rPr>
              <w:t xml:space="preserve">ošačkih cijena u avgustu 2014. </w:t>
            </w:r>
            <w:proofErr w:type="gramStart"/>
            <w:r w:rsidR="00B5629A">
              <w:rPr>
                <w:rFonts w:asciiTheme="minorHAnsi" w:hAnsiTheme="minorHAnsi"/>
                <w:sz w:val="20"/>
                <w:szCs w:val="20"/>
              </w:rPr>
              <w:t>i</w:t>
            </w:r>
            <w:r w:rsidRPr="000040B3">
              <w:rPr>
                <w:rFonts w:asciiTheme="minorHAnsi" w:hAnsiTheme="minorHAnsi"/>
                <w:sz w:val="20"/>
                <w:szCs w:val="20"/>
              </w:rPr>
              <w:t>znosila</w:t>
            </w:r>
            <w:proofErr w:type="gramEnd"/>
            <w:r w:rsidRPr="000040B3">
              <w:rPr>
                <w:rFonts w:asciiTheme="minorHAnsi" w:hAnsiTheme="minorHAnsi"/>
                <w:sz w:val="20"/>
                <w:szCs w:val="20"/>
              </w:rPr>
              <w:t xml:space="preserve"> je -0,7% g-n-g. Pad stope inflacije u avgustu, kao i tokom cijele 2014. </w:t>
            </w:r>
            <w:proofErr w:type="gramStart"/>
            <w:r w:rsidRPr="000040B3">
              <w:rPr>
                <w:rFonts w:asciiTheme="minorHAnsi" w:hAnsiTheme="minorHAnsi"/>
                <w:sz w:val="20"/>
                <w:szCs w:val="20"/>
              </w:rPr>
              <w:t>godine</w:t>
            </w:r>
            <w:proofErr w:type="gramEnd"/>
            <w:r w:rsidRPr="000040B3">
              <w:rPr>
                <w:rFonts w:asciiTheme="minorHAnsi" w:hAnsiTheme="minorHAnsi"/>
                <w:sz w:val="20"/>
                <w:szCs w:val="20"/>
              </w:rPr>
              <w:t>, dominantno je opredijeljen padom cijena u grupi „hrana i bezalkoholna pića“, koja čini skoro 1/3 ukupne potrošnje domaćinstava. Ova grupa u avgustu bilježi nešto blaži pad u odnosu na prethodne mjesece (2</w:t>
            </w:r>
            <w:proofErr w:type="gramStart"/>
            <w:r w:rsidRPr="000040B3">
              <w:rPr>
                <w:rFonts w:asciiTheme="minorHAnsi" w:hAnsiTheme="minorHAnsi"/>
                <w:sz w:val="20"/>
                <w:szCs w:val="20"/>
              </w:rPr>
              <w:t>,4</w:t>
            </w:r>
            <w:proofErr w:type="gramEnd"/>
            <w:r w:rsidRPr="000040B3">
              <w:rPr>
                <w:rFonts w:asciiTheme="minorHAnsi" w:hAnsiTheme="minorHAnsi"/>
                <w:sz w:val="20"/>
                <w:szCs w:val="20"/>
              </w:rPr>
              <w:t>%), pri čemu su najznačajniji uticaj u procentnim poenima ostvarile podgrupe „ulja i masti“ (-0,19 p.p), „miljeko,</w:t>
            </w:r>
            <w:r w:rsidR="00B5629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040B3">
              <w:rPr>
                <w:rFonts w:asciiTheme="minorHAnsi" w:hAnsiTheme="minorHAnsi"/>
                <w:sz w:val="20"/>
                <w:szCs w:val="20"/>
              </w:rPr>
              <w:t>sir i jaja“ (-0,12 p.p) i „“voće“ (-0,12 p.p).  Značajan rast cijena zabilježila je podgrupa „usluge smještaja</w:t>
            </w:r>
            <w:proofErr w:type="gramStart"/>
            <w:r w:rsidRPr="000040B3">
              <w:rPr>
                <w:rFonts w:asciiTheme="minorHAnsi" w:hAnsiTheme="minorHAnsi"/>
                <w:sz w:val="20"/>
                <w:szCs w:val="20"/>
              </w:rPr>
              <w:t>“ (</w:t>
            </w:r>
            <w:proofErr w:type="gramEnd"/>
            <w:r w:rsidRPr="000040B3">
              <w:rPr>
                <w:rFonts w:asciiTheme="minorHAnsi" w:hAnsiTheme="minorHAnsi"/>
                <w:sz w:val="20"/>
                <w:szCs w:val="20"/>
              </w:rPr>
              <w:t>2,8%), čiji je uticaj na godišnju inflaciju iznosio 0,11 procentnih poena. Inflacija, mjerena indeksom potrošačkih cijena</w:t>
            </w:r>
            <w:r w:rsidR="00201A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040B3">
              <w:rPr>
                <w:rFonts w:asciiTheme="minorHAnsi" w:hAnsiTheme="minorHAnsi"/>
                <w:sz w:val="20"/>
                <w:szCs w:val="20"/>
              </w:rPr>
              <w:t xml:space="preserve">u avgustu 2014. </w:t>
            </w:r>
            <w:proofErr w:type="gramStart"/>
            <w:r w:rsidRPr="000040B3">
              <w:rPr>
                <w:rFonts w:asciiTheme="minorHAnsi" w:hAnsiTheme="minorHAnsi"/>
                <w:sz w:val="20"/>
                <w:szCs w:val="20"/>
              </w:rPr>
              <w:t>pokazuje</w:t>
            </w:r>
            <w:proofErr w:type="gramEnd"/>
            <w:r w:rsidRPr="000040B3">
              <w:rPr>
                <w:rFonts w:asciiTheme="minorHAnsi" w:hAnsiTheme="minorHAnsi"/>
                <w:sz w:val="20"/>
                <w:szCs w:val="20"/>
              </w:rPr>
              <w:t xml:space="preserve"> pad od 1,1% g-n-g i rast od 0,1% m-n-m</w:t>
            </w:r>
            <w:r w:rsidR="000040B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0040B3">
              <w:rPr>
                <w:rFonts w:asciiTheme="minorHAnsi" w:hAnsiTheme="minorHAnsi"/>
                <w:sz w:val="20"/>
                <w:szCs w:val="20"/>
              </w:rPr>
              <w:t xml:space="preserve">Cijene proizvođača industrijskih proizvoda u avgustu 2014. </w:t>
            </w:r>
            <w:proofErr w:type="gramStart"/>
            <w:r w:rsidRPr="000040B3">
              <w:rPr>
                <w:rFonts w:asciiTheme="minorHAnsi" w:hAnsiTheme="minorHAnsi"/>
                <w:sz w:val="20"/>
                <w:szCs w:val="20"/>
              </w:rPr>
              <w:t>bilježe</w:t>
            </w:r>
            <w:proofErr w:type="gramEnd"/>
            <w:r w:rsidRPr="000040B3">
              <w:rPr>
                <w:rFonts w:asciiTheme="minorHAnsi" w:hAnsiTheme="minorHAnsi"/>
                <w:sz w:val="20"/>
                <w:szCs w:val="20"/>
              </w:rPr>
              <w:t xml:space="preserve"> rast od 1,0% g-n-g i rast od 0,4% m-n-m</w:t>
            </w:r>
            <w:r w:rsidR="000040B3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DE587D" w:rsidRPr="000040B3" w:rsidRDefault="00DE587D" w:rsidP="00496006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tcBorders>
              <w:bottom w:val="thinThickSmallGap" w:sz="18" w:space="0" w:color="auto"/>
            </w:tcBorders>
            <w:vAlign w:val="center"/>
          </w:tcPr>
          <w:p w:rsidR="00DE587D" w:rsidRPr="00715429" w:rsidRDefault="00DE587D" w:rsidP="00496006">
            <w:pPr>
              <w:pStyle w:val="NoSpacing"/>
              <w:jc w:val="both"/>
              <w:rPr>
                <w:noProof/>
                <w:sz w:val="20"/>
                <w:szCs w:val="20"/>
                <w:lang w:val="hr-BA"/>
              </w:rPr>
            </w:pPr>
          </w:p>
        </w:tc>
      </w:tr>
      <w:tr w:rsidR="00DE587D" w:rsidRPr="00715429" w:rsidTr="00677E65">
        <w:trPr>
          <w:gridAfter w:val="1"/>
          <w:wAfter w:w="142" w:type="dxa"/>
          <w:trHeight w:hRule="exact" w:val="3742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DE587D" w:rsidRPr="00A3560C" w:rsidRDefault="00DE587D" w:rsidP="000712B9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0"/>
                <w:lang w:val="hr-BA"/>
              </w:rPr>
            </w:pPr>
            <w:r w:rsidRPr="00A3560C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Zaposlenost i zarade</w:t>
            </w:r>
          </w:p>
          <w:p w:rsidR="00DE587D" w:rsidRPr="00E34692" w:rsidRDefault="008C2443" w:rsidP="00242535">
            <w:pPr>
              <w:pStyle w:val="NormalWeb"/>
              <w:pBdr>
                <w:top w:val="single" w:sz="4" w:space="1" w:color="auto"/>
              </w:pBdr>
              <w:spacing w:before="0" w:beforeAutospacing="0"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  <w:r w:rsidRPr="00677E65">
              <w:rPr>
                <w:rFonts w:asciiTheme="minorHAnsi" w:hAnsiTheme="minorHAnsi" w:cstheme="minorHAnsi"/>
                <w:b/>
                <w:sz w:val="20"/>
                <w:szCs w:val="18"/>
              </w:rPr>
              <w:t>Kretanja na tržištu rada ukazuju da se zaposlenost</w:t>
            </w:r>
            <w:r w:rsidR="00D30045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smanjila na mjesečnom nivou</w:t>
            </w:r>
            <w:r w:rsidRPr="00677E65">
              <w:rPr>
                <w:rFonts w:asciiTheme="minorHAnsi" w:hAnsiTheme="minorHAnsi" w:cstheme="minorHAnsi"/>
                <w:b/>
                <w:sz w:val="20"/>
                <w:szCs w:val="18"/>
              </w:rPr>
              <w:t>, a nezaposlenost blago povećala.</w:t>
            </w:r>
            <w:r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>Broj zaposlenih u avg</w:t>
            </w:r>
            <w:r w:rsidR="00D30045">
              <w:rPr>
                <w:rFonts w:asciiTheme="minorHAnsi" w:hAnsiTheme="minorHAnsi" w:cstheme="minorHAnsi"/>
                <w:sz w:val="20"/>
                <w:szCs w:val="18"/>
              </w:rPr>
              <w:t>ustu 2014. je iznosio 178.558, i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povećao se za 0,8%</w:t>
            </w:r>
            <w:r w:rsidR="00D30045">
              <w:rPr>
                <w:rFonts w:asciiTheme="minorHAnsi" w:hAnsiTheme="minorHAnsi" w:cstheme="minorHAnsi"/>
                <w:sz w:val="20"/>
                <w:szCs w:val="18"/>
              </w:rPr>
              <w:t xml:space="preserve"> u periodu januar-avgust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>,</w:t>
            </w:r>
            <w:r w:rsidR="00D30045">
              <w:rPr>
                <w:rFonts w:asciiTheme="minorHAnsi" w:hAnsiTheme="minorHAnsi" w:cstheme="minorHAnsi"/>
                <w:sz w:val="20"/>
                <w:szCs w:val="18"/>
              </w:rPr>
              <w:t xml:space="preserve"> g-n-g,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dok se u odnosu na prethodni mjesec smanjio 1,6%. Broj nezaposlenih u avgustu 2014. je iznosio 31.163, što je 4,6% više </w:t>
            </w:r>
            <w:r w:rsidR="00D30045">
              <w:rPr>
                <w:rFonts w:asciiTheme="minorHAnsi" w:hAnsiTheme="minorHAnsi" w:cstheme="minorHAnsi"/>
                <w:sz w:val="20"/>
                <w:szCs w:val="18"/>
              </w:rPr>
              <w:t>g-n-g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, odnosno za 0,2% više u odnosu na jul 2014. 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>Stopa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nezaposlenosti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912ADF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je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u avgustu 2014.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 iznosila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13,4%, ili 0,1 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p.p.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više 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>g-n-g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. I dalje je prisutno povećanje broja visokoškolaca koji prvi put traže zaposlenje. U periodu januar-avgust 2014. oglašeno je 27.701 slobodno radno mjesto ili za 17.098 više 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>g-n-g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>, dok je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912ADF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strancima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izdato 17.262 dozvola za rad ili 2,4% manje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 g-n-g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>. Prosječna zarada u avgustu 2014. je iznosila 718€ i veća je u odnosu na jul 2014.</w:t>
            </w:r>
            <w:r w:rsidR="00A95390">
              <w:rPr>
                <w:rFonts w:asciiTheme="minorHAnsi" w:hAnsiTheme="minorHAnsi" w:cstheme="minorHAnsi"/>
                <w:sz w:val="20"/>
                <w:szCs w:val="18"/>
              </w:rPr>
              <w:t xml:space="preserve"> za 0,7%, 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i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>manja je za 0,4%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 g-n-g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>. Neto zarada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912ADF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je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u avgustu 2014. iznosila 473€,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 i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povećana je</w:t>
            </w:r>
            <w:r w:rsidR="00912ADF">
              <w:rPr>
                <w:rFonts w:asciiTheme="minorHAnsi" w:hAnsiTheme="minorHAnsi" w:cstheme="minorHAnsi"/>
                <w:sz w:val="20"/>
                <w:szCs w:val="18"/>
              </w:rPr>
              <w:t xml:space="preserve"> za 0,6%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u odnosu na jul 2</w:t>
            </w:r>
            <w:r w:rsidR="00242535">
              <w:rPr>
                <w:rFonts w:asciiTheme="minorHAnsi" w:hAnsiTheme="minorHAnsi" w:cstheme="minorHAnsi"/>
                <w:sz w:val="20"/>
                <w:szCs w:val="18"/>
              </w:rPr>
              <w:t>014</w:t>
            </w:r>
            <w:r w:rsidR="00805AF2">
              <w:rPr>
                <w:rFonts w:asciiTheme="minorHAnsi" w:hAnsiTheme="minorHAnsi" w:cstheme="minorHAnsi"/>
                <w:sz w:val="20"/>
                <w:szCs w:val="18"/>
              </w:rPr>
              <w:t xml:space="preserve">. </w:t>
            </w:r>
            <w:r w:rsidR="00242535">
              <w:rPr>
                <w:rFonts w:asciiTheme="minorHAnsi" w:hAnsiTheme="minorHAnsi" w:cstheme="minorHAnsi"/>
                <w:sz w:val="20"/>
                <w:szCs w:val="18"/>
              </w:rPr>
              <w:t xml:space="preserve">a smanjena je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 xml:space="preserve"> za 0,6%</w:t>
            </w:r>
            <w:r w:rsidR="00242535">
              <w:rPr>
                <w:rFonts w:asciiTheme="minorHAnsi" w:hAnsiTheme="minorHAnsi" w:cstheme="minorHAnsi"/>
                <w:sz w:val="20"/>
                <w:szCs w:val="18"/>
              </w:rPr>
              <w:t xml:space="preserve"> u periodu januar-avgust g-n-g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>. Realne neto zarade u avgustu 2014.</w:t>
            </w:r>
            <w:r w:rsidR="00242535">
              <w:rPr>
                <w:rFonts w:asciiTheme="minorHAnsi" w:hAnsiTheme="minorHAnsi" w:cstheme="minorHAnsi"/>
                <w:sz w:val="20"/>
                <w:szCs w:val="18"/>
              </w:rPr>
              <w:t xml:space="preserve"> su povećane 0,5%, i </w:t>
            </w:r>
            <w:r w:rsidR="00C15F7A" w:rsidRPr="00677E65">
              <w:rPr>
                <w:rFonts w:asciiTheme="minorHAnsi" w:hAnsiTheme="minorHAnsi" w:cstheme="minorHAnsi"/>
                <w:sz w:val="20"/>
                <w:szCs w:val="18"/>
              </w:rPr>
              <w:t>0,3%</w:t>
            </w:r>
            <w:r w:rsidR="00242535">
              <w:rPr>
                <w:rFonts w:asciiTheme="minorHAnsi" w:hAnsiTheme="minorHAnsi" w:cstheme="minorHAnsi"/>
                <w:sz w:val="20"/>
                <w:szCs w:val="18"/>
              </w:rPr>
              <w:t xml:space="preserve"> više u periodu u odnosu na prethodnu godinu.</w:t>
            </w:r>
          </w:p>
        </w:tc>
        <w:tc>
          <w:tcPr>
            <w:tcW w:w="3652" w:type="dxa"/>
            <w:tcBorders>
              <w:bottom w:val="thinThickSmallGap" w:sz="18" w:space="0" w:color="auto"/>
            </w:tcBorders>
            <w:vAlign w:val="center"/>
          </w:tcPr>
          <w:p w:rsidR="00DE587D" w:rsidRPr="00715429" w:rsidRDefault="00026971" w:rsidP="00DE587D">
            <w:pPr>
              <w:pStyle w:val="NoSpacing"/>
              <w:jc w:val="center"/>
              <w:rPr>
                <w:noProof/>
                <w:sz w:val="20"/>
                <w:szCs w:val="20"/>
                <w:lang w:val="hr-BA"/>
              </w:rPr>
            </w:pPr>
            <w:r w:rsidRPr="00026971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985848" cy="1844043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DE587D" w:rsidRPr="00715429" w:rsidTr="0049250B">
        <w:trPr>
          <w:trHeight w:hRule="exact" w:val="3903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E587D" w:rsidRPr="003A6A2F" w:rsidRDefault="00DE587D" w:rsidP="003A6A2F">
            <w:pPr>
              <w:pStyle w:val="NormalWeb"/>
              <w:numPr>
                <w:ilvl w:val="0"/>
                <w:numId w:val="1"/>
              </w:numPr>
              <w:pBdr>
                <w:bottom w:val="single" w:sz="4" w:space="1" w:color="auto"/>
              </w:pBdr>
              <w:spacing w:before="0" w:beforeAutospacing="0" w:after="0"/>
              <w:ind w:left="357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3A6A2F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lastRenderedPageBreak/>
              <w:t>Javne finansije</w:t>
            </w:r>
          </w:p>
          <w:p w:rsidR="00375E12" w:rsidRPr="001F005F" w:rsidRDefault="00375E12" w:rsidP="00375E1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F00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Izvorni prihodi budžeta Crne Gore </w:t>
            </w:r>
            <w:r w:rsidRPr="001F005F">
              <w:rPr>
                <w:rFonts w:asciiTheme="minorHAnsi" w:hAnsiTheme="minorHAnsi" w:cstheme="minorHAnsi"/>
                <w:sz w:val="20"/>
                <w:szCs w:val="20"/>
              </w:rPr>
              <w:t>u avgustu 2014.g. ostvareni su u iznosu od 126</w:t>
            </w:r>
            <w:proofErr w:type="gramStart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>,6</w:t>
            </w:r>
            <w:proofErr w:type="gramEnd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mil.€ što je za 1,2 % više u odnosu na avgust 2013. Naplata prihoda po osnovu PDV-a viša je za 5</w:t>
            </w:r>
            <w:proofErr w:type="gramStart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>,5</w:t>
            </w:r>
            <w:proofErr w:type="gramEnd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% u</w:t>
            </w:r>
            <w:r w:rsidR="00005AD2">
              <w:rPr>
                <w:rFonts w:asciiTheme="minorHAnsi" w:hAnsiTheme="minorHAnsi" w:cstheme="minorHAnsi"/>
                <w:sz w:val="20"/>
                <w:szCs w:val="20"/>
              </w:rPr>
              <w:t xml:space="preserve"> odnosu na avgust prošle godine. </w:t>
            </w:r>
            <w:r w:rsidRPr="001F005F">
              <w:rPr>
                <w:rFonts w:asciiTheme="minorHAnsi" w:hAnsiTheme="minorHAnsi" w:cstheme="minorHAnsi"/>
                <w:sz w:val="20"/>
                <w:szCs w:val="20"/>
              </w:rPr>
              <w:t>Takođe</w:t>
            </w:r>
            <w:proofErr w:type="gramStart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>,naplata</w:t>
            </w:r>
            <w:proofErr w:type="gramEnd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prihoda od poreza i doprinosa na zarade u ovom mj</w:t>
            </w:r>
            <w:r w:rsidR="00B5629A">
              <w:rPr>
                <w:rFonts w:asciiTheme="minorHAnsi" w:hAnsiTheme="minorHAnsi" w:cstheme="minorHAnsi"/>
                <w:sz w:val="20"/>
                <w:szCs w:val="20"/>
              </w:rPr>
              <w:t>esecu povećana je za 1,4%, kao i</w:t>
            </w:r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naplata carina za 6,6% u odnosu na isti mjesec prošle godine. </w:t>
            </w:r>
            <w:r w:rsidRPr="001F005F">
              <w:rPr>
                <w:rFonts w:asciiTheme="minorHAnsi" w:hAnsiTheme="minorHAnsi" w:cstheme="minorHAnsi"/>
                <w:b/>
                <w:sz w:val="20"/>
                <w:szCs w:val="20"/>
              </w:rPr>
              <w:t>Izdaci budžeta</w:t>
            </w:r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u avgustu 2014.g. iznosili su 108</w:t>
            </w:r>
            <w:proofErr w:type="gramStart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  <w:proofErr w:type="gramEnd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mil</w:t>
            </w:r>
            <w:r w:rsidR="00B562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€ i niži su u odnosu na isti mjesec 2013.g. za 23,5% ili 33,2 mil€. </w:t>
            </w:r>
            <w:r w:rsidR="000A2E85" w:rsidRPr="0081499C">
              <w:rPr>
                <w:rFonts w:asciiTheme="minorHAnsi" w:hAnsiTheme="minorHAnsi" w:cstheme="minorHAnsi"/>
                <w:b/>
              </w:rPr>
              <w:t xml:space="preserve"> Suficit budžeta</w:t>
            </w:r>
            <w:r w:rsidR="000A2E85" w:rsidRPr="0081499C">
              <w:rPr>
                <w:rFonts w:asciiTheme="minorHAnsi" w:hAnsiTheme="minorHAnsi" w:cstheme="minorHAnsi"/>
              </w:rPr>
              <w:t xml:space="preserve"> u avgustu 2014.g. iznosio je 18</w:t>
            </w:r>
            <w:proofErr w:type="gramStart"/>
            <w:r w:rsidR="000A2E85" w:rsidRPr="0081499C">
              <w:rPr>
                <w:rFonts w:asciiTheme="minorHAnsi" w:hAnsiTheme="minorHAnsi" w:cstheme="minorHAnsi"/>
              </w:rPr>
              <w:t>,5</w:t>
            </w:r>
            <w:proofErr w:type="gramEnd"/>
            <w:r w:rsidR="000A2E85" w:rsidRPr="0081499C">
              <w:rPr>
                <w:rFonts w:asciiTheme="minorHAnsi" w:hAnsiTheme="minorHAnsi" w:cstheme="minorHAnsi"/>
              </w:rPr>
              <w:t xml:space="preserve"> mil.€. U periodu januar-avgust 2014.g. ostvaren je budžetski deficit od 29</w:t>
            </w:r>
            <w:proofErr w:type="gramStart"/>
            <w:r w:rsidR="000A2E85" w:rsidRPr="0081499C">
              <w:rPr>
                <w:rFonts w:asciiTheme="minorHAnsi" w:hAnsiTheme="minorHAnsi" w:cstheme="minorHAnsi"/>
              </w:rPr>
              <w:t>,5</w:t>
            </w:r>
            <w:proofErr w:type="gramEnd"/>
            <w:r w:rsidR="000A2E85" w:rsidRPr="0081499C">
              <w:rPr>
                <w:rFonts w:asciiTheme="minorHAnsi" w:hAnsiTheme="minorHAnsi" w:cstheme="minorHAnsi"/>
              </w:rPr>
              <w:t xml:space="preserve"> mil.€. U odnosu na isti period 2013. </w:t>
            </w:r>
            <w:proofErr w:type="gramStart"/>
            <w:r w:rsidR="000A2E85" w:rsidRPr="0081499C">
              <w:rPr>
                <w:rFonts w:asciiTheme="minorHAnsi" w:hAnsiTheme="minorHAnsi" w:cstheme="minorHAnsi"/>
              </w:rPr>
              <w:t>g</w:t>
            </w:r>
            <w:proofErr w:type="gramEnd"/>
            <w:r w:rsidR="000A2E85" w:rsidRPr="0081499C">
              <w:rPr>
                <w:rFonts w:asciiTheme="minorHAnsi" w:hAnsiTheme="minorHAnsi" w:cstheme="minorHAnsi"/>
              </w:rPr>
              <w:t xml:space="preserve">. kumulativni deficit je niži za oko 100 mil. € </w:t>
            </w:r>
            <w:proofErr w:type="gramStart"/>
            <w:r w:rsidR="000A2E85" w:rsidRPr="0081499C">
              <w:rPr>
                <w:rFonts w:asciiTheme="minorHAnsi" w:hAnsiTheme="minorHAnsi" w:cstheme="minorHAnsi"/>
              </w:rPr>
              <w:t>usled</w:t>
            </w:r>
            <w:proofErr w:type="gramEnd"/>
            <w:r w:rsidR="000A2E85" w:rsidRPr="0081499C">
              <w:rPr>
                <w:rFonts w:asciiTheme="minorHAnsi" w:hAnsiTheme="minorHAnsi" w:cstheme="minorHAnsi"/>
              </w:rPr>
              <w:t xml:space="preserve"> visokog iznosa plaćenih garancija u 2013. g.</w:t>
            </w:r>
            <w:r w:rsidR="000A2E85">
              <w:rPr>
                <w:rFonts w:asciiTheme="minorHAnsi" w:hAnsiTheme="minorHAnsi" w:cstheme="minorHAnsi"/>
              </w:rPr>
              <w:t xml:space="preserve"> </w:t>
            </w:r>
            <w:r w:rsidRPr="001F005F">
              <w:rPr>
                <w:rFonts w:asciiTheme="minorHAnsi" w:hAnsiTheme="minorHAnsi" w:cstheme="minorHAnsi"/>
                <w:b/>
                <w:sz w:val="20"/>
                <w:szCs w:val="20"/>
              </w:rPr>
              <w:t>Državni dug</w:t>
            </w:r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na kraju juna 2014. </w:t>
            </w:r>
            <w:proofErr w:type="gramStart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>iznosio</w:t>
            </w:r>
            <w:proofErr w:type="gramEnd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je 2.022,1 mil.€, što predstavlja 57,5 % procijenjenog BDP-a Crne Gore i povećan je za 1,4 p.p. u odnosu na kraj 2013, kao rezultat nominalnog rasta zaduženja, i smanjen je  za 0,5 p.p. u odnosu na kraj 2013.  Unutrašnji dug iznosio je 438</w:t>
            </w:r>
            <w:proofErr w:type="gramStart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>,3</w:t>
            </w:r>
            <w:proofErr w:type="gramEnd"/>
            <w:r w:rsidRPr="001F005F">
              <w:rPr>
                <w:rFonts w:asciiTheme="minorHAnsi" w:hAnsiTheme="minorHAnsi" w:cstheme="minorHAnsi"/>
                <w:sz w:val="20"/>
                <w:szCs w:val="20"/>
              </w:rPr>
              <w:t xml:space="preserve"> mil.€, a dug prema nerezidentima 1.583,8 mil.€.</w:t>
            </w:r>
          </w:p>
          <w:p w:rsidR="00DE587D" w:rsidRPr="002A1639" w:rsidRDefault="00DE587D" w:rsidP="00340909">
            <w:pPr>
              <w:spacing w:after="0" w:line="240" w:lineRule="auto"/>
              <w:jc w:val="both"/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E587D" w:rsidRPr="003C1215" w:rsidRDefault="00A95F41" w:rsidP="00DE587D">
            <w:pPr>
              <w:rPr>
                <w:noProof/>
                <w:sz w:val="17"/>
                <w:szCs w:val="17"/>
                <w:lang w:val="sr-Latn-CS" w:eastAsia="sr-Latn-CS"/>
              </w:rPr>
            </w:pPr>
            <w:r w:rsidRPr="00A95F41">
              <w:rPr>
                <w:noProof/>
                <w:sz w:val="17"/>
                <w:szCs w:val="17"/>
              </w:rPr>
              <w:drawing>
                <wp:inline distT="0" distB="0" distL="0" distR="0">
                  <wp:extent cx="2116868" cy="2248755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DE587D" w:rsidRPr="00715429" w:rsidTr="00375E12">
        <w:trPr>
          <w:trHeight w:hRule="exact" w:val="4811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E587D" w:rsidRPr="000712B9" w:rsidRDefault="00DE587D" w:rsidP="000712B9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0712B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Monetarni sektor</w:t>
            </w:r>
          </w:p>
          <w:p w:rsidR="00375E12" w:rsidRPr="003C543D" w:rsidRDefault="00375E12" w:rsidP="00375E1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U monetarnoj oblasti nastavljen je rast kreditnih plasmana, ukupnog kapitala i depozita banaka.</w:t>
            </w:r>
            <w:r w:rsidR="00456F4F">
              <w:rPr>
                <w:b/>
                <w:noProof/>
                <w:sz w:val="20"/>
                <w:szCs w:val="20"/>
              </w:rPr>
              <w:t xml:space="preserve"> </w:t>
            </w:r>
            <w:r w:rsidRPr="00344093">
              <w:rPr>
                <w:noProof/>
                <w:sz w:val="20"/>
                <w:szCs w:val="20"/>
              </w:rPr>
              <w:t>Ukup</w:t>
            </w:r>
            <w:r>
              <w:rPr>
                <w:noProof/>
                <w:sz w:val="20"/>
                <w:szCs w:val="20"/>
              </w:rPr>
              <w:t xml:space="preserve">ni </w:t>
            </w:r>
            <w:r w:rsidRPr="00A858D1">
              <w:rPr>
                <w:b/>
                <w:noProof/>
                <w:sz w:val="20"/>
                <w:szCs w:val="20"/>
              </w:rPr>
              <w:t>krediti</w:t>
            </w:r>
            <w:r>
              <w:rPr>
                <w:noProof/>
                <w:sz w:val="20"/>
                <w:szCs w:val="20"/>
              </w:rPr>
              <w:t xml:space="preserve"> banaka su, u avgustu, iznosili 2.453,0 mil.€, što je za 39,0 mil.€ više u odnosu na kraj prethodne godine ili 1,6%, odnosno za 50,3 mil.€  ili 2,1% više u odnosu na prethodni mjesec. Po osnovu kredita, banke su najviše potraživale od privrede i banaka (73,6%). Sredstva deponovana u bankama su zadržala trend rasta, tako da su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ukupni </w:t>
            </w:r>
            <w:r w:rsidRPr="004512FD">
              <w:rPr>
                <w:b/>
                <w:noProof/>
                <w:sz w:val="20"/>
                <w:szCs w:val="20"/>
              </w:rPr>
              <w:t>depozit</w:t>
            </w:r>
            <w:r>
              <w:rPr>
                <w:b/>
                <w:noProof/>
                <w:sz w:val="20"/>
                <w:szCs w:val="20"/>
              </w:rPr>
              <w:t xml:space="preserve">i </w:t>
            </w:r>
            <w:r w:rsidRPr="00436828">
              <w:rPr>
                <w:noProof/>
                <w:sz w:val="20"/>
                <w:szCs w:val="20"/>
              </w:rPr>
              <w:t>iznosili</w:t>
            </w:r>
            <w:r>
              <w:rPr>
                <w:noProof/>
                <w:sz w:val="20"/>
                <w:szCs w:val="20"/>
              </w:rPr>
              <w:t xml:space="preserve"> 2.254,5 mil.€ i na mjesečnom nivou ostvarili rast od 3,0% i na godišnjem 5,1%. Najveći deponenti u bankarskom sistemu su sektori stanovništva i privrede. Pri tome se na depozite stanovništva odnosilo 1.288,5 mil.€ ili 57,2%, dok su depoziti privrede sa iznosom od 639,4 mil.€ činili 28,4% ukupnih depozita. U avgustu je počela sa radom “Lovćen” banka, koja predstavlja 12-tu banku u crnogorskom bankarskom sistemu,</w:t>
            </w:r>
            <w:r w:rsidR="009B37AE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a čija će  glavna orjentacija biti na pružanju kreditne podrške malim i srednjim preduzećima iz sektora turizma, energetike i agrobiznisa. </w:t>
            </w:r>
            <w:r w:rsidRPr="00DB0286">
              <w:rPr>
                <w:b/>
                <w:noProof/>
                <w:sz w:val="20"/>
                <w:szCs w:val="20"/>
              </w:rPr>
              <w:t>Nelikvidnost</w:t>
            </w:r>
            <w:r>
              <w:rPr>
                <w:noProof/>
                <w:sz w:val="20"/>
                <w:szCs w:val="20"/>
              </w:rPr>
              <w:t xml:space="preserve"> realnog sektora se najviše  ogleda kroz broj blokiranih pravnih lica. Krajem avgusta od 60.390 pravnih li</w:t>
            </w:r>
            <w:r w:rsidR="009B37AE">
              <w:rPr>
                <w:noProof/>
                <w:sz w:val="20"/>
                <w:szCs w:val="20"/>
              </w:rPr>
              <w:t>ca i</w:t>
            </w:r>
            <w:r>
              <w:rPr>
                <w:noProof/>
                <w:sz w:val="20"/>
                <w:szCs w:val="20"/>
              </w:rPr>
              <w:t xml:space="preserve"> preduzetnika, u blokadi je bilo 13.774 ili 22,8%, što u poređenju sa prethodnim mjesecom predstavlja povećanje od 0,89% .</w:t>
            </w:r>
            <w:r w:rsidR="0010278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Ukupan dug po osnovu koga je izvršena blokada računa je iznosio 462,5 mil. €, što j</w:t>
            </w:r>
            <w:r w:rsidR="00676BD4">
              <w:rPr>
                <w:noProof/>
                <w:sz w:val="20"/>
                <w:szCs w:val="20"/>
              </w:rPr>
              <w:t xml:space="preserve">e za 3,76% više </w:t>
            </w:r>
            <w:r w:rsidR="0003370D">
              <w:rPr>
                <w:noProof/>
                <w:sz w:val="20"/>
                <w:szCs w:val="20"/>
              </w:rPr>
              <w:t xml:space="preserve"> u odnosu na prethodni mjesec.</w:t>
            </w:r>
          </w:p>
          <w:p w:rsidR="00DE587D" w:rsidRPr="00715429" w:rsidRDefault="00DE587D" w:rsidP="002916F7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E587D" w:rsidRPr="00715429" w:rsidRDefault="00375E12" w:rsidP="00DE587D">
            <w:pPr>
              <w:rPr>
                <w:noProof/>
                <w:sz w:val="17"/>
                <w:szCs w:val="17"/>
                <w:lang w:val="hr-BA" w:eastAsia="sr-Latn-CS"/>
              </w:rPr>
            </w:pPr>
            <w:r w:rsidRPr="00375E12">
              <w:rPr>
                <w:noProof/>
                <w:sz w:val="17"/>
                <w:szCs w:val="17"/>
              </w:rPr>
              <w:drawing>
                <wp:inline distT="0" distB="0" distL="0" distR="0">
                  <wp:extent cx="2268000" cy="2181225"/>
                  <wp:effectExtent l="19050" t="0" r="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E587D" w:rsidRPr="00715429" w:rsidTr="00375E12">
        <w:trPr>
          <w:trHeight w:hRule="exact" w:val="6457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E587D" w:rsidRPr="00354DDA" w:rsidRDefault="00DE587D" w:rsidP="008902D3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Theme="minorHAnsi" w:hAnsiTheme="minorHAns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0712B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 xml:space="preserve">Spoljnotrgovinska razmjena </w:t>
            </w:r>
          </w:p>
          <w:p w:rsidR="007946DB" w:rsidRPr="002260FD" w:rsidRDefault="00D96335" w:rsidP="002260FD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2260FD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Spoljnotrgovinski deficit  u periodu januar – avgust 2014.  povećan je za 4,6 % i ostvaren u iznosu  od 972,4 mil.€, usljed  većeg procentualnog pada izvoza od uvoza roba</w:t>
            </w:r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. </w:t>
            </w:r>
            <w:r w:rsidRPr="002260FD">
              <w:rPr>
                <w:sz w:val="20"/>
                <w:szCs w:val="20"/>
              </w:rPr>
              <w:t xml:space="preserve">Visina spoljnotrgovinskog deficita uglavnom je generisana smanjenjem izvozne proizvodnje metalske industrije i negativnim energetskim bilansom. </w:t>
            </w:r>
            <w:r w:rsidR="002F7DB2" w:rsidRPr="002260FD">
              <w:rPr>
                <w:sz w:val="20"/>
                <w:szCs w:val="20"/>
              </w:rPr>
              <w:t>Ukupna robna razmjena za navedeni period iznosi 1.384,6 mil</w:t>
            </w:r>
            <w:proofErr w:type="gramStart"/>
            <w:r w:rsidR="002F7DB2" w:rsidRPr="002260FD">
              <w:rPr>
                <w:sz w:val="20"/>
                <w:szCs w:val="20"/>
              </w:rPr>
              <w:t>.€</w:t>
            </w:r>
            <w:proofErr w:type="gramEnd"/>
            <w:r w:rsidR="002F7DB2" w:rsidRPr="002260FD">
              <w:rPr>
                <w:sz w:val="20"/>
                <w:szCs w:val="20"/>
              </w:rPr>
              <w:t xml:space="preserve">, što ukazuje na pad od 4,0%, dok je pokrivenost uvoza izvozom manja za 4,1 </w:t>
            </w:r>
            <w:r w:rsidR="009571D8" w:rsidRPr="002260FD">
              <w:rPr>
                <w:sz w:val="20"/>
                <w:szCs w:val="20"/>
              </w:rPr>
              <w:t xml:space="preserve">p.p </w:t>
            </w:r>
            <w:r w:rsidR="004453B9" w:rsidRPr="002260FD">
              <w:rPr>
                <w:sz w:val="20"/>
                <w:szCs w:val="20"/>
              </w:rPr>
              <w:t>i</w:t>
            </w:r>
            <w:r w:rsidR="002F7DB2" w:rsidRPr="002260FD">
              <w:rPr>
                <w:sz w:val="20"/>
                <w:szCs w:val="20"/>
              </w:rPr>
              <w:t xml:space="preserve"> iznosi 17,5%. </w:t>
            </w:r>
            <w:r w:rsidRPr="002260FD">
              <w:rPr>
                <w:sz w:val="20"/>
                <w:szCs w:val="20"/>
              </w:rPr>
              <w:t>U</w:t>
            </w:r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kupan </w:t>
            </w:r>
            <w:proofErr w:type="gramStart"/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izvoz  vrijedio</w:t>
            </w:r>
            <w:proofErr w:type="gramEnd"/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je  206,1 mil.€, što je za 19,6% manje g-n-g. Na smanjenje vrijednosti izvoza najviše je uticao pad izvoza električne energije (66,0%) i aluminijuma (23,0%). </w:t>
            </w:r>
            <w:r w:rsidR="00375E12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K</w:t>
            </w:r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ategorija hrana i žive životinje </w:t>
            </w:r>
            <w:r w:rsidR="00375E12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je </w:t>
            </w:r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povećala učešće u ukupnom izvozu sa 7,0% na 19,0%, kao rezultat povećanja izvoza mesa i prerada mesa sa 4,6 mil.€ na 27,6 mil.€. Izvoz pića bilježi rast od 8,0% (</w:t>
            </w:r>
            <w:r w:rsidR="00545372"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  <w:r w:rsidR="00A34E8F"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i </w:t>
            </w:r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pored pada proizvodnje od 12,2%), pri čemu je </w:t>
            </w:r>
            <w:r w:rsidR="00375E12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izvoz </w:t>
            </w:r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u Rusiju</w:t>
            </w:r>
            <w:r w:rsidR="00375E12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viši za oko</w:t>
            </w:r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70,0%.</w:t>
            </w:r>
            <w:r w:rsidR="007C5F96"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  <w:r w:rsidRPr="002260F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Ukupan uvoz vrijedio je 1.178,5 mil.€, što je za 0,6% manje g-n-g. Blagom smanjenjenju uvoza najviše je doprinio pad uvoza kategorija ostala transportna sredstva (84,0%), električna energija (23,0%) i  nafta i naftni derivati (3,0%).</w:t>
            </w:r>
          </w:p>
          <w:p w:rsidR="00545372" w:rsidRPr="002260FD" w:rsidRDefault="00545372" w:rsidP="002260FD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  <w:r w:rsidRPr="002260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 </w:t>
            </w:r>
            <w:r w:rsidRPr="002260FD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val="hr-BA"/>
              </w:rPr>
              <w:t>prvih sedam mjeseci 2014. nastavljen je trend rasta priliva SDI, tako da su neto SDI  iznosile 189,9 mil.€, što je za 1,2% vi</w:t>
            </w:r>
            <w:r w:rsidRPr="002260FD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val="sr-Latn-CS"/>
              </w:rPr>
              <w:t xml:space="preserve">še nego </w:t>
            </w:r>
            <w:r w:rsidRPr="002260FD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val="hr-BA"/>
              </w:rPr>
              <w:t>u uporednom periodu iz 2013.(187,6 mil.€).</w:t>
            </w:r>
            <w:r w:rsidRPr="002260FD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 xml:space="preserve"> Ukupan priliv SDI iznosio je 259,2 mil.€, sa učešćem vlasničkih ulaganja od 47,6% ili 2,7% više nego u 2013. U strukturi priliva ostvaren je rast po osnovu vlasničkih i dužničkih ulaganja, tj. investicije u preduzeća i banke 10,4%, (125,1% više), investicije u nekretnine 37,1% (11% manje), interkompanijski dug 50,9% (14,9% više) i ostalo 1,6% (11,0% manje). Ukupan odliv SDI iznosio je 69,4 mil.€ </w:t>
            </w:r>
            <w:r w:rsidR="00676BD4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 xml:space="preserve"> </w:t>
            </w:r>
            <w:r w:rsidRPr="002260FD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>što je za 23,6% više nego u 2013.(56,2 mil.€). U strukturi odliva najveći dio se odnosio na povlačenje sredstava nerezidenata 85,4%, dok su ulaganja rezidenata u inostranstvo 14,6 %.</w:t>
            </w:r>
          </w:p>
          <w:p w:rsidR="00545372" w:rsidRPr="002260FD" w:rsidRDefault="00545372" w:rsidP="00545372">
            <w:pPr>
              <w:rPr>
                <w:sz w:val="20"/>
                <w:szCs w:val="20"/>
              </w:rPr>
            </w:pPr>
          </w:p>
          <w:p w:rsidR="00545372" w:rsidRPr="00CF3A55" w:rsidRDefault="00545372" w:rsidP="00D9633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96335" w:rsidRPr="00354DDA" w:rsidRDefault="00D96335" w:rsidP="002916F7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E587D" w:rsidRPr="00715429" w:rsidRDefault="00ED69B4" w:rsidP="00DE587D">
            <w:pPr>
              <w:jc w:val="center"/>
              <w:rPr>
                <w:noProof/>
                <w:sz w:val="17"/>
                <w:szCs w:val="17"/>
                <w:lang w:val="hr-BA" w:eastAsia="sr-Latn-CS"/>
              </w:rPr>
            </w:pPr>
            <w:r w:rsidRPr="00ED69B4">
              <w:rPr>
                <w:noProof/>
                <w:sz w:val="17"/>
                <w:szCs w:val="17"/>
              </w:rPr>
              <w:drawing>
                <wp:inline distT="0" distB="0" distL="0" distR="0">
                  <wp:extent cx="2340000" cy="1872000"/>
                  <wp:effectExtent l="0" t="0" r="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82570B" w:rsidRPr="004A3489" w:rsidRDefault="0082570B" w:rsidP="00D51C00">
      <w:pPr>
        <w:rPr>
          <w:rFonts w:asciiTheme="minorHAnsi" w:hAnsiTheme="minorHAnsi" w:cstheme="minorHAnsi"/>
          <w:sz w:val="20"/>
          <w:szCs w:val="20"/>
        </w:rPr>
        <w:sectPr w:rsidR="0082570B" w:rsidRPr="004A3489" w:rsidSect="009C5011">
          <w:pgSz w:w="11907" w:h="16839" w:code="9"/>
          <w:pgMar w:top="720" w:right="720" w:bottom="709" w:left="720" w:header="720" w:footer="720" w:gutter="0"/>
          <w:cols w:space="720"/>
          <w:rtlGutter/>
          <w:docGrid w:linePitch="360"/>
        </w:sectPr>
      </w:pPr>
    </w:p>
    <w:p w:rsidR="002A1639" w:rsidRPr="00715429" w:rsidRDefault="0082570B" w:rsidP="00332574">
      <w:pPr>
        <w:jc w:val="center"/>
        <w:outlineLvl w:val="0"/>
        <w:rPr>
          <w:noProof/>
          <w:sz w:val="17"/>
          <w:szCs w:val="16"/>
          <w:lang w:val="hr-BA"/>
        </w:rPr>
      </w:pPr>
      <w:r w:rsidRPr="00715429">
        <w:rPr>
          <w:noProof/>
          <w:sz w:val="17"/>
          <w:szCs w:val="16"/>
          <w:lang w:val="hr-BA"/>
        </w:rPr>
        <w:lastRenderedPageBreak/>
        <w:t xml:space="preserve">Tabela 1: </w:t>
      </w:r>
      <w:r w:rsidRPr="00715429">
        <w:rPr>
          <w:b/>
          <w:bCs/>
          <w:noProof/>
          <w:sz w:val="17"/>
          <w:szCs w:val="16"/>
          <w:lang w:val="hr-BA"/>
        </w:rPr>
        <w:t>MAKROEKONOMSKI INDIKATORI</w:t>
      </w:r>
      <w:r w:rsidRPr="00715429">
        <w:rPr>
          <w:noProof/>
          <w:sz w:val="17"/>
          <w:szCs w:val="16"/>
          <w:lang w:val="hr-BA"/>
        </w:rPr>
        <w:t xml:space="preserve"> – </w:t>
      </w:r>
      <w:r w:rsidR="002916F7">
        <w:rPr>
          <w:noProof/>
          <w:sz w:val="17"/>
          <w:szCs w:val="16"/>
          <w:lang w:val="hr-BA"/>
        </w:rPr>
        <w:t>avgust</w:t>
      </w:r>
      <w:r w:rsidR="00725E16">
        <w:rPr>
          <w:noProof/>
          <w:sz w:val="17"/>
          <w:szCs w:val="16"/>
          <w:lang w:val="hr-BA"/>
        </w:rPr>
        <w:t xml:space="preserve"> </w:t>
      </w:r>
      <w:r w:rsidRPr="00715429">
        <w:rPr>
          <w:noProof/>
          <w:sz w:val="17"/>
          <w:szCs w:val="16"/>
          <w:lang w:val="hr-BA"/>
        </w:rPr>
        <w:t>201</w:t>
      </w:r>
      <w:r w:rsidR="00B355D6" w:rsidRPr="00715429">
        <w:rPr>
          <w:noProof/>
          <w:sz w:val="17"/>
          <w:szCs w:val="16"/>
          <w:lang w:val="hr-BA"/>
        </w:rPr>
        <w:t>4</w:t>
      </w:r>
      <w:r w:rsidRPr="00715429">
        <w:rPr>
          <w:noProof/>
          <w:sz w:val="17"/>
          <w:szCs w:val="16"/>
          <w:lang w:val="hr-BA"/>
        </w:rPr>
        <w:t>.</w:t>
      </w:r>
      <w:bookmarkStart w:id="0" w:name="_GoBack"/>
      <w:bookmarkEnd w:id="0"/>
    </w:p>
    <w:p w:rsidR="0082570B" w:rsidRPr="00715429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784DAE" w:rsidRPr="00715429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332574" w:rsidRPr="00715429" w:rsidRDefault="00332574" w:rsidP="00332574">
      <w:pPr>
        <w:spacing w:after="0" w:line="240" w:lineRule="auto"/>
        <w:outlineLvl w:val="0"/>
        <w:rPr>
          <w:b/>
          <w:i/>
          <w:noProof/>
          <w:sz w:val="16"/>
          <w:szCs w:val="16"/>
          <w:lang w:val="hr-BA"/>
        </w:rPr>
      </w:pPr>
      <w:r w:rsidRPr="00715429">
        <w:rPr>
          <w:b/>
          <w:i/>
          <w:noProof/>
          <w:sz w:val="16"/>
          <w:szCs w:val="16"/>
          <w:lang w:val="hr-BA"/>
        </w:rPr>
        <w:t>Izvor: MONSTAT, Centralna Banka, Zavod za zapošljavanje Crne Gore</w:t>
      </w:r>
    </w:p>
    <w:p w:rsidR="00332574" w:rsidRPr="00715429" w:rsidRDefault="00332574" w:rsidP="00332574">
      <w:pPr>
        <w:spacing w:after="0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Svi indikatori su prikazani kao godišnje stope rasta (stopa promjene indikatora u posmatranom mjesecu u odnosu na isti mjesec prethodne godine u %) ukoliko nije drugačije naznačeno u nazivu</w:t>
      </w:r>
    </w:p>
    <w:p w:rsidR="0083011C" w:rsidRDefault="00332574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M-n-M označava mjesečnu promjenu (stopa promjene indikatora u posmatranom mjesecu u odnosu na prethodni mjesec u %)</w:t>
      </w:r>
      <w:r w:rsidR="00B012FF">
        <w:rPr>
          <w:i/>
          <w:iCs/>
          <w:noProof/>
          <w:sz w:val="12"/>
          <w:szCs w:val="12"/>
          <w:lang w:val="hr-BA"/>
        </w:rPr>
        <w:t xml:space="preserve"> </w:t>
      </w:r>
      <w:r w:rsidR="00E2362B">
        <w:rPr>
          <w:i/>
          <w:iCs/>
          <w:noProof/>
          <w:sz w:val="12"/>
          <w:szCs w:val="12"/>
          <w:lang w:val="hr-BA"/>
        </w:rPr>
        <w:t>g-n-g</w:t>
      </w:r>
      <w:r w:rsidR="00E2362B" w:rsidRPr="00715429">
        <w:rPr>
          <w:i/>
          <w:iCs/>
          <w:noProof/>
          <w:sz w:val="12"/>
          <w:szCs w:val="12"/>
          <w:lang w:val="hr-BA"/>
        </w:rPr>
        <w:t xml:space="preserve"> označava </w:t>
      </w:r>
      <w:r w:rsidR="00E2362B">
        <w:rPr>
          <w:i/>
          <w:iCs/>
          <w:noProof/>
          <w:sz w:val="12"/>
          <w:szCs w:val="12"/>
          <w:lang w:val="hr-BA"/>
        </w:rPr>
        <w:t>godišnju</w:t>
      </w:r>
      <w:r w:rsidR="00E2362B" w:rsidRPr="00715429">
        <w:rPr>
          <w:i/>
          <w:iCs/>
          <w:noProof/>
          <w:sz w:val="12"/>
          <w:szCs w:val="12"/>
          <w:lang w:val="hr-BA"/>
        </w:rPr>
        <w:t xml:space="preserve"> promjenu (stopa promjene indikatora u posmatranom mjesecu</w:t>
      </w:r>
      <w:r w:rsidR="000D1AA8">
        <w:rPr>
          <w:i/>
          <w:iCs/>
          <w:noProof/>
          <w:sz w:val="12"/>
          <w:szCs w:val="12"/>
          <w:lang w:val="hr-BA"/>
        </w:rPr>
        <w:t xml:space="preserve"> </w:t>
      </w:r>
      <w:r w:rsidR="00E2362B">
        <w:rPr>
          <w:i/>
          <w:iCs/>
          <w:noProof/>
          <w:sz w:val="12"/>
          <w:szCs w:val="12"/>
          <w:lang w:val="hr-BA"/>
        </w:rPr>
        <w:t xml:space="preserve">ili periodu </w:t>
      </w:r>
      <w:r w:rsidR="00E2362B" w:rsidRPr="00715429">
        <w:rPr>
          <w:i/>
          <w:iCs/>
          <w:noProof/>
          <w:sz w:val="12"/>
          <w:szCs w:val="12"/>
          <w:lang w:val="hr-BA"/>
        </w:rPr>
        <w:t xml:space="preserve"> u odnosu na </w:t>
      </w:r>
      <w:r w:rsidR="00E2362B">
        <w:rPr>
          <w:i/>
          <w:iCs/>
          <w:noProof/>
          <w:sz w:val="12"/>
          <w:szCs w:val="12"/>
          <w:lang w:val="hr-BA"/>
        </w:rPr>
        <w:t>isti mmjesec ili periodprethodne godine</w:t>
      </w:r>
      <w:r w:rsidR="00E2362B" w:rsidRPr="00715429">
        <w:rPr>
          <w:i/>
          <w:iCs/>
          <w:noProof/>
          <w:sz w:val="12"/>
          <w:szCs w:val="12"/>
          <w:lang w:val="hr-BA"/>
        </w:rPr>
        <w:t xml:space="preserve"> u %)</w:t>
      </w:r>
    </w:p>
    <w:p w:rsidR="0083011C" w:rsidRDefault="0083011C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2916F7" w:rsidRDefault="002916F7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96"/>
        <w:gridCol w:w="596"/>
        <w:gridCol w:w="595"/>
        <w:gridCol w:w="598"/>
        <w:gridCol w:w="614"/>
        <w:gridCol w:w="825"/>
        <w:gridCol w:w="653"/>
        <w:gridCol w:w="692"/>
        <w:gridCol w:w="653"/>
        <w:gridCol w:w="653"/>
        <w:gridCol w:w="653"/>
        <w:gridCol w:w="653"/>
        <w:gridCol w:w="656"/>
        <w:gridCol w:w="653"/>
        <w:gridCol w:w="653"/>
        <w:gridCol w:w="825"/>
        <w:gridCol w:w="770"/>
        <w:gridCol w:w="931"/>
      </w:tblGrid>
      <w:tr w:rsidR="00052BB7" w:rsidRPr="009653E3" w:rsidTr="00052BB7">
        <w:trPr>
          <w:trHeight w:val="412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avg '14 / avg '13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 - avg '14 / jan - avg '13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10,50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21,40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-20,60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-12,7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-15,1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11,70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6,50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22,70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28,20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48,80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39,80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20,50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18,40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-19,7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30,30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30,30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22,10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66,9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1,2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11,50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11,5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3,8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27,9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30,3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178.815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176.588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169.044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169.044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167.607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167.173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167.616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168.805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170.177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30.102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30.947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33.271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33.271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34.680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34.514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34.804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34.664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34.671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31.570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4,6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13,0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13,3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13,3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4,6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17,8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1.495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796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796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648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1.130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1.028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1.051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3.077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6.311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-38,2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49,5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161,3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738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469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486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2.505,8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2.538,3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2.474,5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2.474,5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2.463,9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2.411,9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2.407,9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2.415,0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2.405,0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447,0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441,9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438,6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438,6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428,3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423,2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425,6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426,3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393,9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2.075,0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2.144,3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2.084,9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2.098,6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2.096,7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2.101,7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970,2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947,6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951,1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951,1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955,2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948,4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942,6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951,6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947,7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882,5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880,6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886,8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886,8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881,3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881,1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882,6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576,2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612,3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572,8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572,8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553,9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554,8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554,0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549,6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542,8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1.192,9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1.218,1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1.218,1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1.218,1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1.221,0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1.237,7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1.235,1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1.236,4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1.239,2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5,8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9,38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9,36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2,93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2,67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2,55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2,41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-0,82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31,8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28,4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24,6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24,6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31,2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22,6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24,7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31,7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27,7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-12,8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-2,5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-19,6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172,6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164,9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161,4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161,4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130,7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149,0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83,1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112,7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145,9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157,9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171,9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164,3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-10,9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-140,8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-136,5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-136,9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-136,9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-99,6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-114,5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-60,5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-90,5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-121,2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-135,2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-143,6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-152,5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-136,6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-10,5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4,6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32,5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30,7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-19,8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-19,8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12,6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55,5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28,8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32,1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17,1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29,0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39,7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26,1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-34,3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-19,7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1,2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115,7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105,9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105,9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111,5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107,8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108,8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109,7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-2,5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-11,0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1.769,6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1.816,2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1.814,6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1.814,6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1.748,0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1.739,8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1.740,8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1.695,2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1.705,4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4,2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11,8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0,00</w:t>
            </w:r>
          </w:p>
        </w:tc>
      </w:tr>
      <w:tr w:rsidR="00052BB7" w:rsidRPr="009653E3" w:rsidTr="00052BB7">
        <w:trPr>
          <w:trHeight w:hRule="exact"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9653E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052BB7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4E6F45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4E6F45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4E6F45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052BB7" w:rsidRPr="009653E3" w:rsidRDefault="00052BB7" w:rsidP="004E6F45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052BB7" w:rsidRPr="009653E3" w:rsidRDefault="00052BB7" w:rsidP="004E6F45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4E6F45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052BB7" w:rsidRPr="009653E3" w:rsidRDefault="00052BB7" w:rsidP="004E6F45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9653E3">
              <w:rPr>
                <w:rFonts w:cs="Calibri"/>
                <w:sz w:val="14"/>
                <w:szCs w:val="14"/>
                <w:lang w:val="sr-Latn-CS" w:eastAsia="sr-Latn-CS"/>
              </w:rPr>
              <w:t>-1,0</w:t>
            </w:r>
          </w:p>
        </w:tc>
      </w:tr>
    </w:tbl>
    <w:p w:rsidR="00052BB7" w:rsidRDefault="00052BB7" w:rsidP="00784DAE">
      <w:pPr>
        <w:spacing w:after="0" w:line="240" w:lineRule="auto"/>
        <w:ind w:firstLine="142"/>
        <w:jc w:val="center"/>
        <w:rPr>
          <w:noProof/>
          <w:sz w:val="18"/>
          <w:szCs w:val="18"/>
          <w:lang w:val="hr-BA"/>
        </w:rPr>
      </w:pPr>
    </w:p>
    <w:p w:rsidR="00052BB7" w:rsidRDefault="00052BB7" w:rsidP="00784DAE">
      <w:pPr>
        <w:spacing w:after="0" w:line="240" w:lineRule="auto"/>
        <w:ind w:firstLine="142"/>
        <w:jc w:val="center"/>
        <w:rPr>
          <w:noProof/>
          <w:sz w:val="18"/>
          <w:szCs w:val="18"/>
          <w:lang w:val="hr-BA"/>
        </w:rPr>
      </w:pPr>
    </w:p>
    <w:p w:rsidR="00CD707C" w:rsidRPr="0065398C" w:rsidRDefault="00A30E95" w:rsidP="00784DAE">
      <w:pPr>
        <w:spacing w:after="0" w:line="240" w:lineRule="auto"/>
        <w:ind w:firstLine="142"/>
        <w:jc w:val="center"/>
        <w:rPr>
          <w:noProof/>
          <w:sz w:val="18"/>
          <w:szCs w:val="18"/>
          <w:lang w:val="hr-BA"/>
        </w:rPr>
      </w:pPr>
      <w:r w:rsidRPr="0065398C">
        <w:rPr>
          <w:noProof/>
          <w:sz w:val="18"/>
          <w:szCs w:val="18"/>
          <w:lang w:val="hr-BA"/>
        </w:rPr>
        <w:t>T</w:t>
      </w:r>
      <w:r w:rsidR="00784DAE" w:rsidRPr="0065398C">
        <w:rPr>
          <w:noProof/>
          <w:sz w:val="18"/>
          <w:szCs w:val="18"/>
          <w:lang w:val="hr-BA"/>
        </w:rPr>
        <w:t xml:space="preserve">abela 2: </w:t>
      </w:r>
      <w:r w:rsidR="00784DAE" w:rsidRPr="0065398C">
        <w:rPr>
          <w:b/>
          <w:bCs/>
          <w:noProof/>
          <w:sz w:val="18"/>
          <w:szCs w:val="18"/>
          <w:lang w:val="hr-BA"/>
        </w:rPr>
        <w:t>BUDŽET CRNE GORE</w:t>
      </w:r>
      <w:r w:rsidR="00784DAE" w:rsidRPr="0065398C">
        <w:rPr>
          <w:noProof/>
          <w:sz w:val="18"/>
          <w:szCs w:val="18"/>
          <w:lang w:val="hr-BA"/>
        </w:rPr>
        <w:t xml:space="preserve"> –</w:t>
      </w:r>
      <w:r w:rsidR="003A6F63">
        <w:rPr>
          <w:noProof/>
          <w:sz w:val="18"/>
          <w:szCs w:val="18"/>
          <w:lang w:val="hr-BA"/>
        </w:rPr>
        <w:t xml:space="preserve"> </w:t>
      </w:r>
      <w:r w:rsidR="00052BB7">
        <w:rPr>
          <w:noProof/>
          <w:sz w:val="18"/>
          <w:szCs w:val="18"/>
          <w:lang w:val="hr-BA"/>
        </w:rPr>
        <w:t>avgust</w:t>
      </w:r>
      <w:r w:rsidR="009C5011" w:rsidRPr="0065398C">
        <w:rPr>
          <w:noProof/>
          <w:sz w:val="18"/>
          <w:szCs w:val="18"/>
          <w:lang w:val="hr-BA"/>
        </w:rPr>
        <w:t xml:space="preserve"> 2014</w:t>
      </w:r>
    </w:p>
    <w:p w:rsidR="00CD707C" w:rsidRDefault="00CD707C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2916F7" w:rsidRDefault="002916F7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tbl>
      <w:tblPr>
        <w:tblW w:w="5000" w:type="pct"/>
        <w:tblLook w:val="04A0"/>
      </w:tblPr>
      <w:tblGrid>
        <w:gridCol w:w="3102"/>
        <w:gridCol w:w="780"/>
        <w:gridCol w:w="780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698"/>
        <w:gridCol w:w="698"/>
        <w:gridCol w:w="698"/>
        <w:gridCol w:w="865"/>
        <w:gridCol w:w="888"/>
        <w:gridCol w:w="855"/>
      </w:tblGrid>
      <w:tr w:rsidR="00052BB7" w:rsidRPr="00083F8F" w:rsidTr="00E72ABE">
        <w:trPr>
          <w:trHeight w:val="615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083F8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2013</w:t>
            </w:r>
          </w:p>
        </w:tc>
        <w:tc>
          <w:tcPr>
            <w:tcW w:w="18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2014 </w:t>
            </w:r>
          </w:p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72ABE">
              <w:rPr>
                <w:rFonts w:cs="Calibri"/>
                <w:sz w:val="16"/>
                <w:szCs w:val="16"/>
              </w:rPr>
              <w:t>plan 2014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Analitika-AVGUST</w:t>
            </w:r>
          </w:p>
        </w:tc>
      </w:tr>
      <w:tr w:rsidR="00052BB7" w:rsidRPr="00083F8F" w:rsidTr="004E6F45">
        <w:trPr>
          <w:trHeight w:val="75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083F8F">
              <w:rPr>
                <w:rFonts w:cs="Calibri"/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VIII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IX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X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XI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XII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II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III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IV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VI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VII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VIII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VIII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gramStart"/>
            <w:r w:rsidRPr="00083F8F">
              <w:rPr>
                <w:rFonts w:cs="Calibri"/>
                <w:sz w:val="14"/>
                <w:szCs w:val="14"/>
              </w:rPr>
              <w:t>avg</w:t>
            </w:r>
            <w:proofErr w:type="gramEnd"/>
            <w:r w:rsidRPr="00083F8F">
              <w:rPr>
                <w:rFonts w:cs="Calibri"/>
                <w:sz w:val="14"/>
                <w:szCs w:val="14"/>
              </w:rPr>
              <w:t xml:space="preserve"> 2014/avg 2013 (%)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gramStart"/>
            <w:r w:rsidRPr="00083F8F">
              <w:rPr>
                <w:rFonts w:cs="Calibri"/>
                <w:sz w:val="14"/>
                <w:szCs w:val="14"/>
              </w:rPr>
              <w:t>jan-avg</w:t>
            </w:r>
            <w:proofErr w:type="gramEnd"/>
            <w:r w:rsidRPr="00083F8F">
              <w:rPr>
                <w:rFonts w:cs="Calibri"/>
                <w:sz w:val="14"/>
                <w:szCs w:val="14"/>
              </w:rPr>
              <w:t xml:space="preserve"> 2014/jan-avg 2013 (%)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gramStart"/>
            <w:r w:rsidRPr="00083F8F">
              <w:rPr>
                <w:rFonts w:cs="Calibri"/>
                <w:sz w:val="14"/>
                <w:szCs w:val="14"/>
              </w:rPr>
              <w:t>avg</w:t>
            </w:r>
            <w:proofErr w:type="gramEnd"/>
            <w:r w:rsidRPr="00083F8F">
              <w:rPr>
                <w:rFonts w:cs="Calibri"/>
                <w:sz w:val="14"/>
                <w:szCs w:val="14"/>
              </w:rPr>
              <w:t xml:space="preserve"> 2014/avg 2014 plan (%)</w:t>
            </w:r>
          </w:p>
        </w:tc>
      </w:tr>
      <w:tr w:rsidR="004E6F45" w:rsidRPr="00083F8F" w:rsidTr="004E6F45">
        <w:trPr>
          <w:trHeight w:val="33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083F8F">
              <w:rPr>
                <w:rFonts w:cs="Calibri"/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125,05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116,34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117,28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95,78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142,43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70,78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82,13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100,71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109,08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102,20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109,93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120,67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126,56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sz w:val="14"/>
                <w:szCs w:val="14"/>
              </w:rPr>
              <w:t>126,25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1,20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7,35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0,25</w:t>
            </w:r>
          </w:p>
        </w:tc>
      </w:tr>
      <w:tr w:rsidR="004E6F45" w:rsidRPr="00083F8F" w:rsidTr="004E6F45">
        <w:trPr>
          <w:trHeight w:val="33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Porezi i doprinosi na  zarade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44,81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47,38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54,03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37,52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75,77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21,23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34,36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37,91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40,21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45,74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45,71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44,52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45,43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44,79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1,38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12,77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1,42</w:t>
            </w:r>
          </w:p>
        </w:tc>
      </w:tr>
      <w:tr w:rsidR="004E6F45" w:rsidRPr="00083F8F" w:rsidTr="004E6F45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Porez na dobit pravnih lica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2,84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2,33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1,29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1,13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1,54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12,11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11,31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2,49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2,38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5,92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2,52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3,10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-11,27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12,57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-18,78</w:t>
            </w:r>
          </w:p>
        </w:tc>
      </w:tr>
      <w:tr w:rsidR="004E6F45" w:rsidRPr="00083F8F" w:rsidTr="004E6F45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Porez na dodatu vrijednost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47,07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40,69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37,65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33,51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40,19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32,17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31,16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34,92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39,01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33,08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37,06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45,61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49,64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48,89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5,48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9,21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1,54</w:t>
            </w:r>
          </w:p>
        </w:tc>
      </w:tr>
      <w:tr w:rsidR="004E6F45" w:rsidRPr="00083F8F" w:rsidTr="004E6F45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Akcize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20,98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17,25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14,55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13,08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13,19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9,74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8,37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9,53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10,78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12,29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14,55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15,75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19,49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19,93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-7,09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-2,77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-2,21</w:t>
            </w:r>
          </w:p>
        </w:tc>
      </w:tr>
      <w:tr w:rsidR="004E6F45" w:rsidRPr="00083F8F" w:rsidTr="004E6F45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Porez na medj trgovinu i transak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2,21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1,48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1,69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1,64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1,83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1,87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2,14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2,58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2,35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2,35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6,61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-2,31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0,03</w:t>
            </w:r>
          </w:p>
        </w:tc>
      </w:tr>
      <w:tr w:rsidR="004E6F45" w:rsidRPr="00083F8F" w:rsidTr="004E6F45">
        <w:trPr>
          <w:trHeight w:val="330"/>
        </w:trPr>
        <w:tc>
          <w:tcPr>
            <w:tcW w:w="947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083F8F">
              <w:rPr>
                <w:rFonts w:cs="Calibri"/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141,28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119,00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99,42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98,49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150,13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94,32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88,93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115,88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122,33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101,78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112,86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107,27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108,04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111,47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-23,52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-5,02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-3,07</w:t>
            </w:r>
          </w:p>
        </w:tc>
      </w:tr>
      <w:tr w:rsidR="004E6F45" w:rsidRPr="00083F8F" w:rsidTr="004E6F45">
        <w:trPr>
          <w:trHeight w:val="304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Bruto zarade i doprinosi na teret posl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29,27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30,77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30,66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30,67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28,82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31,75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31,99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28,95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33,40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33,99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36,25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31,64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33,57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32,21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14,67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6,66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4,22</w:t>
            </w:r>
          </w:p>
        </w:tc>
      </w:tr>
      <w:tr w:rsidR="004E6F45" w:rsidRPr="00083F8F" w:rsidTr="004E6F45">
        <w:trPr>
          <w:trHeight w:val="40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Rashodi za materijal i usluge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6,44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6,99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8,39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6,48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17,95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3,84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5,14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8,71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6,06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6,59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7,95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7,56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7,34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7,43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13,94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5,03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-1,33</w:t>
            </w:r>
          </w:p>
        </w:tc>
      </w:tr>
      <w:tr w:rsidR="004E6F45" w:rsidRPr="00083F8F" w:rsidTr="004E6F45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Kamate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2,10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18,71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0,80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0,75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5,12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2,31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4,62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24,66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0,92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5,61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6,41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6,11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-33,34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11,93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-77,05</w:t>
            </w:r>
          </w:p>
        </w:tc>
      </w:tr>
      <w:tr w:rsidR="004E6F45" w:rsidRPr="00083F8F" w:rsidTr="004E6F45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Transferi za socijalnu zaštitu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39,18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40,14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39,79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39,83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43,05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39,56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41,43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41,91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40,42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40,51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40,39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42,65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41,82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41,52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2,66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0,72</w:t>
            </w:r>
          </w:p>
        </w:tc>
      </w:tr>
      <w:tr w:rsidR="004E6F45" w:rsidRPr="00083F8F" w:rsidTr="004E6F45">
        <w:trPr>
          <w:trHeight w:val="387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Transferi instit, pojed i NVO sektoru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9,04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8,25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7,30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4,75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17,85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4,73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3,67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11,94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8,80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7,96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8,71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7,34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8,85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8,42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-2,03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10,42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5,17</w:t>
            </w:r>
          </w:p>
        </w:tc>
      </w:tr>
      <w:tr w:rsidR="004E6F45" w:rsidRPr="00083F8F" w:rsidTr="004E6F45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Kapitalni izdaci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5,50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5,91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6,49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22,14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1,67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3,51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6,75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6,40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8,57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9,36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55,89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25,86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-8,41</w:t>
            </w:r>
          </w:p>
        </w:tc>
      </w:tr>
      <w:tr w:rsidR="004E6F45" w:rsidRPr="00083F8F" w:rsidTr="004E6F45">
        <w:trPr>
          <w:trHeight w:val="330"/>
        </w:trPr>
        <w:tc>
          <w:tcPr>
            <w:tcW w:w="947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083F8F">
              <w:rPr>
                <w:rFonts w:cs="Calibri"/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-16,22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-2,66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17,86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-2,71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-7,70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-23,54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-6,80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-15,17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-13,25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-3,02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13,39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18,51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14,78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-214,13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-77,45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25,27</w:t>
            </w:r>
          </w:p>
        </w:tc>
      </w:tr>
      <w:tr w:rsidR="004E6F45" w:rsidRPr="00083F8F" w:rsidTr="004E6F45">
        <w:trPr>
          <w:trHeight w:val="33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Primarni deficit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-14,12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16,06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18,66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-1,96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-2,58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-21,23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-5,69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-10,55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11,42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1,34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2,60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19,80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19,92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20,89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-241,07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-119,85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-4,65</w:t>
            </w:r>
          </w:p>
        </w:tc>
      </w:tr>
      <w:tr w:rsidR="004E6F45" w:rsidRPr="00083F8F" w:rsidTr="004E6F45">
        <w:trPr>
          <w:trHeight w:val="33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Otplata dugova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16,98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24,39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14,01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17,57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71,64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6,53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4,92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9,83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8,79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60,61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42,13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11,80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14,29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-30,52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60,58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-17,41</w:t>
            </w:r>
          </w:p>
        </w:tc>
      </w:tr>
      <w:tr w:rsidR="004E6F45" w:rsidRPr="00083F8F" w:rsidTr="004E6F45">
        <w:trPr>
          <w:trHeight w:val="330"/>
        </w:trPr>
        <w:tc>
          <w:tcPr>
            <w:tcW w:w="947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083F8F">
              <w:rPr>
                <w:rFonts w:cs="Calibri"/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1844,90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1846,50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1832,00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1886,30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1873,15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1950,10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1950,70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2005,80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1990,30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2080,07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2022,06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  <w:tr w:rsidR="004E6F45" w:rsidRPr="00083F8F" w:rsidTr="004E6F45">
        <w:trPr>
          <w:trHeight w:val="330"/>
        </w:trPr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Domaći dug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433,80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480,90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471,70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440,40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440,13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517,60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513,40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572,40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588,10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481,75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438,25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  <w:tr w:rsidR="004E6F45" w:rsidRPr="00083F8F" w:rsidTr="004E6F45">
        <w:trPr>
          <w:trHeight w:val="315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3F8F">
              <w:rPr>
                <w:rFonts w:cs="Calibri"/>
                <w:sz w:val="16"/>
                <w:szCs w:val="16"/>
              </w:rPr>
              <w:t>Inostrani dug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1411,10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1365,60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1360,30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1445,90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color w:val="000000"/>
                <w:sz w:val="14"/>
                <w:szCs w:val="14"/>
              </w:rPr>
              <w:t>1433,02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1432,50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1437,30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1433,40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052B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1402,20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4E6F4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1598,32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4E6F4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1583,81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4E6F4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4E6F4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BB7" w:rsidRPr="00083F8F" w:rsidRDefault="00052BB7" w:rsidP="004E6F45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83F8F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4E6F4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4E6F4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BB7" w:rsidRPr="00083F8F" w:rsidRDefault="00052BB7" w:rsidP="004E6F4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083F8F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</w:tbl>
    <w:p w:rsidR="002916F7" w:rsidRDefault="002916F7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2916F7" w:rsidRDefault="002916F7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2916F7" w:rsidRDefault="002916F7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332574" w:rsidRPr="0065398C" w:rsidRDefault="00332574" w:rsidP="00332574">
      <w:pPr>
        <w:outlineLvl w:val="0"/>
        <w:rPr>
          <w:b/>
          <w:i/>
          <w:noProof/>
          <w:sz w:val="18"/>
          <w:szCs w:val="18"/>
          <w:lang w:val="hr-BA"/>
        </w:rPr>
      </w:pPr>
      <w:r w:rsidRPr="0065398C">
        <w:rPr>
          <w:b/>
          <w:i/>
          <w:noProof/>
          <w:sz w:val="18"/>
          <w:szCs w:val="18"/>
          <w:lang w:val="hr-BA"/>
        </w:rPr>
        <w:t>Izvor: Ministarstvo finansija Crne Gore</w:t>
      </w:r>
    </w:p>
    <w:sectPr w:rsidR="00332574" w:rsidRPr="0065398C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D6D" w:rsidRDefault="00273D6D" w:rsidP="00965FCD">
      <w:pPr>
        <w:spacing w:after="0" w:line="240" w:lineRule="auto"/>
      </w:pPr>
      <w:r>
        <w:separator/>
      </w:r>
    </w:p>
  </w:endnote>
  <w:endnote w:type="continuationSeparator" w:id="0">
    <w:p w:rsidR="00273D6D" w:rsidRDefault="00273D6D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D6D" w:rsidRDefault="00273D6D" w:rsidP="00965FCD">
      <w:pPr>
        <w:spacing w:after="0" w:line="240" w:lineRule="auto"/>
      </w:pPr>
      <w:r>
        <w:separator/>
      </w:r>
    </w:p>
  </w:footnote>
  <w:footnote w:type="continuationSeparator" w:id="0">
    <w:p w:rsidR="00273D6D" w:rsidRDefault="00273D6D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455C5"/>
    <w:multiLevelType w:val="hybridMultilevel"/>
    <w:tmpl w:val="D3BEC524"/>
    <w:lvl w:ilvl="0" w:tplc="9378DD6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7"/>
  </w:num>
  <w:num w:numId="3">
    <w:abstractNumId w:val="27"/>
  </w:num>
  <w:num w:numId="4">
    <w:abstractNumId w:val="19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0"/>
  </w:num>
  <w:num w:numId="8">
    <w:abstractNumId w:val="2"/>
  </w:num>
  <w:num w:numId="9">
    <w:abstractNumId w:val="0"/>
  </w:num>
  <w:num w:numId="10">
    <w:abstractNumId w:val="26"/>
  </w:num>
  <w:num w:numId="11">
    <w:abstractNumId w:val="1"/>
  </w:num>
  <w:num w:numId="12">
    <w:abstractNumId w:val="25"/>
  </w:num>
  <w:num w:numId="13">
    <w:abstractNumId w:val="22"/>
  </w:num>
  <w:num w:numId="14">
    <w:abstractNumId w:val="8"/>
  </w:num>
  <w:num w:numId="15">
    <w:abstractNumId w:val="6"/>
  </w:num>
  <w:num w:numId="16">
    <w:abstractNumId w:val="15"/>
  </w:num>
  <w:num w:numId="17">
    <w:abstractNumId w:val="10"/>
  </w:num>
  <w:num w:numId="18">
    <w:abstractNumId w:val="18"/>
  </w:num>
  <w:num w:numId="19">
    <w:abstractNumId w:val="9"/>
  </w:num>
  <w:num w:numId="20">
    <w:abstractNumId w:val="16"/>
  </w:num>
  <w:num w:numId="21">
    <w:abstractNumId w:val="17"/>
  </w:num>
  <w:num w:numId="22">
    <w:abstractNumId w:val="13"/>
  </w:num>
  <w:num w:numId="23">
    <w:abstractNumId w:val="12"/>
  </w:num>
  <w:num w:numId="24">
    <w:abstractNumId w:val="24"/>
  </w:num>
  <w:num w:numId="25">
    <w:abstractNumId w:val="4"/>
  </w:num>
  <w:num w:numId="26">
    <w:abstractNumId w:val="11"/>
  </w:num>
  <w:num w:numId="27">
    <w:abstractNumId w:val="21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09E1"/>
    <w:rsid w:val="000010A3"/>
    <w:rsid w:val="00003D78"/>
    <w:rsid w:val="000040B3"/>
    <w:rsid w:val="00004B56"/>
    <w:rsid w:val="00005AD2"/>
    <w:rsid w:val="00005D5A"/>
    <w:rsid w:val="00007424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300F0"/>
    <w:rsid w:val="000314E5"/>
    <w:rsid w:val="00031722"/>
    <w:rsid w:val="00031FAD"/>
    <w:rsid w:val="00032524"/>
    <w:rsid w:val="00032D34"/>
    <w:rsid w:val="0003370D"/>
    <w:rsid w:val="000341DE"/>
    <w:rsid w:val="00034923"/>
    <w:rsid w:val="0003497A"/>
    <w:rsid w:val="00034D42"/>
    <w:rsid w:val="00034F07"/>
    <w:rsid w:val="0003544A"/>
    <w:rsid w:val="00036822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EAB"/>
    <w:rsid w:val="00052732"/>
    <w:rsid w:val="00052BB7"/>
    <w:rsid w:val="00052DC4"/>
    <w:rsid w:val="00054068"/>
    <w:rsid w:val="000547A1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7726"/>
    <w:rsid w:val="00067FD6"/>
    <w:rsid w:val="00070965"/>
    <w:rsid w:val="000712B9"/>
    <w:rsid w:val="0007229B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320"/>
    <w:rsid w:val="00085B67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527"/>
    <w:rsid w:val="00097E38"/>
    <w:rsid w:val="000A0BBC"/>
    <w:rsid w:val="000A1159"/>
    <w:rsid w:val="000A14DA"/>
    <w:rsid w:val="000A2350"/>
    <w:rsid w:val="000A2E85"/>
    <w:rsid w:val="000A2F52"/>
    <w:rsid w:val="000A33CB"/>
    <w:rsid w:val="000A4226"/>
    <w:rsid w:val="000A42FE"/>
    <w:rsid w:val="000A43CE"/>
    <w:rsid w:val="000A47FF"/>
    <w:rsid w:val="000A4E37"/>
    <w:rsid w:val="000A5E23"/>
    <w:rsid w:val="000A787A"/>
    <w:rsid w:val="000B19D0"/>
    <w:rsid w:val="000B1DD7"/>
    <w:rsid w:val="000B2B16"/>
    <w:rsid w:val="000B34E4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3655"/>
    <w:rsid w:val="000C36DB"/>
    <w:rsid w:val="000C5764"/>
    <w:rsid w:val="000C5FBB"/>
    <w:rsid w:val="000C65A2"/>
    <w:rsid w:val="000C6818"/>
    <w:rsid w:val="000C7278"/>
    <w:rsid w:val="000C72DD"/>
    <w:rsid w:val="000D0368"/>
    <w:rsid w:val="000D0374"/>
    <w:rsid w:val="000D09EB"/>
    <w:rsid w:val="000D1AA8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40CC"/>
    <w:rsid w:val="000E6096"/>
    <w:rsid w:val="000E77A4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452C"/>
    <w:rsid w:val="00106446"/>
    <w:rsid w:val="0010656B"/>
    <w:rsid w:val="00107128"/>
    <w:rsid w:val="00107647"/>
    <w:rsid w:val="00107A07"/>
    <w:rsid w:val="001124C4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AB0"/>
    <w:rsid w:val="00120A3A"/>
    <w:rsid w:val="00123CBD"/>
    <w:rsid w:val="00124730"/>
    <w:rsid w:val="001251D5"/>
    <w:rsid w:val="001276C7"/>
    <w:rsid w:val="00127B5A"/>
    <w:rsid w:val="00131185"/>
    <w:rsid w:val="001326B7"/>
    <w:rsid w:val="00134816"/>
    <w:rsid w:val="00134A21"/>
    <w:rsid w:val="00134C6C"/>
    <w:rsid w:val="00136E70"/>
    <w:rsid w:val="00141FDD"/>
    <w:rsid w:val="00143FCB"/>
    <w:rsid w:val="00144C86"/>
    <w:rsid w:val="00144EE5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10BD"/>
    <w:rsid w:val="001613FC"/>
    <w:rsid w:val="001627A3"/>
    <w:rsid w:val="00163041"/>
    <w:rsid w:val="00163A7B"/>
    <w:rsid w:val="001644C7"/>
    <w:rsid w:val="001646BA"/>
    <w:rsid w:val="00165773"/>
    <w:rsid w:val="00165DE6"/>
    <w:rsid w:val="00167281"/>
    <w:rsid w:val="001672AB"/>
    <w:rsid w:val="001678F1"/>
    <w:rsid w:val="00170C82"/>
    <w:rsid w:val="00170CCE"/>
    <w:rsid w:val="00172816"/>
    <w:rsid w:val="00172D59"/>
    <w:rsid w:val="001730BE"/>
    <w:rsid w:val="00174836"/>
    <w:rsid w:val="0017540F"/>
    <w:rsid w:val="0017563A"/>
    <w:rsid w:val="00177AD9"/>
    <w:rsid w:val="00181309"/>
    <w:rsid w:val="001824C2"/>
    <w:rsid w:val="0018289E"/>
    <w:rsid w:val="0018331D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1C2"/>
    <w:rsid w:val="00193785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7AD0"/>
    <w:rsid w:val="001B7D00"/>
    <w:rsid w:val="001C0237"/>
    <w:rsid w:val="001C0AB4"/>
    <w:rsid w:val="001C1490"/>
    <w:rsid w:val="001C1928"/>
    <w:rsid w:val="001C1F7E"/>
    <w:rsid w:val="001C22CB"/>
    <w:rsid w:val="001C23DD"/>
    <w:rsid w:val="001C264C"/>
    <w:rsid w:val="001C2751"/>
    <w:rsid w:val="001C51EC"/>
    <w:rsid w:val="001C5CE9"/>
    <w:rsid w:val="001C6120"/>
    <w:rsid w:val="001C6698"/>
    <w:rsid w:val="001C6750"/>
    <w:rsid w:val="001C70BA"/>
    <w:rsid w:val="001D0226"/>
    <w:rsid w:val="001D0A32"/>
    <w:rsid w:val="001D21BD"/>
    <w:rsid w:val="001D37FD"/>
    <w:rsid w:val="001D4E81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C02"/>
    <w:rsid w:val="001F69DD"/>
    <w:rsid w:val="001F7445"/>
    <w:rsid w:val="001F7C33"/>
    <w:rsid w:val="001F7C4B"/>
    <w:rsid w:val="002000E5"/>
    <w:rsid w:val="00200A3F"/>
    <w:rsid w:val="00201AEB"/>
    <w:rsid w:val="0020246C"/>
    <w:rsid w:val="00203447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614C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0FD"/>
    <w:rsid w:val="002263B3"/>
    <w:rsid w:val="0022695C"/>
    <w:rsid w:val="00227682"/>
    <w:rsid w:val="00227D75"/>
    <w:rsid w:val="0023090D"/>
    <w:rsid w:val="00230DE8"/>
    <w:rsid w:val="00230FA2"/>
    <w:rsid w:val="00231268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3A7"/>
    <w:rsid w:val="002723D9"/>
    <w:rsid w:val="00273280"/>
    <w:rsid w:val="00273D6D"/>
    <w:rsid w:val="00274EBC"/>
    <w:rsid w:val="00275609"/>
    <w:rsid w:val="00280105"/>
    <w:rsid w:val="00282488"/>
    <w:rsid w:val="00282DBE"/>
    <w:rsid w:val="00283704"/>
    <w:rsid w:val="002843B8"/>
    <w:rsid w:val="00284B2C"/>
    <w:rsid w:val="00285B0F"/>
    <w:rsid w:val="00287A18"/>
    <w:rsid w:val="002916F7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CED"/>
    <w:rsid w:val="002A4910"/>
    <w:rsid w:val="002A5C73"/>
    <w:rsid w:val="002A68B8"/>
    <w:rsid w:val="002B10AE"/>
    <w:rsid w:val="002B318C"/>
    <w:rsid w:val="002B3824"/>
    <w:rsid w:val="002B552A"/>
    <w:rsid w:val="002B74C5"/>
    <w:rsid w:val="002C010C"/>
    <w:rsid w:val="002C1A52"/>
    <w:rsid w:val="002C1FBF"/>
    <w:rsid w:val="002C25C6"/>
    <w:rsid w:val="002C4737"/>
    <w:rsid w:val="002C47B8"/>
    <w:rsid w:val="002C4845"/>
    <w:rsid w:val="002C4A81"/>
    <w:rsid w:val="002C6888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76"/>
    <w:rsid w:val="002D4CDE"/>
    <w:rsid w:val="002D5187"/>
    <w:rsid w:val="002D5865"/>
    <w:rsid w:val="002D6F60"/>
    <w:rsid w:val="002D77A7"/>
    <w:rsid w:val="002D7BA6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07E"/>
    <w:rsid w:val="002F7C7C"/>
    <w:rsid w:val="002F7DB2"/>
    <w:rsid w:val="003004B8"/>
    <w:rsid w:val="003022A7"/>
    <w:rsid w:val="00303D85"/>
    <w:rsid w:val="00303F02"/>
    <w:rsid w:val="0030680B"/>
    <w:rsid w:val="00307512"/>
    <w:rsid w:val="00307F4D"/>
    <w:rsid w:val="0031098B"/>
    <w:rsid w:val="00311A9D"/>
    <w:rsid w:val="00312994"/>
    <w:rsid w:val="00313CA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C49"/>
    <w:rsid w:val="00336033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655C"/>
    <w:rsid w:val="00346A8A"/>
    <w:rsid w:val="00346FFA"/>
    <w:rsid w:val="00347594"/>
    <w:rsid w:val="00350CFE"/>
    <w:rsid w:val="0035139C"/>
    <w:rsid w:val="003524FD"/>
    <w:rsid w:val="00354DDA"/>
    <w:rsid w:val="003561B8"/>
    <w:rsid w:val="003568F4"/>
    <w:rsid w:val="00357182"/>
    <w:rsid w:val="00357B8D"/>
    <w:rsid w:val="00357E66"/>
    <w:rsid w:val="00360100"/>
    <w:rsid w:val="00360197"/>
    <w:rsid w:val="00361C27"/>
    <w:rsid w:val="003625F1"/>
    <w:rsid w:val="003634DC"/>
    <w:rsid w:val="003638CF"/>
    <w:rsid w:val="00363C84"/>
    <w:rsid w:val="00364D14"/>
    <w:rsid w:val="00365311"/>
    <w:rsid w:val="003655B6"/>
    <w:rsid w:val="00365E46"/>
    <w:rsid w:val="003667BB"/>
    <w:rsid w:val="00366F41"/>
    <w:rsid w:val="00375E12"/>
    <w:rsid w:val="00376523"/>
    <w:rsid w:val="0037726C"/>
    <w:rsid w:val="00377697"/>
    <w:rsid w:val="00377A53"/>
    <w:rsid w:val="003809F3"/>
    <w:rsid w:val="0038117E"/>
    <w:rsid w:val="0038135E"/>
    <w:rsid w:val="003813A6"/>
    <w:rsid w:val="00381900"/>
    <w:rsid w:val="00381B03"/>
    <w:rsid w:val="0038259A"/>
    <w:rsid w:val="00382F01"/>
    <w:rsid w:val="00384DC2"/>
    <w:rsid w:val="00387C29"/>
    <w:rsid w:val="00387DAD"/>
    <w:rsid w:val="00390732"/>
    <w:rsid w:val="00391CC7"/>
    <w:rsid w:val="0039257B"/>
    <w:rsid w:val="003935B1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8D5"/>
    <w:rsid w:val="003B4F8C"/>
    <w:rsid w:val="003B5512"/>
    <w:rsid w:val="003B62EC"/>
    <w:rsid w:val="003B6749"/>
    <w:rsid w:val="003B6844"/>
    <w:rsid w:val="003B75FC"/>
    <w:rsid w:val="003B7F5E"/>
    <w:rsid w:val="003C0B90"/>
    <w:rsid w:val="003C1215"/>
    <w:rsid w:val="003C14C9"/>
    <w:rsid w:val="003C15EF"/>
    <w:rsid w:val="003C1D23"/>
    <w:rsid w:val="003C4817"/>
    <w:rsid w:val="003C5E7B"/>
    <w:rsid w:val="003C6A22"/>
    <w:rsid w:val="003C7870"/>
    <w:rsid w:val="003C79AC"/>
    <w:rsid w:val="003D1EDB"/>
    <w:rsid w:val="003D4359"/>
    <w:rsid w:val="003D4739"/>
    <w:rsid w:val="003D56FD"/>
    <w:rsid w:val="003D75A1"/>
    <w:rsid w:val="003D78F3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19B"/>
    <w:rsid w:val="003E757E"/>
    <w:rsid w:val="003F0052"/>
    <w:rsid w:val="003F0CAE"/>
    <w:rsid w:val="003F0EA8"/>
    <w:rsid w:val="003F250B"/>
    <w:rsid w:val="003F5183"/>
    <w:rsid w:val="003F56BD"/>
    <w:rsid w:val="003F5A35"/>
    <w:rsid w:val="003F7085"/>
    <w:rsid w:val="0040060E"/>
    <w:rsid w:val="00400C11"/>
    <w:rsid w:val="004010A8"/>
    <w:rsid w:val="00401DED"/>
    <w:rsid w:val="00402680"/>
    <w:rsid w:val="00404546"/>
    <w:rsid w:val="00406097"/>
    <w:rsid w:val="00406C7B"/>
    <w:rsid w:val="00407182"/>
    <w:rsid w:val="004078E5"/>
    <w:rsid w:val="00407FE4"/>
    <w:rsid w:val="00412F68"/>
    <w:rsid w:val="0041311D"/>
    <w:rsid w:val="00413CAA"/>
    <w:rsid w:val="00413FF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784"/>
    <w:rsid w:val="00423EE9"/>
    <w:rsid w:val="00425EC2"/>
    <w:rsid w:val="00427187"/>
    <w:rsid w:val="00427696"/>
    <w:rsid w:val="00427FB8"/>
    <w:rsid w:val="004306A4"/>
    <w:rsid w:val="00431253"/>
    <w:rsid w:val="00432066"/>
    <w:rsid w:val="00435D37"/>
    <w:rsid w:val="00436469"/>
    <w:rsid w:val="00436FB4"/>
    <w:rsid w:val="004379FA"/>
    <w:rsid w:val="00442E20"/>
    <w:rsid w:val="0044465C"/>
    <w:rsid w:val="004453B9"/>
    <w:rsid w:val="0044550D"/>
    <w:rsid w:val="00445736"/>
    <w:rsid w:val="00446DA9"/>
    <w:rsid w:val="004471B9"/>
    <w:rsid w:val="00447221"/>
    <w:rsid w:val="004509F6"/>
    <w:rsid w:val="00453CE3"/>
    <w:rsid w:val="00454093"/>
    <w:rsid w:val="00454C7D"/>
    <w:rsid w:val="00455227"/>
    <w:rsid w:val="00456F4F"/>
    <w:rsid w:val="004574D9"/>
    <w:rsid w:val="0045758B"/>
    <w:rsid w:val="00461324"/>
    <w:rsid w:val="0046148B"/>
    <w:rsid w:val="00461657"/>
    <w:rsid w:val="00461995"/>
    <w:rsid w:val="004634E4"/>
    <w:rsid w:val="004639A5"/>
    <w:rsid w:val="004655E7"/>
    <w:rsid w:val="0046659C"/>
    <w:rsid w:val="00466A02"/>
    <w:rsid w:val="00466E96"/>
    <w:rsid w:val="00466F15"/>
    <w:rsid w:val="00467156"/>
    <w:rsid w:val="00467511"/>
    <w:rsid w:val="0047022C"/>
    <w:rsid w:val="00470C90"/>
    <w:rsid w:val="004725CB"/>
    <w:rsid w:val="0047278D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699B"/>
    <w:rsid w:val="00487296"/>
    <w:rsid w:val="0049070F"/>
    <w:rsid w:val="00491368"/>
    <w:rsid w:val="0049250B"/>
    <w:rsid w:val="00492CE5"/>
    <w:rsid w:val="004932C1"/>
    <w:rsid w:val="00493B63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F63"/>
    <w:rsid w:val="004B7800"/>
    <w:rsid w:val="004B7883"/>
    <w:rsid w:val="004B7C4B"/>
    <w:rsid w:val="004C0135"/>
    <w:rsid w:val="004C0541"/>
    <w:rsid w:val="004C16F3"/>
    <w:rsid w:val="004C1D3E"/>
    <w:rsid w:val="004C206D"/>
    <w:rsid w:val="004C2EA5"/>
    <w:rsid w:val="004C373F"/>
    <w:rsid w:val="004C3C31"/>
    <w:rsid w:val="004C659C"/>
    <w:rsid w:val="004D49A0"/>
    <w:rsid w:val="004D4E0F"/>
    <w:rsid w:val="004D7775"/>
    <w:rsid w:val="004E02D3"/>
    <w:rsid w:val="004E12DB"/>
    <w:rsid w:val="004E28B9"/>
    <w:rsid w:val="004E4063"/>
    <w:rsid w:val="004E475F"/>
    <w:rsid w:val="004E5F03"/>
    <w:rsid w:val="004E6169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DA8"/>
    <w:rsid w:val="004F62C2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11F1F"/>
    <w:rsid w:val="0051201B"/>
    <w:rsid w:val="0051345D"/>
    <w:rsid w:val="00516264"/>
    <w:rsid w:val="00516511"/>
    <w:rsid w:val="00517175"/>
    <w:rsid w:val="00517B19"/>
    <w:rsid w:val="00521DE6"/>
    <w:rsid w:val="005221F4"/>
    <w:rsid w:val="00522282"/>
    <w:rsid w:val="00524587"/>
    <w:rsid w:val="0052511E"/>
    <w:rsid w:val="0052531F"/>
    <w:rsid w:val="005253D1"/>
    <w:rsid w:val="005264EC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3F14"/>
    <w:rsid w:val="00545372"/>
    <w:rsid w:val="005468F5"/>
    <w:rsid w:val="00546967"/>
    <w:rsid w:val="00547212"/>
    <w:rsid w:val="005479C8"/>
    <w:rsid w:val="00547B34"/>
    <w:rsid w:val="00547C53"/>
    <w:rsid w:val="005523CF"/>
    <w:rsid w:val="00552402"/>
    <w:rsid w:val="0055364A"/>
    <w:rsid w:val="00553E61"/>
    <w:rsid w:val="0055409D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992"/>
    <w:rsid w:val="00562086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764FB"/>
    <w:rsid w:val="00580172"/>
    <w:rsid w:val="00580859"/>
    <w:rsid w:val="00581749"/>
    <w:rsid w:val="005818A8"/>
    <w:rsid w:val="00581D4E"/>
    <w:rsid w:val="005829D9"/>
    <w:rsid w:val="00583591"/>
    <w:rsid w:val="005838F0"/>
    <w:rsid w:val="0058458E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2DF3"/>
    <w:rsid w:val="00593B25"/>
    <w:rsid w:val="00595DA2"/>
    <w:rsid w:val="00596079"/>
    <w:rsid w:val="005966E6"/>
    <w:rsid w:val="005A054F"/>
    <w:rsid w:val="005A0B3D"/>
    <w:rsid w:val="005A13E6"/>
    <w:rsid w:val="005A17DE"/>
    <w:rsid w:val="005A1C61"/>
    <w:rsid w:val="005A4AB8"/>
    <w:rsid w:val="005A5064"/>
    <w:rsid w:val="005A5229"/>
    <w:rsid w:val="005B0DB1"/>
    <w:rsid w:val="005B18F4"/>
    <w:rsid w:val="005B25F8"/>
    <w:rsid w:val="005B2BF5"/>
    <w:rsid w:val="005B32A9"/>
    <w:rsid w:val="005B5CB7"/>
    <w:rsid w:val="005B5F21"/>
    <w:rsid w:val="005B7040"/>
    <w:rsid w:val="005C19AB"/>
    <w:rsid w:val="005C363C"/>
    <w:rsid w:val="005C3915"/>
    <w:rsid w:val="005C3D3E"/>
    <w:rsid w:val="005C4CBE"/>
    <w:rsid w:val="005C4DBD"/>
    <w:rsid w:val="005C4E87"/>
    <w:rsid w:val="005C5F38"/>
    <w:rsid w:val="005D07D1"/>
    <w:rsid w:val="005D0E14"/>
    <w:rsid w:val="005D2F3D"/>
    <w:rsid w:val="005D4BC4"/>
    <w:rsid w:val="005D5D14"/>
    <w:rsid w:val="005D5E2D"/>
    <w:rsid w:val="005D6EEB"/>
    <w:rsid w:val="005D751B"/>
    <w:rsid w:val="005E0358"/>
    <w:rsid w:val="005E038B"/>
    <w:rsid w:val="005E150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50EA"/>
    <w:rsid w:val="005F568D"/>
    <w:rsid w:val="005F66B5"/>
    <w:rsid w:val="006006C6"/>
    <w:rsid w:val="0060487F"/>
    <w:rsid w:val="006050EA"/>
    <w:rsid w:val="0060648E"/>
    <w:rsid w:val="006070E0"/>
    <w:rsid w:val="006071F2"/>
    <w:rsid w:val="00607217"/>
    <w:rsid w:val="00607500"/>
    <w:rsid w:val="00607541"/>
    <w:rsid w:val="0061084D"/>
    <w:rsid w:val="00610DDD"/>
    <w:rsid w:val="00611BC2"/>
    <w:rsid w:val="006127E9"/>
    <w:rsid w:val="00612A53"/>
    <w:rsid w:val="00612A74"/>
    <w:rsid w:val="00612F5E"/>
    <w:rsid w:val="00613676"/>
    <w:rsid w:val="006139C9"/>
    <w:rsid w:val="006142D5"/>
    <w:rsid w:val="006152FB"/>
    <w:rsid w:val="0061569F"/>
    <w:rsid w:val="00616B6E"/>
    <w:rsid w:val="00617CA0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5ED4"/>
    <w:rsid w:val="00647463"/>
    <w:rsid w:val="00647B12"/>
    <w:rsid w:val="006509EE"/>
    <w:rsid w:val="00650AC3"/>
    <w:rsid w:val="00651027"/>
    <w:rsid w:val="0065108A"/>
    <w:rsid w:val="006534C5"/>
    <w:rsid w:val="0065398C"/>
    <w:rsid w:val="00653CF3"/>
    <w:rsid w:val="0065416C"/>
    <w:rsid w:val="00654A8A"/>
    <w:rsid w:val="0065518C"/>
    <w:rsid w:val="00655E97"/>
    <w:rsid w:val="0065775B"/>
    <w:rsid w:val="00657F58"/>
    <w:rsid w:val="00661339"/>
    <w:rsid w:val="00661C7E"/>
    <w:rsid w:val="00661E40"/>
    <w:rsid w:val="00663690"/>
    <w:rsid w:val="00664DE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19B2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1351"/>
    <w:rsid w:val="00681A9E"/>
    <w:rsid w:val="00682718"/>
    <w:rsid w:val="00684818"/>
    <w:rsid w:val="00684902"/>
    <w:rsid w:val="00685393"/>
    <w:rsid w:val="006900D2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66E3"/>
    <w:rsid w:val="006971AF"/>
    <w:rsid w:val="00697A91"/>
    <w:rsid w:val="006A0B4A"/>
    <w:rsid w:val="006A144B"/>
    <w:rsid w:val="006A174E"/>
    <w:rsid w:val="006A1C8D"/>
    <w:rsid w:val="006A290B"/>
    <w:rsid w:val="006A478E"/>
    <w:rsid w:val="006A4801"/>
    <w:rsid w:val="006A5DE6"/>
    <w:rsid w:val="006A5F7F"/>
    <w:rsid w:val="006A6C58"/>
    <w:rsid w:val="006A6FB2"/>
    <w:rsid w:val="006B159D"/>
    <w:rsid w:val="006B21AB"/>
    <w:rsid w:val="006B22E5"/>
    <w:rsid w:val="006B2866"/>
    <w:rsid w:val="006B3579"/>
    <w:rsid w:val="006B4777"/>
    <w:rsid w:val="006B5211"/>
    <w:rsid w:val="006B5863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5096"/>
    <w:rsid w:val="006C5F17"/>
    <w:rsid w:val="006C6303"/>
    <w:rsid w:val="006C6B7E"/>
    <w:rsid w:val="006C6BF9"/>
    <w:rsid w:val="006C6C06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5B24"/>
    <w:rsid w:val="006D7398"/>
    <w:rsid w:val="006D74DB"/>
    <w:rsid w:val="006E11AC"/>
    <w:rsid w:val="006E11E0"/>
    <w:rsid w:val="006E4128"/>
    <w:rsid w:val="006E4746"/>
    <w:rsid w:val="006E4B91"/>
    <w:rsid w:val="006E6751"/>
    <w:rsid w:val="006E728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5089"/>
    <w:rsid w:val="007055C9"/>
    <w:rsid w:val="007067B2"/>
    <w:rsid w:val="00706A33"/>
    <w:rsid w:val="00706CF0"/>
    <w:rsid w:val="00707E96"/>
    <w:rsid w:val="00710BC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19C8"/>
    <w:rsid w:val="00731BF4"/>
    <w:rsid w:val="007326D7"/>
    <w:rsid w:val="00733BCB"/>
    <w:rsid w:val="0073431B"/>
    <w:rsid w:val="00734688"/>
    <w:rsid w:val="00734729"/>
    <w:rsid w:val="00736A98"/>
    <w:rsid w:val="00736C15"/>
    <w:rsid w:val="00736E76"/>
    <w:rsid w:val="0073706D"/>
    <w:rsid w:val="007375FD"/>
    <w:rsid w:val="00737DB4"/>
    <w:rsid w:val="007406F2"/>
    <w:rsid w:val="007409AF"/>
    <w:rsid w:val="00742C04"/>
    <w:rsid w:val="00743684"/>
    <w:rsid w:val="007452A1"/>
    <w:rsid w:val="00745BCE"/>
    <w:rsid w:val="00745F91"/>
    <w:rsid w:val="00746132"/>
    <w:rsid w:val="007469F9"/>
    <w:rsid w:val="00747828"/>
    <w:rsid w:val="00750866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100C"/>
    <w:rsid w:val="00761287"/>
    <w:rsid w:val="0076182F"/>
    <w:rsid w:val="007618B8"/>
    <w:rsid w:val="00762622"/>
    <w:rsid w:val="0076413B"/>
    <w:rsid w:val="00764D09"/>
    <w:rsid w:val="007652FD"/>
    <w:rsid w:val="0076645A"/>
    <w:rsid w:val="007675AF"/>
    <w:rsid w:val="00770772"/>
    <w:rsid w:val="00771538"/>
    <w:rsid w:val="00771D94"/>
    <w:rsid w:val="007722BC"/>
    <w:rsid w:val="00772523"/>
    <w:rsid w:val="00772A01"/>
    <w:rsid w:val="00772F45"/>
    <w:rsid w:val="00773C65"/>
    <w:rsid w:val="00775529"/>
    <w:rsid w:val="00776710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A25"/>
    <w:rsid w:val="00787E88"/>
    <w:rsid w:val="00791DC2"/>
    <w:rsid w:val="00793A27"/>
    <w:rsid w:val="00793F4D"/>
    <w:rsid w:val="007941BB"/>
    <w:rsid w:val="007946DB"/>
    <w:rsid w:val="00794B8C"/>
    <w:rsid w:val="00796ED1"/>
    <w:rsid w:val="007978AC"/>
    <w:rsid w:val="00797B66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C5F96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D78E3"/>
    <w:rsid w:val="007E01F2"/>
    <w:rsid w:val="007E0203"/>
    <w:rsid w:val="007E056C"/>
    <w:rsid w:val="007E0761"/>
    <w:rsid w:val="007E081D"/>
    <w:rsid w:val="007E1AB8"/>
    <w:rsid w:val="007E293C"/>
    <w:rsid w:val="007E36EB"/>
    <w:rsid w:val="007E380A"/>
    <w:rsid w:val="007E5CC1"/>
    <w:rsid w:val="007E7DDD"/>
    <w:rsid w:val="007F182C"/>
    <w:rsid w:val="007F33E9"/>
    <w:rsid w:val="007F388B"/>
    <w:rsid w:val="007F4571"/>
    <w:rsid w:val="007F4D55"/>
    <w:rsid w:val="007F5FD8"/>
    <w:rsid w:val="007F61AF"/>
    <w:rsid w:val="007F775F"/>
    <w:rsid w:val="007F7F34"/>
    <w:rsid w:val="0080031F"/>
    <w:rsid w:val="00801411"/>
    <w:rsid w:val="00801DB8"/>
    <w:rsid w:val="0080291E"/>
    <w:rsid w:val="00802B7F"/>
    <w:rsid w:val="00804F0B"/>
    <w:rsid w:val="00805844"/>
    <w:rsid w:val="00805AF2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4063"/>
    <w:rsid w:val="00815A2F"/>
    <w:rsid w:val="00815E6D"/>
    <w:rsid w:val="00817A6A"/>
    <w:rsid w:val="0082070B"/>
    <w:rsid w:val="0082084A"/>
    <w:rsid w:val="00822F67"/>
    <w:rsid w:val="008239BC"/>
    <w:rsid w:val="008251C2"/>
    <w:rsid w:val="0082570B"/>
    <w:rsid w:val="008269CE"/>
    <w:rsid w:val="0082721B"/>
    <w:rsid w:val="0083011C"/>
    <w:rsid w:val="008312F3"/>
    <w:rsid w:val="008343BA"/>
    <w:rsid w:val="0083553F"/>
    <w:rsid w:val="008355A8"/>
    <w:rsid w:val="00835BC9"/>
    <w:rsid w:val="00836A00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7B5B"/>
    <w:rsid w:val="00847C9F"/>
    <w:rsid w:val="00847EBF"/>
    <w:rsid w:val="0085098F"/>
    <w:rsid w:val="0085138D"/>
    <w:rsid w:val="00854098"/>
    <w:rsid w:val="00855ED0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70B1"/>
    <w:rsid w:val="00877642"/>
    <w:rsid w:val="00877FE9"/>
    <w:rsid w:val="00880646"/>
    <w:rsid w:val="00881C0B"/>
    <w:rsid w:val="00882650"/>
    <w:rsid w:val="00883754"/>
    <w:rsid w:val="008842AB"/>
    <w:rsid w:val="008844C7"/>
    <w:rsid w:val="008855BC"/>
    <w:rsid w:val="00886294"/>
    <w:rsid w:val="00886302"/>
    <w:rsid w:val="00886930"/>
    <w:rsid w:val="00886F12"/>
    <w:rsid w:val="008902D3"/>
    <w:rsid w:val="0089194A"/>
    <w:rsid w:val="0089243B"/>
    <w:rsid w:val="00892AFB"/>
    <w:rsid w:val="0089368B"/>
    <w:rsid w:val="00893A0A"/>
    <w:rsid w:val="0089702D"/>
    <w:rsid w:val="00897403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2443"/>
    <w:rsid w:val="008C34B7"/>
    <w:rsid w:val="008C3941"/>
    <w:rsid w:val="008C4151"/>
    <w:rsid w:val="008C5163"/>
    <w:rsid w:val="008C5984"/>
    <w:rsid w:val="008C7C7F"/>
    <w:rsid w:val="008D0308"/>
    <w:rsid w:val="008D0998"/>
    <w:rsid w:val="008D1539"/>
    <w:rsid w:val="008D20A3"/>
    <w:rsid w:val="008D27EB"/>
    <w:rsid w:val="008D2C8B"/>
    <w:rsid w:val="008D30AF"/>
    <w:rsid w:val="008D3CDF"/>
    <w:rsid w:val="008D4618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3EA"/>
    <w:rsid w:val="008E3805"/>
    <w:rsid w:val="008E3D20"/>
    <w:rsid w:val="008E4582"/>
    <w:rsid w:val="008E462B"/>
    <w:rsid w:val="008E5EDA"/>
    <w:rsid w:val="008E636B"/>
    <w:rsid w:val="008E6D00"/>
    <w:rsid w:val="008E6F6E"/>
    <w:rsid w:val="008E7183"/>
    <w:rsid w:val="008E77D5"/>
    <w:rsid w:val="008F0415"/>
    <w:rsid w:val="008F0BE5"/>
    <w:rsid w:val="008F195C"/>
    <w:rsid w:val="008F34CB"/>
    <w:rsid w:val="008F3986"/>
    <w:rsid w:val="008F4F59"/>
    <w:rsid w:val="008F56AC"/>
    <w:rsid w:val="008F6653"/>
    <w:rsid w:val="008F6C10"/>
    <w:rsid w:val="008F71E6"/>
    <w:rsid w:val="008F7755"/>
    <w:rsid w:val="009008A2"/>
    <w:rsid w:val="00900F62"/>
    <w:rsid w:val="0090210D"/>
    <w:rsid w:val="0090227C"/>
    <w:rsid w:val="00902289"/>
    <w:rsid w:val="009022BB"/>
    <w:rsid w:val="009045B3"/>
    <w:rsid w:val="0090493D"/>
    <w:rsid w:val="00904C72"/>
    <w:rsid w:val="00904D4B"/>
    <w:rsid w:val="00904F52"/>
    <w:rsid w:val="00905430"/>
    <w:rsid w:val="00905BF5"/>
    <w:rsid w:val="00905F6A"/>
    <w:rsid w:val="00907FE0"/>
    <w:rsid w:val="00910CBD"/>
    <w:rsid w:val="0091144B"/>
    <w:rsid w:val="00912260"/>
    <w:rsid w:val="009126D6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74C"/>
    <w:rsid w:val="00925448"/>
    <w:rsid w:val="00925536"/>
    <w:rsid w:val="00925FF2"/>
    <w:rsid w:val="009271A2"/>
    <w:rsid w:val="009309A2"/>
    <w:rsid w:val="009329C9"/>
    <w:rsid w:val="00933305"/>
    <w:rsid w:val="0093378D"/>
    <w:rsid w:val="0093484E"/>
    <w:rsid w:val="00935A48"/>
    <w:rsid w:val="00937C0F"/>
    <w:rsid w:val="009404CE"/>
    <w:rsid w:val="00940D56"/>
    <w:rsid w:val="00941C71"/>
    <w:rsid w:val="00941E99"/>
    <w:rsid w:val="0094299F"/>
    <w:rsid w:val="00942C49"/>
    <w:rsid w:val="009472A1"/>
    <w:rsid w:val="00947B02"/>
    <w:rsid w:val="00947E4E"/>
    <w:rsid w:val="009508FA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2311"/>
    <w:rsid w:val="00962341"/>
    <w:rsid w:val="00962426"/>
    <w:rsid w:val="009636C3"/>
    <w:rsid w:val="009637F1"/>
    <w:rsid w:val="009647DB"/>
    <w:rsid w:val="00965B35"/>
    <w:rsid w:val="00965E55"/>
    <w:rsid w:val="00965FCD"/>
    <w:rsid w:val="009667E4"/>
    <w:rsid w:val="00966C86"/>
    <w:rsid w:val="00966CC3"/>
    <w:rsid w:val="009674E4"/>
    <w:rsid w:val="00967750"/>
    <w:rsid w:val="009707F3"/>
    <w:rsid w:val="00970817"/>
    <w:rsid w:val="009729C4"/>
    <w:rsid w:val="00972F5D"/>
    <w:rsid w:val="00973022"/>
    <w:rsid w:val="0097377E"/>
    <w:rsid w:val="00974320"/>
    <w:rsid w:val="00974AD2"/>
    <w:rsid w:val="00974F42"/>
    <w:rsid w:val="00975511"/>
    <w:rsid w:val="00976263"/>
    <w:rsid w:val="00980D4F"/>
    <w:rsid w:val="0098296F"/>
    <w:rsid w:val="00982E62"/>
    <w:rsid w:val="009836D7"/>
    <w:rsid w:val="0098375C"/>
    <w:rsid w:val="009851E4"/>
    <w:rsid w:val="0098562F"/>
    <w:rsid w:val="00985C9B"/>
    <w:rsid w:val="009860B5"/>
    <w:rsid w:val="00992420"/>
    <w:rsid w:val="00992B90"/>
    <w:rsid w:val="00993E5A"/>
    <w:rsid w:val="0099417D"/>
    <w:rsid w:val="00994D96"/>
    <w:rsid w:val="009960CD"/>
    <w:rsid w:val="00997454"/>
    <w:rsid w:val="009A0736"/>
    <w:rsid w:val="009A1376"/>
    <w:rsid w:val="009A24E1"/>
    <w:rsid w:val="009A2EA5"/>
    <w:rsid w:val="009A4C61"/>
    <w:rsid w:val="009A4CA6"/>
    <w:rsid w:val="009A5640"/>
    <w:rsid w:val="009A63D0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320B"/>
    <w:rsid w:val="009B37AE"/>
    <w:rsid w:val="009B5779"/>
    <w:rsid w:val="009B65AF"/>
    <w:rsid w:val="009B6603"/>
    <w:rsid w:val="009B6985"/>
    <w:rsid w:val="009C0493"/>
    <w:rsid w:val="009C162D"/>
    <w:rsid w:val="009C1D43"/>
    <w:rsid w:val="009C406B"/>
    <w:rsid w:val="009C41DE"/>
    <w:rsid w:val="009C42D7"/>
    <w:rsid w:val="009C4EAF"/>
    <w:rsid w:val="009C5011"/>
    <w:rsid w:val="009C5462"/>
    <w:rsid w:val="009C62C0"/>
    <w:rsid w:val="009C6D28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E79"/>
    <w:rsid w:val="009E510B"/>
    <w:rsid w:val="009E51BC"/>
    <w:rsid w:val="009E58AC"/>
    <w:rsid w:val="009E5D48"/>
    <w:rsid w:val="009E70C1"/>
    <w:rsid w:val="009E7177"/>
    <w:rsid w:val="009F0EB0"/>
    <w:rsid w:val="009F1090"/>
    <w:rsid w:val="009F18E0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6E10"/>
    <w:rsid w:val="00A07539"/>
    <w:rsid w:val="00A10CF5"/>
    <w:rsid w:val="00A119B4"/>
    <w:rsid w:val="00A119F1"/>
    <w:rsid w:val="00A11CDE"/>
    <w:rsid w:val="00A11E17"/>
    <w:rsid w:val="00A14996"/>
    <w:rsid w:val="00A16685"/>
    <w:rsid w:val="00A16C9B"/>
    <w:rsid w:val="00A17447"/>
    <w:rsid w:val="00A178C8"/>
    <w:rsid w:val="00A20571"/>
    <w:rsid w:val="00A2097F"/>
    <w:rsid w:val="00A209F6"/>
    <w:rsid w:val="00A20D1B"/>
    <w:rsid w:val="00A22776"/>
    <w:rsid w:val="00A22911"/>
    <w:rsid w:val="00A22FCE"/>
    <w:rsid w:val="00A233F2"/>
    <w:rsid w:val="00A23A9A"/>
    <w:rsid w:val="00A2480A"/>
    <w:rsid w:val="00A24849"/>
    <w:rsid w:val="00A2559B"/>
    <w:rsid w:val="00A25D5F"/>
    <w:rsid w:val="00A30660"/>
    <w:rsid w:val="00A30E95"/>
    <w:rsid w:val="00A3121D"/>
    <w:rsid w:val="00A324F2"/>
    <w:rsid w:val="00A33860"/>
    <w:rsid w:val="00A34E49"/>
    <w:rsid w:val="00A34E8F"/>
    <w:rsid w:val="00A34E9D"/>
    <w:rsid w:val="00A3560C"/>
    <w:rsid w:val="00A35630"/>
    <w:rsid w:val="00A35C10"/>
    <w:rsid w:val="00A360C2"/>
    <w:rsid w:val="00A36406"/>
    <w:rsid w:val="00A36F39"/>
    <w:rsid w:val="00A37526"/>
    <w:rsid w:val="00A3777A"/>
    <w:rsid w:val="00A40D24"/>
    <w:rsid w:val="00A4133A"/>
    <w:rsid w:val="00A419CE"/>
    <w:rsid w:val="00A423C3"/>
    <w:rsid w:val="00A429F2"/>
    <w:rsid w:val="00A4482B"/>
    <w:rsid w:val="00A44F75"/>
    <w:rsid w:val="00A451E5"/>
    <w:rsid w:val="00A45934"/>
    <w:rsid w:val="00A45F99"/>
    <w:rsid w:val="00A468B1"/>
    <w:rsid w:val="00A4692E"/>
    <w:rsid w:val="00A46C9C"/>
    <w:rsid w:val="00A46DEF"/>
    <w:rsid w:val="00A478AD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CDB"/>
    <w:rsid w:val="00A6220E"/>
    <w:rsid w:val="00A62711"/>
    <w:rsid w:val="00A63167"/>
    <w:rsid w:val="00A63DB2"/>
    <w:rsid w:val="00A66994"/>
    <w:rsid w:val="00A66BEC"/>
    <w:rsid w:val="00A67103"/>
    <w:rsid w:val="00A67F78"/>
    <w:rsid w:val="00A719D1"/>
    <w:rsid w:val="00A72B22"/>
    <w:rsid w:val="00A73828"/>
    <w:rsid w:val="00A74590"/>
    <w:rsid w:val="00A75004"/>
    <w:rsid w:val="00A76BD3"/>
    <w:rsid w:val="00A80523"/>
    <w:rsid w:val="00A8105B"/>
    <w:rsid w:val="00A8196A"/>
    <w:rsid w:val="00A81A72"/>
    <w:rsid w:val="00A81DD8"/>
    <w:rsid w:val="00A84EF6"/>
    <w:rsid w:val="00A85320"/>
    <w:rsid w:val="00A85322"/>
    <w:rsid w:val="00A862EE"/>
    <w:rsid w:val="00A86AE2"/>
    <w:rsid w:val="00A90134"/>
    <w:rsid w:val="00A919D2"/>
    <w:rsid w:val="00A92C88"/>
    <w:rsid w:val="00A93193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4229"/>
    <w:rsid w:val="00AA4C9B"/>
    <w:rsid w:val="00AA53FC"/>
    <w:rsid w:val="00AA57C2"/>
    <w:rsid w:val="00AA6286"/>
    <w:rsid w:val="00AA6372"/>
    <w:rsid w:val="00AA728A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8E1"/>
    <w:rsid w:val="00AC2EF2"/>
    <w:rsid w:val="00AC33D0"/>
    <w:rsid w:val="00AC41A8"/>
    <w:rsid w:val="00AC4D78"/>
    <w:rsid w:val="00AC4E44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C4C"/>
    <w:rsid w:val="00AE2FC9"/>
    <w:rsid w:val="00AE3B29"/>
    <w:rsid w:val="00AE3EC8"/>
    <w:rsid w:val="00AE46D2"/>
    <w:rsid w:val="00AE745C"/>
    <w:rsid w:val="00AF16EF"/>
    <w:rsid w:val="00AF2A35"/>
    <w:rsid w:val="00AF39C0"/>
    <w:rsid w:val="00AF3F13"/>
    <w:rsid w:val="00AF62DF"/>
    <w:rsid w:val="00AF6471"/>
    <w:rsid w:val="00AF71DC"/>
    <w:rsid w:val="00AF7CF3"/>
    <w:rsid w:val="00B012FF"/>
    <w:rsid w:val="00B022B2"/>
    <w:rsid w:val="00B02D66"/>
    <w:rsid w:val="00B039A4"/>
    <w:rsid w:val="00B0449D"/>
    <w:rsid w:val="00B063C0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1724F"/>
    <w:rsid w:val="00B20DEE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132A"/>
    <w:rsid w:val="00B355D6"/>
    <w:rsid w:val="00B36D48"/>
    <w:rsid w:val="00B40133"/>
    <w:rsid w:val="00B41E7A"/>
    <w:rsid w:val="00B42AAB"/>
    <w:rsid w:val="00B434CF"/>
    <w:rsid w:val="00B43B1F"/>
    <w:rsid w:val="00B45BDC"/>
    <w:rsid w:val="00B46ABF"/>
    <w:rsid w:val="00B47CAB"/>
    <w:rsid w:val="00B50021"/>
    <w:rsid w:val="00B50CF4"/>
    <w:rsid w:val="00B5154B"/>
    <w:rsid w:val="00B51806"/>
    <w:rsid w:val="00B52271"/>
    <w:rsid w:val="00B5329A"/>
    <w:rsid w:val="00B53433"/>
    <w:rsid w:val="00B5629A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3FD4"/>
    <w:rsid w:val="00B74693"/>
    <w:rsid w:val="00B74947"/>
    <w:rsid w:val="00B7591E"/>
    <w:rsid w:val="00B75991"/>
    <w:rsid w:val="00B76838"/>
    <w:rsid w:val="00B77D13"/>
    <w:rsid w:val="00B801BF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1D36"/>
    <w:rsid w:val="00B92746"/>
    <w:rsid w:val="00B92D47"/>
    <w:rsid w:val="00B96894"/>
    <w:rsid w:val="00B969AC"/>
    <w:rsid w:val="00B9719C"/>
    <w:rsid w:val="00BA06C1"/>
    <w:rsid w:val="00BA0B65"/>
    <w:rsid w:val="00BA1E04"/>
    <w:rsid w:val="00BA1F78"/>
    <w:rsid w:val="00BA2E14"/>
    <w:rsid w:val="00BA54D0"/>
    <w:rsid w:val="00BA6C18"/>
    <w:rsid w:val="00BA6F69"/>
    <w:rsid w:val="00BA6FEF"/>
    <w:rsid w:val="00BB058C"/>
    <w:rsid w:val="00BB24C2"/>
    <w:rsid w:val="00BB30FF"/>
    <w:rsid w:val="00BB360B"/>
    <w:rsid w:val="00BB40F6"/>
    <w:rsid w:val="00BB573E"/>
    <w:rsid w:val="00BB5FE7"/>
    <w:rsid w:val="00BB60B2"/>
    <w:rsid w:val="00BB68A6"/>
    <w:rsid w:val="00BB7001"/>
    <w:rsid w:val="00BB785F"/>
    <w:rsid w:val="00BB7878"/>
    <w:rsid w:val="00BB7D3F"/>
    <w:rsid w:val="00BB7F73"/>
    <w:rsid w:val="00BC05DD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C9A"/>
    <w:rsid w:val="00BD0F4E"/>
    <w:rsid w:val="00BD18F0"/>
    <w:rsid w:val="00BD30D2"/>
    <w:rsid w:val="00BE1624"/>
    <w:rsid w:val="00BE20AC"/>
    <w:rsid w:val="00BE2E1E"/>
    <w:rsid w:val="00BE3C50"/>
    <w:rsid w:val="00BE3FF4"/>
    <w:rsid w:val="00BE47BD"/>
    <w:rsid w:val="00BE5B52"/>
    <w:rsid w:val="00BE6311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25D3"/>
    <w:rsid w:val="00C06AB7"/>
    <w:rsid w:val="00C07170"/>
    <w:rsid w:val="00C077DA"/>
    <w:rsid w:val="00C0788A"/>
    <w:rsid w:val="00C07EBB"/>
    <w:rsid w:val="00C11266"/>
    <w:rsid w:val="00C123A0"/>
    <w:rsid w:val="00C12BC9"/>
    <w:rsid w:val="00C131FA"/>
    <w:rsid w:val="00C13F58"/>
    <w:rsid w:val="00C14571"/>
    <w:rsid w:val="00C1491F"/>
    <w:rsid w:val="00C14ED8"/>
    <w:rsid w:val="00C15748"/>
    <w:rsid w:val="00C157D1"/>
    <w:rsid w:val="00C15E22"/>
    <w:rsid w:val="00C15F7A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844"/>
    <w:rsid w:val="00C2734A"/>
    <w:rsid w:val="00C309B8"/>
    <w:rsid w:val="00C31ABA"/>
    <w:rsid w:val="00C31D0E"/>
    <w:rsid w:val="00C321B7"/>
    <w:rsid w:val="00C32DED"/>
    <w:rsid w:val="00C34184"/>
    <w:rsid w:val="00C34787"/>
    <w:rsid w:val="00C34AC1"/>
    <w:rsid w:val="00C35CAA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50"/>
    <w:rsid w:val="00C42122"/>
    <w:rsid w:val="00C427B1"/>
    <w:rsid w:val="00C42838"/>
    <w:rsid w:val="00C43371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F0D"/>
    <w:rsid w:val="00C75F73"/>
    <w:rsid w:val="00C80520"/>
    <w:rsid w:val="00C80EF3"/>
    <w:rsid w:val="00C81007"/>
    <w:rsid w:val="00C83BDD"/>
    <w:rsid w:val="00C84A12"/>
    <w:rsid w:val="00C85EA2"/>
    <w:rsid w:val="00C86D66"/>
    <w:rsid w:val="00C87E02"/>
    <w:rsid w:val="00C90367"/>
    <w:rsid w:val="00C907BB"/>
    <w:rsid w:val="00C909BF"/>
    <w:rsid w:val="00C9152B"/>
    <w:rsid w:val="00C9246F"/>
    <w:rsid w:val="00C9290A"/>
    <w:rsid w:val="00C93342"/>
    <w:rsid w:val="00C93D87"/>
    <w:rsid w:val="00C93DA1"/>
    <w:rsid w:val="00C94C39"/>
    <w:rsid w:val="00C9626E"/>
    <w:rsid w:val="00C97975"/>
    <w:rsid w:val="00CA211C"/>
    <w:rsid w:val="00CA2C46"/>
    <w:rsid w:val="00CA2DC5"/>
    <w:rsid w:val="00CA3070"/>
    <w:rsid w:val="00CA44ED"/>
    <w:rsid w:val="00CA5469"/>
    <w:rsid w:val="00CA6E7C"/>
    <w:rsid w:val="00CA7C68"/>
    <w:rsid w:val="00CA7C77"/>
    <w:rsid w:val="00CB0013"/>
    <w:rsid w:val="00CB01AB"/>
    <w:rsid w:val="00CB04AC"/>
    <w:rsid w:val="00CB0D35"/>
    <w:rsid w:val="00CB1B20"/>
    <w:rsid w:val="00CB1EA7"/>
    <w:rsid w:val="00CB2C84"/>
    <w:rsid w:val="00CB311F"/>
    <w:rsid w:val="00CB3B77"/>
    <w:rsid w:val="00CB407D"/>
    <w:rsid w:val="00CB4560"/>
    <w:rsid w:val="00CB47DE"/>
    <w:rsid w:val="00CB776C"/>
    <w:rsid w:val="00CB7966"/>
    <w:rsid w:val="00CC16C7"/>
    <w:rsid w:val="00CC199B"/>
    <w:rsid w:val="00CC2AAE"/>
    <w:rsid w:val="00CC51BF"/>
    <w:rsid w:val="00CC53C4"/>
    <w:rsid w:val="00CC577F"/>
    <w:rsid w:val="00CC67DD"/>
    <w:rsid w:val="00CC6A54"/>
    <w:rsid w:val="00CC7595"/>
    <w:rsid w:val="00CC7811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518B"/>
    <w:rsid w:val="00CE69B5"/>
    <w:rsid w:val="00CE6CFC"/>
    <w:rsid w:val="00CE7444"/>
    <w:rsid w:val="00CF0291"/>
    <w:rsid w:val="00CF0D75"/>
    <w:rsid w:val="00CF162C"/>
    <w:rsid w:val="00CF1DF9"/>
    <w:rsid w:val="00CF4E1E"/>
    <w:rsid w:val="00CF586D"/>
    <w:rsid w:val="00CF5FA3"/>
    <w:rsid w:val="00CF7392"/>
    <w:rsid w:val="00CF76B6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5983"/>
    <w:rsid w:val="00D3631D"/>
    <w:rsid w:val="00D36486"/>
    <w:rsid w:val="00D4058D"/>
    <w:rsid w:val="00D40A23"/>
    <w:rsid w:val="00D41AE3"/>
    <w:rsid w:val="00D44ED9"/>
    <w:rsid w:val="00D45256"/>
    <w:rsid w:val="00D47D6A"/>
    <w:rsid w:val="00D501DA"/>
    <w:rsid w:val="00D506A3"/>
    <w:rsid w:val="00D50FD4"/>
    <w:rsid w:val="00D51C00"/>
    <w:rsid w:val="00D51E0A"/>
    <w:rsid w:val="00D526DB"/>
    <w:rsid w:val="00D527AF"/>
    <w:rsid w:val="00D52AB9"/>
    <w:rsid w:val="00D5331F"/>
    <w:rsid w:val="00D5378F"/>
    <w:rsid w:val="00D542E5"/>
    <w:rsid w:val="00D55775"/>
    <w:rsid w:val="00D55D3B"/>
    <w:rsid w:val="00D564C8"/>
    <w:rsid w:val="00D5714E"/>
    <w:rsid w:val="00D57413"/>
    <w:rsid w:val="00D60D35"/>
    <w:rsid w:val="00D61692"/>
    <w:rsid w:val="00D61837"/>
    <w:rsid w:val="00D62029"/>
    <w:rsid w:val="00D6202D"/>
    <w:rsid w:val="00D64F6E"/>
    <w:rsid w:val="00D64FD3"/>
    <w:rsid w:val="00D66F3C"/>
    <w:rsid w:val="00D67D95"/>
    <w:rsid w:val="00D710FD"/>
    <w:rsid w:val="00D71690"/>
    <w:rsid w:val="00D719A0"/>
    <w:rsid w:val="00D733AC"/>
    <w:rsid w:val="00D737CD"/>
    <w:rsid w:val="00D73AA8"/>
    <w:rsid w:val="00D75F50"/>
    <w:rsid w:val="00D765A3"/>
    <w:rsid w:val="00D76A94"/>
    <w:rsid w:val="00D7718A"/>
    <w:rsid w:val="00D778E1"/>
    <w:rsid w:val="00D77F3E"/>
    <w:rsid w:val="00D800B5"/>
    <w:rsid w:val="00D803C1"/>
    <w:rsid w:val="00D80FC5"/>
    <w:rsid w:val="00D834E8"/>
    <w:rsid w:val="00D848EE"/>
    <w:rsid w:val="00D85C94"/>
    <w:rsid w:val="00D85F1E"/>
    <w:rsid w:val="00D8651E"/>
    <w:rsid w:val="00D90D26"/>
    <w:rsid w:val="00D91904"/>
    <w:rsid w:val="00D928AF"/>
    <w:rsid w:val="00D92C91"/>
    <w:rsid w:val="00D94466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6330"/>
    <w:rsid w:val="00DB0D61"/>
    <w:rsid w:val="00DB2EE2"/>
    <w:rsid w:val="00DB3E5E"/>
    <w:rsid w:val="00DB3FE3"/>
    <w:rsid w:val="00DB4A28"/>
    <w:rsid w:val="00DB51B0"/>
    <w:rsid w:val="00DB55E7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3FF1"/>
    <w:rsid w:val="00DC47F3"/>
    <w:rsid w:val="00DC48C0"/>
    <w:rsid w:val="00DC4AD1"/>
    <w:rsid w:val="00DC4EE0"/>
    <w:rsid w:val="00DC6634"/>
    <w:rsid w:val="00DC74BC"/>
    <w:rsid w:val="00DC7E28"/>
    <w:rsid w:val="00DD0300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587D"/>
    <w:rsid w:val="00DE63E8"/>
    <w:rsid w:val="00DE7609"/>
    <w:rsid w:val="00DF1C86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98B"/>
    <w:rsid w:val="00E05C49"/>
    <w:rsid w:val="00E06855"/>
    <w:rsid w:val="00E0706D"/>
    <w:rsid w:val="00E074E4"/>
    <w:rsid w:val="00E07C08"/>
    <w:rsid w:val="00E10677"/>
    <w:rsid w:val="00E1390E"/>
    <w:rsid w:val="00E139E6"/>
    <w:rsid w:val="00E143F2"/>
    <w:rsid w:val="00E14901"/>
    <w:rsid w:val="00E157D0"/>
    <w:rsid w:val="00E16763"/>
    <w:rsid w:val="00E20800"/>
    <w:rsid w:val="00E2133B"/>
    <w:rsid w:val="00E22571"/>
    <w:rsid w:val="00E2307A"/>
    <w:rsid w:val="00E2362B"/>
    <w:rsid w:val="00E237D9"/>
    <w:rsid w:val="00E249A9"/>
    <w:rsid w:val="00E25472"/>
    <w:rsid w:val="00E27F19"/>
    <w:rsid w:val="00E30184"/>
    <w:rsid w:val="00E301CE"/>
    <w:rsid w:val="00E3083C"/>
    <w:rsid w:val="00E30F05"/>
    <w:rsid w:val="00E318AD"/>
    <w:rsid w:val="00E32169"/>
    <w:rsid w:val="00E32881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3D7A"/>
    <w:rsid w:val="00E44BCC"/>
    <w:rsid w:val="00E44FC4"/>
    <w:rsid w:val="00E453FC"/>
    <w:rsid w:val="00E456CD"/>
    <w:rsid w:val="00E461A4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4AA5"/>
    <w:rsid w:val="00E64E93"/>
    <w:rsid w:val="00E660EE"/>
    <w:rsid w:val="00E671BD"/>
    <w:rsid w:val="00E72541"/>
    <w:rsid w:val="00E72808"/>
    <w:rsid w:val="00E72ABE"/>
    <w:rsid w:val="00E72F93"/>
    <w:rsid w:val="00E734B7"/>
    <w:rsid w:val="00E73E27"/>
    <w:rsid w:val="00E75796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C6C"/>
    <w:rsid w:val="00E87BA7"/>
    <w:rsid w:val="00E9031B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C0C1D"/>
    <w:rsid w:val="00EC0D33"/>
    <w:rsid w:val="00EC1003"/>
    <w:rsid w:val="00EC3691"/>
    <w:rsid w:val="00EC3842"/>
    <w:rsid w:val="00EC3B14"/>
    <w:rsid w:val="00EC4680"/>
    <w:rsid w:val="00EC6854"/>
    <w:rsid w:val="00EC70BD"/>
    <w:rsid w:val="00ED05BC"/>
    <w:rsid w:val="00ED0E4C"/>
    <w:rsid w:val="00ED21BB"/>
    <w:rsid w:val="00ED2422"/>
    <w:rsid w:val="00ED2988"/>
    <w:rsid w:val="00ED301D"/>
    <w:rsid w:val="00ED3980"/>
    <w:rsid w:val="00ED3FE9"/>
    <w:rsid w:val="00ED4AD3"/>
    <w:rsid w:val="00ED4E43"/>
    <w:rsid w:val="00ED66A9"/>
    <w:rsid w:val="00ED69B4"/>
    <w:rsid w:val="00ED7615"/>
    <w:rsid w:val="00EE0167"/>
    <w:rsid w:val="00EE0860"/>
    <w:rsid w:val="00EE096D"/>
    <w:rsid w:val="00EE0F98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EA4"/>
    <w:rsid w:val="00EF668F"/>
    <w:rsid w:val="00EF6766"/>
    <w:rsid w:val="00EF6D1A"/>
    <w:rsid w:val="00EF737D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64DC"/>
    <w:rsid w:val="00F076BD"/>
    <w:rsid w:val="00F10750"/>
    <w:rsid w:val="00F10EBC"/>
    <w:rsid w:val="00F1178A"/>
    <w:rsid w:val="00F11F0D"/>
    <w:rsid w:val="00F1270D"/>
    <w:rsid w:val="00F13EE1"/>
    <w:rsid w:val="00F1493B"/>
    <w:rsid w:val="00F16D4D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5012"/>
    <w:rsid w:val="00F2525E"/>
    <w:rsid w:val="00F26EE8"/>
    <w:rsid w:val="00F27924"/>
    <w:rsid w:val="00F3219F"/>
    <w:rsid w:val="00F32946"/>
    <w:rsid w:val="00F32E78"/>
    <w:rsid w:val="00F34299"/>
    <w:rsid w:val="00F36375"/>
    <w:rsid w:val="00F37E59"/>
    <w:rsid w:val="00F37F75"/>
    <w:rsid w:val="00F40003"/>
    <w:rsid w:val="00F409E5"/>
    <w:rsid w:val="00F4195C"/>
    <w:rsid w:val="00F41ABF"/>
    <w:rsid w:val="00F43051"/>
    <w:rsid w:val="00F44108"/>
    <w:rsid w:val="00F4794F"/>
    <w:rsid w:val="00F500C1"/>
    <w:rsid w:val="00F52271"/>
    <w:rsid w:val="00F52987"/>
    <w:rsid w:val="00F54342"/>
    <w:rsid w:val="00F54BF8"/>
    <w:rsid w:val="00F550CB"/>
    <w:rsid w:val="00F55573"/>
    <w:rsid w:val="00F5720E"/>
    <w:rsid w:val="00F5737B"/>
    <w:rsid w:val="00F61509"/>
    <w:rsid w:val="00F619FF"/>
    <w:rsid w:val="00F6365F"/>
    <w:rsid w:val="00F63D6B"/>
    <w:rsid w:val="00F65299"/>
    <w:rsid w:val="00F653CD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EE3"/>
    <w:rsid w:val="00F737D1"/>
    <w:rsid w:val="00F737F3"/>
    <w:rsid w:val="00F73FC6"/>
    <w:rsid w:val="00F74097"/>
    <w:rsid w:val="00F743B0"/>
    <w:rsid w:val="00F80192"/>
    <w:rsid w:val="00F8107E"/>
    <w:rsid w:val="00F81AF7"/>
    <w:rsid w:val="00F81F17"/>
    <w:rsid w:val="00F8300B"/>
    <w:rsid w:val="00F838C5"/>
    <w:rsid w:val="00F83B3C"/>
    <w:rsid w:val="00F84CEA"/>
    <w:rsid w:val="00F8680A"/>
    <w:rsid w:val="00F911BE"/>
    <w:rsid w:val="00F9185B"/>
    <w:rsid w:val="00F91A17"/>
    <w:rsid w:val="00F92862"/>
    <w:rsid w:val="00F92BD8"/>
    <w:rsid w:val="00F92E4D"/>
    <w:rsid w:val="00F92EB4"/>
    <w:rsid w:val="00F92FB6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D1"/>
    <w:rsid w:val="00FB3CC6"/>
    <w:rsid w:val="00FB495F"/>
    <w:rsid w:val="00FB54D1"/>
    <w:rsid w:val="00FB55B2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C6E75"/>
    <w:rsid w:val="00FD004E"/>
    <w:rsid w:val="00FD0116"/>
    <w:rsid w:val="00FD0297"/>
    <w:rsid w:val="00FD06B2"/>
    <w:rsid w:val="00FD0AB9"/>
    <w:rsid w:val="00FD2C51"/>
    <w:rsid w:val="00FD2F04"/>
    <w:rsid w:val="00FD40CE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1471"/>
    <w:rsid w:val="00FF2BA5"/>
    <w:rsid w:val="00FF2D0B"/>
    <w:rsid w:val="00FF390E"/>
    <w:rsid w:val="00FF3DED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%202014\MMI%202014-09\mmi%202014-0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dolasci%20i%20no&#263;enja%20(Rusija%20i%20Ukrajina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My%20Documents\Dropbox\MINISTARSTVO%20FINANSIJA\SEP\02_MMI\MMI%202014\MMI%202014-09\mmi%202014-0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MMI%202014\MMI%202014-09\mmi%202014-0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ratko\Book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eso%20i%20mesne%20preradjevin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Inflacija u Eurozoni</a:t>
            </a:r>
          </a:p>
        </c:rich>
      </c:tx>
      <c:layout>
        <c:manualLayout>
          <c:xMode val="edge"/>
          <c:yMode val="edge"/>
          <c:x val="0.31181685499058642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5914830508474681"/>
          <c:y val="9.3186582809224344E-2"/>
          <c:w val="0.81387947269304117"/>
          <c:h val="0.69766509433962665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'Database za makro'!$G$53:$AX$53</c:f>
              <c:strCache>
                <c:ptCount val="44"/>
                <c:pt idx="0">
                  <c:v>2011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2012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2013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  <c:pt idx="35">
                  <c:v>XII</c:v>
                </c:pt>
                <c:pt idx="36">
                  <c:v>2014</c:v>
                </c:pt>
                <c:pt idx="37">
                  <c:v>II</c:v>
                </c:pt>
                <c:pt idx="38">
                  <c:v>III</c:v>
                </c:pt>
                <c:pt idx="39">
                  <c:v>IV</c:v>
                </c:pt>
                <c:pt idx="40">
                  <c:v>V</c:v>
                </c:pt>
                <c:pt idx="41">
                  <c:v>VI</c:v>
                </c:pt>
                <c:pt idx="42">
                  <c:v>VII</c:v>
                </c:pt>
                <c:pt idx="43">
                  <c:v>VIII</c:v>
                </c:pt>
              </c:strCache>
            </c:strRef>
          </c:cat>
          <c:val>
            <c:numRef>
              <c:f>'Database za makro'!$G$48:$AX$48</c:f>
              <c:numCache>
                <c:formatCode>0.00</c:formatCode>
                <c:ptCount val="44"/>
                <c:pt idx="0">
                  <c:v>2.2999999999999998</c:v>
                </c:pt>
                <c:pt idx="1">
                  <c:v>2.4</c:v>
                </c:pt>
                <c:pt idx="2">
                  <c:v>2.7</c:v>
                </c:pt>
                <c:pt idx="3">
                  <c:v>2.8</c:v>
                </c:pt>
                <c:pt idx="4">
                  <c:v>2.7</c:v>
                </c:pt>
                <c:pt idx="5">
                  <c:v>2.7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2.7</c:v>
                </c:pt>
                <c:pt idx="12">
                  <c:v>2.7</c:v>
                </c:pt>
                <c:pt idx="13">
                  <c:v>2.73</c:v>
                </c:pt>
                <c:pt idx="14">
                  <c:v>2.7</c:v>
                </c:pt>
                <c:pt idx="15">
                  <c:v>2.6</c:v>
                </c:pt>
                <c:pt idx="16">
                  <c:v>2.4</c:v>
                </c:pt>
                <c:pt idx="17">
                  <c:v>2.4</c:v>
                </c:pt>
                <c:pt idx="18">
                  <c:v>2.4</c:v>
                </c:pt>
                <c:pt idx="19">
                  <c:v>2.4</c:v>
                </c:pt>
                <c:pt idx="20">
                  <c:v>2.6</c:v>
                </c:pt>
                <c:pt idx="21">
                  <c:v>2.5</c:v>
                </c:pt>
                <c:pt idx="22">
                  <c:v>2.2000000000000002</c:v>
                </c:pt>
                <c:pt idx="23">
                  <c:v>2.2000000000000002</c:v>
                </c:pt>
                <c:pt idx="24">
                  <c:v>2</c:v>
                </c:pt>
                <c:pt idx="25">
                  <c:v>1.8</c:v>
                </c:pt>
                <c:pt idx="26">
                  <c:v>1.7000000000000024</c:v>
                </c:pt>
                <c:pt idx="27">
                  <c:v>1.2</c:v>
                </c:pt>
                <c:pt idx="28">
                  <c:v>1.4</c:v>
                </c:pt>
                <c:pt idx="29">
                  <c:v>1.6</c:v>
                </c:pt>
                <c:pt idx="30">
                  <c:v>1.6</c:v>
                </c:pt>
                <c:pt idx="31">
                  <c:v>1.3</c:v>
                </c:pt>
                <c:pt idx="32">
                  <c:v>1.1000000000000001</c:v>
                </c:pt>
                <c:pt idx="33">
                  <c:v>0.70000000000000062</c:v>
                </c:pt>
                <c:pt idx="34">
                  <c:v>0.9</c:v>
                </c:pt>
                <c:pt idx="35">
                  <c:v>0.8</c:v>
                </c:pt>
                <c:pt idx="36">
                  <c:v>0.8</c:v>
                </c:pt>
                <c:pt idx="37">
                  <c:v>0.70000000000000062</c:v>
                </c:pt>
                <c:pt idx="38">
                  <c:v>0.5</c:v>
                </c:pt>
                <c:pt idx="39">
                  <c:v>0.70000000000000062</c:v>
                </c:pt>
                <c:pt idx="40">
                  <c:v>0.5</c:v>
                </c:pt>
                <c:pt idx="41">
                  <c:v>0.5</c:v>
                </c:pt>
                <c:pt idx="42">
                  <c:v>0.4</c:v>
                </c:pt>
                <c:pt idx="43">
                  <c:v>0.4</c:v>
                </c:pt>
              </c:numCache>
            </c:numRef>
          </c:val>
        </c:ser>
        <c:marker val="1"/>
        <c:axId val="90401408"/>
        <c:axId val="90796416"/>
      </c:lineChart>
      <c:catAx>
        <c:axId val="9040140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0796416"/>
        <c:crosses val="autoZero"/>
        <c:auto val="1"/>
        <c:lblAlgn val="ctr"/>
        <c:lblOffset val="100"/>
      </c:catAx>
      <c:valAx>
        <c:axId val="90796416"/>
        <c:scaling>
          <c:orientation val="minMax"/>
        </c:scaling>
        <c:axPos val="l"/>
        <c:majorGridlines>
          <c:spPr>
            <a:ln w="6350">
              <a:prstDash val="sysDot"/>
            </a:ln>
          </c:spPr>
        </c:majorGridlines>
        <c:numFmt formatCode="0.0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04014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 b="1"/>
            </a:pPr>
            <a:r>
              <a:rPr lang="en-US" sz="1000" b="1"/>
              <a:t>Noćenja </a:t>
            </a:r>
            <a:r>
              <a:rPr lang="sr-Latn-CS" sz="1000" b="1"/>
              <a:t>stranih </a:t>
            </a:r>
            <a:r>
              <a:rPr lang="en-US" sz="1000" b="1"/>
              <a:t>turista, </a:t>
            </a:r>
            <a:endParaRPr lang="sr-Latn-CS" sz="1000" b="1"/>
          </a:p>
          <a:p>
            <a:pPr>
              <a:defRPr lang="sr-Latn-CS" sz="1000" b="1"/>
            </a:pPr>
            <a:r>
              <a:rPr lang="en-US" sz="1000" b="1"/>
              <a:t>stope rasta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v>Rusija</c:v>
          </c:tx>
          <c:marker>
            <c:symbol val="none"/>
          </c:marker>
          <c:cat>
            <c:strRef>
              <c:f>Sheet1!$N$50:$Z$50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2014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Sheet1!$N$58:$Z$58</c:f>
              <c:numCache>
                <c:formatCode>0.0</c:formatCode>
                <c:ptCount val="13"/>
                <c:pt idx="0">
                  <c:v>9.5664292186002093</c:v>
                </c:pt>
                <c:pt idx="1">
                  <c:v>8.8887164225438688</c:v>
                </c:pt>
                <c:pt idx="2">
                  <c:v>49.398911097306978</c:v>
                </c:pt>
                <c:pt idx="3">
                  <c:v>34.030509450254144</c:v>
                </c:pt>
                <c:pt idx="4">
                  <c:v>116.64653297898045</c:v>
                </c:pt>
                <c:pt idx="5">
                  <c:v>17.143700206550587</c:v>
                </c:pt>
                <c:pt idx="6">
                  <c:v>-3.3398501140436259</c:v>
                </c:pt>
                <c:pt idx="7">
                  <c:v>33.068783068783056</c:v>
                </c:pt>
                <c:pt idx="8">
                  <c:v>11.793635030973666</c:v>
                </c:pt>
                <c:pt idx="9">
                  <c:v>0.34333190787463025</c:v>
                </c:pt>
                <c:pt idx="10">
                  <c:v>9.4198609907908519</c:v>
                </c:pt>
                <c:pt idx="11">
                  <c:v>12.622247649873868</c:v>
                </c:pt>
                <c:pt idx="12">
                  <c:v>5.2409561859263931</c:v>
                </c:pt>
              </c:numCache>
            </c:numRef>
          </c:val>
          <c:smooth val="1"/>
        </c:ser>
        <c:ser>
          <c:idx val="1"/>
          <c:order val="1"/>
          <c:tx>
            <c:v>Ukrajina</c:v>
          </c:tx>
          <c:marker>
            <c:symbol val="none"/>
          </c:marker>
          <c:cat>
            <c:strRef>
              <c:f>Sheet1!$N$50:$Z$50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2014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Sheet1!$N$59:$Z$59</c:f>
              <c:numCache>
                <c:formatCode>0.0</c:formatCode>
                <c:ptCount val="13"/>
                <c:pt idx="0">
                  <c:v>14.090575861398278</c:v>
                </c:pt>
                <c:pt idx="1">
                  <c:v>74.983434808156318</c:v>
                </c:pt>
                <c:pt idx="2">
                  <c:v>60.06289308176099</c:v>
                </c:pt>
                <c:pt idx="3">
                  <c:v>62.975027144408251</c:v>
                </c:pt>
                <c:pt idx="4">
                  <c:v>113.39130434782605</c:v>
                </c:pt>
                <c:pt idx="5">
                  <c:v>84.776119402985074</c:v>
                </c:pt>
                <c:pt idx="6">
                  <c:v>59.830866807610661</c:v>
                </c:pt>
                <c:pt idx="7">
                  <c:v>199.42446043165467</c:v>
                </c:pt>
                <c:pt idx="8">
                  <c:v>77.829747427501857</c:v>
                </c:pt>
                <c:pt idx="9">
                  <c:v>68.180708180707569</c:v>
                </c:pt>
                <c:pt idx="10">
                  <c:v>7.167614936890911</c:v>
                </c:pt>
                <c:pt idx="11">
                  <c:v>17.132344486604591</c:v>
                </c:pt>
                <c:pt idx="12">
                  <c:v>-3.7058892954089515</c:v>
                </c:pt>
              </c:numCache>
            </c:numRef>
          </c:val>
          <c:smooth val="1"/>
        </c:ser>
        <c:ser>
          <c:idx val="2"/>
          <c:order val="2"/>
          <c:tx>
            <c:v>Srbija</c:v>
          </c:tx>
          <c:marker>
            <c:symbol val="none"/>
          </c:marker>
          <c:cat>
            <c:strRef>
              <c:f>Sheet1!$N$50:$Z$50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2014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Sheet1!$N$60:$Z$60</c:f>
              <c:numCache>
                <c:formatCode>0.0</c:formatCode>
                <c:ptCount val="13"/>
                <c:pt idx="0">
                  <c:v>-0.53423159278447963</c:v>
                </c:pt>
                <c:pt idx="1">
                  <c:v>2.0275682663557792</c:v>
                </c:pt>
                <c:pt idx="2">
                  <c:v>-1.0895800289635313</c:v>
                </c:pt>
                <c:pt idx="3">
                  <c:v>-4.526534859521294</c:v>
                </c:pt>
                <c:pt idx="4">
                  <c:v>35.758071107478543</c:v>
                </c:pt>
                <c:pt idx="5">
                  <c:v>12.581983670191399</c:v>
                </c:pt>
                <c:pt idx="6">
                  <c:v>-3.7040805942810682</c:v>
                </c:pt>
                <c:pt idx="7">
                  <c:v>28.782540614601537</c:v>
                </c:pt>
                <c:pt idx="8">
                  <c:v>-11.604316081928019</c:v>
                </c:pt>
                <c:pt idx="9">
                  <c:v>6.6942096764045855</c:v>
                </c:pt>
                <c:pt idx="10">
                  <c:v>-9.097217668786751</c:v>
                </c:pt>
                <c:pt idx="11">
                  <c:v>-3.3947748864105742</c:v>
                </c:pt>
                <c:pt idx="12">
                  <c:v>-0.93027289725802165</c:v>
                </c:pt>
              </c:numCache>
            </c:numRef>
          </c:val>
          <c:smooth val="1"/>
        </c:ser>
        <c:marker val="1"/>
        <c:axId val="90825856"/>
        <c:axId val="90827392"/>
      </c:lineChart>
      <c:catAx>
        <c:axId val="90825856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0827392"/>
        <c:crosses val="autoZero"/>
        <c:auto val="1"/>
        <c:lblAlgn val="ctr"/>
        <c:lblOffset val="100"/>
      </c:catAx>
      <c:valAx>
        <c:axId val="90827392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0825856"/>
        <c:crosses val="autoZero"/>
        <c:crossBetween val="between"/>
      </c:valAx>
      <c:spPr>
        <a:ln>
          <a:noFill/>
        </a:ln>
      </c:spPr>
    </c:plotArea>
    <c:legend>
      <c:legendPos val="b"/>
      <c:txPr>
        <a:bodyPr/>
        <a:lstStyle/>
        <a:p>
          <a:pPr>
            <a:defRPr lang="sr-Latn-C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sr-Latn-CS" sz="1000"/>
              <a:t>Ci</a:t>
            </a:r>
            <a:r>
              <a:rPr lang="en-US" sz="1000"/>
              <a:t>jene</a:t>
            </a:r>
          </a:p>
        </c:rich>
      </c:tx>
      <c:layout>
        <c:manualLayout>
          <c:xMode val="edge"/>
          <c:yMode val="edge"/>
          <c:x val="0.42544047619047892"/>
          <c:y val="2.2398589065255731E-2"/>
        </c:manualLayout>
      </c:layout>
    </c:title>
    <c:plotArea>
      <c:layout>
        <c:manualLayout>
          <c:layoutTarget val="inner"/>
          <c:xMode val="edge"/>
          <c:yMode val="edge"/>
          <c:x val="0.15855379188712729"/>
          <c:y val="0.12434038800705458"/>
          <c:w val="0.77985008818342594"/>
          <c:h val="0.51202910052910444"/>
        </c:manualLayout>
      </c:layout>
      <c:lineChart>
        <c:grouping val="standard"/>
        <c:ser>
          <c:idx val="0"/>
          <c:order val="0"/>
          <c:tx>
            <c:strRef>
              <c:f>'Makroekonomski indikatori'!$C$21</c:f>
              <c:strCache>
                <c:ptCount val="1"/>
                <c:pt idx="0">
                  <c:v>CPI-godišnje stope rasta</c:v>
                </c:pt>
              </c:strCache>
            </c:strRef>
          </c:tx>
          <c:spPr>
            <a:ln w="28575">
              <a:solidFill>
                <a:srgbClr val="0000FF"/>
              </a:solidFill>
              <a:prstDash val="sysDot"/>
            </a:ln>
          </c:spPr>
          <c:marker>
            <c:symbol val="none"/>
          </c:marker>
          <c:cat>
            <c:strRef>
              <c:f>'Makroekonomski indikatori'!$AI$30:$AV$30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2014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indikatori'!$AI$21:$AV$21</c:f>
              <c:numCache>
                <c:formatCode>0.0</c:formatCode>
                <c:ptCount val="13"/>
                <c:pt idx="0">
                  <c:v>2.2000000000000002</c:v>
                </c:pt>
                <c:pt idx="1">
                  <c:v>1.8</c:v>
                </c:pt>
                <c:pt idx="2">
                  <c:v>0.5</c:v>
                </c:pt>
                <c:pt idx="3">
                  <c:v>0</c:v>
                </c:pt>
                <c:pt idx="4">
                  <c:v>0.30000000000000032</c:v>
                </c:pt>
                <c:pt idx="5" formatCode="General">
                  <c:v>-0.4</c:v>
                </c:pt>
                <c:pt idx="6" formatCode="General">
                  <c:v>-0.60000000000000064</c:v>
                </c:pt>
                <c:pt idx="7" formatCode="General">
                  <c:v>-0.9</c:v>
                </c:pt>
                <c:pt idx="8" formatCode="General">
                  <c:v>-1.4</c:v>
                </c:pt>
                <c:pt idx="9" formatCode="General">
                  <c:v>-1.3</c:v>
                </c:pt>
                <c:pt idx="10" formatCode="General">
                  <c:v>-0.1</c:v>
                </c:pt>
                <c:pt idx="11" formatCode="General">
                  <c:v>-1.2</c:v>
                </c:pt>
                <c:pt idx="12" formatCode="General">
                  <c:v>-1.1000000000000001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indikatori'!$C$23</c:f>
              <c:strCache>
                <c:ptCount val="1"/>
                <c:pt idx="0">
                  <c:v>HICP-godišnje stope rasta</c:v>
                </c:pt>
              </c:strCache>
            </c:strRef>
          </c:tx>
          <c:spPr>
            <a:ln w="28575">
              <a:solidFill>
                <a:srgbClr val="CC0099"/>
              </a:solidFill>
            </a:ln>
          </c:spPr>
          <c:marker>
            <c:symbol val="none"/>
          </c:marker>
          <c:cat>
            <c:strRef>
              <c:f>'Makroekonomski indikatori'!$AI$30:$AV$30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2014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indikatori'!$AI$23:$AV$23</c:f>
              <c:numCache>
                <c:formatCode>#,##0.0</c:formatCode>
                <c:ptCount val="13"/>
                <c:pt idx="0">
                  <c:v>1.7000000000000002</c:v>
                </c:pt>
                <c:pt idx="1">
                  <c:v>1.5</c:v>
                </c:pt>
                <c:pt idx="2">
                  <c:v>0.30000000000000032</c:v>
                </c:pt>
                <c:pt idx="3">
                  <c:v>0</c:v>
                </c:pt>
                <c:pt idx="4">
                  <c:v>0.4</c:v>
                </c:pt>
                <c:pt idx="5" formatCode="General">
                  <c:v>0.1</c:v>
                </c:pt>
                <c:pt idx="6" formatCode="0.0">
                  <c:v>0</c:v>
                </c:pt>
                <c:pt idx="7" formatCode="General">
                  <c:v>-0.4</c:v>
                </c:pt>
                <c:pt idx="8" formatCode="General">
                  <c:v>-0.8</c:v>
                </c:pt>
                <c:pt idx="9" formatCode="General">
                  <c:v>-0.70000000000000062</c:v>
                </c:pt>
                <c:pt idx="10" formatCode="General">
                  <c:v>0.2</c:v>
                </c:pt>
                <c:pt idx="11" formatCode="General">
                  <c:v>-0.9</c:v>
                </c:pt>
                <c:pt idx="12" formatCode="General">
                  <c:v>-0.70000000000000062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'Makroekonomski indikatori'!$C$26</c:f>
              <c:strCache>
                <c:ptCount val="1"/>
                <c:pt idx="0">
                  <c:v>Proizvođačke cijene-godišnje stope rasta</c:v>
                </c:pt>
              </c:strCache>
            </c:strRef>
          </c:tx>
          <c:spPr>
            <a:ln w="28575">
              <a:solidFill>
                <a:srgbClr val="33CC33"/>
              </a:solidFill>
              <a:prstDash val="dash"/>
            </a:ln>
          </c:spPr>
          <c:marker>
            <c:symbol val="none"/>
          </c:marker>
          <c:cat>
            <c:strRef>
              <c:f>'Makroekonomski indikatori'!$AI$30:$AV$30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2014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indikatori'!$AI$26:$AV$26</c:f>
              <c:numCache>
                <c:formatCode>0.0</c:formatCode>
                <c:ptCount val="13"/>
                <c:pt idx="0">
                  <c:v>-2</c:v>
                </c:pt>
                <c:pt idx="1">
                  <c:v>-0.4</c:v>
                </c:pt>
                <c:pt idx="2">
                  <c:v>-0.9</c:v>
                </c:pt>
                <c:pt idx="3">
                  <c:v>-1.1000000000000001</c:v>
                </c:pt>
                <c:pt idx="4">
                  <c:v>-0.60000000000000064</c:v>
                </c:pt>
                <c:pt idx="5" formatCode="General">
                  <c:v>-1.3</c:v>
                </c:pt>
                <c:pt idx="6" formatCode="General">
                  <c:v>-1.2</c:v>
                </c:pt>
                <c:pt idx="7" formatCode="General">
                  <c:v>-0.30000000000000032</c:v>
                </c:pt>
                <c:pt idx="8" formatCode="General">
                  <c:v>-0.2</c:v>
                </c:pt>
                <c:pt idx="9" formatCode="General">
                  <c:v>-0.1</c:v>
                </c:pt>
                <c:pt idx="10" formatCode="General">
                  <c:v>0</c:v>
                </c:pt>
                <c:pt idx="11" formatCode="General">
                  <c:v>0.1</c:v>
                </c:pt>
                <c:pt idx="12">
                  <c:v>1</c:v>
                </c:pt>
              </c:numCache>
            </c:numRef>
          </c:val>
          <c:smooth val="1"/>
        </c:ser>
        <c:marker val="1"/>
        <c:axId val="98435072"/>
        <c:axId val="98436608"/>
      </c:lineChart>
      <c:catAx>
        <c:axId val="98435072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98436608"/>
        <c:crosses val="autoZero"/>
        <c:auto val="1"/>
        <c:lblAlgn val="ctr"/>
        <c:lblOffset val="100"/>
      </c:catAx>
      <c:valAx>
        <c:axId val="98436608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8435072"/>
        <c:crosses val="autoZero"/>
        <c:crossBetween val="between"/>
        <c:majorUnit val="1"/>
      </c:valAx>
    </c:plotArea>
    <c:legend>
      <c:legendPos val="b"/>
      <c:txPr>
        <a:bodyPr/>
        <a:lstStyle/>
        <a:p>
          <a:pPr>
            <a:defRPr lang="sr-Latn-C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9292362758881837"/>
          <c:y val="8.2644493647924713E-2"/>
          <c:w val="0.63685639585708476"/>
          <c:h val="0.70512943570188724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indikatori'!$AI$9:$AV$9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2014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indikatori'!$AI$21:$AV$21</c:f>
              <c:numCache>
                <c:formatCode>#,##0</c:formatCode>
                <c:ptCount val="13"/>
                <c:pt idx="0">
                  <c:v>176588</c:v>
                </c:pt>
                <c:pt idx="1">
                  <c:v>169044</c:v>
                </c:pt>
                <c:pt idx="2">
                  <c:v>169044</c:v>
                </c:pt>
                <c:pt idx="3">
                  <c:v>167607</c:v>
                </c:pt>
                <c:pt idx="4">
                  <c:v>167173</c:v>
                </c:pt>
                <c:pt idx="5">
                  <c:v>167616</c:v>
                </c:pt>
                <c:pt idx="6">
                  <c:v>168805</c:v>
                </c:pt>
                <c:pt idx="7">
                  <c:v>170177</c:v>
                </c:pt>
                <c:pt idx="8">
                  <c:v>172202</c:v>
                </c:pt>
                <c:pt idx="9">
                  <c:v>174917</c:v>
                </c:pt>
                <c:pt idx="10">
                  <c:v>179774</c:v>
                </c:pt>
                <c:pt idx="11">
                  <c:v>181408</c:v>
                </c:pt>
                <c:pt idx="12">
                  <c:v>178558</c:v>
                </c:pt>
              </c:numCache>
            </c:numRef>
          </c:val>
        </c:ser>
        <c:marker val="1"/>
        <c:axId val="98577408"/>
        <c:axId val="98591488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indikatori'!$AI$9:$AV$9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2014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indikatori'!$AI$22:$AV$22</c:f>
              <c:numCache>
                <c:formatCode>#,##0</c:formatCode>
                <c:ptCount val="13"/>
                <c:pt idx="0">
                  <c:v>30947</c:v>
                </c:pt>
                <c:pt idx="1">
                  <c:v>33271</c:v>
                </c:pt>
                <c:pt idx="2">
                  <c:v>33271</c:v>
                </c:pt>
                <c:pt idx="3">
                  <c:v>34680</c:v>
                </c:pt>
                <c:pt idx="4">
                  <c:v>34514</c:v>
                </c:pt>
                <c:pt idx="5">
                  <c:v>34804</c:v>
                </c:pt>
                <c:pt idx="6">
                  <c:v>34664</c:v>
                </c:pt>
                <c:pt idx="7">
                  <c:v>34671</c:v>
                </c:pt>
                <c:pt idx="8">
                  <c:v>33906</c:v>
                </c:pt>
                <c:pt idx="9">
                  <c:v>32763</c:v>
                </c:pt>
                <c:pt idx="10">
                  <c:v>31570</c:v>
                </c:pt>
                <c:pt idx="11">
                  <c:v>31115</c:v>
                </c:pt>
                <c:pt idx="12">
                  <c:v>31163</c:v>
                </c:pt>
              </c:numCache>
            </c:numRef>
          </c:val>
        </c:ser>
        <c:marker val="1"/>
        <c:axId val="98603776"/>
        <c:axId val="98593408"/>
      </c:lineChart>
      <c:catAx>
        <c:axId val="9857740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8591488"/>
        <c:crosses val="autoZero"/>
        <c:auto val="1"/>
        <c:lblAlgn val="ctr"/>
        <c:lblOffset val="100"/>
      </c:catAx>
      <c:valAx>
        <c:axId val="98591488"/>
        <c:scaling>
          <c:orientation val="minMax"/>
          <c:min val="164000"/>
        </c:scaling>
        <c:axPos val="l"/>
        <c:majorGridlines>
          <c:spPr>
            <a:ln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8577408"/>
        <c:crosses val="autoZero"/>
        <c:crossBetween val="between"/>
        <c:dispUnits>
          <c:builtInUnit val="thousands"/>
        </c:dispUnits>
      </c:valAx>
      <c:valAx>
        <c:axId val="98593408"/>
        <c:scaling>
          <c:orientation val="maxMin"/>
          <c:max val="35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8603776"/>
        <c:crosses val="max"/>
        <c:crossBetween val="between"/>
        <c:dispUnits>
          <c:builtInUnit val="thousands"/>
        </c:dispUnits>
      </c:valAx>
      <c:catAx>
        <c:axId val="98603776"/>
        <c:scaling>
          <c:orientation val="minMax"/>
        </c:scaling>
        <c:delete val="1"/>
        <c:axPos val="t"/>
        <c:tickLblPos val="none"/>
        <c:crossAx val="9859340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523877646207472"/>
          <c:y val="4.1424676898629414E-2"/>
          <c:w val="0.64460499846746466"/>
          <c:h val="0.71881996927188663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 (4)'!$BG$30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cat>
            <c:strRef>
              <c:f>'\Users\stanko.jeknic\Desktop\MMI 8\[mmi 2014-08-1.xlsx]Fiskalni indikatori (3)'!$CD$6:$CN$6</c:f>
              <c:strCache>
                <c:ptCount val="11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</c:strCache>
            </c:strRef>
          </c:cat>
          <c:val>
            <c:numRef>
              <c:f>'Fiskalni indikatori (4)'!$CL$20:$CX$20</c:f>
              <c:numCache>
                <c:formatCode>0.00,,</c:formatCode>
                <c:ptCount val="13"/>
                <c:pt idx="0">
                  <c:v>-37817120.375714526</c:v>
                </c:pt>
                <c:pt idx="1">
                  <c:v>-16221972.00090231</c:v>
                </c:pt>
                <c:pt idx="2">
                  <c:v>-2657604.3090550057</c:v>
                </c:pt>
                <c:pt idx="3">
                  <c:v>17862496.387521476</c:v>
                </c:pt>
                <c:pt idx="4">
                  <c:v>-2710356.1671831482</c:v>
                </c:pt>
                <c:pt idx="5">
                  <c:v>-7703230.0812701583</c:v>
                </c:pt>
                <c:pt idx="6">
                  <c:v>-23541980.639999989</c:v>
                </c:pt>
                <c:pt idx="7">
                  <c:v>-6801498.5899999607</c:v>
                </c:pt>
                <c:pt idx="8">
                  <c:v>-15174581.920000017</c:v>
                </c:pt>
                <c:pt idx="9">
                  <c:v>-13245329.880000032</c:v>
                </c:pt>
                <c:pt idx="10">
                  <c:v>413809.78000000125</c:v>
                </c:pt>
                <c:pt idx="11">
                  <c:v>-3015817.3300000667</c:v>
                </c:pt>
                <c:pt idx="12">
                  <c:v>13388115.429999935</c:v>
                </c:pt>
              </c:numCache>
            </c:numRef>
          </c:val>
        </c:ser>
        <c:axId val="99879936"/>
        <c:axId val="99878400"/>
      </c:barChart>
      <c:lineChart>
        <c:grouping val="standard"/>
        <c:ser>
          <c:idx val="0"/>
          <c:order val="0"/>
          <c:tx>
            <c:strRef>
              <c:f>'Fiskalni indikatori (4)'!$BG$29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diamond"/>
            <c:size val="4"/>
            <c:spPr>
              <a:solidFill>
                <a:schemeClr val="tx2">
                  <a:lumMod val="75000"/>
                </a:schemeClr>
              </a:solidFill>
              <a:ln cap="flat">
                <a:solidFill>
                  <a:sysClr val="windowText" lastClr="000000"/>
                </a:solidFill>
                <a:round/>
              </a:ln>
            </c:spPr>
          </c:marker>
          <c:cat>
            <c:strRef>
              <c:f>'Fiskalni indikatori (4)'!$CM$6:$CY$6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'Fiskalni indikatori (4)'!$CM$13:$CY$13</c:f>
              <c:numCache>
                <c:formatCode>0.00,,</c:formatCode>
                <c:ptCount val="13"/>
                <c:pt idx="0">
                  <c:v>141275399.6509023</c:v>
                </c:pt>
                <c:pt idx="1">
                  <c:v>118999622.08905503</c:v>
                </c:pt>
                <c:pt idx="2">
                  <c:v>99421131.212479472</c:v>
                </c:pt>
                <c:pt idx="3">
                  <c:v>98492109.327183142</c:v>
                </c:pt>
                <c:pt idx="4">
                  <c:v>150132599.31127</c:v>
                </c:pt>
                <c:pt idx="5">
                  <c:v>94324014.019999981</c:v>
                </c:pt>
                <c:pt idx="6">
                  <c:v>88934834.459999964</c:v>
                </c:pt>
                <c:pt idx="7">
                  <c:v>115882745.85000001</c:v>
                </c:pt>
                <c:pt idx="8">
                  <c:v>122329978.45999999</c:v>
                </c:pt>
                <c:pt idx="9">
                  <c:v>101783889</c:v>
                </c:pt>
                <c:pt idx="10">
                  <c:v>112862638.75000007</c:v>
                </c:pt>
                <c:pt idx="11">
                  <c:v>107268825.28000003</c:v>
                </c:pt>
                <c:pt idx="12">
                  <c:v>108040397.42999998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 (4)'!$BG$28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 (4)'!$CM$6:$CY$6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'Fiskalni indikatori (4)'!$CM$7:$CY$7</c:f>
              <c:numCache>
                <c:formatCode>0.00,,</c:formatCode>
                <c:ptCount val="13"/>
                <c:pt idx="0">
                  <c:v>125053427.64999999</c:v>
                </c:pt>
                <c:pt idx="1">
                  <c:v>116342017.78000002</c:v>
                </c:pt>
                <c:pt idx="2">
                  <c:v>117283627.60000001</c:v>
                </c:pt>
                <c:pt idx="3">
                  <c:v>95781753.159999892</c:v>
                </c:pt>
                <c:pt idx="4">
                  <c:v>142429369.22999999</c:v>
                </c:pt>
                <c:pt idx="5">
                  <c:v>70782033.379999891</c:v>
                </c:pt>
                <c:pt idx="6">
                  <c:v>82133335.86999999</c:v>
                </c:pt>
                <c:pt idx="7">
                  <c:v>100708163.93000002</c:v>
                </c:pt>
                <c:pt idx="8">
                  <c:v>109084648.57999997</c:v>
                </c:pt>
                <c:pt idx="9">
                  <c:v>102197698.78</c:v>
                </c:pt>
                <c:pt idx="10">
                  <c:v>109931818.73999999</c:v>
                </c:pt>
                <c:pt idx="11">
                  <c:v>120674612.23999998</c:v>
                </c:pt>
                <c:pt idx="12">
                  <c:v>126556433.90000002</c:v>
                </c:pt>
              </c:numCache>
            </c:numRef>
          </c:val>
          <c:smooth val="1"/>
        </c:ser>
        <c:marker val="1"/>
        <c:axId val="99281152"/>
        <c:axId val="99876864"/>
      </c:lineChart>
      <c:dateAx>
        <c:axId val="99281152"/>
        <c:scaling>
          <c:orientation val="minMax"/>
        </c:scaling>
        <c:axPos val="b"/>
        <c:numFmt formatCode="#,##0.00" sourceLinked="0"/>
        <c:tickLblPos val="nextTo"/>
        <c:txPr>
          <a:bodyPr/>
          <a:lstStyle/>
          <a:p>
            <a:pPr>
              <a:defRPr lang="sr-Latn-CS" sz="650" baseline="0"/>
            </a:pPr>
            <a:endParaRPr lang="en-US"/>
          </a:p>
        </c:txPr>
        <c:crossAx val="99876864"/>
        <c:crosses val="autoZero"/>
        <c:lblOffset val="100"/>
        <c:baseTimeUnit val="days"/>
      </c:dateAx>
      <c:valAx>
        <c:axId val="99876864"/>
        <c:scaling>
          <c:orientation val="minMax"/>
        </c:scaling>
        <c:axPos val="l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99281152"/>
        <c:crosses val="autoZero"/>
        <c:crossBetween val="between"/>
      </c:valAx>
      <c:valAx>
        <c:axId val="99878400"/>
        <c:scaling>
          <c:orientation val="minMax"/>
          <c:max val="130000000"/>
          <c:min val="-5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99879936"/>
        <c:crosses val="max"/>
        <c:crossBetween val="between"/>
        <c:majorUnit val="20000000"/>
      </c:valAx>
      <c:catAx>
        <c:axId val="99879936"/>
        <c:scaling>
          <c:orientation val="minMax"/>
        </c:scaling>
        <c:delete val="1"/>
        <c:axPos val="b"/>
        <c:numFmt formatCode="General" sourceLinked="1"/>
        <c:tickLblPos val="none"/>
        <c:crossAx val="99878400"/>
        <c:crosses val="autoZero"/>
        <c:auto val="1"/>
        <c:lblAlgn val="ctr"/>
        <c:lblOffset val="10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1036177031350089"/>
          <c:y val="0.90727313557946498"/>
          <c:w val="0.85875831653178591"/>
          <c:h val="8.707929498767096E-2"/>
        </c:manualLayout>
      </c:layout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</c:chart>
  <c:spPr>
    <a:ln w="6350">
      <a:noFill/>
      <a:prstDash val="sysDot"/>
    </a:ln>
  </c:spPr>
  <c:txPr>
    <a:bodyPr/>
    <a:lstStyle/>
    <a:p>
      <a:pPr>
        <a:defRPr sz="700" baseline="0"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x-none" sz="1000"/>
              <a:t>U</a:t>
            </a:r>
            <a:r>
              <a:rPr lang="en-US" sz="1000"/>
              <a:t>kupni krediti po sektorima,</a:t>
            </a:r>
            <a:r>
              <a:rPr lang="x-none" sz="1000"/>
              <a:t>u </a:t>
            </a:r>
            <a:r>
              <a:rPr lang="en-US" sz="1000"/>
              <a:t>%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lang="sr-Latn-CS"/>
                </a:pPr>
                <a:endParaRPr lang="en-US"/>
              </a:p>
            </c:txPr>
            <c:showVal val="1"/>
            <c:showLeaderLines val="1"/>
          </c:dLbls>
          <c:cat>
            <c:strRef>
              <c:f>Sheet1!$D$9:$D$13</c:f>
              <c:strCache>
                <c:ptCount val="5"/>
                <c:pt idx="0">
                  <c:v>nef.instit.</c:v>
                </c:pt>
                <c:pt idx="1">
                  <c:v>fiz.lica</c:v>
                </c:pt>
                <c:pt idx="2">
                  <c:v>fin.instit.</c:v>
                </c:pt>
                <c:pt idx="3">
                  <c:v>opšta Vl.</c:v>
                </c:pt>
                <c:pt idx="4">
                  <c:v>ostalo</c:v>
                </c:pt>
              </c:strCache>
            </c:strRef>
          </c:cat>
          <c:val>
            <c:numRef>
              <c:f>Sheet1!$E$9:$E$13</c:f>
              <c:numCache>
                <c:formatCode>0.0%</c:formatCode>
                <c:ptCount val="5"/>
                <c:pt idx="0">
                  <c:v>0.40100000000000002</c:v>
                </c:pt>
                <c:pt idx="1">
                  <c:v>0.36400000000000032</c:v>
                </c:pt>
                <c:pt idx="2">
                  <c:v>0.17800000000000021</c:v>
                </c:pt>
                <c:pt idx="3">
                  <c:v>5.4000000000000034E-2</c:v>
                </c:pt>
                <c:pt idx="4">
                  <c:v>3.0000000000000092E-3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8.1962081128747699E-2"/>
          <c:y val="0.80980595766140873"/>
          <c:w val="0.91447045855379416"/>
          <c:h val="0.12614746300817201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800"/>
            </a:pPr>
            <a:r>
              <a:rPr lang="en-US" sz="800"/>
              <a:t>            IZVOZ</a:t>
            </a:r>
            <a:r>
              <a:rPr lang="en-US" sz="800" baseline="0"/>
              <a:t> </a:t>
            </a:r>
            <a:r>
              <a:rPr lang="sr-Latn-CS" sz="800" baseline="0"/>
              <a:t> MESA  I  PRERADA OD MESA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0.27193717948717949"/>
          <c:y val="0.26469711538461538"/>
          <c:w val="0.66836196581196217"/>
          <c:h val="0.55735363247863523"/>
        </c:manualLayout>
      </c:layout>
      <c:lineChart>
        <c:grouping val="stacked"/>
        <c:ser>
          <c:idx val="0"/>
          <c:order val="0"/>
          <c:tx>
            <c:strRef>
              <c:f>Sheet1!$C$5</c:f>
              <c:strCache>
                <c:ptCount val="1"/>
                <c:pt idx="0">
                  <c:v>januar-avgust 2013</c:v>
                </c:pt>
              </c:strCache>
            </c:strRef>
          </c:tx>
          <c:marker>
            <c:symbol val="none"/>
          </c:marker>
          <c:cat>
            <c:strRef>
              <c:f>Sheet1!$D$8:$K$8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Sheet1!$D$9:$K$9</c:f>
              <c:numCache>
                <c:formatCode>#,##0.00</c:formatCode>
                <c:ptCount val="8"/>
                <c:pt idx="0">
                  <c:v>0.41100000000000031</c:v>
                </c:pt>
                <c:pt idx="1">
                  <c:v>0.46900000000000008</c:v>
                </c:pt>
                <c:pt idx="2">
                  <c:v>0.48200000000000032</c:v>
                </c:pt>
                <c:pt idx="3">
                  <c:v>0.71900000000000064</c:v>
                </c:pt>
                <c:pt idx="4">
                  <c:v>0.42100000000000032</c:v>
                </c:pt>
                <c:pt idx="5">
                  <c:v>0.58799999999999997</c:v>
                </c:pt>
                <c:pt idx="6">
                  <c:v>0.76200000000000234</c:v>
                </c:pt>
                <c:pt idx="7">
                  <c:v>0.77600000000000269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januar - avgust 2014</c:v>
                </c:pt>
              </c:strCache>
            </c:strRef>
          </c:tx>
          <c:marker>
            <c:symbol val="none"/>
          </c:marker>
          <c:cat>
            <c:strRef>
              <c:f>Sheet1!$D$8:$K$8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Sheet1!$D$10:$K$10</c:f>
              <c:numCache>
                <c:formatCode>#,##0.00</c:formatCode>
                <c:ptCount val="8"/>
                <c:pt idx="0">
                  <c:v>0.501</c:v>
                </c:pt>
                <c:pt idx="1">
                  <c:v>0.64300000000000235</c:v>
                </c:pt>
                <c:pt idx="2">
                  <c:v>0.64500000000000235</c:v>
                </c:pt>
                <c:pt idx="3">
                  <c:v>0.90400000000000003</c:v>
                </c:pt>
                <c:pt idx="4">
                  <c:v>3.7440000000000002</c:v>
                </c:pt>
                <c:pt idx="5">
                  <c:v>6.75</c:v>
                </c:pt>
                <c:pt idx="6">
                  <c:v>8.5260000000000016</c:v>
                </c:pt>
                <c:pt idx="7">
                  <c:v>5.8629999999999827</c:v>
                </c:pt>
              </c:numCache>
            </c:numRef>
          </c:val>
          <c:smooth val="1"/>
        </c:ser>
        <c:marker val="1"/>
        <c:axId val="99935744"/>
        <c:axId val="99937280"/>
      </c:lineChart>
      <c:catAx>
        <c:axId val="999357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9937280"/>
        <c:crosses val="autoZero"/>
        <c:auto val="1"/>
        <c:lblAlgn val="ctr"/>
        <c:lblOffset val="100"/>
        <c:tickMarkSkip val="1"/>
      </c:catAx>
      <c:valAx>
        <c:axId val="999372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sr-Latn-CS" sz="700"/>
                </a:pPr>
                <a:r>
                  <a:rPr lang="en-US" sz="700"/>
                  <a:t>u mil.eura</a:t>
                </a:r>
              </a:p>
            </c:rich>
          </c:tx>
        </c:title>
        <c:numFmt formatCode="#,##0.00" sourceLinked="1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9935744"/>
        <c:crosses val="autoZero"/>
        <c:crossBetween val="between"/>
      </c:valAx>
      <c:spPr>
        <a:ln>
          <a:noFill/>
        </a:ln>
      </c:spPr>
    </c:plotArea>
    <c:legend>
      <c:legendPos val="t"/>
      <c:legendEntry>
        <c:idx val="0"/>
        <c:txPr>
          <a:bodyPr/>
          <a:lstStyle/>
          <a:p>
            <a:pPr>
              <a:defRPr sz="800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800"/>
            </a:pPr>
            <a:endParaRPr lang="en-US"/>
          </a:p>
        </c:txPr>
      </c:legendEntry>
      <c:layout>
        <c:manualLayout>
          <c:xMode val="edge"/>
          <c:yMode val="edge"/>
          <c:x val="0.05"/>
          <c:y val="0.12052136752136751"/>
          <c:w val="0.9"/>
          <c:h val="0.13739155982905982"/>
        </c:manualLayout>
      </c:layout>
      <c:txPr>
        <a:bodyPr/>
        <a:lstStyle/>
        <a:p>
          <a:pPr>
            <a:defRPr lang="sr-Latn-CS" sz="600"/>
          </a:pPr>
          <a:endParaRPr lang="en-US"/>
        </a:p>
      </c:txPr>
    </c:legend>
    <c:plotVisOnly val="1"/>
    <c:dispBlanksAs val="zero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0.15807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132" y="107545"/>
          <a:ext cx="397170" cy="183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0.21221</cdr:x>
      <cdr:y>0.62954</cdr:y>
    </cdr:from>
    <cdr:to>
      <cdr:x>0.78478</cdr:x>
      <cdr:y>0.78395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21419" y="1160890"/>
          <a:ext cx="1137035" cy="284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</a:t>
          </a:r>
          <a:r>
            <a:rPr lang="sr-Latn-CS" sz="800" baseline="0"/>
            <a:t>nezaposlenih</a:t>
          </a:r>
          <a:endParaRPr lang="sr-Latn-C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5FFE6-A1DE-4AE3-836F-277A46DA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stanko.jeknic</cp:lastModifiedBy>
  <cp:revision>6</cp:revision>
  <cp:lastPrinted>2014-10-07T07:42:00Z</cp:lastPrinted>
  <dcterms:created xsi:type="dcterms:W3CDTF">2014-10-07T08:15:00Z</dcterms:created>
  <dcterms:modified xsi:type="dcterms:W3CDTF">2014-10-09T08:11:00Z</dcterms:modified>
</cp:coreProperties>
</file>