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AE2" w:rsidRPr="007048A5" w:rsidRDefault="00356AE2" w:rsidP="00356AE2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365F91"/>
          <w:sz w:val="20"/>
          <w:szCs w:val="20"/>
          <w:lang w:val="sr-Latn-RS"/>
        </w:rPr>
      </w:pPr>
      <w:bookmarkStart w:id="0" w:name="_GoBack"/>
      <w:bookmarkEnd w:id="0"/>
      <w:r w:rsidRPr="007048A5">
        <w:rPr>
          <w:rFonts w:ascii="Arial" w:hAnsi="Arial" w:cs="Arial"/>
          <w:b/>
          <w:color w:val="365F91"/>
          <w:szCs w:val="24"/>
          <w:lang w:val="sr-Latn-RS"/>
        </w:rPr>
        <w:t>OBRAZAC</w:t>
      </w:r>
    </w:p>
    <w:p w:rsidR="00356AE2" w:rsidRPr="007048A5" w:rsidRDefault="00356AE2" w:rsidP="00356AE2">
      <w:pPr>
        <w:autoSpaceDE w:val="0"/>
        <w:autoSpaceDN w:val="0"/>
        <w:adjustRightInd w:val="0"/>
        <w:rPr>
          <w:rFonts w:ascii="Arial" w:hAnsi="Arial" w:cs="Arial"/>
          <w:b/>
          <w:color w:val="365F91"/>
          <w:sz w:val="20"/>
          <w:szCs w:val="20"/>
          <w:lang w:val="sr-Latn-RS"/>
        </w:rPr>
      </w:pPr>
    </w:p>
    <w:p w:rsidR="00356AE2" w:rsidRPr="007048A5" w:rsidRDefault="00356AE2" w:rsidP="00356AE2">
      <w:pPr>
        <w:autoSpaceDE w:val="0"/>
        <w:autoSpaceDN w:val="0"/>
        <w:adjustRightInd w:val="0"/>
        <w:rPr>
          <w:rFonts w:ascii="Arial" w:hAnsi="Arial" w:cs="Arial"/>
          <w:b/>
          <w:color w:val="365F91"/>
          <w:sz w:val="20"/>
          <w:szCs w:val="20"/>
          <w:lang w:val="sr-Latn-RS"/>
        </w:rPr>
      </w:pPr>
    </w:p>
    <w:tbl>
      <w:tblPr>
        <w:tblW w:w="964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978"/>
        <w:gridCol w:w="5670"/>
      </w:tblGrid>
      <w:tr w:rsidR="00356AE2" w:rsidRPr="007048A5" w:rsidTr="00831F2D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356AE2" w:rsidRPr="007048A5" w:rsidRDefault="00356AE2" w:rsidP="00831F2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8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Cs w:val="24"/>
                <w:lang w:val="sr-Latn-RS"/>
              </w:rPr>
              <w:t>IZVJEŠTAJ O SPROVEDENOJ ANALIZI PROCJENE UTICAJA PROPISA</w:t>
            </w:r>
          </w:p>
        </w:tc>
      </w:tr>
      <w:tr w:rsidR="00356AE2" w:rsidRPr="007048A5" w:rsidTr="00831F2D">
        <w:tc>
          <w:tcPr>
            <w:tcW w:w="39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048A5" w:rsidRDefault="00356AE2" w:rsidP="00831F2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PREDLAGAČ PROPISA</w:t>
            </w:r>
          </w:p>
        </w:tc>
        <w:tc>
          <w:tcPr>
            <w:tcW w:w="56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048A5" w:rsidRDefault="004873E2" w:rsidP="00831F2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365F9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/>
                <w:color w:val="365F91"/>
                <w:sz w:val="20"/>
                <w:szCs w:val="20"/>
                <w:lang w:val="sr-Latn-RS"/>
              </w:rPr>
              <w:t>Ministarstvo unutrašnjih poslova</w:t>
            </w:r>
          </w:p>
        </w:tc>
      </w:tr>
      <w:tr w:rsidR="00356AE2" w:rsidRPr="007048A5" w:rsidTr="00831F2D">
        <w:tc>
          <w:tcPr>
            <w:tcW w:w="39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56AE2" w:rsidRPr="007048A5" w:rsidRDefault="00356AE2" w:rsidP="00831F2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NAZIV PROPISA</w:t>
            </w:r>
          </w:p>
        </w:tc>
        <w:tc>
          <w:tcPr>
            <w:tcW w:w="56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56AE2" w:rsidRPr="00356AE2" w:rsidRDefault="00043AE8" w:rsidP="007F472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365F9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color w:val="365F91"/>
                <w:sz w:val="20"/>
                <w:szCs w:val="20"/>
                <w:lang w:val="sr-Latn-RS"/>
              </w:rPr>
              <w:t>Nacrt Z</w:t>
            </w:r>
            <w:r w:rsidR="00356AE2" w:rsidRPr="007048A5">
              <w:rPr>
                <w:rFonts w:ascii="Arial" w:hAnsi="Arial" w:cs="Arial"/>
                <w:b/>
                <w:color w:val="365F91"/>
                <w:sz w:val="20"/>
                <w:szCs w:val="20"/>
                <w:lang w:val="sr-Latn-RS"/>
              </w:rPr>
              <w:t xml:space="preserve">akona </w:t>
            </w:r>
            <w:r w:rsidR="00573B7E">
              <w:rPr>
                <w:rFonts w:ascii="Arial" w:hAnsi="Arial" w:cs="Arial"/>
                <w:b/>
                <w:color w:val="365F91"/>
                <w:sz w:val="20"/>
                <w:szCs w:val="20"/>
                <w:lang w:val="sr-Latn-RS"/>
              </w:rPr>
              <w:t xml:space="preserve">o </w:t>
            </w:r>
            <w:r w:rsidR="007F472B">
              <w:rPr>
                <w:rFonts w:ascii="Arial" w:hAnsi="Arial" w:cs="Arial"/>
                <w:b/>
                <w:color w:val="365F91"/>
                <w:sz w:val="20"/>
                <w:szCs w:val="20"/>
                <w:lang w:val="sr-Latn-RS"/>
              </w:rPr>
              <w:t>identifikacionom broju</w:t>
            </w:r>
          </w:p>
        </w:tc>
      </w:tr>
      <w:tr w:rsidR="00356AE2" w:rsidRPr="007048A5" w:rsidTr="00831F2D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048A5" w:rsidRDefault="00356AE2" w:rsidP="00831F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1. Definisanje problema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Koje probleme treba da riješi predloženi akt?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Koji su uzroci problema?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Koje su posljedice problema?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Koji su subjekti oštećeni, na koji način i u kojoj mjeri?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Kako bi problem evoluirao bez promjene propisa (“status quo” opcija)?</w:t>
            </w:r>
          </w:p>
        </w:tc>
      </w:tr>
      <w:tr w:rsidR="00356AE2" w:rsidRPr="007048A5" w:rsidTr="00831F2D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8B0DC0" w:rsidRDefault="004220B0" w:rsidP="008B0D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Cs w:val="0"/>
                <w:szCs w:val="24"/>
                <w:lang w:val="sr-Latn-RS"/>
              </w:rPr>
            </w:pPr>
            <w:r w:rsidRPr="004220B0">
              <w:rPr>
                <w:rFonts w:ascii="Times New Roman" w:hAnsi="Times New Roman"/>
                <w:bCs w:val="0"/>
                <w:szCs w:val="24"/>
                <w:lang w:val="sr-Latn-RS"/>
              </w:rPr>
              <w:t>Predloženim Zakonom o identifikacionom broju propisuje se uvođenje</w:t>
            </w:r>
            <w:r w:rsidR="008B0DC0">
              <w:rPr>
                <w:rFonts w:ascii="Times New Roman" w:hAnsi="Times New Roman"/>
                <w:bCs w:val="0"/>
                <w:szCs w:val="24"/>
                <w:lang w:val="sr-Latn-RS"/>
              </w:rPr>
              <w:t>, određivanje, sadržaj i koriščenje</w:t>
            </w:r>
            <w:r w:rsidRPr="004220B0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 identifikacionog broja, </w:t>
            </w:r>
            <w:r w:rsidR="008B0DC0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kao jedinstvenog identifikatora </w:t>
            </w:r>
            <w:r w:rsidR="005C2AFD">
              <w:rPr>
                <w:rFonts w:ascii="Times New Roman" w:hAnsi="Times New Roman"/>
                <w:bCs w:val="0"/>
                <w:szCs w:val="24"/>
                <w:lang w:val="sr-Latn-RS"/>
              </w:rPr>
              <w:t>svakog građanina Crne</w:t>
            </w:r>
            <w:r w:rsidR="008571F1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 Gore, a</w:t>
            </w:r>
            <w:r w:rsidR="00F15A29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 koji broj</w:t>
            </w:r>
            <w:r w:rsidR="008571F1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 ne sadrži</w:t>
            </w:r>
            <w:r w:rsidR="005C2AFD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 lične podatke</w:t>
            </w:r>
            <w:r w:rsidR="00C06BD6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. </w:t>
            </w:r>
            <w:r w:rsidR="00F15A29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Primjenom ovog propisa </w:t>
            </w:r>
            <w:r w:rsidR="00C06BD6" w:rsidRPr="00C06BD6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istovremeno </w:t>
            </w:r>
            <w:r w:rsidR="00F15A29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će </w:t>
            </w:r>
            <w:r w:rsidR="00C06BD6" w:rsidRPr="00C06BD6">
              <w:rPr>
                <w:rFonts w:ascii="Times New Roman" w:hAnsi="Times New Roman"/>
                <w:bCs w:val="0"/>
                <w:szCs w:val="24"/>
                <w:lang w:val="sr-Latn-RS"/>
              </w:rPr>
              <w:t>biti zaštićen jedinstveni matični</w:t>
            </w:r>
            <w:r w:rsidR="00C06BD6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 broj lica</w:t>
            </w:r>
            <w:r w:rsidR="008B0DC0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 koji sadrž</w:t>
            </w:r>
            <w:r w:rsidR="00F15A29">
              <w:rPr>
                <w:rFonts w:ascii="Times New Roman" w:hAnsi="Times New Roman"/>
                <w:bCs w:val="0"/>
                <w:szCs w:val="24"/>
                <w:lang w:val="sr-Latn-RS"/>
              </w:rPr>
              <w:t>i pored datuma rođenja i cifre koje označavaju pol i mjesto rođenja imaoca jedinstvenog matičnog broja</w:t>
            </w:r>
            <w:r w:rsidR="00C06BD6">
              <w:rPr>
                <w:rFonts w:ascii="Times New Roman" w:hAnsi="Times New Roman"/>
                <w:bCs w:val="0"/>
                <w:szCs w:val="24"/>
                <w:lang w:val="sr-Latn-RS"/>
              </w:rPr>
              <w:t>.</w:t>
            </w:r>
            <w:r w:rsidR="008B0DC0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 U</w:t>
            </w:r>
            <w:r w:rsidR="00F15A29">
              <w:rPr>
                <w:rFonts w:ascii="Times New Roman" w:hAnsi="Times New Roman"/>
                <w:bCs w:val="0"/>
                <w:szCs w:val="24"/>
                <w:lang w:val="sr-Latn-RS"/>
              </w:rPr>
              <w:t>vođenjem identifikacionog broja</w:t>
            </w:r>
            <w:r w:rsidR="008B0DC0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 smanjuju</w:t>
            </w:r>
            <w:r w:rsidR="006062BB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 se</w:t>
            </w:r>
            <w:r w:rsidR="006062BB" w:rsidRPr="006062BB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 administra</w:t>
            </w:r>
            <w:r w:rsidR="006062BB">
              <w:rPr>
                <w:rFonts w:ascii="Times New Roman" w:hAnsi="Times New Roman"/>
                <w:bCs w:val="0"/>
                <w:szCs w:val="24"/>
                <w:lang w:val="sr-Latn-RS"/>
              </w:rPr>
              <w:t>tivna opterećenja za građane,</w:t>
            </w:r>
            <w:r w:rsidR="00F15A29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 a</w:t>
            </w:r>
            <w:r w:rsidR="006062BB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 s</w:t>
            </w:r>
            <w:r w:rsidR="006062BB" w:rsidRPr="006062BB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 obzirom na to da </w:t>
            </w:r>
            <w:r w:rsidR="006062BB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isti omogućava </w:t>
            </w:r>
            <w:r w:rsidR="006062BB" w:rsidRPr="006062BB">
              <w:rPr>
                <w:rFonts w:ascii="Times New Roman" w:hAnsi="Times New Roman"/>
                <w:bCs w:val="0"/>
                <w:szCs w:val="24"/>
                <w:lang w:val="sr-Latn-RS"/>
              </w:rPr>
              <w:t>elektronsku identifikaciju za korišćenje ele</w:t>
            </w:r>
            <w:r w:rsidR="003E46B9">
              <w:rPr>
                <w:rFonts w:ascii="Times New Roman" w:hAnsi="Times New Roman"/>
                <w:bCs w:val="0"/>
                <w:szCs w:val="24"/>
                <w:lang w:val="sr-Latn-RS"/>
              </w:rPr>
              <w:t>ktronskih usluga, te samim tim i s</w:t>
            </w:r>
            <w:r w:rsidR="006062BB" w:rsidRPr="006062BB">
              <w:rPr>
                <w:rFonts w:ascii="Times New Roman" w:hAnsi="Times New Roman"/>
                <w:bCs w:val="0"/>
                <w:szCs w:val="24"/>
                <w:lang w:val="sr-Latn-RS"/>
              </w:rPr>
              <w:t>igurnije postupke u oblastima elektronskog poslovanja, elektronske trgovine, pl</w:t>
            </w:r>
            <w:r w:rsidR="006062BB">
              <w:rPr>
                <w:rFonts w:ascii="Times New Roman" w:hAnsi="Times New Roman"/>
                <w:bCs w:val="0"/>
                <w:szCs w:val="24"/>
                <w:lang w:val="sr-Latn-RS"/>
              </w:rPr>
              <w:t>atnih sistema, trgovine itd.</w:t>
            </w:r>
            <w:r w:rsidR="008B0DC0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 Navedeno predstavlja iskorak ka modernizaciji sistema identifikacije građana, unaprijeđenju zaštite ličnih podataka i usklađivanje sa savremenim mešunarodnim standardima. </w:t>
            </w:r>
          </w:p>
          <w:p w:rsidR="00306F9B" w:rsidRDefault="00306F9B" w:rsidP="00167311">
            <w:pPr>
              <w:autoSpaceDE w:val="0"/>
              <w:autoSpaceDN w:val="0"/>
              <w:adjustRightInd w:val="0"/>
              <w:spacing w:before="120" w:after="120"/>
              <w:ind w:left="630"/>
              <w:rPr>
                <w:rFonts w:ascii="Times New Roman" w:hAnsi="Times New Roman"/>
                <w:bCs w:val="0"/>
                <w:szCs w:val="24"/>
                <w:lang w:val="sr-Latn-RS"/>
              </w:rPr>
            </w:pPr>
            <w:r>
              <w:rPr>
                <w:rFonts w:ascii="Times New Roman" w:hAnsi="Times New Roman"/>
                <w:bCs w:val="0"/>
                <w:szCs w:val="24"/>
                <w:lang w:val="sr-Latn-RS"/>
              </w:rPr>
              <w:t>Propisivanje identifikacionog broja ovim zakonom, predstavlja ključan korak ka</w:t>
            </w:r>
            <w:r w:rsidR="008A3C1B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 unaprijeđ</w:t>
            </w:r>
            <w:r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enju pravnog okvira i efikasnijem funkcionisanju sistema identifkacije građana. Iako je identifkacioni broj do sada bio propisan Zakonom o elektronskoj identifikaciji i elektronskom potpisu, dok je način odrešivanja propisan Uredbom i načinu odrešivanja identifikacionog broja, </w:t>
            </w:r>
            <w:r w:rsidR="007015A3">
              <w:rPr>
                <w:rFonts w:ascii="Times New Roman" w:hAnsi="Times New Roman"/>
                <w:bCs w:val="0"/>
                <w:szCs w:val="24"/>
                <w:lang w:val="sr-Latn-RS"/>
              </w:rPr>
              <w:t>za punu implementaciju istog, nedostajala je regulativa u dijelu propisivanja pravnog osnova za</w:t>
            </w:r>
            <w:r w:rsidR="008A3C1B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 njegovo </w:t>
            </w:r>
            <w:r w:rsidR="007015A3">
              <w:rPr>
                <w:rFonts w:ascii="Times New Roman" w:hAnsi="Times New Roman"/>
                <w:bCs w:val="0"/>
                <w:szCs w:val="24"/>
                <w:lang w:val="sr-Latn-RS"/>
              </w:rPr>
              <w:t>korišć</w:t>
            </w:r>
            <w:r w:rsidR="008A3C1B">
              <w:rPr>
                <w:rFonts w:ascii="Times New Roman" w:hAnsi="Times New Roman"/>
                <w:bCs w:val="0"/>
                <w:szCs w:val="24"/>
                <w:lang w:val="sr-Latn-RS"/>
              </w:rPr>
              <w:t>enje</w:t>
            </w:r>
            <w:r w:rsidR="007015A3">
              <w:rPr>
                <w:rFonts w:ascii="Times New Roman" w:hAnsi="Times New Roman"/>
                <w:bCs w:val="0"/>
                <w:szCs w:val="24"/>
                <w:lang w:val="sr-Latn-RS"/>
              </w:rPr>
              <w:t>, što je predsta</w:t>
            </w:r>
            <w:r w:rsidR="008A3C1B">
              <w:rPr>
                <w:rFonts w:ascii="Times New Roman" w:hAnsi="Times New Roman"/>
                <w:bCs w:val="0"/>
                <w:szCs w:val="24"/>
                <w:lang w:val="sr-Latn-RS"/>
              </w:rPr>
              <w:t>vljalo izazove u implementaciji.</w:t>
            </w:r>
            <w:r w:rsidR="007015A3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 </w:t>
            </w:r>
          </w:p>
          <w:p w:rsidR="008B0DC0" w:rsidRPr="008B0DC0" w:rsidRDefault="008B0DC0" w:rsidP="00167311">
            <w:pPr>
              <w:autoSpaceDE w:val="0"/>
              <w:autoSpaceDN w:val="0"/>
              <w:adjustRightInd w:val="0"/>
              <w:spacing w:before="120" w:after="120"/>
              <w:ind w:left="630"/>
              <w:rPr>
                <w:rFonts w:ascii="Times New Roman" w:hAnsi="Times New Roman"/>
                <w:bCs w:val="0"/>
                <w:szCs w:val="24"/>
                <w:lang w:val="sr-Latn-RS"/>
              </w:rPr>
            </w:pPr>
            <w:r>
              <w:rPr>
                <w:rFonts w:ascii="Times New Roman" w:hAnsi="Times New Roman"/>
                <w:bCs w:val="0"/>
                <w:szCs w:val="24"/>
                <w:lang w:val="sr-Latn-RS"/>
              </w:rPr>
              <w:t>Navedenim zakonom, definisaće se i pravni osnov za kor</w:t>
            </w:r>
            <w:r w:rsidR="00167311">
              <w:rPr>
                <w:rFonts w:ascii="Times New Roman" w:hAnsi="Times New Roman"/>
                <w:bCs w:val="0"/>
                <w:szCs w:val="24"/>
                <w:lang w:val="sr-Latn-RS"/>
              </w:rPr>
              <w:t>išćenje identifikacionog broja od strane državnih organa, organa lokalne uprave kao i k</w:t>
            </w:r>
            <w:r w:rsidR="00167311" w:rsidRPr="00167311">
              <w:rPr>
                <w:rFonts w:ascii="Times New Roman" w:hAnsi="Times New Roman"/>
                <w:bCs w:val="0"/>
                <w:szCs w:val="24"/>
                <w:lang w:val="sr-Latn-RS"/>
              </w:rPr>
              <w:t>valifikovani</w:t>
            </w:r>
            <w:r w:rsidR="00167311">
              <w:rPr>
                <w:rFonts w:ascii="Times New Roman" w:hAnsi="Times New Roman"/>
                <w:bCs w:val="0"/>
                <w:szCs w:val="24"/>
                <w:lang w:val="sr-Latn-RS"/>
              </w:rPr>
              <w:t>h davaoca</w:t>
            </w:r>
            <w:r w:rsidR="00167311" w:rsidRPr="00167311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 elektronskih usluga povjerenja koji vr</w:t>
            </w:r>
            <w:r w:rsidR="00167311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še uslugu izrade kvalifikovanog </w:t>
            </w:r>
            <w:r w:rsidR="00167311" w:rsidRPr="00167311">
              <w:rPr>
                <w:rFonts w:ascii="Times New Roman" w:hAnsi="Times New Roman"/>
                <w:bCs w:val="0"/>
                <w:szCs w:val="24"/>
                <w:lang w:val="sr-Latn-RS"/>
              </w:rPr>
              <w:t>sertifi</w:t>
            </w:r>
            <w:r w:rsidR="00167311">
              <w:rPr>
                <w:rFonts w:ascii="Times New Roman" w:hAnsi="Times New Roman"/>
                <w:bCs w:val="0"/>
                <w:szCs w:val="24"/>
                <w:lang w:val="sr-Latn-RS"/>
              </w:rPr>
              <w:t>kata za elektronski potpis, te omogućiti</w:t>
            </w:r>
            <w:r w:rsidR="003E46B9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 da isti bude sastavni dio službenih evidencija</w:t>
            </w:r>
            <w:r w:rsidR="00167311" w:rsidRPr="00167311">
              <w:rPr>
                <w:rFonts w:ascii="Times New Roman" w:hAnsi="Times New Roman"/>
                <w:bCs w:val="0"/>
                <w:szCs w:val="24"/>
                <w:lang w:val="sr-Latn-RS"/>
              </w:rPr>
              <w:t>, radi povezivanja i razmje</w:t>
            </w:r>
            <w:r w:rsidR="00167311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ne podataka između elektronskih </w:t>
            </w:r>
            <w:r w:rsidR="00167311" w:rsidRPr="00167311">
              <w:rPr>
                <w:rFonts w:ascii="Times New Roman" w:hAnsi="Times New Roman"/>
                <w:bCs w:val="0"/>
                <w:szCs w:val="24"/>
                <w:lang w:val="sr-Latn-RS"/>
              </w:rPr>
              <w:t>evidencija.</w:t>
            </w:r>
            <w:r w:rsidR="003E46B9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 Navedeno doprinosi jačanju zaštite privatnosti građana, uz istovremeno očuvanje funkcionalnosti postojećeih administrativnih postupaka. Propisivanje pravnog osnova za korišćenje istog, te primjena istog olakšaće rad javne uprave, pravnih lica i privrednih subjekata</w:t>
            </w:r>
            <w:r w:rsidR="00306F9B">
              <w:rPr>
                <w:rFonts w:ascii="Times New Roman" w:hAnsi="Times New Roman"/>
                <w:bCs w:val="0"/>
                <w:szCs w:val="24"/>
                <w:lang w:val="sr-Latn-RS"/>
              </w:rPr>
              <w:t>, omogučava</w:t>
            </w:r>
            <w:r w:rsidR="00831F2D">
              <w:rPr>
                <w:rFonts w:ascii="Times New Roman" w:hAnsi="Times New Roman"/>
                <w:bCs w:val="0"/>
                <w:szCs w:val="24"/>
                <w:lang w:val="sr-Latn-RS"/>
              </w:rPr>
              <w:t>juć</w:t>
            </w:r>
            <w:r w:rsidR="00306F9B">
              <w:rPr>
                <w:rFonts w:ascii="Times New Roman" w:hAnsi="Times New Roman"/>
                <w:bCs w:val="0"/>
                <w:szCs w:val="24"/>
                <w:lang w:val="sr-Latn-RS"/>
              </w:rPr>
              <w:t>i bržu i sigurniju obradu podataka u različitim sektorima.</w:t>
            </w:r>
            <w:r w:rsidR="003E46B9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 </w:t>
            </w:r>
          </w:p>
          <w:p w:rsidR="00306F9B" w:rsidRDefault="00306F9B" w:rsidP="00831F2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Cs w:val="0"/>
                <w:szCs w:val="24"/>
                <w:lang w:val="sr-Latn-RS"/>
              </w:rPr>
            </w:pPr>
            <w:r w:rsidRPr="00306F9B">
              <w:rPr>
                <w:rFonts w:ascii="Times New Roman" w:hAnsi="Times New Roman"/>
                <w:bCs w:val="0"/>
                <w:szCs w:val="24"/>
                <w:lang w:val="sr-Latn-RS"/>
              </w:rPr>
              <w:t>Nedostatak regulative kojom se propisuje korišćenje identifikacionog broja, predstavlja</w:t>
            </w:r>
            <w:r w:rsidR="00BB3856">
              <w:rPr>
                <w:rFonts w:ascii="Times New Roman" w:hAnsi="Times New Roman"/>
                <w:bCs w:val="0"/>
                <w:szCs w:val="24"/>
                <w:lang w:val="sr-Latn-RS"/>
              </w:rPr>
              <w:t>lo je</w:t>
            </w:r>
            <w:r w:rsidRPr="00306F9B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 smetnju za punu implementaciju istog, a i</w:t>
            </w:r>
            <w:r>
              <w:rPr>
                <w:rFonts w:ascii="Times New Roman" w:hAnsi="Times New Roman"/>
                <w:bCs w:val="0"/>
                <w:szCs w:val="24"/>
                <w:lang w:val="sr-Latn-RS"/>
              </w:rPr>
              <w:t>majuć</w:t>
            </w:r>
            <w:r w:rsidRPr="00306F9B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i u vidu, da </w:t>
            </w:r>
            <w:r w:rsidR="00BB3856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navedeni identifkacioni broj nije mogao u potpunosti zaštiti postojeći jedinstveni matični broj građana, a s obzriom da </w:t>
            </w:r>
            <w:r w:rsidRPr="00306F9B">
              <w:rPr>
                <w:rFonts w:ascii="Times New Roman" w:hAnsi="Times New Roman"/>
                <w:bCs w:val="0"/>
                <w:szCs w:val="24"/>
                <w:lang w:val="sr-Latn-RS"/>
              </w:rPr>
              <w:t>je s</w:t>
            </w:r>
            <w:r w:rsidR="008B0DC0" w:rsidRPr="00306F9B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adržaj </w:t>
            </w:r>
            <w:r w:rsidR="00167FD3" w:rsidRPr="00306F9B">
              <w:rPr>
                <w:rFonts w:ascii="Times New Roman" w:hAnsi="Times New Roman"/>
                <w:bCs w:val="0"/>
                <w:szCs w:val="24"/>
                <w:lang w:val="sr-Latn-RS"/>
              </w:rPr>
              <w:t>je</w:t>
            </w:r>
            <w:r w:rsidR="008B0DC0" w:rsidRPr="00306F9B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dinstvenog matičnog broja </w:t>
            </w:r>
            <w:r w:rsidR="00167FD3" w:rsidRPr="00306F9B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koncipiran na način da isti čine između ostalog i cifre </w:t>
            </w:r>
            <w:r w:rsidR="00167FD3" w:rsidRPr="00306F9B">
              <w:rPr>
                <w:rFonts w:ascii="Times New Roman" w:hAnsi="Times New Roman"/>
                <w:bCs w:val="0"/>
                <w:szCs w:val="24"/>
                <w:lang w:val="sr-Latn-RS"/>
              </w:rPr>
              <w:lastRenderedPageBreak/>
              <w:t>koje označavaju datum i mjesto rođenja, kao i pol imaoca jedinstvenog matičnog broja, a koji podaci su lični podaci zaštićenim</w:t>
            </w:r>
            <w:r w:rsidR="00F15A29" w:rsidRPr="00306F9B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 zakonom</w:t>
            </w:r>
            <w:r w:rsidRPr="00306F9B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, </w:t>
            </w:r>
            <w:r w:rsidR="00BB3856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pa </w:t>
            </w:r>
            <w:r w:rsidRPr="00306F9B">
              <w:rPr>
                <w:rFonts w:ascii="Times New Roman" w:hAnsi="Times New Roman"/>
                <w:bCs w:val="0"/>
                <w:szCs w:val="24"/>
                <w:lang w:val="sr-Latn-RS"/>
              </w:rPr>
              <w:t>i</w:t>
            </w:r>
            <w:r w:rsidR="009A225F" w:rsidRPr="00306F9B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dentifikacija zasnovana, između ostalog </w:t>
            </w:r>
            <w:r w:rsidR="00BB3856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i </w:t>
            </w:r>
            <w:r w:rsidR="009A225F" w:rsidRPr="00306F9B">
              <w:rPr>
                <w:rFonts w:ascii="Times New Roman" w:hAnsi="Times New Roman"/>
                <w:bCs w:val="0"/>
                <w:szCs w:val="24"/>
                <w:lang w:val="sr-Latn-RS"/>
              </w:rPr>
              <w:t>na osnovu jedinstvenog matičnog broja, nosi i određene izazove u pogledu sprječavan</w:t>
            </w:r>
            <w:r w:rsidR="005A0DCA" w:rsidRPr="00306F9B">
              <w:rPr>
                <w:rFonts w:ascii="Times New Roman" w:hAnsi="Times New Roman"/>
                <w:bCs w:val="0"/>
                <w:szCs w:val="24"/>
                <w:lang w:val="sr-Latn-RS"/>
              </w:rPr>
              <w:t>ja eventualnih prevara i zloupotrebe</w:t>
            </w:r>
            <w:r w:rsidR="009A225F" w:rsidRPr="00306F9B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 podataka.</w:t>
            </w:r>
            <w:r w:rsidRPr="00306F9B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 </w:t>
            </w:r>
          </w:p>
          <w:p w:rsidR="00D3135E" w:rsidRDefault="00167FD3" w:rsidP="00831F2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Cs w:val="0"/>
                <w:szCs w:val="24"/>
                <w:lang w:val="sr-Latn-RS"/>
              </w:rPr>
            </w:pPr>
            <w:r w:rsidRPr="00306F9B">
              <w:rPr>
                <w:rFonts w:ascii="Times New Roman" w:hAnsi="Times New Roman"/>
                <w:bCs w:val="0"/>
                <w:szCs w:val="24"/>
                <w:lang w:val="sr-Latn-RS"/>
              </w:rPr>
              <w:t>P</w:t>
            </w:r>
            <w:r w:rsidR="00404143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osljedice se prevashodno odnose, kako smo i prethodno naveli, na nemogućnost pune implementacije identifikacionog broja, kao i njegove svrhe u cilju zaštite jedinstvenog matičnog broja, te nemogućnost povezivanja elektronskih registara, </w:t>
            </w:r>
            <w:r w:rsidRPr="00306F9B">
              <w:rPr>
                <w:rFonts w:ascii="Times New Roman" w:hAnsi="Times New Roman"/>
                <w:bCs w:val="0"/>
                <w:szCs w:val="24"/>
                <w:lang w:val="sr-Latn-RS"/>
              </w:rPr>
              <w:t>na nedostatak privatnosti, s obzirom na podatke koje jedinstveni matični b</w:t>
            </w:r>
            <w:r w:rsidR="008E35BF" w:rsidRPr="00306F9B">
              <w:rPr>
                <w:rFonts w:ascii="Times New Roman" w:hAnsi="Times New Roman"/>
                <w:bCs w:val="0"/>
                <w:szCs w:val="24"/>
                <w:lang w:val="sr-Latn-RS"/>
              </w:rPr>
              <w:t>roj oktriva, kao i na eventualnu</w:t>
            </w:r>
            <w:r w:rsidR="00404143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 </w:t>
            </w:r>
            <w:r w:rsidR="00F15A29" w:rsidRPr="00306F9B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mogućnost </w:t>
            </w:r>
            <w:r w:rsidR="00404143">
              <w:rPr>
                <w:rFonts w:ascii="Times New Roman" w:hAnsi="Times New Roman"/>
                <w:bCs w:val="0"/>
                <w:szCs w:val="24"/>
                <w:lang w:val="sr-Latn-RS"/>
              </w:rPr>
              <w:t>z</w:t>
            </w:r>
            <w:r w:rsidR="00F15A29" w:rsidRPr="00306F9B">
              <w:rPr>
                <w:rFonts w:ascii="Times New Roman" w:hAnsi="Times New Roman"/>
                <w:bCs w:val="0"/>
                <w:szCs w:val="24"/>
                <w:lang w:val="sr-Latn-RS"/>
              </w:rPr>
              <w:t>loupotrebe</w:t>
            </w:r>
            <w:r w:rsidRPr="00306F9B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 ličnih podataka, s obzirom da se jedistveni matični broj korist</w:t>
            </w:r>
            <w:r w:rsidR="008E35BF" w:rsidRPr="00306F9B">
              <w:rPr>
                <w:rFonts w:ascii="Times New Roman" w:hAnsi="Times New Roman"/>
                <w:bCs w:val="0"/>
                <w:szCs w:val="24"/>
                <w:lang w:val="sr-Latn-RS"/>
              </w:rPr>
              <w:t>i kao jedinstveni inditifikator i sastavni dio elektronskih registara,</w:t>
            </w:r>
            <w:r w:rsidR="00F15A29" w:rsidRPr="00306F9B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 što ga čini izloženim u odnosu na </w:t>
            </w:r>
            <w:r w:rsidR="0023674E" w:rsidRPr="00306F9B">
              <w:rPr>
                <w:rFonts w:ascii="Times New Roman" w:hAnsi="Times New Roman"/>
                <w:bCs w:val="0"/>
                <w:szCs w:val="24"/>
                <w:lang w:val="sr-Latn-RS"/>
              </w:rPr>
              <w:t>bezbjednosne rizike.</w:t>
            </w:r>
            <w:r w:rsidR="00D3135E"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 </w:t>
            </w:r>
          </w:p>
          <w:p w:rsidR="00167FD3" w:rsidRDefault="00D3135E" w:rsidP="00831F2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Cs w:val="0"/>
                <w:szCs w:val="24"/>
                <w:lang w:val="sr-Latn-RS"/>
              </w:rPr>
            </w:pPr>
            <w:r>
              <w:rPr>
                <w:rFonts w:ascii="Times New Roman" w:hAnsi="Times New Roman"/>
                <w:bCs w:val="0"/>
                <w:szCs w:val="24"/>
                <w:lang w:val="sr-Latn-RS"/>
              </w:rPr>
              <w:t xml:space="preserve">Uslijed nedostatka pravnog osnova za korišćenje identifikacionog broja, te samim tim nemogućnosti pune primjene istog, </w:t>
            </w:r>
            <w:r w:rsidR="00AE09F1">
              <w:rPr>
                <w:rFonts w:ascii="Times New Roman" w:hAnsi="Times New Roman"/>
                <w:bCs w:val="0"/>
                <w:szCs w:val="24"/>
                <w:lang w:val="sr-Latn-RS"/>
              </w:rPr>
              <w:t>institucije nijesu mogle u potpunosti implementirati identifikacioni broj. Potreba za istovremenim, odnosno paralelnim korišćenjem jedinstvenog matičnog broja, dovodi do složenijih administrativnih procedura i nemogućnosti potpune zaštite jedinstvenog matičnog broja, uslijed čega su otežane i administrativne i poslovne procedure koje zahtjevaju siguran način identifikacije.</w:t>
            </w:r>
          </w:p>
          <w:p w:rsidR="00356AE2" w:rsidRPr="00FF7CF0" w:rsidRDefault="00725C16" w:rsidP="00FF7CF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Cs w:val="0"/>
                <w:szCs w:val="24"/>
                <w:lang w:val="sr-Latn-RS"/>
              </w:rPr>
            </w:pPr>
            <w:r>
              <w:rPr>
                <w:rFonts w:ascii="Times New Roman" w:hAnsi="Times New Roman"/>
                <w:bCs w:val="0"/>
                <w:szCs w:val="24"/>
                <w:lang w:val="sr-Latn-RS"/>
              </w:rPr>
              <w:t>Opcija „status quo“ nije prihvatljiva, imajući u vidu prethodno navedene nedostatke, a koje nije moguće otkloniti, bez dono</w:t>
            </w:r>
            <w:r w:rsidR="00B14486">
              <w:rPr>
                <w:rFonts w:ascii="Times New Roman" w:hAnsi="Times New Roman"/>
                <w:bCs w:val="0"/>
                <w:szCs w:val="24"/>
                <w:lang w:val="sr-Latn-RS"/>
              </w:rPr>
              <w:t>šenja navedenog zakona.</w:t>
            </w:r>
          </w:p>
        </w:tc>
      </w:tr>
      <w:tr w:rsidR="00356AE2" w:rsidRPr="007048A5" w:rsidTr="00831F2D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048A5" w:rsidRDefault="00356AE2" w:rsidP="00831F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lastRenderedPageBreak/>
              <w:t>2. Ciljevi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Koji ciljevi se postižu predloženim propisom?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Navesti usklađenost ovih ciljeva sa postojećim strategijama ili programima Vlade, ako je primjenljivo.</w:t>
            </w:r>
          </w:p>
        </w:tc>
      </w:tr>
      <w:tr w:rsidR="00356AE2" w:rsidRPr="007048A5" w:rsidTr="00831F2D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715E61" w:rsidRDefault="00715E61" w:rsidP="007643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 xml:space="preserve">Navedenim </w:t>
            </w:r>
            <w:r w:rsidR="001B656E"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 xml:space="preserve">zakonom propisuje se </w:t>
            </w:r>
            <w:r w:rsidR="001B656E" w:rsidRPr="001B656E"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>način određivanja, dodijeljivanja, poništavanje, sadržaj kao i</w:t>
            </w:r>
            <w:r w:rsidR="001B656E"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 xml:space="preserve"> </w:t>
            </w:r>
            <w:r w:rsidR="001B656E" w:rsidRPr="001B656E"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>korišćenje i zaštita identifikacionog broja lica</w:t>
            </w:r>
            <w:r w:rsidR="001B656E"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>, odnosno između ostalog i uspostavljanje jasnog pravnog okvira za korišenje identifikacionog broja, što doprinosi jačanju pravne sigurnosti, omogućavajući državnim organima, privredi i građanima da koriste identifikacioni broj u skladu sa jasno i precizno defini</w:t>
            </w:r>
            <w:r w:rsidR="00A479D8"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>sanim zakonskim odredbama. Takođ</w:t>
            </w:r>
            <w:r w:rsidR="001B656E"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>e, ovaj način identifikacije smanjuje rizik od eventualne zloupotrebe podataka zbog korišenja jedinstvenog matičnog broja, čime i jedinstveni matični broj ostaje zaštićen. Olakšava se razmjena podataka između institucija, pojednostav</w:t>
            </w:r>
            <w:r w:rsidR="00A479D8"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>ljuju administrativne procedure</w:t>
            </w:r>
            <w:r w:rsidR="001B656E"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 xml:space="preserve"> i omogućava se da identifikacioni broj čini sastavni dio sadržaja elektronskih evidencija državnih organa, a za koje vođenje evidencija su ovlašćeni posebnim zakonima, što doprinosi boljem povezivanju registara državnih organa, te razvoju e-uprave i efikasnije</w:t>
            </w:r>
            <w:r w:rsidR="00A479D8"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>m</w:t>
            </w:r>
            <w:r w:rsidR="001B656E"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 xml:space="preserve"> pružanju usluga građanima i privredi.</w:t>
            </w:r>
          </w:p>
          <w:p w:rsidR="00A371F2" w:rsidRDefault="0076437D" w:rsidP="007643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>Donošenje ovog zakona nije predviđeno programima Vl</w:t>
            </w:r>
            <w:r w:rsidR="00A371F2"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 xml:space="preserve">ade Crne Gore. </w:t>
            </w:r>
          </w:p>
          <w:p w:rsidR="00356AE2" w:rsidRPr="00A371F2" w:rsidRDefault="00A371F2" w:rsidP="00A371F2">
            <w:pPr>
              <w:autoSpaceDE w:val="0"/>
              <w:autoSpaceDN w:val="0"/>
              <w:adjustRightInd w:val="0"/>
              <w:spacing w:before="120" w:after="120"/>
              <w:ind w:left="630"/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>Ciljevi ovog zakona u potpunosti su usklađeni sa Strategijom digitalne transformacije Crne Gore 2022-2026.</w:t>
            </w:r>
            <w:r w:rsidR="009E2623">
              <w:rPr>
                <w:rStyle w:val="FontStyle23"/>
                <w:rFonts w:ascii="Times New Roman" w:hAnsi="Times New Roman"/>
                <w:bCs/>
                <w:szCs w:val="24"/>
              </w:rPr>
              <w:t xml:space="preserve"> </w:t>
            </w:r>
          </w:p>
        </w:tc>
      </w:tr>
      <w:tr w:rsidR="00356AE2" w:rsidRPr="007048A5" w:rsidTr="00831F2D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048A5" w:rsidRDefault="00356AE2" w:rsidP="00831F2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3. Opcije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Obrazložiti preferiranu opciju?</w:t>
            </w:r>
          </w:p>
        </w:tc>
      </w:tr>
      <w:tr w:rsidR="00356AE2" w:rsidRPr="007048A5" w:rsidTr="00831F2D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E27BCA" w:rsidRPr="00CD2422" w:rsidRDefault="009E4081" w:rsidP="00CD242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E27BCA">
              <w:rPr>
                <w:rFonts w:ascii="Times New Roman" w:hAnsi="Times New Roman"/>
                <w:szCs w:val="24"/>
              </w:rPr>
              <w:lastRenderedPageBreak/>
              <w:t>“</w:t>
            </w:r>
            <w:r w:rsidR="00016C9F" w:rsidRPr="00E27BCA">
              <w:rPr>
                <w:rFonts w:ascii="Times New Roman" w:hAnsi="Times New Roman"/>
                <w:szCs w:val="24"/>
                <w:lang w:val="sr-Latn-ME"/>
              </w:rPr>
              <w:t>Status quo” opcija nije prihvatljiva</w:t>
            </w:r>
            <w:r w:rsidR="00CD2422">
              <w:rPr>
                <w:rFonts w:ascii="Times New Roman" w:hAnsi="Times New Roman"/>
                <w:szCs w:val="24"/>
                <w:lang w:val="sr-Latn-ME"/>
              </w:rPr>
              <w:t xml:space="preserve"> niti održiva opcija</w:t>
            </w:r>
            <w:r w:rsidR="00016C9F" w:rsidRPr="00E27BCA">
              <w:rPr>
                <w:rFonts w:ascii="Times New Roman" w:hAnsi="Times New Roman"/>
                <w:szCs w:val="24"/>
                <w:lang w:val="sr-Latn-ME"/>
              </w:rPr>
              <w:t>,</w:t>
            </w:r>
            <w:r w:rsidR="00E27BCA" w:rsidRPr="00E27BCA">
              <w:rPr>
                <w:rFonts w:ascii="Times New Roman" w:hAnsi="Times New Roman"/>
                <w:szCs w:val="24"/>
                <w:lang w:val="sr-Latn-ME"/>
              </w:rPr>
              <w:t xml:space="preserve"> s obzirom da je ispunjavanje ciljeva </w:t>
            </w:r>
            <w:r w:rsidR="00CD2422">
              <w:rPr>
                <w:rFonts w:ascii="Times New Roman" w:hAnsi="Times New Roman"/>
                <w:szCs w:val="24"/>
                <w:lang w:val="sr-Latn-ME"/>
              </w:rPr>
              <w:t xml:space="preserve">i rješavanje ključnog problema koji se odnosi na punu implementaciju identifkacionog broja, </w:t>
            </w:r>
            <w:r w:rsidR="00E27BCA" w:rsidRPr="00E27BCA">
              <w:rPr>
                <w:rFonts w:ascii="Times New Roman" w:hAnsi="Times New Roman"/>
                <w:szCs w:val="24"/>
                <w:lang w:val="sr-Latn-ME"/>
              </w:rPr>
              <w:t>moguće isključivo donošenjem navedenog zakona.</w:t>
            </w:r>
          </w:p>
          <w:p w:rsidR="009E4081" w:rsidRPr="00CD2422" w:rsidRDefault="00CD2422" w:rsidP="00CD242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Latn-ME"/>
              </w:rPr>
              <w:t>Preferirana opcija jeste donošenje navedenog zakona, a kako bi se stvorili preduslovi za potpunu imple</w:t>
            </w:r>
            <w:r w:rsidR="008426E4">
              <w:rPr>
                <w:rFonts w:ascii="Times New Roman" w:hAnsi="Times New Roman"/>
                <w:szCs w:val="24"/>
                <w:lang w:val="sr-Latn-ME"/>
              </w:rPr>
              <w:t>mentaciju identifikacionog broja. Ovim zakonom se uvodi jasan i pravni okvir koji omogućava zakonitu i svrsishodnu upotrebu identifikacionog broja u svim relevantnim procesima. Bez jasnog pravnog okvira, institucije su ograničene u korišćenju identifikacionog broja, što otežava razmjenu podataka izmešu organa i istu temelji isključivo na osnovu jedinstvenog matičnog broja, koji je neophodno zaštiti zbog samog sadržaja istog. Donošenjem ovog zakona uspostavlja se funkcionalan sistem identifikacije koji odgovara potrebema savremenog društva i standardima u zaštiti ličnih podataka i digitalizaciji javne uprave.</w:t>
            </w:r>
          </w:p>
        </w:tc>
      </w:tr>
      <w:tr w:rsidR="00356AE2" w:rsidRPr="007048A5" w:rsidTr="00831F2D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048A5" w:rsidRDefault="00356AE2" w:rsidP="00831F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4. Analiza uticaja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Na koga će i kako će najvjerovatnije uticati rješenja u propisu - nabrojati pozitivne i negativne uticaje, direktne i indirektne.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Koje troškove će primjena propisa izazvati građanima i privredi (naročito malim i srednjim preduzećima).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pozitivne posljedice donošenja propisa opravdavaju troškove koje će on stvoriti.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se propisom podržava stvaranje novih privrednih subjekata na tržištu i tržišna konkurencija.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Uključiti procjenu administrativnih opterećenja i biznis barijera.</w:t>
            </w:r>
          </w:p>
          <w:p w:rsidR="00356AE2" w:rsidRPr="007048A5" w:rsidRDefault="00356AE2" w:rsidP="00831F2D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</w:p>
        </w:tc>
      </w:tr>
      <w:tr w:rsidR="00356AE2" w:rsidRPr="007048A5" w:rsidTr="00831F2D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D1F31" w:rsidRDefault="003D7038" w:rsidP="00831F2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</w:pPr>
            <w:r w:rsidRPr="003D1F31"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>Predloženi Zakon o identifkacionom broju ima širok, isključivo pozitivni uti</w:t>
            </w:r>
            <w:r w:rsidR="003D1F31" w:rsidRPr="003D1F31"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>c</w:t>
            </w:r>
            <w:r w:rsidRPr="003D1F31"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>aj na veliki broj različitih sibjekat</w:t>
            </w:r>
            <w:r w:rsidR="003D1F31" w:rsidRPr="003D1F31"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>a, izmeđ</w:t>
            </w:r>
            <w:r w:rsidRPr="003D1F31"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>u ostalog i na građane, državne organe i javnu upravu, kao i privredu i pravna lica,</w:t>
            </w:r>
            <w:r w:rsidR="003D1F31" w:rsidRPr="003D1F31"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 xml:space="preserve"> doprinoseć</w:t>
            </w:r>
            <w:r w:rsidRPr="003D1F31"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>i pravnoj sigurnosti, zaštiti podataka i efikasnosti administrativnih procedura, kao i interoperabilnosti državnih organa.</w:t>
            </w:r>
            <w:r w:rsidR="003D1F31" w:rsidRPr="003D1F31"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 xml:space="preserve"> </w:t>
            </w:r>
            <w:r w:rsidRPr="003D1F31"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>Ne postoje izraže</w:t>
            </w:r>
            <w:r w:rsidR="003D1F31" w:rsidRPr="003D1F31"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>ni negativni efekti, s obziro</w:t>
            </w:r>
            <w:r w:rsidRPr="003D1F31"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 xml:space="preserve">m da zakon otklanja pravnu nesigurnost u upotrebi identifkacionog broja. </w:t>
            </w:r>
          </w:p>
          <w:p w:rsidR="003D7038" w:rsidRPr="003D1F31" w:rsidRDefault="003D7038" w:rsidP="00831F2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</w:pPr>
            <w:r w:rsidRPr="003D1F31"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>Primjena ovog propisa neće izazvati troškove građanima u privredi, naročito malim i sr</w:t>
            </w:r>
            <w:r w:rsidR="00721403"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>ednjim preduzećima.</w:t>
            </w:r>
          </w:p>
          <w:p w:rsidR="003D7038" w:rsidRPr="003D7038" w:rsidRDefault="003D7038" w:rsidP="003D70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</w:pPr>
            <w:r w:rsidRPr="003D7038"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>Nema troškova.</w:t>
            </w:r>
          </w:p>
          <w:p w:rsidR="003D7038" w:rsidRPr="003D7038" w:rsidRDefault="003D1F31" w:rsidP="003D70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>Predloženi zakon ne utiče direknto na stvaranje novih privrednih subjekata na tržištu i tržišnu konkurenciju, i</w:t>
            </w:r>
            <w:r w:rsidR="00A758FA"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>majuć</w:t>
            </w:r>
            <w:r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>i u vidu ciljeve samog zakona, međutim indirektno doprinosi pravnoj sigurnosti i efikasnijem poslovnom okruženju, omogućavajući punu digitalizaciju.</w:t>
            </w:r>
          </w:p>
          <w:p w:rsidR="003D7038" w:rsidRPr="00070E20" w:rsidRDefault="00070E20" w:rsidP="00070E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 xml:space="preserve">Predloženi zakon </w:t>
            </w:r>
            <w:r w:rsidR="003D7038" w:rsidRPr="003D7038"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>neće doves</w:t>
            </w:r>
            <w:r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>ti do stvaranja biznis barijera i isti ne proizvodi administrativna opterećenja.</w:t>
            </w:r>
          </w:p>
          <w:p w:rsidR="00202762" w:rsidRPr="00EC5A70" w:rsidRDefault="003D7038" w:rsidP="00721403">
            <w:pPr>
              <w:autoSpaceDE w:val="0"/>
              <w:autoSpaceDN w:val="0"/>
              <w:adjustRightInd w:val="0"/>
              <w:ind w:left="630"/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</w:pPr>
            <w:r w:rsidRPr="003D7038"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>Nije korišćena niti jedna metodologija prilikom obračuna finansijskih izdataka-prihoda.</w:t>
            </w:r>
          </w:p>
        </w:tc>
      </w:tr>
      <w:tr w:rsidR="00356AE2" w:rsidRPr="007048A5" w:rsidTr="00831F2D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048A5" w:rsidRDefault="00356AE2" w:rsidP="00831F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5. Procjena fiskalnog uticaja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je potrebno obezbjeđenje finansijskih sredstava iz budžeta Crne Gore za implementaciju propisa i u kom iznosu?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je obezbjeđenje finansijskih sredstava jednokratno, ili tokom određenog vremenskog perioda? Obrazložiti.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implementacijom propisa proizilaze međunarodne finansijske obaveze? Obrazložiti.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su neophodna finansijska sredstva obezbijeđena u budžetu za tekuću fiskalnu godinu, odnosno da li su planirana u budžetu za narednu fiskanu godinu?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je usvajanjem propisa predviđeno donošenje podzakonskih akata iz kojih će proisteći finansijske obaveze?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će se implementacijom propisa ostvariti prihod za budžet Crne Gore?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Obrazložiti metodologiju koja je korišćenja prilikom obračuna finansijskih izdataka/prihoda.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su postojali problemi u preciznom obračunu finansijskih izdataka/prihoda? Obrazložiti.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lastRenderedPageBreak/>
              <w:t>Da li su postojale sugestije Ministarstva finansija na nacrt/predlog propisa?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su dobijene primjedbe uključene u tekst propisa? Obrazložiti.</w:t>
            </w:r>
          </w:p>
        </w:tc>
      </w:tr>
      <w:tr w:rsidR="00356AE2" w:rsidRPr="007048A5" w:rsidTr="00831F2D">
        <w:trPr>
          <w:trHeight w:val="1897"/>
        </w:trPr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EC3718" w:rsidRDefault="00163CA0" w:rsidP="00831F2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</w:pPr>
            <w:r w:rsidRPr="00EC3718"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lastRenderedPageBreak/>
              <w:t>Za primjenu ovog zakona, nijesu potrebn</w:t>
            </w:r>
            <w:r w:rsidR="00EC3718"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>a dodatna finansijska sredstva.</w:t>
            </w:r>
          </w:p>
          <w:p w:rsidR="00163CA0" w:rsidRPr="00EC3718" w:rsidRDefault="00EC3718" w:rsidP="00831F2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>I</w:t>
            </w:r>
            <w:r w:rsidR="00163CA0" w:rsidRPr="00EC3718"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>z primjene navedenog zakona ne proizilaze međunarodne finansijske obaveze.</w:t>
            </w:r>
          </w:p>
          <w:p w:rsidR="00163CA0" w:rsidRDefault="00163CA0" w:rsidP="00163CA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</w:pPr>
            <w:r w:rsidRPr="00163CA0"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>S obzirom na pitanja koja se odnose na ostvarivanje prihoda za budžet Crne Gore, napominjemo, a kako smo već naveli, da primjena ovog zakona neće uticati na budžet Crne Gore.</w:t>
            </w:r>
          </w:p>
          <w:p w:rsidR="00EC3718" w:rsidRDefault="00EC3718" w:rsidP="00EC371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>Navedenim zakonom nije predviđeno</w:t>
            </w:r>
            <w:r w:rsidRPr="00EC3718"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 xml:space="preserve"> donošenje podzakonskih akata iz kojih bi proistekle finansijske obaveze.</w:t>
            </w:r>
          </w:p>
          <w:p w:rsidR="00EC3718" w:rsidRPr="00EC3718" w:rsidRDefault="00EC3718" w:rsidP="00EC371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</w:pPr>
            <w:r w:rsidRPr="00EC3718"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 xml:space="preserve">Implementacijom zakona ostvariće se određeni prihodi za budžet Crne Gore i to po osnovu primjene kaznenih odredbi. </w:t>
            </w:r>
          </w:p>
          <w:p w:rsidR="00356AE2" w:rsidRPr="004B11B4" w:rsidRDefault="00EC3718" w:rsidP="004B11B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>N</w:t>
            </w:r>
            <w:r w:rsidR="00163CA0" w:rsidRPr="00163CA0">
              <w:rPr>
                <w:rFonts w:ascii="Times New Roman" w:hAnsi="Times New Roman"/>
                <w:bCs w:val="0"/>
                <w:color w:val="000000" w:themeColor="text1"/>
                <w:szCs w:val="24"/>
                <w:lang w:val="sr-Latn-RS"/>
              </w:rPr>
              <w:t>ije korišćenja metodologija u cilju obračuna finansijskih izdataka/prihoda, niti je bilo sugestija od strane Ministarstva finansija na nacrt/prijedlog navedenog zakona.</w:t>
            </w:r>
          </w:p>
        </w:tc>
      </w:tr>
      <w:tr w:rsidR="00356AE2" w:rsidRPr="007048A5" w:rsidTr="00831F2D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048A5" w:rsidRDefault="00356AE2" w:rsidP="00831F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6. </w:t>
            </w:r>
            <w:r w:rsidRPr="007048A5">
              <w:rPr>
                <w:rFonts w:ascii="Arial" w:hAnsi="Arial" w:cs="Arial"/>
                <w:bCs w:val="0"/>
                <w:color w:val="365F91"/>
                <w:sz w:val="20"/>
                <w:szCs w:val="20"/>
                <w:lang w:val="sr-Latn-RS"/>
              </w:rPr>
              <w:t>K</w:t>
            </w: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onsultacije zainteresovanih strana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Naznačiti da li je korišćena eksterna ekspertska podrška i ako da, kako.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Naznačiti koje su grupe zainteresovanih strana konsultovane, u kojoj fazi RIA procesa i kako (javne ili ciljane konsultacije).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Naznačiti glavne rezultate konsultacija, i koji su predlozi i sugestije zainteresovanih strana prihvaćeni odnosno nijesu prihvaćeni. Obrazložiti.</w:t>
            </w:r>
          </w:p>
        </w:tc>
      </w:tr>
      <w:tr w:rsidR="00356AE2" w:rsidRPr="007048A5" w:rsidTr="00831F2D">
        <w:trPr>
          <w:trHeight w:val="1195"/>
        </w:trPr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785D88" w:rsidRPr="00785D88" w:rsidRDefault="00785D88" w:rsidP="00785D8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sr-Latn-ME"/>
              </w:rPr>
            </w:pPr>
            <w:r w:rsidRPr="00785D88">
              <w:rPr>
                <w:rFonts w:ascii="Times New Roman" w:hAnsi="Times New Roman"/>
                <w:szCs w:val="24"/>
                <w:lang w:val="sr-Latn-ME"/>
              </w:rPr>
              <w:t>U pripremi ovog propisa nije korišćenja eksterna ekspertska podrška.</w:t>
            </w:r>
          </w:p>
          <w:p w:rsidR="002518B8" w:rsidRPr="00446BC9" w:rsidRDefault="00785D88" w:rsidP="00785D8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szCs w:val="24"/>
              </w:rPr>
            </w:pPr>
            <w:r w:rsidRPr="00785D88">
              <w:rPr>
                <w:rFonts w:ascii="Times New Roman" w:hAnsi="Times New Roman"/>
                <w:szCs w:val="24"/>
                <w:lang w:val="sr-Latn-ME"/>
              </w:rPr>
              <w:t xml:space="preserve">Javna rasprava o tekstu Nacrta </w:t>
            </w:r>
            <w:r>
              <w:rPr>
                <w:rFonts w:ascii="Times New Roman" w:hAnsi="Times New Roman"/>
                <w:szCs w:val="24"/>
                <w:lang w:val="sr-Latn-ME"/>
              </w:rPr>
              <w:t>Zakona o identifikacionom broju će trajati 2</w:t>
            </w:r>
            <w:r w:rsidRPr="00785D88">
              <w:rPr>
                <w:rFonts w:ascii="Times New Roman" w:hAnsi="Times New Roman"/>
                <w:szCs w:val="24"/>
                <w:lang w:val="sr-Latn-ME"/>
              </w:rPr>
              <w:t xml:space="preserve">0 dana od dana objavljivanja javnog poziva na internet stranici Ministarstva </w:t>
            </w:r>
            <w:r>
              <w:rPr>
                <w:rFonts w:ascii="Times New Roman" w:hAnsi="Times New Roman"/>
                <w:szCs w:val="24"/>
                <w:lang w:val="sr-Latn-ME"/>
              </w:rPr>
              <w:t xml:space="preserve">unutrašnjih poslova </w:t>
            </w:r>
            <w:r w:rsidRPr="00785D88">
              <w:rPr>
                <w:rFonts w:ascii="Times New Roman" w:hAnsi="Times New Roman"/>
                <w:szCs w:val="24"/>
                <w:lang w:val="sr-Latn-ME"/>
              </w:rPr>
              <w:t>i portalu e-uprave, tokom koje zainteresovani subjekti mogu dostaviti svoje primjedbe, predloge i sugestije na tekst Nacrta zakona.</w:t>
            </w:r>
          </w:p>
        </w:tc>
      </w:tr>
      <w:tr w:rsidR="00356AE2" w:rsidRPr="007048A5" w:rsidTr="00831F2D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048A5" w:rsidRDefault="00356AE2" w:rsidP="00831F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7: Monitoring i evaluacija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Koje su potencijalne prepreke za implementaciju propisa? 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Koje će mjere biti preduzete tokom primjene propisa da bi se ispunili ciljevi?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Koji su glavni indikatori prema kojima će se mjeriti ispunjenje ciljeva?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 će biti zadužen za sprovođenje monitoringa i evaluacije primjene propisa?</w:t>
            </w:r>
          </w:p>
        </w:tc>
      </w:tr>
      <w:tr w:rsidR="00356AE2" w:rsidRPr="007048A5" w:rsidTr="00831F2D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33A3B" w:rsidRPr="00233A3B" w:rsidRDefault="00233A3B" w:rsidP="00233A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Cs w:val="24"/>
                <w:lang w:val="sr-Latn-BA"/>
              </w:rPr>
            </w:pPr>
            <w:r w:rsidRPr="00233A3B">
              <w:rPr>
                <w:rFonts w:ascii="Times New Roman" w:hAnsi="Times New Roman"/>
                <w:szCs w:val="24"/>
                <w:lang w:val="sr-Latn-BA"/>
              </w:rPr>
              <w:t>Ne postoje prepreke za sprovođenje ovog propisa</w:t>
            </w:r>
          </w:p>
          <w:p w:rsidR="00233A3B" w:rsidRPr="00233A3B" w:rsidRDefault="00233A3B" w:rsidP="00233A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Cs w:val="24"/>
                <w:lang w:val="sr-Latn-BA"/>
              </w:rPr>
            </w:pPr>
            <w:r w:rsidRPr="00233A3B">
              <w:rPr>
                <w:rFonts w:ascii="Times New Roman" w:hAnsi="Times New Roman"/>
                <w:szCs w:val="24"/>
                <w:lang w:val="sr-Latn-BA"/>
              </w:rPr>
              <w:t>Nije potrebno preduzimati dodatne mjere za sprovođenje ovog propisa da bi se ispunili ciljevi, a imajući u vidu s</w:t>
            </w:r>
            <w:r>
              <w:rPr>
                <w:rFonts w:ascii="Times New Roman" w:hAnsi="Times New Roman"/>
                <w:szCs w:val="24"/>
                <w:lang w:val="sr-Latn-BA"/>
              </w:rPr>
              <w:t>provođenje Uredbe o načinu određivanja identifkacionog</w:t>
            </w:r>
            <w:r w:rsidRPr="00233A3B">
              <w:rPr>
                <w:rFonts w:ascii="Times New Roman" w:hAnsi="Times New Roman"/>
                <w:szCs w:val="24"/>
                <w:lang w:val="sr-Latn-BA"/>
              </w:rPr>
              <w:t xml:space="preserve"> broja, koja je donijeta </w:t>
            </w:r>
            <w:r>
              <w:rPr>
                <w:rFonts w:ascii="Times New Roman" w:hAnsi="Times New Roman"/>
                <w:szCs w:val="24"/>
                <w:lang w:val="sr-Latn-BA"/>
              </w:rPr>
              <w:t xml:space="preserve">i primjenjuje se od </w:t>
            </w:r>
            <w:r w:rsidRPr="00233A3B">
              <w:rPr>
                <w:rFonts w:ascii="Times New Roman" w:hAnsi="Times New Roman"/>
                <w:szCs w:val="24"/>
                <w:lang w:val="sr-Latn-BA"/>
              </w:rPr>
              <w:t>2020. godine.</w:t>
            </w:r>
          </w:p>
          <w:p w:rsidR="00233A3B" w:rsidRPr="00233A3B" w:rsidRDefault="00233A3B" w:rsidP="00233A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Cs w:val="24"/>
                <w:lang w:val="sr-Latn-BA"/>
              </w:rPr>
            </w:pPr>
            <w:r w:rsidRPr="00233A3B">
              <w:rPr>
                <w:rFonts w:ascii="Times New Roman" w:hAnsi="Times New Roman"/>
                <w:szCs w:val="24"/>
                <w:lang w:val="sr-Latn-BA"/>
              </w:rPr>
              <w:t>Glavni indikatori prema kojima će se mjeriti ispunjenje ciljeva je implementacija sistema određivanja identifikacionih brojeva, broj državnih institucija koje su integrisali identifkacioni broj u svoje sisteme, odnosno uspostavljanje pravnog okvira za korišćenje identifikacionog broja.</w:t>
            </w:r>
          </w:p>
          <w:p w:rsidR="00356AE2" w:rsidRPr="00233A3B" w:rsidRDefault="00233A3B" w:rsidP="00233A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Cs w:val="24"/>
                <w:lang w:val="sr-Latn-BA"/>
              </w:rPr>
            </w:pPr>
            <w:r w:rsidRPr="00233A3B">
              <w:rPr>
                <w:rFonts w:ascii="Times New Roman" w:hAnsi="Times New Roman"/>
                <w:szCs w:val="24"/>
                <w:lang w:val="sr-Latn-BA"/>
              </w:rPr>
              <w:t>Za sprovođenje ovog propisa zaduženo je Ministarstvo unutrašnjih poslova, koje će i pratiti izvršavanje odredbi istog.</w:t>
            </w:r>
          </w:p>
        </w:tc>
      </w:tr>
      <w:tr w:rsidR="002518B8" w:rsidRPr="007048A5" w:rsidTr="00831F2D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518B8" w:rsidRDefault="002518B8" w:rsidP="00B963A0">
            <w:pPr>
              <w:ind w:left="634" w:hanging="360"/>
              <w:rPr>
                <w:rFonts w:asciiTheme="majorHAnsi" w:hAnsiTheme="majorHAnsi" w:cstheme="majorHAnsi"/>
                <w:szCs w:val="24"/>
                <w:lang w:val="sr-Latn-BA"/>
              </w:rPr>
            </w:pPr>
          </w:p>
        </w:tc>
      </w:tr>
    </w:tbl>
    <w:p w:rsidR="00356AE2" w:rsidRPr="007048A5" w:rsidRDefault="00356AE2" w:rsidP="00356AE2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365F91"/>
          <w:sz w:val="20"/>
          <w:szCs w:val="20"/>
          <w:lang w:val="sr-Latn-RS"/>
        </w:rPr>
      </w:pPr>
    </w:p>
    <w:p w:rsidR="00356AE2" w:rsidRPr="007048A5" w:rsidRDefault="00356AE2" w:rsidP="00356AE2">
      <w:pPr>
        <w:autoSpaceDE w:val="0"/>
        <w:autoSpaceDN w:val="0"/>
        <w:adjustRightInd w:val="0"/>
        <w:rPr>
          <w:rFonts w:ascii="Arial" w:hAnsi="Arial" w:cs="Arial"/>
          <w:b/>
          <w:color w:val="365F91"/>
          <w:sz w:val="20"/>
          <w:szCs w:val="20"/>
          <w:lang w:val="sr-Latn-RS"/>
        </w:rPr>
      </w:pPr>
    </w:p>
    <w:p w:rsidR="00356AE2" w:rsidRPr="007048A5" w:rsidRDefault="00356AE2" w:rsidP="00356AE2">
      <w:pPr>
        <w:rPr>
          <w:color w:val="365F91"/>
          <w:lang w:val="sr-Latn-RS"/>
        </w:rPr>
      </w:pPr>
    </w:p>
    <w:p w:rsidR="00356AE2" w:rsidRPr="009469AA" w:rsidRDefault="00356AE2" w:rsidP="009469AA">
      <w:pPr>
        <w:rPr>
          <w:rFonts w:ascii="Arial" w:hAnsi="Arial" w:cs="Arial"/>
          <w:b/>
          <w:color w:val="365F91"/>
          <w:lang w:val="sr-Latn-RS"/>
        </w:rPr>
      </w:pPr>
      <w:r>
        <w:rPr>
          <w:rFonts w:ascii="Arial" w:hAnsi="Arial" w:cs="Arial"/>
          <w:b/>
          <w:color w:val="365F91"/>
          <w:lang w:val="sr-Latn-RS"/>
        </w:rPr>
        <w:t xml:space="preserve">     </w:t>
      </w:r>
      <w:r w:rsidR="001D1C09">
        <w:rPr>
          <w:rFonts w:ascii="Arial" w:hAnsi="Arial" w:cs="Arial"/>
          <w:b/>
          <w:color w:val="365F91"/>
          <w:lang w:val="sr-Latn-RS"/>
        </w:rPr>
        <w:t xml:space="preserve">      </w:t>
      </w:r>
      <w:r w:rsidRPr="007048A5">
        <w:rPr>
          <w:rFonts w:ascii="Arial" w:hAnsi="Arial" w:cs="Arial"/>
          <w:b/>
          <w:color w:val="365F91"/>
          <w:lang w:val="sr-Latn-RS"/>
        </w:rPr>
        <w:t>Datum i mjesto</w:t>
      </w:r>
      <w:r w:rsidRPr="007048A5">
        <w:rPr>
          <w:rFonts w:ascii="Arial" w:hAnsi="Arial" w:cs="Arial"/>
          <w:b/>
          <w:color w:val="365F91"/>
          <w:lang w:val="sr-Latn-RS"/>
        </w:rPr>
        <w:tab/>
      </w:r>
      <w:r w:rsidRPr="007048A5">
        <w:rPr>
          <w:rFonts w:ascii="Arial" w:hAnsi="Arial" w:cs="Arial"/>
          <w:b/>
          <w:color w:val="365F91"/>
          <w:lang w:val="sr-Latn-RS"/>
        </w:rPr>
        <w:tab/>
      </w:r>
      <w:r w:rsidR="002518B8">
        <w:rPr>
          <w:rFonts w:ascii="Arial" w:hAnsi="Arial" w:cs="Arial"/>
          <w:b/>
          <w:color w:val="365F91"/>
          <w:lang w:val="sr-Latn-RS"/>
        </w:rPr>
        <w:tab/>
      </w:r>
      <w:r w:rsidR="002518B8">
        <w:rPr>
          <w:rFonts w:ascii="Arial" w:hAnsi="Arial" w:cs="Arial"/>
          <w:b/>
          <w:color w:val="365F91"/>
          <w:lang w:val="sr-Latn-RS"/>
        </w:rPr>
        <w:tab/>
      </w:r>
      <w:r w:rsidR="002518B8">
        <w:rPr>
          <w:rFonts w:ascii="Arial" w:hAnsi="Arial" w:cs="Arial"/>
          <w:b/>
          <w:color w:val="365F91"/>
          <w:lang w:val="sr-Latn-RS"/>
        </w:rPr>
        <w:tab/>
      </w:r>
      <w:r w:rsidR="002518B8">
        <w:rPr>
          <w:rFonts w:ascii="Arial" w:hAnsi="Arial" w:cs="Arial"/>
          <w:b/>
          <w:color w:val="365F91"/>
          <w:lang w:val="sr-Latn-RS"/>
        </w:rPr>
        <w:tab/>
        <w:t xml:space="preserve">         </w:t>
      </w:r>
      <w:r w:rsidR="00887686">
        <w:rPr>
          <w:rFonts w:ascii="Arial" w:hAnsi="Arial" w:cs="Arial"/>
          <w:b/>
          <w:color w:val="365F91"/>
          <w:lang w:val="sr-Latn-RS"/>
        </w:rPr>
        <w:t xml:space="preserve">  </w:t>
      </w:r>
      <w:r w:rsidR="002518B8">
        <w:rPr>
          <w:rFonts w:ascii="Arial" w:hAnsi="Arial" w:cs="Arial"/>
          <w:b/>
          <w:color w:val="365F91"/>
          <w:lang w:val="sr-Latn-RS"/>
        </w:rPr>
        <w:t xml:space="preserve"> </w:t>
      </w:r>
      <w:r w:rsidR="009469AA">
        <w:rPr>
          <w:rFonts w:ascii="Arial" w:hAnsi="Arial" w:cs="Arial"/>
          <w:b/>
          <w:color w:val="365F91"/>
          <w:lang w:val="sr-Latn-RS"/>
        </w:rPr>
        <w:t xml:space="preserve"> </w:t>
      </w:r>
      <w:r w:rsidR="001D1C09">
        <w:rPr>
          <w:rFonts w:ascii="Arial" w:hAnsi="Arial" w:cs="Arial"/>
          <w:b/>
          <w:color w:val="365F91"/>
          <w:lang w:val="sr-Latn-RS"/>
        </w:rPr>
        <w:t xml:space="preserve">    </w:t>
      </w:r>
      <w:r w:rsidR="002518B8">
        <w:rPr>
          <w:rFonts w:ascii="Arial" w:hAnsi="Arial" w:cs="Arial"/>
          <w:b/>
          <w:color w:val="365F91"/>
          <w:lang w:val="sr-Latn-RS"/>
        </w:rPr>
        <w:t>M</w:t>
      </w:r>
      <w:r w:rsidR="00887686">
        <w:rPr>
          <w:rFonts w:ascii="Arial" w:hAnsi="Arial" w:cs="Arial"/>
          <w:b/>
          <w:color w:val="365F91"/>
          <w:lang w:val="sr-Latn-RS"/>
        </w:rPr>
        <w:t xml:space="preserve"> </w:t>
      </w:r>
      <w:r w:rsidR="002518B8">
        <w:rPr>
          <w:rFonts w:ascii="Arial" w:hAnsi="Arial" w:cs="Arial"/>
          <w:b/>
          <w:color w:val="365F91"/>
          <w:lang w:val="sr-Latn-RS"/>
        </w:rPr>
        <w:t>I</w:t>
      </w:r>
      <w:r w:rsidR="00887686">
        <w:rPr>
          <w:rFonts w:ascii="Arial" w:hAnsi="Arial" w:cs="Arial"/>
          <w:b/>
          <w:color w:val="365F91"/>
          <w:lang w:val="sr-Latn-RS"/>
        </w:rPr>
        <w:t xml:space="preserve"> </w:t>
      </w:r>
      <w:r w:rsidR="002518B8">
        <w:rPr>
          <w:rFonts w:ascii="Arial" w:hAnsi="Arial" w:cs="Arial"/>
          <w:b/>
          <w:color w:val="365F91"/>
          <w:lang w:val="sr-Latn-RS"/>
        </w:rPr>
        <w:t>N</w:t>
      </w:r>
      <w:r w:rsidR="00887686">
        <w:rPr>
          <w:rFonts w:ascii="Arial" w:hAnsi="Arial" w:cs="Arial"/>
          <w:b/>
          <w:color w:val="365F91"/>
          <w:lang w:val="sr-Latn-RS"/>
        </w:rPr>
        <w:t xml:space="preserve"> </w:t>
      </w:r>
      <w:r w:rsidR="002518B8">
        <w:rPr>
          <w:rFonts w:ascii="Arial" w:hAnsi="Arial" w:cs="Arial"/>
          <w:b/>
          <w:color w:val="365F91"/>
          <w:lang w:val="sr-Latn-RS"/>
        </w:rPr>
        <w:t>I</w:t>
      </w:r>
      <w:r w:rsidR="00887686">
        <w:rPr>
          <w:rFonts w:ascii="Arial" w:hAnsi="Arial" w:cs="Arial"/>
          <w:b/>
          <w:color w:val="365F91"/>
          <w:lang w:val="sr-Latn-RS"/>
        </w:rPr>
        <w:t xml:space="preserve"> </w:t>
      </w:r>
      <w:r w:rsidR="002518B8">
        <w:rPr>
          <w:rFonts w:ascii="Arial" w:hAnsi="Arial" w:cs="Arial"/>
          <w:b/>
          <w:color w:val="365F91"/>
          <w:lang w:val="sr-Latn-RS"/>
        </w:rPr>
        <w:t>S</w:t>
      </w:r>
      <w:r w:rsidR="00887686">
        <w:rPr>
          <w:rFonts w:ascii="Arial" w:hAnsi="Arial" w:cs="Arial"/>
          <w:b/>
          <w:color w:val="365F91"/>
          <w:lang w:val="sr-Latn-RS"/>
        </w:rPr>
        <w:t xml:space="preserve"> </w:t>
      </w:r>
      <w:r w:rsidR="002518B8">
        <w:rPr>
          <w:rFonts w:ascii="Arial" w:hAnsi="Arial" w:cs="Arial"/>
          <w:b/>
          <w:color w:val="365F91"/>
          <w:lang w:val="sr-Latn-RS"/>
        </w:rPr>
        <w:t>T</w:t>
      </w:r>
      <w:r w:rsidR="00887686">
        <w:rPr>
          <w:rFonts w:ascii="Arial" w:hAnsi="Arial" w:cs="Arial"/>
          <w:b/>
          <w:color w:val="365F91"/>
          <w:lang w:val="sr-Latn-RS"/>
        </w:rPr>
        <w:t xml:space="preserve"> </w:t>
      </w:r>
      <w:r w:rsidR="002518B8">
        <w:rPr>
          <w:rFonts w:ascii="Arial" w:hAnsi="Arial" w:cs="Arial"/>
          <w:b/>
          <w:color w:val="365F91"/>
          <w:lang w:val="sr-Latn-RS"/>
        </w:rPr>
        <w:t>A</w:t>
      </w:r>
      <w:r w:rsidR="00887686">
        <w:rPr>
          <w:rFonts w:ascii="Arial" w:hAnsi="Arial" w:cs="Arial"/>
          <w:b/>
          <w:color w:val="365F91"/>
          <w:lang w:val="sr-Latn-RS"/>
        </w:rPr>
        <w:t xml:space="preserve"> </w:t>
      </w:r>
      <w:r w:rsidR="002518B8">
        <w:rPr>
          <w:rFonts w:ascii="Arial" w:hAnsi="Arial" w:cs="Arial"/>
          <w:b/>
          <w:color w:val="365F91"/>
          <w:lang w:val="sr-Latn-RS"/>
        </w:rPr>
        <w:t>R</w:t>
      </w:r>
      <w:r w:rsidRPr="007048A5">
        <w:rPr>
          <w:rFonts w:ascii="Arial" w:hAnsi="Arial" w:cs="Arial"/>
          <w:b/>
          <w:color w:val="365F91"/>
          <w:lang w:val="sr-Latn-RS"/>
        </w:rPr>
        <w:t xml:space="preserve"> </w:t>
      </w:r>
    </w:p>
    <w:p w:rsidR="00356AE2" w:rsidRPr="003C5D87" w:rsidRDefault="001D1C09" w:rsidP="009469AA">
      <w:pPr>
        <w:rPr>
          <w:rFonts w:ascii="Arial" w:hAnsi="Arial" w:cs="Arial"/>
          <w:color w:val="365F91"/>
          <w:lang w:val="sr-Latn-RS"/>
        </w:rPr>
      </w:pPr>
      <w:r>
        <w:rPr>
          <w:rFonts w:ascii="Arial" w:hAnsi="Arial" w:cs="Arial"/>
          <w:color w:val="365F91"/>
          <w:u w:val="single"/>
          <w:lang w:val="sr-Latn-RS"/>
        </w:rPr>
        <w:t xml:space="preserve">Podgorica, 26 </w:t>
      </w:r>
      <w:r w:rsidR="009469AA">
        <w:rPr>
          <w:rFonts w:ascii="Arial" w:hAnsi="Arial" w:cs="Arial"/>
          <w:color w:val="365F91"/>
          <w:u w:val="single"/>
          <w:lang w:val="sr-Latn-RS"/>
        </w:rPr>
        <w:t>. mart 2025. godine</w:t>
      </w:r>
      <w:r w:rsidR="00356AE2" w:rsidRPr="007048A5">
        <w:rPr>
          <w:rFonts w:ascii="Arial" w:hAnsi="Arial" w:cs="Arial"/>
          <w:color w:val="365F91"/>
          <w:lang w:val="sr-Latn-RS"/>
        </w:rPr>
        <w:tab/>
        <w:t xml:space="preserve">          </w:t>
      </w:r>
      <w:r w:rsidR="00356AE2" w:rsidRPr="007048A5">
        <w:rPr>
          <w:rFonts w:ascii="Arial" w:hAnsi="Arial" w:cs="Arial"/>
          <w:color w:val="365F91"/>
          <w:lang w:val="sr-Latn-RS"/>
        </w:rPr>
        <w:tab/>
      </w:r>
      <w:r w:rsidR="00356AE2" w:rsidRPr="007048A5">
        <w:rPr>
          <w:rFonts w:ascii="Arial" w:hAnsi="Arial" w:cs="Arial"/>
          <w:color w:val="365F91"/>
          <w:lang w:val="sr-Latn-RS"/>
        </w:rPr>
        <w:tab/>
        <w:t xml:space="preserve">        </w:t>
      </w:r>
      <w:r>
        <w:rPr>
          <w:rFonts w:ascii="Arial" w:hAnsi="Arial" w:cs="Arial"/>
          <w:color w:val="365F91"/>
          <w:lang w:val="sr-Latn-RS"/>
        </w:rPr>
        <w:t xml:space="preserve">                 </w:t>
      </w:r>
      <w:r w:rsidR="00887686" w:rsidRPr="00887686">
        <w:rPr>
          <w:rFonts w:ascii="Arial" w:hAnsi="Arial" w:cs="Arial"/>
          <w:b/>
          <w:color w:val="365F91"/>
          <w:lang w:val="sr-Latn-RS"/>
        </w:rPr>
        <w:t>Danilo Šaranović</w:t>
      </w:r>
    </w:p>
    <w:p w:rsidR="00704D1A" w:rsidRDefault="00704D1A"/>
    <w:sectPr w:rsidR="00704D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56A54295"/>
    <w:multiLevelType w:val="hybridMultilevel"/>
    <w:tmpl w:val="2D244DF6"/>
    <w:lvl w:ilvl="0" w:tplc="2F90F212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E2"/>
    <w:rsid w:val="00004179"/>
    <w:rsid w:val="00016C9F"/>
    <w:rsid w:val="00043AE8"/>
    <w:rsid w:val="00057566"/>
    <w:rsid w:val="00064B4E"/>
    <w:rsid w:val="00070E20"/>
    <w:rsid w:val="000B5256"/>
    <w:rsid w:val="00117782"/>
    <w:rsid w:val="001500B8"/>
    <w:rsid w:val="00163CA0"/>
    <w:rsid w:val="00167311"/>
    <w:rsid w:val="00167FD3"/>
    <w:rsid w:val="00172468"/>
    <w:rsid w:val="001760B3"/>
    <w:rsid w:val="00177D1F"/>
    <w:rsid w:val="00181D2D"/>
    <w:rsid w:val="001922E9"/>
    <w:rsid w:val="0019699D"/>
    <w:rsid w:val="001B656E"/>
    <w:rsid w:val="001D1C09"/>
    <w:rsid w:val="001F401F"/>
    <w:rsid w:val="00202762"/>
    <w:rsid w:val="00233A3B"/>
    <w:rsid w:val="0023674E"/>
    <w:rsid w:val="002518B8"/>
    <w:rsid w:val="00260612"/>
    <w:rsid w:val="00272216"/>
    <w:rsid w:val="002C4A9F"/>
    <w:rsid w:val="002F5D6C"/>
    <w:rsid w:val="00306F9B"/>
    <w:rsid w:val="00356AE2"/>
    <w:rsid w:val="003D1F31"/>
    <w:rsid w:val="003D7038"/>
    <w:rsid w:val="003E46B9"/>
    <w:rsid w:val="00404143"/>
    <w:rsid w:val="00410E29"/>
    <w:rsid w:val="004220B0"/>
    <w:rsid w:val="004437D7"/>
    <w:rsid w:val="00446BC9"/>
    <w:rsid w:val="00456B52"/>
    <w:rsid w:val="004873E2"/>
    <w:rsid w:val="004B11B4"/>
    <w:rsid w:val="004C53E6"/>
    <w:rsid w:val="00537915"/>
    <w:rsid w:val="005629E7"/>
    <w:rsid w:val="00573B7E"/>
    <w:rsid w:val="00597D64"/>
    <w:rsid w:val="005A0DCA"/>
    <w:rsid w:val="005C2AFD"/>
    <w:rsid w:val="006062BB"/>
    <w:rsid w:val="006405F4"/>
    <w:rsid w:val="00641C43"/>
    <w:rsid w:val="006602A8"/>
    <w:rsid w:val="006760CF"/>
    <w:rsid w:val="00680B4C"/>
    <w:rsid w:val="0070044A"/>
    <w:rsid w:val="007015A3"/>
    <w:rsid w:val="00704D1A"/>
    <w:rsid w:val="00715E61"/>
    <w:rsid w:val="00721403"/>
    <w:rsid w:val="00725C16"/>
    <w:rsid w:val="00727408"/>
    <w:rsid w:val="00741A09"/>
    <w:rsid w:val="00744672"/>
    <w:rsid w:val="0076437D"/>
    <w:rsid w:val="00785D88"/>
    <w:rsid w:val="00792984"/>
    <w:rsid w:val="007D2D32"/>
    <w:rsid w:val="007F472B"/>
    <w:rsid w:val="00823A79"/>
    <w:rsid w:val="00831F2D"/>
    <w:rsid w:val="00837318"/>
    <w:rsid w:val="008426E4"/>
    <w:rsid w:val="00851DEF"/>
    <w:rsid w:val="00853C47"/>
    <w:rsid w:val="008571F1"/>
    <w:rsid w:val="008629C5"/>
    <w:rsid w:val="008701C4"/>
    <w:rsid w:val="00882CBC"/>
    <w:rsid w:val="00887686"/>
    <w:rsid w:val="008931E1"/>
    <w:rsid w:val="008A3C1B"/>
    <w:rsid w:val="008B0DC0"/>
    <w:rsid w:val="008B7681"/>
    <w:rsid w:val="008E35BF"/>
    <w:rsid w:val="008F461F"/>
    <w:rsid w:val="00935D12"/>
    <w:rsid w:val="009469AA"/>
    <w:rsid w:val="00976F28"/>
    <w:rsid w:val="0098708C"/>
    <w:rsid w:val="009A225F"/>
    <w:rsid w:val="009E2623"/>
    <w:rsid w:val="009E4081"/>
    <w:rsid w:val="009F2222"/>
    <w:rsid w:val="009F5242"/>
    <w:rsid w:val="009F66C9"/>
    <w:rsid w:val="00A371F2"/>
    <w:rsid w:val="00A479D8"/>
    <w:rsid w:val="00A514A6"/>
    <w:rsid w:val="00A626B8"/>
    <w:rsid w:val="00A758FA"/>
    <w:rsid w:val="00A94BC2"/>
    <w:rsid w:val="00AC2FE3"/>
    <w:rsid w:val="00AE09F1"/>
    <w:rsid w:val="00AF0DEE"/>
    <w:rsid w:val="00B14486"/>
    <w:rsid w:val="00B40323"/>
    <w:rsid w:val="00B42EBD"/>
    <w:rsid w:val="00B73917"/>
    <w:rsid w:val="00B963A0"/>
    <w:rsid w:val="00BB3856"/>
    <w:rsid w:val="00BC22CB"/>
    <w:rsid w:val="00BD10FE"/>
    <w:rsid w:val="00BF4DB2"/>
    <w:rsid w:val="00C055D2"/>
    <w:rsid w:val="00C06BD6"/>
    <w:rsid w:val="00C2025C"/>
    <w:rsid w:val="00C51BC0"/>
    <w:rsid w:val="00CD2422"/>
    <w:rsid w:val="00D068D1"/>
    <w:rsid w:val="00D1235D"/>
    <w:rsid w:val="00D3135E"/>
    <w:rsid w:val="00D36603"/>
    <w:rsid w:val="00D540CF"/>
    <w:rsid w:val="00D723B4"/>
    <w:rsid w:val="00D83A9C"/>
    <w:rsid w:val="00DB1FE1"/>
    <w:rsid w:val="00DC25A6"/>
    <w:rsid w:val="00DC5D2F"/>
    <w:rsid w:val="00E15612"/>
    <w:rsid w:val="00E27BCA"/>
    <w:rsid w:val="00E30299"/>
    <w:rsid w:val="00E6557E"/>
    <w:rsid w:val="00E82CD8"/>
    <w:rsid w:val="00E96BF1"/>
    <w:rsid w:val="00EC3718"/>
    <w:rsid w:val="00EC5A70"/>
    <w:rsid w:val="00EF01D4"/>
    <w:rsid w:val="00F02A96"/>
    <w:rsid w:val="00F04847"/>
    <w:rsid w:val="00F11EF7"/>
    <w:rsid w:val="00F15A29"/>
    <w:rsid w:val="00F46ABE"/>
    <w:rsid w:val="00F54DB1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A934D-0D6E-4BF8-B706-1A9BB3F7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Branko"/>
    <w:qFormat/>
    <w:rsid w:val="00356AE2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AE2"/>
    <w:pPr>
      <w:ind w:left="720"/>
    </w:pPr>
  </w:style>
  <w:style w:type="character" w:customStyle="1" w:styleId="FontStyle23">
    <w:name w:val="Font Style23"/>
    <w:basedOn w:val="DefaultParagraphFont"/>
    <w:uiPriority w:val="99"/>
    <w:rsid w:val="00016C9F"/>
    <w:rPr>
      <w:rFonts w:ascii="Arial Unicode MS" w:eastAsia="Times New Roman" w:cs="Arial Unicode MS"/>
      <w:b/>
      <w:bCs/>
      <w:sz w:val="18"/>
      <w:szCs w:val="18"/>
    </w:rPr>
  </w:style>
  <w:style w:type="paragraph" w:customStyle="1" w:styleId="NormalWeb4">
    <w:name w:val="Normal (Web)4"/>
    <w:basedOn w:val="Normal"/>
    <w:uiPriority w:val="99"/>
    <w:rsid w:val="00F02A96"/>
    <w:pPr>
      <w:spacing w:before="100" w:beforeAutospacing="1" w:after="100" w:afterAutospacing="1"/>
    </w:pPr>
    <w:rPr>
      <w:rFonts w:ascii="Times New Roman" w:eastAsia="SimSun" w:hAnsi="Times New Roman"/>
      <w:bCs w:val="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6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1825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PC</cp:lastModifiedBy>
  <cp:revision>1</cp:revision>
  <dcterms:created xsi:type="dcterms:W3CDTF">2025-03-25T10:48:00Z</dcterms:created>
  <dcterms:modified xsi:type="dcterms:W3CDTF">2025-03-26T14:45:00Z</dcterms:modified>
</cp:coreProperties>
</file>