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03" w:rsidRPr="00BA4463" w:rsidRDefault="00804E03" w:rsidP="00804E03">
      <w:pPr>
        <w:rPr>
          <w:rFonts w:ascii="Arial" w:hAnsi="Arial" w:cs="Arial"/>
          <w:sz w:val="22"/>
          <w:szCs w:val="22"/>
        </w:rPr>
      </w:pPr>
      <w:r w:rsidRPr="00BA4463">
        <w:rPr>
          <w:rFonts w:ascii="Arial" w:hAnsi="Arial" w:cs="Arial"/>
          <w:sz w:val="22"/>
          <w:szCs w:val="22"/>
        </w:rPr>
        <w:t>Br: 04-402/2</w:t>
      </w:r>
      <w:r w:rsidR="00A37A6B" w:rsidRPr="00BA4463">
        <w:rPr>
          <w:rFonts w:ascii="Arial" w:hAnsi="Arial" w:cs="Arial"/>
          <w:sz w:val="22"/>
          <w:szCs w:val="22"/>
        </w:rPr>
        <w:t>5</w:t>
      </w:r>
      <w:r w:rsidRPr="00BA4463">
        <w:rPr>
          <w:rFonts w:ascii="Arial" w:hAnsi="Arial" w:cs="Arial"/>
          <w:sz w:val="22"/>
          <w:szCs w:val="22"/>
        </w:rPr>
        <w:t>-</w:t>
      </w:r>
      <w:r w:rsidR="00B74728">
        <w:rPr>
          <w:rFonts w:ascii="Arial" w:hAnsi="Arial" w:cs="Arial"/>
          <w:sz w:val="22"/>
          <w:szCs w:val="22"/>
        </w:rPr>
        <w:t>36679/1</w:t>
      </w:r>
      <w:r w:rsidRPr="00BA44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B223B7">
        <w:rPr>
          <w:rFonts w:ascii="Arial" w:hAnsi="Arial" w:cs="Arial"/>
          <w:sz w:val="22"/>
          <w:szCs w:val="22"/>
        </w:rPr>
        <w:t xml:space="preserve">   </w:t>
      </w:r>
      <w:r w:rsidR="008E29F0">
        <w:rPr>
          <w:rFonts w:ascii="Arial" w:hAnsi="Arial" w:cs="Arial"/>
          <w:sz w:val="22"/>
          <w:szCs w:val="22"/>
        </w:rPr>
        <w:t>2</w:t>
      </w:r>
      <w:r w:rsidR="00784B12">
        <w:rPr>
          <w:rFonts w:ascii="Arial" w:hAnsi="Arial" w:cs="Arial"/>
          <w:sz w:val="22"/>
          <w:szCs w:val="22"/>
        </w:rPr>
        <w:t>2</w:t>
      </w:r>
      <w:r w:rsidR="008E29F0">
        <w:rPr>
          <w:rFonts w:ascii="Arial" w:hAnsi="Arial" w:cs="Arial"/>
          <w:sz w:val="22"/>
          <w:szCs w:val="22"/>
        </w:rPr>
        <w:t>.10.</w:t>
      </w:r>
      <w:r w:rsidRPr="00BA4463">
        <w:rPr>
          <w:rFonts w:ascii="Arial" w:hAnsi="Arial" w:cs="Arial"/>
          <w:sz w:val="22"/>
          <w:szCs w:val="22"/>
        </w:rPr>
        <w:t>202</w:t>
      </w:r>
      <w:r w:rsidR="009A3ACC" w:rsidRPr="00BA4463">
        <w:rPr>
          <w:rFonts w:ascii="Arial" w:hAnsi="Arial" w:cs="Arial"/>
          <w:sz w:val="22"/>
          <w:szCs w:val="22"/>
        </w:rPr>
        <w:t>5</w:t>
      </w:r>
      <w:r w:rsidRPr="00BA4463">
        <w:rPr>
          <w:rFonts w:ascii="Arial" w:hAnsi="Arial" w:cs="Arial"/>
          <w:sz w:val="22"/>
          <w:szCs w:val="22"/>
        </w:rPr>
        <w:t>. godi</w:t>
      </w:r>
      <w:r w:rsidR="00E26F52" w:rsidRPr="00BA4463">
        <w:rPr>
          <w:rFonts w:ascii="Arial" w:hAnsi="Arial" w:cs="Arial"/>
          <w:sz w:val="22"/>
          <w:szCs w:val="22"/>
        </w:rPr>
        <w:t>ne</w:t>
      </w:r>
    </w:p>
    <w:p w:rsidR="00336E54" w:rsidRPr="00BA4463" w:rsidRDefault="00336E54" w:rsidP="00804E03">
      <w:pPr>
        <w:rPr>
          <w:rFonts w:ascii="Palatino Linotype" w:hAnsi="Palatino Linotype"/>
        </w:rPr>
      </w:pPr>
    </w:p>
    <w:p w:rsidR="00336E54" w:rsidRPr="00BA4463" w:rsidRDefault="00336E54" w:rsidP="00336E54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bookmarkStart w:id="0" w:name="_Hlk210658412"/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JAVNI POZIV</w:t>
      </w:r>
    </w:p>
    <w:p w:rsidR="00336E54" w:rsidRPr="00BA4463" w:rsidRDefault="00303E37" w:rsidP="00336E54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z</w:t>
      </w:r>
      <w:r w:rsidR="00336E54"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a upis državnih obveznica Crne Gore na domaćem tržištu </w:t>
      </w:r>
    </w:p>
    <w:p w:rsidR="00336E54" w:rsidRPr="00BA4463" w:rsidRDefault="00336E54" w:rsidP="00336E54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(„Javni poziv“</w:t>
      </w:r>
      <w:r w:rsidR="00303E37"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)</w:t>
      </w:r>
    </w:p>
    <w:p w:rsidR="00AE3BB0" w:rsidRDefault="00AE3BB0" w:rsidP="00303E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03E37" w:rsidRPr="00116E50" w:rsidRDefault="00303E37" w:rsidP="00303E37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116E50">
        <w:rPr>
          <w:rFonts w:ascii="Arial" w:hAnsi="Arial" w:cs="Arial"/>
          <w:sz w:val="22"/>
          <w:szCs w:val="22"/>
        </w:rPr>
        <w:t>Crna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Gora – </w:t>
      </w:r>
      <w:proofErr w:type="spellStart"/>
      <w:r w:rsidRPr="00116E50">
        <w:rPr>
          <w:rFonts w:ascii="Arial" w:hAnsi="Arial" w:cs="Arial"/>
          <w:sz w:val="22"/>
          <w:szCs w:val="22"/>
        </w:rPr>
        <w:t>Vlada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Crne Gore</w:t>
      </w:r>
      <w:r w:rsidR="00FE3A2A" w:rsidRPr="00116E50">
        <w:rPr>
          <w:rFonts w:ascii="Arial" w:hAnsi="Arial" w:cs="Arial"/>
          <w:sz w:val="22"/>
          <w:szCs w:val="22"/>
        </w:rPr>
        <w:t xml:space="preserve">, </w:t>
      </w:r>
      <w:r w:rsidRPr="00116E50">
        <w:rPr>
          <w:rFonts w:ascii="Arial" w:hAnsi="Arial" w:cs="Arial"/>
          <w:sz w:val="22"/>
          <w:szCs w:val="22"/>
        </w:rPr>
        <w:t>Ministarstv</w:t>
      </w:r>
      <w:r w:rsidR="00772386" w:rsidRPr="00116E50">
        <w:rPr>
          <w:rFonts w:ascii="Arial" w:hAnsi="Arial" w:cs="Arial"/>
          <w:sz w:val="22"/>
          <w:szCs w:val="22"/>
        </w:rPr>
        <w:t>o</w:t>
      </w:r>
      <w:r w:rsidRPr="00116E50">
        <w:rPr>
          <w:rFonts w:ascii="Arial" w:hAnsi="Arial" w:cs="Arial"/>
          <w:sz w:val="22"/>
          <w:szCs w:val="22"/>
        </w:rPr>
        <w:t xml:space="preserve"> finan</w:t>
      </w:r>
      <w:r w:rsidR="003E35E9">
        <w:rPr>
          <w:rFonts w:ascii="Arial" w:hAnsi="Arial" w:cs="Arial"/>
          <w:sz w:val="22"/>
          <w:szCs w:val="22"/>
        </w:rPr>
        <w:t>s</w:t>
      </w:r>
      <w:r w:rsidRPr="00116E50">
        <w:rPr>
          <w:rFonts w:ascii="Arial" w:hAnsi="Arial" w:cs="Arial"/>
          <w:sz w:val="22"/>
          <w:szCs w:val="22"/>
        </w:rPr>
        <w:t>ija („</w:t>
      </w:r>
      <w:proofErr w:type="spellStart"/>
      <w:proofErr w:type="gramStart"/>
      <w:r w:rsidR="00FE3A2A" w:rsidRPr="00116E50">
        <w:rPr>
          <w:rFonts w:ascii="Arial" w:hAnsi="Arial" w:cs="Arial"/>
          <w:sz w:val="22"/>
          <w:szCs w:val="22"/>
        </w:rPr>
        <w:t>Emitent</w:t>
      </w:r>
      <w:proofErr w:type="spellEnd"/>
      <w:r w:rsidRPr="00116E50">
        <w:rPr>
          <w:rFonts w:ascii="Arial" w:hAnsi="Arial" w:cs="Arial"/>
          <w:sz w:val="22"/>
          <w:szCs w:val="22"/>
        </w:rPr>
        <w:t>“</w:t>
      </w:r>
      <w:proofErr w:type="gramEnd"/>
      <w:r w:rsidRPr="00116E50">
        <w:rPr>
          <w:rFonts w:ascii="Arial" w:hAnsi="Arial" w:cs="Arial"/>
          <w:sz w:val="22"/>
          <w:szCs w:val="22"/>
        </w:rPr>
        <w:t xml:space="preserve">) je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donijela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Uredbu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uslovima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i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načinu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emitovanja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i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prodaje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državnih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dužničkih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hartija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od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vrijednosti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koja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objavljena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Službenom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listu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Crne Gore,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broj</w:t>
      </w:r>
      <w:proofErr w:type="spellEnd"/>
      <w:r w:rsidR="00D325EF" w:rsidRPr="00116E50">
        <w:rPr>
          <w:rFonts w:ascii="Arial" w:hAnsi="Arial" w:cs="Arial"/>
          <w:sz w:val="22"/>
          <w:szCs w:val="22"/>
        </w:rPr>
        <w:t xml:space="preserve"> 110</w:t>
      </w:r>
      <w:r w:rsidR="001B59D7" w:rsidRPr="00116E50">
        <w:rPr>
          <w:rFonts w:ascii="Arial" w:hAnsi="Arial" w:cs="Arial"/>
          <w:sz w:val="22"/>
          <w:szCs w:val="22"/>
        </w:rPr>
        <w:t>/25</w:t>
      </w:r>
      <w:r w:rsidR="002C6D6A" w:rsidRPr="00116E50">
        <w:rPr>
          <w:rFonts w:ascii="Arial" w:hAnsi="Arial" w:cs="Arial"/>
          <w:sz w:val="22"/>
          <w:szCs w:val="22"/>
        </w:rPr>
        <w:t xml:space="preserve"> (</w:t>
      </w:r>
      <w:r w:rsidR="001B59D7" w:rsidRPr="00116E50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daljem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tekstu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r w:rsidR="002C6D6A" w:rsidRPr="00116E50">
        <w:rPr>
          <w:rFonts w:ascii="Arial" w:hAnsi="Arial" w:cs="Arial"/>
          <w:sz w:val="22"/>
          <w:szCs w:val="22"/>
        </w:rPr>
        <w:t>“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Uredba</w:t>
      </w:r>
      <w:proofErr w:type="spellEnd"/>
      <w:r w:rsidR="002C6D6A" w:rsidRPr="00116E50">
        <w:rPr>
          <w:rFonts w:ascii="Arial" w:hAnsi="Arial" w:cs="Arial"/>
          <w:sz w:val="22"/>
          <w:szCs w:val="22"/>
        </w:rPr>
        <w:t>”)</w:t>
      </w:r>
      <w:r w:rsidRPr="00116E50">
        <w:rPr>
          <w:rFonts w:ascii="Arial" w:hAnsi="Arial" w:cs="Arial"/>
          <w:sz w:val="22"/>
          <w:szCs w:val="22"/>
        </w:rPr>
        <w:t>.</w:t>
      </w:r>
      <w:r w:rsidR="00C302AE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2AE" w:rsidRPr="00116E50">
        <w:rPr>
          <w:rFonts w:ascii="Arial" w:hAnsi="Arial" w:cs="Arial"/>
          <w:sz w:val="22"/>
          <w:szCs w:val="22"/>
        </w:rPr>
        <w:t>Takođe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, dana </w:t>
      </w:r>
      <w:r w:rsidR="00AE1352">
        <w:rPr>
          <w:rFonts w:ascii="Arial" w:hAnsi="Arial" w:cs="Arial"/>
          <w:sz w:val="22"/>
          <w:szCs w:val="22"/>
        </w:rPr>
        <w:t>14.10.2</w:t>
      </w:r>
      <w:r w:rsidR="00137CAB" w:rsidRPr="00116E50">
        <w:rPr>
          <w:rFonts w:ascii="Arial" w:hAnsi="Arial" w:cs="Arial"/>
          <w:sz w:val="22"/>
          <w:szCs w:val="22"/>
        </w:rPr>
        <w:t xml:space="preserve">025.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godine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Službenom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listu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Crne Gore,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br</w:t>
      </w:r>
      <w:r w:rsidR="00B223B7">
        <w:rPr>
          <w:rFonts w:ascii="Arial" w:hAnsi="Arial" w:cs="Arial"/>
          <w:sz w:val="22"/>
          <w:szCs w:val="22"/>
        </w:rPr>
        <w:t>oj</w:t>
      </w:r>
      <w:proofErr w:type="spellEnd"/>
      <w:r w:rsidR="00B223B7">
        <w:rPr>
          <w:rFonts w:ascii="Arial" w:hAnsi="Arial" w:cs="Arial"/>
          <w:sz w:val="22"/>
          <w:szCs w:val="22"/>
        </w:rPr>
        <w:t xml:space="preserve"> 116/25</w:t>
      </w:r>
      <w:r w:rsidR="00137CAB" w:rsidRPr="00116E5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objavljena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Odluka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emisiji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762E" w:rsidRPr="00116E50">
        <w:rPr>
          <w:rFonts w:ascii="Arial" w:hAnsi="Arial" w:cs="Arial"/>
          <w:sz w:val="22"/>
          <w:szCs w:val="22"/>
        </w:rPr>
        <w:t>d</w:t>
      </w:r>
      <w:r w:rsidR="00137CAB" w:rsidRPr="00116E50">
        <w:rPr>
          <w:rFonts w:ascii="Arial" w:hAnsi="Arial" w:cs="Arial"/>
          <w:sz w:val="22"/>
          <w:szCs w:val="22"/>
        </w:rPr>
        <w:t>ržavnih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obveznica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na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domaćem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tržištu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r w:rsidR="00137CAB" w:rsidRPr="00116E50">
        <w:rPr>
          <w:rFonts w:ascii="Arial" w:hAnsi="Arial" w:cs="Arial"/>
          <w:sz w:val="22"/>
          <w:szCs w:val="22"/>
        </w:rPr>
        <w:t>(</w:t>
      </w:r>
      <w:r w:rsidR="001B59D7" w:rsidRPr="00116E50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daljem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tekstu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 </w:t>
      </w:r>
      <w:r w:rsidR="00137CAB" w:rsidRPr="00116E50">
        <w:rPr>
          <w:rFonts w:ascii="Arial" w:hAnsi="Arial" w:cs="Arial"/>
          <w:sz w:val="22"/>
          <w:szCs w:val="22"/>
        </w:rPr>
        <w:t>“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Odluka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37CAB" w:rsidRPr="00116E50">
        <w:rPr>
          <w:rFonts w:ascii="Arial" w:hAnsi="Arial" w:cs="Arial"/>
          <w:sz w:val="22"/>
          <w:szCs w:val="22"/>
        </w:rPr>
        <w:t>emisiji</w:t>
      </w:r>
      <w:proofErr w:type="spellEnd"/>
      <w:r w:rsidR="00137CAB" w:rsidRPr="00116E50">
        <w:rPr>
          <w:rFonts w:ascii="Arial" w:hAnsi="Arial" w:cs="Arial"/>
          <w:sz w:val="22"/>
          <w:szCs w:val="22"/>
        </w:rPr>
        <w:t>”).</w:t>
      </w:r>
    </w:p>
    <w:p w:rsidR="00FE3A2A" w:rsidRPr="00116E50" w:rsidRDefault="00FE3A2A" w:rsidP="00303E3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03E37" w:rsidRPr="00116E50" w:rsidRDefault="00303E37" w:rsidP="002C6D6A">
      <w:pPr>
        <w:pStyle w:val="Default"/>
        <w:jc w:val="both"/>
        <w:rPr>
          <w:rFonts w:ascii="Arial" w:hAnsi="Arial" w:cs="Arial"/>
          <w:b/>
          <w:sz w:val="22"/>
          <w:szCs w:val="22"/>
          <w:lang w:val="sr-Latn-ME"/>
        </w:rPr>
      </w:pPr>
      <w:proofErr w:type="spellStart"/>
      <w:r w:rsidRPr="00116E50">
        <w:rPr>
          <w:rFonts w:ascii="Arial" w:hAnsi="Arial" w:cs="Arial"/>
          <w:sz w:val="22"/>
          <w:szCs w:val="22"/>
        </w:rPr>
        <w:t>Svi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pojmovi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r w:rsidR="00050B39" w:rsidRPr="00116E50">
        <w:rPr>
          <w:rFonts w:ascii="Arial" w:hAnsi="Arial" w:cs="Arial"/>
          <w:sz w:val="22"/>
          <w:szCs w:val="22"/>
        </w:rPr>
        <w:t>u</w:t>
      </w:r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Javnom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pozivu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imaju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isto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značenje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kako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16E50">
        <w:rPr>
          <w:rFonts w:ascii="Arial" w:hAnsi="Arial" w:cs="Arial"/>
          <w:sz w:val="22"/>
          <w:szCs w:val="22"/>
        </w:rPr>
        <w:t>navedeno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Uredbi</w:t>
      </w:r>
      <w:proofErr w:type="spellEnd"/>
      <w:r w:rsidR="001B59D7" w:rsidRPr="00116E5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B59D7" w:rsidRPr="00116E50">
        <w:rPr>
          <w:rFonts w:ascii="Arial" w:hAnsi="Arial" w:cs="Arial"/>
          <w:sz w:val="22"/>
          <w:szCs w:val="22"/>
        </w:rPr>
        <w:t>Odluci</w:t>
      </w:r>
      <w:proofErr w:type="spellEnd"/>
      <w:r w:rsidR="00772386" w:rsidRPr="00116E5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2386" w:rsidRPr="00116E50">
        <w:rPr>
          <w:rFonts w:ascii="Arial" w:hAnsi="Arial" w:cs="Arial"/>
          <w:sz w:val="22"/>
          <w:szCs w:val="22"/>
        </w:rPr>
        <w:t>emisiji</w:t>
      </w:r>
      <w:proofErr w:type="spellEnd"/>
      <w:r w:rsidR="00050B39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B39" w:rsidRPr="00116E50">
        <w:rPr>
          <w:rFonts w:ascii="Arial" w:hAnsi="Arial" w:cs="Arial"/>
          <w:sz w:val="22"/>
          <w:szCs w:val="22"/>
        </w:rPr>
        <w:t>i</w:t>
      </w:r>
      <w:proofErr w:type="spellEnd"/>
      <w:r w:rsidR="00050B39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3ACC" w:rsidRPr="00116E50">
        <w:rPr>
          <w:rFonts w:ascii="Arial" w:hAnsi="Arial" w:cs="Arial"/>
          <w:sz w:val="22"/>
          <w:szCs w:val="22"/>
        </w:rPr>
        <w:t>Upisnom</w:t>
      </w:r>
      <w:proofErr w:type="spellEnd"/>
      <w:r w:rsidR="009A3ACC"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3ACC" w:rsidRPr="00116E50">
        <w:rPr>
          <w:rFonts w:ascii="Arial" w:hAnsi="Arial" w:cs="Arial"/>
          <w:sz w:val="22"/>
          <w:szCs w:val="22"/>
        </w:rPr>
        <w:t>listiću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16E50">
        <w:rPr>
          <w:rFonts w:ascii="Arial" w:hAnsi="Arial" w:cs="Arial"/>
          <w:sz w:val="22"/>
          <w:szCs w:val="22"/>
        </w:rPr>
        <w:t>osim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ako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izričito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116E50">
        <w:rPr>
          <w:rFonts w:ascii="Arial" w:hAnsi="Arial" w:cs="Arial"/>
          <w:sz w:val="22"/>
          <w:szCs w:val="22"/>
        </w:rPr>
        <w:t>proiz</w:t>
      </w:r>
      <w:r w:rsidR="00772386" w:rsidRPr="00116E50">
        <w:rPr>
          <w:rFonts w:ascii="Arial" w:hAnsi="Arial" w:cs="Arial"/>
          <w:sz w:val="22"/>
          <w:szCs w:val="22"/>
        </w:rPr>
        <w:t>i</w:t>
      </w:r>
      <w:r w:rsidRPr="00116E50">
        <w:rPr>
          <w:rFonts w:ascii="Arial" w:hAnsi="Arial" w:cs="Arial"/>
          <w:sz w:val="22"/>
          <w:szCs w:val="22"/>
        </w:rPr>
        <w:t>lazi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drugačije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iz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teksta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Javnog</w:t>
      </w:r>
      <w:proofErr w:type="spellEnd"/>
      <w:r w:rsidRPr="00116E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6E50">
        <w:rPr>
          <w:rFonts w:ascii="Arial" w:hAnsi="Arial" w:cs="Arial"/>
          <w:sz w:val="22"/>
          <w:szCs w:val="22"/>
        </w:rPr>
        <w:t>poziva</w:t>
      </w:r>
      <w:proofErr w:type="spellEnd"/>
      <w:r w:rsidR="00CE6F44" w:rsidRPr="00116E50">
        <w:rPr>
          <w:rFonts w:ascii="Arial" w:hAnsi="Arial" w:cs="Arial"/>
          <w:sz w:val="22"/>
          <w:szCs w:val="22"/>
        </w:rPr>
        <w:t>.</w:t>
      </w:r>
    </w:p>
    <w:p w:rsidR="00336E54" w:rsidRPr="00116E50" w:rsidRDefault="00336E54" w:rsidP="00FE3A2A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</w:p>
    <w:p w:rsidR="00336E54" w:rsidRPr="00116E50" w:rsidRDefault="00336E54" w:rsidP="00336E54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OSNOVNI USLOVI UPISA </w:t>
      </w:r>
      <w:r w:rsidR="002C6D6A"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DRŽAVNE OBVEZNICE </w:t>
      </w:r>
    </w:p>
    <w:p w:rsidR="00336E54" w:rsidRPr="00116E50" w:rsidRDefault="00336E54" w:rsidP="00336E54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hAnsi="Arial" w:cs="Arial"/>
          <w:b/>
          <w:sz w:val="22"/>
          <w:szCs w:val="22"/>
        </w:rPr>
        <w:t>Emitent obveznice</w:t>
      </w:r>
      <w:r w:rsidRPr="00116E50">
        <w:rPr>
          <w:rFonts w:ascii="Arial" w:hAnsi="Arial" w:cs="Arial"/>
          <w:sz w:val="22"/>
          <w:szCs w:val="22"/>
        </w:rPr>
        <w:t xml:space="preserve">: Crna Gora – Vlada Crne Gore, Ministarstvo finansija, </w:t>
      </w:r>
      <w:r w:rsidR="00726150" w:rsidRPr="00116E50">
        <w:rPr>
          <w:rFonts w:ascii="Arial" w:hAnsi="Arial" w:cs="Arial"/>
          <w:sz w:val="22"/>
          <w:szCs w:val="22"/>
        </w:rPr>
        <w:t xml:space="preserve">sa sjedištem na adresi </w:t>
      </w:r>
      <w:r w:rsidRPr="00116E50">
        <w:rPr>
          <w:rFonts w:ascii="Arial" w:hAnsi="Arial" w:cs="Arial"/>
          <w:sz w:val="22"/>
          <w:szCs w:val="22"/>
        </w:rPr>
        <w:t>Stanka Dragojevića br.</w:t>
      </w:r>
      <w:r w:rsidR="00973BE4" w:rsidRPr="00116E50">
        <w:rPr>
          <w:rFonts w:ascii="Arial" w:hAnsi="Arial" w:cs="Arial"/>
          <w:sz w:val="22"/>
          <w:szCs w:val="22"/>
        </w:rPr>
        <w:t xml:space="preserve"> </w:t>
      </w:r>
      <w:r w:rsidRPr="00116E50">
        <w:rPr>
          <w:rFonts w:ascii="Arial" w:hAnsi="Arial" w:cs="Arial"/>
          <w:sz w:val="22"/>
          <w:szCs w:val="22"/>
        </w:rPr>
        <w:t>2, 81 000 Podgorica;</w:t>
      </w:r>
    </w:p>
    <w:p w:rsidR="007524B9" w:rsidRPr="00116E50" w:rsidRDefault="00336E54" w:rsidP="007524B9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Vrsta hartije od vrijednosti: 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Državna obveznica</w:t>
      </w:r>
    </w:p>
    <w:p w:rsidR="007524B9" w:rsidRPr="00116E50" w:rsidRDefault="00336E54" w:rsidP="007524B9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Nominalni iznos jedne obveznice: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1,00</w:t>
      </w:r>
      <w:r w:rsidR="00050B39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(slovima: jedan) eur</w:t>
      </w:r>
      <w:r w:rsidR="005B423E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o</w:t>
      </w:r>
    </w:p>
    <w:p w:rsidR="007524B9" w:rsidRPr="00116E50" w:rsidRDefault="00336E54" w:rsidP="007524B9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Minimalni iznos upisa po ulaganju: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500,00</w:t>
      </w:r>
      <w:r w:rsidR="00050B39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(slovima: pet stotina) eura</w:t>
      </w:r>
    </w:p>
    <w:p w:rsidR="007524B9" w:rsidRPr="00116E50" w:rsidRDefault="00336E54" w:rsidP="00C445C8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Iznos ukupne emisije:</w:t>
      </w:r>
      <w:r w:rsidR="007524B9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50.000.000,00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 </w:t>
      </w:r>
      <w:r w:rsidR="00050B39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(slovima: pedeset miliona) eura</w:t>
      </w:r>
    </w:p>
    <w:p w:rsidR="00336E54" w:rsidRPr="00116E50" w:rsidRDefault="00336E54" w:rsidP="007524B9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ISIN:</w:t>
      </w:r>
      <w:r w:rsidR="002B762E" w:rsidRPr="00116E50">
        <w:rPr>
          <w:rFonts w:ascii="Arial" w:hAnsi="Arial" w:cs="Arial"/>
          <w:b/>
          <w:bCs/>
          <w:sz w:val="22"/>
          <w:szCs w:val="22"/>
        </w:rPr>
        <w:t xml:space="preserve"> </w:t>
      </w:r>
      <w:r w:rsidR="002B762E" w:rsidRPr="00116E50">
        <w:rPr>
          <w:rFonts w:ascii="Arial" w:hAnsi="Arial" w:cs="Arial"/>
          <w:bCs/>
          <w:sz w:val="22"/>
          <w:szCs w:val="22"/>
        </w:rPr>
        <w:t>MECG25KA1PG2</w:t>
      </w:r>
    </w:p>
    <w:p w:rsidR="005C05CD" w:rsidRPr="00116E50" w:rsidRDefault="00336E54" w:rsidP="00582B7F">
      <w:pPr>
        <w:pStyle w:val="ListParagraph"/>
        <w:numPr>
          <w:ilvl w:val="0"/>
          <w:numId w:val="14"/>
        </w:numPr>
        <w:spacing w:after="160" w:line="259" w:lineRule="auto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Datum emitovanja obveznica</w:t>
      </w:r>
      <w:r w:rsidR="00D36A6C"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u prvom krugu</w:t>
      </w:r>
      <w:r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>:</w:t>
      </w:r>
      <w:r w:rsidR="007524B9"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 xml:space="preserve"> </w:t>
      </w:r>
      <w:r w:rsidR="002B762E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03</w:t>
      </w:r>
      <w:r w:rsidR="00D36A6C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="00050B3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novembar </w:t>
      </w:r>
      <w:r w:rsidR="007524B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202</w:t>
      </w:r>
      <w:r w:rsidR="009A3ACC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5</w:t>
      </w:r>
      <w:r w:rsidR="007524B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 godine</w:t>
      </w:r>
    </w:p>
    <w:p w:rsidR="005C05CD" w:rsidRPr="00116E50" w:rsidRDefault="00336E54" w:rsidP="00582B7F">
      <w:pPr>
        <w:pStyle w:val="ListParagraph"/>
        <w:numPr>
          <w:ilvl w:val="0"/>
          <w:numId w:val="14"/>
        </w:numPr>
        <w:spacing w:after="160" w:line="259" w:lineRule="auto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>Datum dospijeća</w:t>
      </w:r>
      <w:r w:rsidR="00D36A6C"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 xml:space="preserve"> obveznica iz prvog kruga</w:t>
      </w:r>
      <w:r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>:</w:t>
      </w:r>
      <w:r w:rsidR="007524B9"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 xml:space="preserve"> </w:t>
      </w:r>
      <w:r w:rsidR="002B762E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04</w:t>
      </w:r>
      <w:r w:rsidR="00D36A6C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="00050B3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novembar </w:t>
      </w:r>
      <w:r w:rsidR="007524B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202</w:t>
      </w:r>
      <w:r w:rsidR="00CD39E2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7</w:t>
      </w:r>
      <w:r w:rsidR="007524B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 godine</w:t>
      </w:r>
    </w:p>
    <w:p w:rsidR="00D36A6C" w:rsidRPr="00116E50" w:rsidRDefault="00D36A6C" w:rsidP="00D36A6C">
      <w:pPr>
        <w:pStyle w:val="ListParagraph"/>
        <w:numPr>
          <w:ilvl w:val="0"/>
          <w:numId w:val="14"/>
        </w:numPr>
        <w:spacing w:after="160" w:line="259" w:lineRule="auto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 xml:space="preserve">Datum emitovanja obveznica u drugom krugu: </w:t>
      </w:r>
      <w:r w:rsidR="006A51C6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24</w:t>
      </w:r>
      <w:r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="00050B3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novembar </w:t>
      </w:r>
      <w:r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2025. godine</w:t>
      </w:r>
    </w:p>
    <w:p w:rsidR="00D36A6C" w:rsidRPr="00116E50" w:rsidRDefault="00D36A6C" w:rsidP="00D36A6C">
      <w:pPr>
        <w:pStyle w:val="ListParagraph"/>
        <w:numPr>
          <w:ilvl w:val="0"/>
          <w:numId w:val="14"/>
        </w:numPr>
        <w:spacing w:after="160" w:line="259" w:lineRule="auto"/>
        <w:rPr>
          <w:rFonts w:ascii="Arial" w:eastAsiaTheme="minorHAnsi" w:hAnsi="Arial" w:cs="Arial"/>
          <w:color w:val="FF0000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color w:val="000000" w:themeColor="text1"/>
          <w:sz w:val="22"/>
          <w:szCs w:val="22"/>
          <w:lang w:val="sr-Latn-ME" w:eastAsia="en-US"/>
        </w:rPr>
        <w:t xml:space="preserve">Datum dospijeća obveznica iz drugog kruga: </w:t>
      </w:r>
      <w:r w:rsidR="002B762E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</w:t>
      </w:r>
      <w:r w:rsidR="00E06CEB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5</w:t>
      </w:r>
      <w:r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="00050B39"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novembar </w:t>
      </w:r>
      <w:r w:rsidRPr="00116E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2027. godine</w:t>
      </w:r>
    </w:p>
    <w:p w:rsidR="005C05CD" w:rsidRPr="00116E50" w:rsidRDefault="00336E54" w:rsidP="00582B7F">
      <w:pPr>
        <w:pStyle w:val="ListParagraph"/>
        <w:numPr>
          <w:ilvl w:val="0"/>
          <w:numId w:val="14"/>
        </w:numPr>
        <w:spacing w:after="160" w:line="259" w:lineRule="auto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Način otplate glavnice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:</w:t>
      </w:r>
      <w:r w:rsidR="007524B9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726150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j</w:t>
      </w:r>
      <w:r w:rsidR="007524B9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ednokratno po dospijeću</w:t>
      </w:r>
    </w:p>
    <w:p w:rsidR="00F92005" w:rsidRPr="00116E50" w:rsidRDefault="00336E54" w:rsidP="00582B7F">
      <w:pPr>
        <w:pStyle w:val="ListParagraph"/>
        <w:numPr>
          <w:ilvl w:val="0"/>
          <w:numId w:val="14"/>
        </w:numPr>
        <w:spacing w:after="160" w:line="259" w:lineRule="auto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Vrsta kamatne stope:</w:t>
      </w:r>
      <w:r w:rsidR="007524B9"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</w:t>
      </w:r>
      <w:r w:rsidR="00726150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f</w:t>
      </w:r>
      <w:r w:rsidR="007524B9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iksna</w:t>
      </w:r>
    </w:p>
    <w:p w:rsidR="00336E54" w:rsidRPr="00116E50" w:rsidRDefault="00336E54" w:rsidP="00582B7F">
      <w:pPr>
        <w:pStyle w:val="ListParagraph"/>
        <w:numPr>
          <w:ilvl w:val="0"/>
          <w:numId w:val="14"/>
        </w:numPr>
        <w:spacing w:after="160" w:line="259" w:lineRule="auto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Isplata kamate:</w:t>
      </w:r>
      <w:r w:rsidR="00F92005"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</w:t>
      </w:r>
      <w:r w:rsidR="00726150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g</w:t>
      </w:r>
      <w:r w:rsidR="00F92005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odišnja isplata</w:t>
      </w:r>
    </w:p>
    <w:p w:rsidR="00F92005" w:rsidRPr="00116E50" w:rsidRDefault="00F92005" w:rsidP="00F9200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16E50">
        <w:rPr>
          <w:rFonts w:ascii="Arial" w:hAnsi="Arial" w:cs="Arial"/>
          <w:b/>
          <w:sz w:val="22"/>
          <w:szCs w:val="22"/>
        </w:rPr>
        <w:t xml:space="preserve">Kamatna stopa: </w:t>
      </w:r>
      <w:r w:rsidR="00FE3A2A" w:rsidRPr="00116E50">
        <w:rPr>
          <w:rFonts w:ascii="Arial" w:hAnsi="Arial" w:cs="Arial"/>
          <w:sz w:val="22"/>
          <w:szCs w:val="22"/>
        </w:rPr>
        <w:t xml:space="preserve"> </w:t>
      </w:r>
      <w:r w:rsidR="002B762E" w:rsidRPr="00116E50">
        <w:rPr>
          <w:rFonts w:ascii="Arial" w:hAnsi="Arial" w:cs="Arial"/>
          <w:sz w:val="22"/>
          <w:szCs w:val="22"/>
        </w:rPr>
        <w:t>3,</w:t>
      </w:r>
      <w:r w:rsidR="007903D4">
        <w:rPr>
          <w:rFonts w:ascii="Arial" w:hAnsi="Arial" w:cs="Arial"/>
          <w:sz w:val="22"/>
          <w:szCs w:val="22"/>
        </w:rPr>
        <w:t>7</w:t>
      </w:r>
      <w:r w:rsidR="002B762E" w:rsidRPr="00116E50">
        <w:rPr>
          <w:rFonts w:ascii="Arial" w:hAnsi="Arial" w:cs="Arial"/>
          <w:sz w:val="22"/>
          <w:szCs w:val="22"/>
        </w:rPr>
        <w:t>5</w:t>
      </w:r>
      <w:r w:rsidRPr="00116E50">
        <w:rPr>
          <w:rFonts w:ascii="Arial" w:hAnsi="Arial" w:cs="Arial"/>
          <w:sz w:val="22"/>
          <w:szCs w:val="22"/>
        </w:rPr>
        <w:t>% godišnje</w:t>
      </w:r>
    </w:p>
    <w:p w:rsidR="00820468" w:rsidRPr="00116E50" w:rsidRDefault="00820468" w:rsidP="0082046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r w:rsidRPr="00116E50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U toku upisa, može se upisati i prihvatiti veći broj državnih obveznica od broja koji je emitovan, maksimalno do </w:t>
      </w:r>
      <w:r w:rsidRPr="00116E50">
        <w:rPr>
          <w:rFonts w:ascii="Arial" w:hAnsi="Arial" w:cs="Arial"/>
          <w:b/>
          <w:color w:val="000000" w:themeColor="text1"/>
          <w:sz w:val="22"/>
          <w:szCs w:val="22"/>
          <w:lang w:val="sv-SE"/>
        </w:rPr>
        <w:t>100.000.000,00</w:t>
      </w:r>
      <w:r w:rsidR="00050B39" w:rsidRPr="00116E50">
        <w:rPr>
          <w:rFonts w:ascii="Arial" w:hAnsi="Arial" w:cs="Arial"/>
          <w:b/>
          <w:color w:val="000000" w:themeColor="text1"/>
          <w:sz w:val="22"/>
          <w:szCs w:val="22"/>
          <w:lang w:val="sv-SE"/>
        </w:rPr>
        <w:t xml:space="preserve"> (slovima: sto miliona)</w:t>
      </w:r>
      <w:r w:rsidRPr="00116E50">
        <w:rPr>
          <w:rFonts w:ascii="Arial" w:hAnsi="Arial" w:cs="Arial"/>
          <w:b/>
          <w:color w:val="000000" w:themeColor="text1"/>
          <w:sz w:val="22"/>
          <w:szCs w:val="22"/>
          <w:lang w:val="sv-SE"/>
        </w:rPr>
        <w:t xml:space="preserve"> eura</w:t>
      </w:r>
    </w:p>
    <w:p w:rsidR="00FE3A2A" w:rsidRPr="00116E50" w:rsidRDefault="00F92005" w:rsidP="006A51C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hAnsi="Arial" w:cs="Arial"/>
          <w:b/>
          <w:sz w:val="22"/>
          <w:szCs w:val="22"/>
        </w:rPr>
        <w:t>Ovlašćene institucije za upis državnih obveznica:</w:t>
      </w:r>
      <w:r w:rsidR="00FE3A2A" w:rsidRPr="00116E50">
        <w:rPr>
          <w:rFonts w:ascii="Arial" w:hAnsi="Arial" w:cs="Arial"/>
          <w:sz w:val="22"/>
          <w:szCs w:val="22"/>
        </w:rPr>
        <w:t xml:space="preserve"> Crnogorska komercijalna banka a.d. Podgorica, Erste banka a.d. Podgorica, Hipotekarna banka a.d. Podgorica, Prva banka Crne Gore osnovana 1901. a.d. Podgorica</w:t>
      </w:r>
      <w:r w:rsidR="00B2108B" w:rsidRPr="00116E50">
        <w:rPr>
          <w:rFonts w:ascii="Arial" w:hAnsi="Arial" w:cs="Arial"/>
          <w:sz w:val="22"/>
          <w:szCs w:val="22"/>
        </w:rPr>
        <w:t>,</w:t>
      </w:r>
      <w:r w:rsidR="00FE3A2A" w:rsidRPr="00116E50">
        <w:rPr>
          <w:rFonts w:ascii="Arial" w:hAnsi="Arial" w:cs="Arial"/>
          <w:sz w:val="22"/>
          <w:szCs w:val="22"/>
        </w:rPr>
        <w:t xml:space="preserve"> Universal Capital banka a.d. Podgorica</w:t>
      </w:r>
      <w:r w:rsidR="00B2108B" w:rsidRPr="00116E50">
        <w:rPr>
          <w:rFonts w:ascii="Arial" w:hAnsi="Arial" w:cs="Arial"/>
          <w:sz w:val="22"/>
          <w:szCs w:val="22"/>
        </w:rPr>
        <w:t xml:space="preserve"> i NLB banka a.d. Podgorica</w:t>
      </w:r>
    </w:p>
    <w:p w:rsidR="00F92005" w:rsidRDefault="00FE3A2A" w:rsidP="006A51C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hAnsi="Arial" w:cs="Arial"/>
          <w:b/>
          <w:sz w:val="22"/>
          <w:szCs w:val="22"/>
        </w:rPr>
        <w:t xml:space="preserve">Ovlašćene institucije za </w:t>
      </w:r>
      <w:r w:rsidR="00CA38CE" w:rsidRPr="00116E50">
        <w:rPr>
          <w:rFonts w:ascii="Arial" w:hAnsi="Arial" w:cs="Arial"/>
          <w:b/>
          <w:sz w:val="22"/>
          <w:szCs w:val="22"/>
        </w:rPr>
        <w:t>otplatu kamate i glavnice o roku dospijeća</w:t>
      </w:r>
      <w:r w:rsidRPr="00116E50">
        <w:rPr>
          <w:rFonts w:ascii="Arial" w:hAnsi="Arial" w:cs="Arial"/>
          <w:b/>
          <w:sz w:val="22"/>
          <w:szCs w:val="22"/>
        </w:rPr>
        <w:t>:</w:t>
      </w:r>
      <w:r w:rsidRPr="00116E50">
        <w:rPr>
          <w:rFonts w:ascii="Arial" w:hAnsi="Arial" w:cs="Arial"/>
          <w:sz w:val="22"/>
          <w:szCs w:val="22"/>
        </w:rPr>
        <w:t xml:space="preserve"> Crnogorska komercijalna banka a.d. Podgorica, Erste banka a.d. Podgorica, Hipotekarna banka a.d. Podgorica, Prva banka Crne Gore osnovana 1901. a.d. Podgorica</w:t>
      </w:r>
      <w:r w:rsidR="00B2108B" w:rsidRPr="00116E50">
        <w:rPr>
          <w:rFonts w:ascii="Arial" w:hAnsi="Arial" w:cs="Arial"/>
          <w:sz w:val="22"/>
          <w:szCs w:val="22"/>
        </w:rPr>
        <w:t>,</w:t>
      </w:r>
      <w:r w:rsidRPr="00116E50">
        <w:rPr>
          <w:rFonts w:ascii="Arial" w:hAnsi="Arial" w:cs="Arial"/>
          <w:sz w:val="22"/>
          <w:szCs w:val="22"/>
        </w:rPr>
        <w:t xml:space="preserve"> Universal Capital banka a.d. Podgorica</w:t>
      </w:r>
      <w:r w:rsidR="00B2108B" w:rsidRPr="00116E50">
        <w:rPr>
          <w:rFonts w:ascii="Arial" w:hAnsi="Arial" w:cs="Arial"/>
          <w:sz w:val="22"/>
          <w:szCs w:val="22"/>
        </w:rPr>
        <w:t xml:space="preserve"> i NLB banka a.d. Podgorica</w:t>
      </w:r>
      <w:r w:rsidRPr="00116E50">
        <w:rPr>
          <w:rFonts w:ascii="Arial" w:hAnsi="Arial" w:cs="Arial"/>
          <w:sz w:val="22"/>
          <w:szCs w:val="22"/>
        </w:rPr>
        <w:t xml:space="preserve"> </w:t>
      </w:r>
    </w:p>
    <w:p w:rsidR="00A00024" w:rsidRPr="00B36C64" w:rsidRDefault="00A00024" w:rsidP="00B36C64">
      <w:pPr>
        <w:rPr>
          <w:rFonts w:ascii="Arial" w:hAnsi="Arial" w:cs="Arial"/>
          <w:b/>
          <w:sz w:val="22"/>
          <w:szCs w:val="22"/>
        </w:rPr>
      </w:pPr>
    </w:p>
    <w:p w:rsidR="00F92005" w:rsidRPr="00116E50" w:rsidRDefault="00116E50" w:rsidP="006A51C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hAnsi="Arial" w:cs="Arial"/>
          <w:b/>
          <w:sz w:val="22"/>
          <w:szCs w:val="22"/>
        </w:rPr>
        <w:lastRenderedPageBreak/>
        <w:t>R</w:t>
      </w:r>
      <w:r w:rsidR="00F92005" w:rsidRPr="00116E50">
        <w:rPr>
          <w:rFonts w:ascii="Arial" w:hAnsi="Arial" w:cs="Arial"/>
          <w:b/>
          <w:sz w:val="22"/>
          <w:szCs w:val="22"/>
        </w:rPr>
        <w:t>egistracij</w:t>
      </w:r>
      <w:r w:rsidRPr="00116E50">
        <w:rPr>
          <w:rFonts w:ascii="Arial" w:hAnsi="Arial" w:cs="Arial"/>
          <w:b/>
          <w:sz w:val="22"/>
          <w:szCs w:val="22"/>
        </w:rPr>
        <w:t>a</w:t>
      </w:r>
      <w:r w:rsidR="00FE3A2A" w:rsidRPr="00116E50">
        <w:rPr>
          <w:rFonts w:ascii="Arial" w:hAnsi="Arial" w:cs="Arial"/>
          <w:b/>
          <w:sz w:val="22"/>
          <w:szCs w:val="22"/>
        </w:rPr>
        <w:t xml:space="preserve"> </w:t>
      </w:r>
      <w:r w:rsidR="00F92005" w:rsidRPr="00116E50">
        <w:rPr>
          <w:rFonts w:ascii="Arial" w:hAnsi="Arial" w:cs="Arial"/>
          <w:b/>
          <w:sz w:val="22"/>
          <w:szCs w:val="22"/>
        </w:rPr>
        <w:t>Državnih obveznica:</w:t>
      </w:r>
      <w:r w:rsidR="00FE3A2A" w:rsidRPr="00116E50">
        <w:rPr>
          <w:rFonts w:ascii="Arial" w:hAnsi="Arial" w:cs="Arial"/>
          <w:b/>
          <w:sz w:val="22"/>
          <w:szCs w:val="22"/>
        </w:rPr>
        <w:t xml:space="preserve"> </w:t>
      </w:r>
      <w:r w:rsidR="00F92005" w:rsidRPr="00116E50">
        <w:rPr>
          <w:rFonts w:ascii="Arial" w:hAnsi="Arial" w:cs="Arial"/>
          <w:sz w:val="22"/>
          <w:szCs w:val="22"/>
        </w:rPr>
        <w:t>Centralno klirinško</w:t>
      </w:r>
      <w:r w:rsidR="00FE3A2A" w:rsidRPr="00116E50">
        <w:rPr>
          <w:rFonts w:ascii="Arial" w:hAnsi="Arial" w:cs="Arial"/>
          <w:sz w:val="22"/>
          <w:szCs w:val="22"/>
        </w:rPr>
        <w:t xml:space="preserve"> </w:t>
      </w:r>
      <w:r w:rsidR="00F92005" w:rsidRPr="00116E50">
        <w:rPr>
          <w:rFonts w:ascii="Arial" w:hAnsi="Arial" w:cs="Arial"/>
          <w:sz w:val="22"/>
          <w:szCs w:val="22"/>
        </w:rPr>
        <w:t>depozitarno društvo („CKDD“)</w:t>
      </w:r>
    </w:p>
    <w:p w:rsidR="00A00024" w:rsidRDefault="00F92005" w:rsidP="00A0002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16E50">
        <w:rPr>
          <w:rFonts w:ascii="Arial" w:hAnsi="Arial" w:cs="Arial"/>
          <w:b/>
          <w:sz w:val="22"/>
          <w:szCs w:val="22"/>
        </w:rPr>
        <w:t>Uvrštenje na berzu</w:t>
      </w:r>
      <w:r w:rsidRPr="00116E50">
        <w:rPr>
          <w:rFonts w:ascii="Arial" w:hAnsi="Arial" w:cs="Arial"/>
          <w:sz w:val="22"/>
          <w:szCs w:val="22"/>
        </w:rPr>
        <w:t>: Montenegroberza ad Podgorica</w:t>
      </w:r>
    </w:p>
    <w:p w:rsidR="00A00024" w:rsidRPr="00A00024" w:rsidRDefault="00A00024" w:rsidP="00A0002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336E54" w:rsidRPr="00116E50" w:rsidRDefault="00C445C8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E</w:t>
      </w:r>
      <w:r w:rsidR="003B7F58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mitent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poziva sve potencijalne 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ulagače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da </w:t>
      </w:r>
      <w:r w:rsidR="0059718D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se upoznaju sa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CD39E2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Odluk</w:t>
      </w:r>
      <w:r w:rsidR="0059718D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om</w:t>
      </w:r>
      <w:r w:rsidR="00CD39E2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o emisiji</w:t>
      </w:r>
      <w:r w:rsidR="00F60875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i </w:t>
      </w:r>
      <w:r w:rsidR="00F60875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Uredbom 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prije donošenja odluke o ulaganju u </w:t>
      </w:r>
      <w:r w:rsidR="00F60875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d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ržavne o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bveznice kako bi u potpunosti razumjeli </w:t>
      </w:r>
      <w:r w:rsidR="00F60875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proces emisije i način ulaganja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. Informacije sadržane u </w:t>
      </w:r>
      <w:r w:rsidR="00CD39E2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Odluci o emisiji</w:t>
      </w:r>
      <w:r w:rsidR="00F60875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, 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kao i Javnom pozivu su mjerodavne za donošenje odluke o ulaganju u 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Državne o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bveznice.</w:t>
      </w:r>
    </w:p>
    <w:p w:rsidR="00336E54" w:rsidRPr="00116E50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IZNOS UPISA I CILJANI </w:t>
      </w:r>
      <w:r w:rsidR="00C445C8" w:rsidRPr="00116E50">
        <w:rPr>
          <w:rFonts w:ascii="Arial" w:eastAsiaTheme="minorHAnsi" w:hAnsi="Arial" w:cs="Arial"/>
          <w:b/>
          <w:sz w:val="22"/>
          <w:szCs w:val="22"/>
          <w:lang w:val="en-US" w:eastAsia="en-US"/>
        </w:rPr>
        <w:t>ULAGAČI</w:t>
      </w:r>
    </w:p>
    <w:p w:rsidR="00CE6F44" w:rsidRPr="00116E50" w:rsidRDefault="00772386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Državne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o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bveznice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mogu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upisati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C445C8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uplatiti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fizička</w:t>
      </w:r>
      <w:proofErr w:type="spellEnd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8C7088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</w:t>
      </w:r>
      <w:proofErr w:type="spellEnd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pravna</w:t>
      </w:r>
      <w:proofErr w:type="spellEnd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lica</w:t>
      </w:r>
      <w:proofErr w:type="spellEnd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(“</w:t>
      </w:r>
      <w:proofErr w:type="spellStart"/>
      <w:r w:rsidR="00C445C8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ulagači</w:t>
      </w:r>
      <w:proofErr w:type="spellEnd"/>
      <w:r w:rsidR="00137CA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”)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koj</w:t>
      </w:r>
      <w:r w:rsidR="002B762E" w:rsidRPr="00116E50">
        <w:rPr>
          <w:rFonts w:ascii="Arial" w:eastAsiaTheme="minorHAnsi" w:hAnsi="Arial" w:cs="Arial"/>
          <w:sz w:val="22"/>
          <w:szCs w:val="22"/>
          <w:lang w:val="en-US" w:eastAsia="en-US"/>
        </w:rPr>
        <w:t>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obavežu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upisati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najmanje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500,00 </w:t>
      </w:r>
      <w:r w:rsidR="00F60875" w:rsidRPr="00116E50">
        <w:rPr>
          <w:rFonts w:ascii="Arial" w:eastAsiaTheme="minorHAnsi" w:hAnsi="Arial" w:cs="Arial"/>
          <w:sz w:val="22"/>
          <w:szCs w:val="22"/>
          <w:lang w:val="en-US" w:eastAsia="en-US"/>
        </w:rPr>
        <w:t>(</w:t>
      </w:r>
      <w:proofErr w:type="spellStart"/>
      <w:r w:rsidR="00F60875" w:rsidRPr="00116E50">
        <w:rPr>
          <w:rFonts w:ascii="Arial" w:eastAsiaTheme="minorHAnsi" w:hAnsi="Arial" w:cs="Arial"/>
          <w:sz w:val="22"/>
          <w:szCs w:val="22"/>
          <w:lang w:val="en-US" w:eastAsia="en-US"/>
        </w:rPr>
        <w:t>slovima</w:t>
      </w:r>
      <w:proofErr w:type="spellEnd"/>
      <w:r w:rsidR="00F60875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: pet </w:t>
      </w:r>
      <w:proofErr w:type="spellStart"/>
      <w:r w:rsidR="00F60875" w:rsidRPr="00116E50">
        <w:rPr>
          <w:rFonts w:ascii="Arial" w:eastAsiaTheme="minorHAnsi" w:hAnsi="Arial" w:cs="Arial"/>
          <w:sz w:val="22"/>
          <w:szCs w:val="22"/>
          <w:lang w:val="en-US" w:eastAsia="en-US"/>
        </w:rPr>
        <w:t>stotina</w:t>
      </w:r>
      <w:proofErr w:type="spellEnd"/>
      <w:r w:rsidR="00F60875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) </w:t>
      </w:r>
      <w:proofErr w:type="spellStart"/>
      <w:r w:rsidR="00F60875" w:rsidRPr="00116E50">
        <w:rPr>
          <w:rFonts w:ascii="Arial" w:eastAsiaTheme="minorHAnsi" w:hAnsi="Arial" w:cs="Arial"/>
          <w:sz w:val="22"/>
          <w:szCs w:val="22"/>
          <w:lang w:val="en-US" w:eastAsia="en-US"/>
        </w:rPr>
        <w:t>eura</w:t>
      </w:r>
      <w:proofErr w:type="spellEnd"/>
      <w:r w:rsidR="00F60875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(“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Minimalni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iznos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po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ulaganju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”) </w:t>
      </w:r>
      <w:proofErr w:type="spellStart"/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koji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su</w:t>
      </w:r>
      <w:proofErr w:type="spellEnd"/>
      <w:r w:rsidR="00DF099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: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a)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punoljetn</w:t>
      </w:r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fizičk</w:t>
      </w:r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lica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državljani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Crne Gore</w:t>
      </w:r>
      <w:r w:rsidR="00DF099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F099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ili</w:t>
      </w:r>
      <w:proofErr w:type="spellEnd"/>
      <w:r w:rsidR="00DF099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b)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punoljetn</w:t>
      </w:r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fizičk</w:t>
      </w:r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lica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strani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državljani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koji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su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rezidenti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u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Crnoj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Gori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ili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c) </w:t>
      </w:r>
      <w:proofErr w:type="spellStart"/>
      <w:r w:rsidR="00DF099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p</w:t>
      </w:r>
      <w:r w:rsidR="00F139A7" w:rsidRPr="00116E50">
        <w:rPr>
          <w:rFonts w:ascii="Arial" w:eastAsiaTheme="minorHAnsi" w:hAnsi="Arial" w:cs="Arial"/>
          <w:sz w:val="22"/>
          <w:szCs w:val="22"/>
          <w:lang w:val="en-US" w:eastAsia="en-US"/>
        </w:rPr>
        <w:t>r</w:t>
      </w:r>
      <w:r w:rsidR="00A37A6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avna</w:t>
      </w:r>
      <w:proofErr w:type="spellEnd"/>
      <w:r w:rsidR="00A37A6B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A37A6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lica</w:t>
      </w:r>
      <w:proofErr w:type="spellEnd"/>
      <w:r w:rsidR="00D81AAF" w:rsidRPr="00116E50">
        <w:t xml:space="preserve">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registrovana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u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Crnoj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Gori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.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Maksimalan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iznos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po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ulaganju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nema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>ograničenje</w:t>
      </w:r>
      <w:proofErr w:type="spellEnd"/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,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tj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. </w:t>
      </w:r>
      <w:proofErr w:type="spellStart"/>
      <w:r w:rsidR="00462A89" w:rsidRPr="00116E50">
        <w:rPr>
          <w:rFonts w:ascii="Arial" w:eastAsiaTheme="minorHAnsi" w:hAnsi="Arial" w:cs="Arial"/>
          <w:sz w:val="22"/>
          <w:szCs w:val="22"/>
          <w:lang w:val="en-US" w:eastAsia="en-US"/>
        </w:rPr>
        <w:t>m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oguće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je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upisati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bilo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koji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iznos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veći</w:t>
      </w:r>
      <w:proofErr w:type="spellEnd"/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od </w:t>
      </w:r>
      <w:r w:rsidR="00D81AAF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500,00 (slovima: pet stotina) eura</w:t>
      </w:r>
      <w:r w:rsidR="00336E54" w:rsidRPr="00116E50">
        <w:rPr>
          <w:rFonts w:ascii="Arial" w:eastAsiaTheme="minorHAnsi" w:hAnsi="Arial" w:cs="Arial"/>
          <w:sz w:val="22"/>
          <w:szCs w:val="22"/>
          <w:lang w:val="en-US" w:eastAsia="en-US"/>
        </w:rPr>
        <w:t>.</w:t>
      </w:r>
      <w:r w:rsidR="00D81AAF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</w:p>
    <w:p w:rsidR="00336E54" w:rsidRPr="00116E50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en-US" w:eastAsia="en-US"/>
        </w:rPr>
        <w:t>VREMENSKI PLAN EMISIJE OBVEZNICA</w:t>
      </w:r>
      <w:r w:rsidR="00D81AAF" w:rsidRPr="00116E50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</w:t>
      </w:r>
    </w:p>
    <w:p w:rsidR="00D81AAF" w:rsidRPr="00116E50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Period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ponude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će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imati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dva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kruga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, od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kojih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je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prvi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krug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namijenjen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fizičkim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licima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koja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ispunjavaju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uslove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navedene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nastavku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(“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Prvi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krug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obveznica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”), a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drugi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krug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je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namijenjen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A37A6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pravnim</w:t>
      </w:r>
      <w:proofErr w:type="spellEnd"/>
      <w:r w:rsidR="00A37A6B"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A37A6B" w:rsidRPr="00116E50">
        <w:rPr>
          <w:rFonts w:ascii="Arial" w:eastAsiaTheme="minorHAnsi" w:hAnsi="Arial" w:cs="Arial"/>
          <w:sz w:val="22"/>
          <w:szCs w:val="22"/>
          <w:lang w:val="en-US" w:eastAsia="en-US"/>
        </w:rPr>
        <w:t>licima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(“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Drugi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krug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upisa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obveznica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”). </w:t>
      </w:r>
    </w:p>
    <w:p w:rsidR="00336E54" w:rsidRPr="00116E50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Vremenski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plan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emisije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obveznica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slijedi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nastavku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:</w:t>
      </w:r>
    </w:p>
    <w:p w:rsidR="00462A89" w:rsidRPr="00116E50" w:rsidRDefault="00462A89" w:rsidP="00462A89">
      <w:pPr>
        <w:rPr>
          <w:rFonts w:ascii="Arial" w:hAnsi="Arial" w:cs="Arial"/>
          <w:color w:val="000000" w:themeColor="text1"/>
          <w:sz w:val="22"/>
          <w:szCs w:val="22"/>
        </w:rPr>
      </w:pP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Početak perioda upisa u </w:t>
      </w:r>
      <w:r w:rsidR="00D81AAF" w:rsidRPr="00116E50">
        <w:rPr>
          <w:rFonts w:ascii="Arial" w:hAnsi="Arial" w:cs="Arial"/>
          <w:b/>
          <w:color w:val="000000" w:themeColor="text1"/>
          <w:sz w:val="22"/>
          <w:szCs w:val="22"/>
        </w:rPr>
        <w:t>prvom</w:t>
      </w: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 krugu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:</w:t>
      </w:r>
      <w:bookmarkStart w:id="1" w:name="OLE_LINK8"/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1A0E" w:rsidRPr="00116E50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2B762E" w:rsidRPr="00116E50">
        <w:rPr>
          <w:rFonts w:ascii="Arial" w:hAnsi="Arial" w:cs="Arial"/>
          <w:color w:val="000000" w:themeColor="text1"/>
          <w:sz w:val="22"/>
          <w:szCs w:val="22"/>
        </w:rPr>
        <w:t>03</w:t>
      </w:r>
      <w:r w:rsidR="00D36A6C"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 xml:space="preserve"> novembar 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202</w:t>
      </w:r>
      <w:r w:rsidR="00A37A6B" w:rsidRPr="00116E50">
        <w:rPr>
          <w:rFonts w:ascii="Arial" w:hAnsi="Arial" w:cs="Arial"/>
          <w:color w:val="000000" w:themeColor="text1"/>
          <w:sz w:val="22"/>
          <w:szCs w:val="22"/>
        </w:rPr>
        <w:t>5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F916AD" w:rsidRPr="00116E50">
        <w:rPr>
          <w:rFonts w:ascii="Arial" w:hAnsi="Arial" w:cs="Arial"/>
          <w:color w:val="000000" w:themeColor="text1"/>
          <w:sz w:val="22"/>
          <w:szCs w:val="22"/>
        </w:rPr>
        <w:t xml:space="preserve"> godine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 od 8</w:t>
      </w:r>
      <w:r w:rsidR="00503D01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bookmarkEnd w:id="1"/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>časova</w:t>
      </w:r>
    </w:p>
    <w:p w:rsidR="00462A89" w:rsidRPr="00116E50" w:rsidRDefault="00462A89" w:rsidP="00462A89">
      <w:pPr>
        <w:rPr>
          <w:rFonts w:ascii="Arial" w:hAnsi="Arial" w:cs="Arial"/>
          <w:color w:val="000000" w:themeColor="text1"/>
          <w:sz w:val="22"/>
          <w:szCs w:val="22"/>
        </w:rPr>
      </w:pP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Završetak perioda upisa u </w:t>
      </w:r>
      <w:r w:rsidR="00D81AAF" w:rsidRPr="00116E50">
        <w:rPr>
          <w:rFonts w:ascii="Arial" w:hAnsi="Arial" w:cs="Arial"/>
          <w:b/>
          <w:color w:val="000000" w:themeColor="text1"/>
          <w:sz w:val="22"/>
          <w:szCs w:val="22"/>
        </w:rPr>
        <w:t>prvom</w:t>
      </w: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 krugu</w:t>
      </w:r>
      <w:r w:rsidRPr="009333B6">
        <w:rPr>
          <w:rFonts w:ascii="Arial" w:hAnsi="Arial" w:cs="Arial"/>
          <w:color w:val="000000" w:themeColor="text1"/>
          <w:sz w:val="22"/>
          <w:szCs w:val="22"/>
        </w:rPr>
        <w:t>: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1AAF" w:rsidRPr="00116E50">
        <w:rPr>
          <w:rFonts w:ascii="Arial" w:hAnsi="Arial" w:cs="Arial"/>
          <w:color w:val="000000" w:themeColor="text1"/>
          <w:sz w:val="22"/>
          <w:szCs w:val="22"/>
        </w:rPr>
        <w:t>18</w:t>
      </w:r>
      <w:r w:rsidR="00D36A6C"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 xml:space="preserve"> novembar 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202</w:t>
      </w:r>
      <w:r w:rsidR="00A37A6B" w:rsidRPr="00116E50">
        <w:rPr>
          <w:rFonts w:ascii="Arial" w:hAnsi="Arial" w:cs="Arial"/>
          <w:color w:val="000000" w:themeColor="text1"/>
          <w:sz w:val="22"/>
          <w:szCs w:val="22"/>
        </w:rPr>
        <w:t>5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F916AD" w:rsidRPr="00116E50">
        <w:rPr>
          <w:rFonts w:ascii="Arial" w:hAnsi="Arial" w:cs="Arial"/>
          <w:color w:val="000000" w:themeColor="text1"/>
          <w:sz w:val="22"/>
          <w:szCs w:val="22"/>
        </w:rPr>
        <w:t xml:space="preserve"> godine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2B762E" w:rsidRPr="00116E50">
        <w:rPr>
          <w:rFonts w:ascii="Arial" w:hAnsi="Arial" w:cs="Arial"/>
          <w:color w:val="000000" w:themeColor="text1"/>
          <w:sz w:val="22"/>
          <w:szCs w:val="22"/>
        </w:rPr>
        <w:t>15</w:t>
      </w:r>
      <w:r w:rsidR="00503D01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>časova</w:t>
      </w:r>
    </w:p>
    <w:p w:rsidR="00693517" w:rsidRPr="00116E50" w:rsidRDefault="00693517" w:rsidP="00462A8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D65E2" w:rsidRPr="00116E50" w:rsidRDefault="000D65E2" w:rsidP="000D65E2">
      <w:pPr>
        <w:rPr>
          <w:rFonts w:ascii="Arial" w:hAnsi="Arial" w:cs="Arial"/>
          <w:color w:val="000000" w:themeColor="text1"/>
          <w:sz w:val="22"/>
          <w:szCs w:val="22"/>
        </w:rPr>
      </w:pP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Početak perioda upisa u </w:t>
      </w:r>
      <w:r w:rsidR="00D81AAF" w:rsidRPr="00116E50">
        <w:rPr>
          <w:rFonts w:ascii="Arial" w:hAnsi="Arial" w:cs="Arial"/>
          <w:b/>
          <w:color w:val="000000" w:themeColor="text1"/>
          <w:sz w:val="22"/>
          <w:szCs w:val="22"/>
        </w:rPr>
        <w:t>drugom</w:t>
      </w: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 krugu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D1A0E" w:rsidRPr="00116E50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D81AAF" w:rsidRPr="00116E50">
        <w:rPr>
          <w:rFonts w:ascii="Arial" w:hAnsi="Arial" w:cs="Arial"/>
          <w:color w:val="000000" w:themeColor="text1"/>
          <w:sz w:val="22"/>
          <w:szCs w:val="22"/>
        </w:rPr>
        <w:t>24</w:t>
      </w:r>
      <w:r w:rsidR="00D36A6C"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 xml:space="preserve"> novembar 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202</w:t>
      </w:r>
      <w:r w:rsidR="00A37A6B" w:rsidRPr="00116E50">
        <w:rPr>
          <w:rFonts w:ascii="Arial" w:hAnsi="Arial" w:cs="Arial"/>
          <w:color w:val="000000" w:themeColor="text1"/>
          <w:sz w:val="22"/>
          <w:szCs w:val="22"/>
        </w:rPr>
        <w:t>5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772386" w:rsidRPr="00116E50">
        <w:rPr>
          <w:rFonts w:ascii="Arial" w:hAnsi="Arial" w:cs="Arial"/>
          <w:color w:val="000000" w:themeColor="text1"/>
          <w:sz w:val="22"/>
          <w:szCs w:val="22"/>
        </w:rPr>
        <w:t xml:space="preserve"> godine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 od 8</w:t>
      </w:r>
      <w:r w:rsidR="00503D01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>časova</w:t>
      </w:r>
    </w:p>
    <w:p w:rsidR="000D65E2" w:rsidRPr="00116E50" w:rsidRDefault="000D65E2" w:rsidP="000D65E2">
      <w:pPr>
        <w:rPr>
          <w:rFonts w:ascii="Arial" w:hAnsi="Arial" w:cs="Arial"/>
          <w:color w:val="000000" w:themeColor="text1"/>
          <w:sz w:val="22"/>
          <w:szCs w:val="22"/>
        </w:rPr>
      </w:pP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Završetak perioda upisa u </w:t>
      </w:r>
      <w:r w:rsidR="00D81AAF" w:rsidRPr="00116E50">
        <w:rPr>
          <w:rFonts w:ascii="Arial" w:hAnsi="Arial" w:cs="Arial"/>
          <w:b/>
          <w:color w:val="000000" w:themeColor="text1"/>
          <w:sz w:val="22"/>
          <w:szCs w:val="22"/>
        </w:rPr>
        <w:t xml:space="preserve">drugom </w:t>
      </w:r>
      <w:r w:rsidRPr="00116E50">
        <w:rPr>
          <w:rFonts w:ascii="Arial" w:hAnsi="Arial" w:cs="Arial"/>
          <w:b/>
          <w:color w:val="000000" w:themeColor="text1"/>
          <w:sz w:val="22"/>
          <w:szCs w:val="22"/>
        </w:rPr>
        <w:t>krugu</w:t>
      </w:r>
      <w:r w:rsidRPr="009333B6">
        <w:rPr>
          <w:rFonts w:ascii="Arial" w:hAnsi="Arial" w:cs="Arial"/>
          <w:color w:val="000000" w:themeColor="text1"/>
          <w:sz w:val="22"/>
          <w:szCs w:val="22"/>
        </w:rPr>
        <w:t>: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1AAF" w:rsidRPr="00116E50">
        <w:rPr>
          <w:rFonts w:ascii="Arial" w:hAnsi="Arial" w:cs="Arial"/>
          <w:color w:val="000000" w:themeColor="text1"/>
          <w:sz w:val="22"/>
          <w:szCs w:val="22"/>
        </w:rPr>
        <w:t>28</w:t>
      </w:r>
      <w:r w:rsidR="00D36A6C"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 xml:space="preserve"> novembar 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202</w:t>
      </w:r>
      <w:r w:rsidR="00A37A6B" w:rsidRPr="00116E50">
        <w:rPr>
          <w:rFonts w:ascii="Arial" w:hAnsi="Arial" w:cs="Arial"/>
          <w:color w:val="000000" w:themeColor="text1"/>
          <w:sz w:val="22"/>
          <w:szCs w:val="22"/>
        </w:rPr>
        <w:t>5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>.</w:t>
      </w:r>
      <w:r w:rsidR="00772386" w:rsidRPr="00116E50">
        <w:rPr>
          <w:rFonts w:ascii="Arial" w:hAnsi="Arial" w:cs="Arial"/>
          <w:color w:val="000000" w:themeColor="text1"/>
          <w:sz w:val="22"/>
          <w:szCs w:val="22"/>
        </w:rPr>
        <w:t xml:space="preserve"> godine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2B762E" w:rsidRPr="00116E50">
        <w:rPr>
          <w:rFonts w:ascii="Arial" w:hAnsi="Arial" w:cs="Arial"/>
          <w:color w:val="000000" w:themeColor="text1"/>
          <w:sz w:val="22"/>
          <w:szCs w:val="22"/>
        </w:rPr>
        <w:t>15</w:t>
      </w:r>
      <w:r w:rsidR="00503D01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6E50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r w:rsidR="00DF0994" w:rsidRPr="00116E50">
        <w:rPr>
          <w:rFonts w:ascii="Arial" w:hAnsi="Arial" w:cs="Arial"/>
          <w:color w:val="000000" w:themeColor="text1"/>
          <w:sz w:val="22"/>
          <w:szCs w:val="22"/>
        </w:rPr>
        <w:t>časova</w:t>
      </w:r>
    </w:p>
    <w:p w:rsidR="00693517" w:rsidRPr="00116E50" w:rsidRDefault="00693517" w:rsidP="00336E54">
      <w:pPr>
        <w:spacing w:after="160" w:line="259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val="en-US" w:eastAsia="en-US"/>
        </w:rPr>
      </w:pPr>
    </w:p>
    <w:p w:rsidR="00336E54" w:rsidRPr="00116E50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en-US" w:eastAsia="en-US"/>
        </w:rPr>
        <w:t>PRV</w:t>
      </w:r>
      <w:r w:rsidR="00D81AAF" w:rsidRPr="00116E50">
        <w:rPr>
          <w:rFonts w:ascii="Arial" w:eastAsiaTheme="minorHAnsi" w:hAnsi="Arial" w:cs="Arial"/>
          <w:b/>
          <w:sz w:val="22"/>
          <w:szCs w:val="22"/>
          <w:lang w:val="en-US" w:eastAsia="en-US"/>
        </w:rPr>
        <w:t>I</w:t>
      </w:r>
      <w:r w:rsidRPr="00116E50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KRUG UPISA OBVEZNICA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Osnovne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informacije</w:t>
      </w:r>
      <w:proofErr w:type="spellEnd"/>
      <w:r w:rsidRPr="00116E50">
        <w:rPr>
          <w:rFonts w:ascii="Arial" w:eastAsiaTheme="minorHAnsi" w:hAnsi="Arial" w:cs="Arial"/>
          <w:sz w:val="22"/>
          <w:szCs w:val="22"/>
          <w:lang w:val="en-US" w:eastAsia="en-US"/>
        </w:rPr>
        <w:t>: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Prvi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krug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upisa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772386" w:rsidRPr="00BA4463">
        <w:rPr>
          <w:rFonts w:ascii="Arial" w:eastAsiaTheme="minorHAnsi" w:hAnsi="Arial" w:cs="Arial"/>
          <w:sz w:val="22"/>
          <w:szCs w:val="22"/>
          <w:lang w:val="en-US" w:eastAsia="en-US"/>
        </w:rPr>
        <w:t>Državnih</w:t>
      </w:r>
      <w:proofErr w:type="spellEnd"/>
      <w:r w:rsidR="00772386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772386" w:rsidRPr="00BA4463">
        <w:rPr>
          <w:rFonts w:ascii="Arial" w:eastAsiaTheme="minorHAnsi" w:hAnsi="Arial" w:cs="Arial"/>
          <w:sz w:val="22"/>
          <w:szCs w:val="22"/>
          <w:lang w:val="en-US" w:eastAsia="en-US"/>
        </w:rPr>
        <w:t>o</w:t>
      </w:r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bveznica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namijenjen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je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isključivo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:</w:t>
      </w:r>
    </w:p>
    <w:p w:rsidR="00336E54" w:rsidRPr="00BA4463" w:rsidRDefault="00DF0994" w:rsidP="00336E5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val="en-US" w:eastAsia="en-US"/>
        </w:rPr>
        <w:t>p</w:t>
      </w:r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unoljetnim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fizičkim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licima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,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državljanima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Crne Gore,</w:t>
      </w:r>
    </w:p>
    <w:p w:rsidR="00CE6F44" w:rsidRPr="00BA4463" w:rsidRDefault="00DF0994" w:rsidP="00336E54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val="en-US" w:eastAsia="en-US"/>
        </w:rPr>
        <w:t>p</w:t>
      </w:r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unoljetnim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fizičkim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licima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,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stranim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državljanima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koji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su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rezidenti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u </w:t>
      </w:r>
      <w:proofErr w:type="spellStart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Crnoj</w:t>
      </w:r>
      <w:proofErr w:type="spellEnd"/>
      <w:r w:rsidR="00336E5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Gori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.</w:t>
      </w:r>
    </w:p>
    <w:p w:rsidR="00CE6F44" w:rsidRPr="00BA4463" w:rsidRDefault="00CE6F44" w:rsidP="00CE6F44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336E54" w:rsidRPr="00BA4463" w:rsidRDefault="00D81AAF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Upis </w:t>
      </w:r>
      <w:r w:rsidR="00772386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Državn</w:t>
      </w:r>
      <w:r>
        <w:rPr>
          <w:rFonts w:ascii="Arial" w:eastAsiaTheme="minorHAnsi" w:hAnsi="Arial" w:cs="Arial"/>
          <w:sz w:val="22"/>
          <w:szCs w:val="22"/>
          <w:lang w:val="sr-Latn-ME" w:eastAsia="en-US"/>
        </w:rPr>
        <w:t>e</w:t>
      </w:r>
      <w:r w:rsidR="00772386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o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bveznic</w:t>
      </w:r>
      <w:r>
        <w:rPr>
          <w:rFonts w:ascii="Arial" w:eastAsiaTheme="minorHAnsi" w:hAnsi="Arial" w:cs="Arial"/>
          <w:sz w:val="22"/>
          <w:szCs w:val="22"/>
          <w:lang w:val="sr-Latn-ME" w:eastAsia="en-US"/>
        </w:rPr>
        <w:t>e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se</w:t>
      </w:r>
      <w:r w:rsidR="00336E54" w:rsidRPr="007261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</w:t>
      </w:r>
      <w:r w:rsidRPr="00D81AAF">
        <w:rPr>
          <w:rFonts w:ascii="Arial" w:eastAsiaTheme="minorHAnsi" w:hAnsi="Arial" w:cs="Arial"/>
          <w:sz w:val="22"/>
          <w:szCs w:val="22"/>
          <w:lang w:val="sr-Latn-ME" w:eastAsia="en-US"/>
        </w:rPr>
        <w:t>vrši</w:t>
      </w:r>
      <w:r w:rsidR="00336E54" w:rsidRPr="00D81AAF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popunjavanjem, potpisivanjem i prihvatanjem </w:t>
      </w:r>
      <w:r w:rsidR="00CE6F4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Upisnog listića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("</w:t>
      </w:r>
      <w:r w:rsidR="00CE6F4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Upisni listić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") i uplatom </w:t>
      </w:r>
      <w:r w:rsidR="0045351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upisanog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iznosa </w:t>
      </w:r>
      <w:r>
        <w:rPr>
          <w:rFonts w:ascii="Arial" w:eastAsiaTheme="minorHAnsi" w:hAnsi="Arial" w:cs="Arial"/>
          <w:sz w:val="22"/>
          <w:szCs w:val="22"/>
          <w:lang w:val="sr-Latn-ME" w:eastAsia="en-US"/>
        </w:rPr>
        <w:t>u skladu sa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podacima (broj računa i poziv na broj "Instrukcije za plaćanje") </w:t>
      </w:r>
      <w:r w:rsidR="00CE6F4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o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kojima će 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ulagač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biti obaviješten prilikom potpisivanja 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Upisnog listića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. Upisni 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listić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će biti popunjen, odštampan, potpisan i prihvaćen na upisnim 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šalterima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</w:p>
    <w:p w:rsidR="00A00024" w:rsidRDefault="00A0002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</w:p>
    <w:p w:rsidR="00B36C64" w:rsidRDefault="00B36C6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lastRenderedPageBreak/>
        <w:t xml:space="preserve">DOKAZ ISPUNJAVANJA USLOVA </w:t>
      </w:r>
      <w:r w:rsidR="008E159A"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ZA</w:t>
      </w: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FIZIČK</w:t>
      </w:r>
      <w:r w:rsidR="008E159A"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O</w:t>
      </w: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</w:t>
      </w:r>
      <w:r w:rsidR="008E159A"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LICE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Punoljetna fizička lica koja su državljani 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Crne Gore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dokazuju svoj status važećim ličnim dokumentom: ličn</w:t>
      </w:r>
      <w:r w:rsidR="002B762E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kart</w:t>
      </w:r>
      <w:r w:rsidR="002B762E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ili pasoš izdat od strane nadležnog organa Crne Gore, koji mora biti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dat na uvid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prilikom popunjavanja, potpisivanja i prihvatanja 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Upisnog listića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Punoljetna fizička lica koja su strani državljani sa prebivalištem u </w:t>
      </w:r>
      <w:bookmarkStart w:id="2" w:name="_Hlk181781653"/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Crnoj Gori </w:t>
      </w:r>
      <w:bookmarkEnd w:id="2"/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dokazuju svoj status važećom ličnom kartom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ili pasoš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em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izdat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im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od strane nadležnog organa matične zemlje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boravišn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om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kart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om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stranca koju je izdao nadležni organ Crne Gore.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P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unoljetn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lica koja su strani državljani sa prebivalištem u Crnoj Gori moraju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dati na uvid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l</w:t>
      </w:r>
      <w:r w:rsidR="009021FF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ični dokument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prilikom popunjavanja, potpisivanja i prihvatanja </w:t>
      </w:r>
      <w:r w:rsidR="00ED7B2E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Upisnog listića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,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kao i potvrdu o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prebivalištu (u originalu ili ov</w:t>
      </w:r>
      <w:r w:rsidR="008C708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j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erenoj kopiji), a kopija će biti sačuvana sa upis</w:t>
      </w:r>
      <w:r w:rsidR="00E25E32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nim listićem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ili se u </w:t>
      </w:r>
      <w:r w:rsidR="00E25E32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upisnom listiću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navodi da je isti pregledan.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ROKOVI I </w:t>
      </w:r>
      <w:r w:rsidR="009021FF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MJESTO</w:t>
      </w: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UPISA</w:t>
      </w:r>
    </w:p>
    <w:p w:rsidR="00336E54" w:rsidRPr="00726150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Fizička lica mogu upisati </w:t>
      </w:r>
      <w:r w:rsidR="00E25E32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Državnu 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obveznicu od početka perioda upisa</w:t>
      </w:r>
      <w:r w:rsidR="003F38A9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 </w:t>
      </w:r>
      <w:r w:rsidR="009021FF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prvom</w:t>
      </w:r>
      <w:r w:rsidR="003F38A9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krugu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, tj. od </w:t>
      </w:r>
      <w:r w:rsidR="002B762E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03.</w:t>
      </w:r>
      <w:r w:rsidR="00726150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novembra 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202</w:t>
      </w:r>
      <w:r w:rsidR="00A37A6B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5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="002B762E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godine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od 8</w:t>
      </w:r>
      <w:r w:rsidR="00B12D6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00 časova, do kraja perioda</w:t>
      </w:r>
      <w:r w:rsidR="003F38A9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upisa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 </w:t>
      </w:r>
      <w:r w:rsidR="009021FF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prvom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krugu, tj. do </w:t>
      </w:r>
      <w:r w:rsidR="009021FF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18</w:t>
      </w:r>
      <w:r w:rsidR="00726150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. novembra 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202</w:t>
      </w:r>
      <w:r w:rsidR="00A37A6B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5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="002B762E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godine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 </w:t>
      </w:r>
      <w:r w:rsidR="002B762E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15</w:t>
      </w:r>
      <w:r w:rsidR="00B12D6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00 časova </w:t>
      </w:r>
      <w:r w:rsidR="009021FF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kod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naznačen</w:t>
      </w:r>
      <w:r w:rsidR="009021FF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ih</w:t>
      </w:r>
      <w:r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</w:t>
      </w:r>
      <w:r w:rsidR="003F38A9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poslovnic</w:t>
      </w:r>
      <w:r w:rsidR="009021FF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a</w:t>
      </w:r>
      <w:r w:rsidR="003F38A9" w:rsidRPr="00726150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banaka.</w:t>
      </w:r>
    </w:p>
    <w:p w:rsidR="00E25E32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Potencijalni </w:t>
      </w:r>
      <w:r w:rsidR="003F38A9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ul</w:t>
      </w:r>
      <w:r w:rsidR="006C391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="003F38A9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g</w:t>
      </w:r>
      <w:r w:rsidR="006C391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="003F38A9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či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se pozivaju da se upoznaju sa radnim vremenom poslovnica </w:t>
      </w:r>
      <w:r w:rsidR="003F38A9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banaka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preko internet stranica koje se nalaze na kraju ovog Javnog poziva.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UPLATA PO IZVRŠENOM UPISU</w:t>
      </w:r>
    </w:p>
    <w:p w:rsidR="00336E54" w:rsidRPr="00BA4463" w:rsidRDefault="00E25E3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F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izička lica koja potpišu i prihvate </w:t>
      </w:r>
      <w:r w:rsidR="006C391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Upisni listić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dužna su da odmah 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izvrš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e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6C391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platu upisanih obveznica </w:t>
      </w:r>
      <w:r w:rsidR="006C391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 skladu sa instrukcijom za uplatu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. 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TROŠKOVI UPISA</w:t>
      </w:r>
    </w:p>
    <w:p w:rsidR="00CB3D63" w:rsidRDefault="006C3918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Emitent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snosi troškove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koje bi ovlašćena institucija naplatila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8E159A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fizičkom licu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prilikom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upis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obveznica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</w:p>
    <w:p w:rsidR="00CB3D63" w:rsidRDefault="006C3918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Emitent ne snosi troškove </w:t>
      </w:r>
      <w:r w:rsidR="00CB3D63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naknade za uslugu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koje </w:t>
      </w:r>
      <w:r w:rsidR="008E159A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fizičko lice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ima prilikom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prenosa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sredstava </w:t>
      </w:r>
      <w:r w:rsidR="009021FF">
        <w:rPr>
          <w:rFonts w:ascii="Arial" w:eastAsiaTheme="minorHAnsi" w:hAnsi="Arial" w:cs="Arial"/>
          <w:sz w:val="22"/>
          <w:szCs w:val="22"/>
          <w:lang w:val="sr-Latn-ME" w:eastAsia="en-US"/>
        </w:rPr>
        <w:t>i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z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među dvije </w:t>
      </w:r>
      <w:r w:rsidR="00CB3D63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institucije za platni promet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 za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ovjer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u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punomoćja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dokumentacij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e.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DRUG</w:t>
      </w:r>
      <w:r w:rsidR="00CB3D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I</w:t>
      </w: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KRUG UPISA OBVEZNICA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Drugi krug upisa </w:t>
      </w:r>
      <w:r w:rsidR="003023B1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Državnih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obveznica namijenjen je isključivo </w:t>
      </w:r>
      <w:r w:rsidR="00A37A6B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pravnim licima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726150">
        <w:rPr>
          <w:rFonts w:ascii="Arial" w:eastAsiaTheme="minorHAnsi" w:hAnsi="Arial" w:cs="Arial"/>
          <w:sz w:val="22"/>
          <w:szCs w:val="22"/>
          <w:lang w:val="sr-Latn-ME" w:eastAsia="en-US"/>
        </w:rPr>
        <w:t>registrovani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m</w:t>
      </w:r>
      <w:r w:rsidR="007261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 Crnoj Gori.</w:t>
      </w:r>
    </w:p>
    <w:p w:rsidR="003023B1" w:rsidRPr="00BA4463" w:rsidRDefault="00336AA4" w:rsidP="00336AA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Početak p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eriod</w:t>
      </w:r>
      <w:r w:rsidR="003023B1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upisa </w:t>
      </w:r>
      <w:r w:rsidR="003023B1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Državnih 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obveznica u drugom krugu je 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24</w:t>
      </w:r>
      <w:r w:rsidR="002B762E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  <w:r w:rsidR="007261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novembar 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202</w:t>
      </w:r>
      <w:r w:rsidR="00A37A6B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5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  <w:r w:rsidR="002B762E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godine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 8</w:t>
      </w:r>
      <w:r w:rsidR="00B12D60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  <w:r w:rsidR="00726150">
        <w:rPr>
          <w:rFonts w:ascii="Arial" w:eastAsiaTheme="minorHAnsi" w:hAnsi="Arial" w:cs="Arial"/>
          <w:sz w:val="22"/>
          <w:szCs w:val="22"/>
          <w:lang w:val="sr-Latn-ME" w:eastAsia="en-US"/>
        </w:rPr>
        <w:t>00 časova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, a period završetka upisa je 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28</w:t>
      </w:r>
      <w:r w:rsidR="002B762E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  <w:r w:rsidR="00B12D6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7261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novembar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202</w:t>
      </w:r>
      <w:r w:rsidR="00A37A6B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5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  <w:r w:rsidR="00B12D6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2B762E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godine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u </w:t>
      </w:r>
      <w:r w:rsidR="002B762E">
        <w:rPr>
          <w:rFonts w:ascii="Arial" w:eastAsiaTheme="minorHAnsi" w:hAnsi="Arial" w:cs="Arial"/>
          <w:sz w:val="22"/>
          <w:szCs w:val="22"/>
          <w:lang w:val="sr-Latn-ME" w:eastAsia="en-US"/>
        </w:rPr>
        <w:t>15</w:t>
      </w:r>
      <w:r w:rsidR="00B12D60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  <w:r w:rsidR="00726150">
        <w:rPr>
          <w:rFonts w:ascii="Arial" w:eastAsiaTheme="minorHAnsi" w:hAnsi="Arial" w:cs="Arial"/>
          <w:sz w:val="22"/>
          <w:szCs w:val="22"/>
          <w:lang w:val="sr-Latn-ME" w:eastAsia="en-US"/>
        </w:rPr>
        <w:t>00 časova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</w:p>
    <w:p w:rsidR="003023B1" w:rsidRPr="00BA4463" w:rsidRDefault="003023B1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Pr</w:t>
      </w:r>
      <w:r w:rsidR="00F52F8D">
        <w:rPr>
          <w:rFonts w:ascii="Arial" w:eastAsiaTheme="minorHAnsi" w:hAnsi="Arial" w:cs="Arial"/>
          <w:sz w:val="22"/>
          <w:szCs w:val="22"/>
          <w:lang w:val="sr-Latn-ME" w:eastAsia="en-US"/>
        </w:rPr>
        <w:t>avna lica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koj</w:t>
      </w:r>
      <w:r w:rsidR="00F52F8D">
        <w:rPr>
          <w:rFonts w:ascii="Arial" w:eastAsiaTheme="minorHAnsi" w:hAnsi="Arial" w:cs="Arial"/>
          <w:sz w:val="22"/>
          <w:szCs w:val="22"/>
          <w:lang w:val="sr-Latn-ME" w:eastAsia="en-US"/>
        </w:rPr>
        <w:t>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potpišu i prihvate Upisni listić 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dužna su da odmah </w:t>
      </w:r>
      <w:r w:rsidR="00CB3D63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izvrš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e</w:t>
      </w:r>
      <w:r w:rsidR="00CB3D63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uplatu upisanih obveznica u skladu sa instrukcijom za uplatu. </w:t>
      </w:r>
    </w:p>
    <w:p w:rsidR="00A00024" w:rsidRDefault="00A0002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A00024" w:rsidRDefault="00A0002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CB3D63" w:rsidRPr="00BA4463" w:rsidRDefault="00D52063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lastRenderedPageBreak/>
        <w:t>Troškov</w:t>
      </w:r>
      <w:r w:rsidR="003E35E9">
        <w:rPr>
          <w:rFonts w:ascii="Arial" w:eastAsiaTheme="minorHAnsi" w:hAnsi="Arial" w:cs="Arial"/>
          <w:sz w:val="22"/>
          <w:szCs w:val="22"/>
          <w:lang w:val="sr-Latn-ME" w:eastAsia="en-US"/>
        </w:rPr>
        <w:t>e</w:t>
      </w:r>
      <w:r w:rsidR="00DD3112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pravnog lica koji nastanu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 vezi sa upisom državnih obveznica u drugom krugu upisa, snosi pravno lice koje vrši upis obveznica</w:t>
      </w:r>
      <w:r w:rsidR="00CB3D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ALOKACIJA</w:t>
      </w:r>
    </w:p>
    <w:p w:rsidR="00820468" w:rsidRPr="007F4962" w:rsidRDefault="00820468" w:rsidP="00820468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Emitent zadržava pravo da prihvati upisane obveznice ukoliko interesovanje za Državnim obveznicama bude veće od nominalnog iznosa, maksimalno do 1</w:t>
      </w:r>
      <w:r w:rsidR="00726150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00.000.000,00 (slovima: sto miliona) 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eura (u daljem tekstu „maksimalni iznos“). </w:t>
      </w:r>
    </w:p>
    <w:p w:rsidR="00DD3112" w:rsidRPr="007F4962" w:rsidRDefault="00B112DC" w:rsidP="00B112DC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Emitent će ukoliko interesovanje za </w:t>
      </w:r>
      <w:r w:rsidR="00974F49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Državnim 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obveznicama </w:t>
      </w:r>
      <w:r w:rsidR="00336E54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u prvom krugu upisa obveznica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bude veće od nominalnog</w:t>
      </w:r>
      <w:r w:rsidR="0082046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, odnosno maksimalnog 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iznosa </w:t>
      </w:r>
      <w:r w:rsidR="00BF609F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Državnih 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obveznica</w:t>
      </w:r>
      <w:r w:rsidR="00DD311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za upis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, </w:t>
      </w:r>
      <w:r w:rsidR="00DD311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dodijeliti nominalni</w:t>
      </w:r>
      <w:r w:rsidR="0082046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, odnosno maksimalni</w:t>
      </w:r>
      <w:r w:rsidR="00DD311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iznos upisanih obveznica na način što će:</w:t>
      </w:r>
    </w:p>
    <w:p w:rsidR="00DD3112" w:rsidRPr="005B423E" w:rsidRDefault="00DD3112" w:rsidP="00DD31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upisani iznos obveznica dodijeliti svim ulagačima </w:t>
      </w:r>
      <w:r w:rsidR="00E177B7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do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dan</w:t>
      </w:r>
      <w:r w:rsidR="00E177B7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a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prije dana donošenja odluke za </w:t>
      </w:r>
      <w:r w:rsidR="0003653E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prekid upisa Državnih obveznica</w:t>
      </w:r>
      <w:r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;</w:t>
      </w:r>
    </w:p>
    <w:p w:rsidR="00BF609F" w:rsidRPr="005B423E" w:rsidRDefault="00DD3112" w:rsidP="00DD31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upisani iznos obveznica na dan</w:t>
      </w:r>
      <w:r w:rsidR="00B112DC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</w:t>
      </w:r>
      <w:r w:rsidR="00E177B7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prije dana donošenja odluke za prekid upisa </w:t>
      </w:r>
      <w:r w:rsidR="00ED17D2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Državnih </w:t>
      </w:r>
      <w:r w:rsidR="00E177B7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obveznica </w:t>
      </w:r>
      <w:r w:rsidR="00B112DC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ulagačima</w:t>
      </w:r>
      <w:r w:rsidR="00ED17D2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dodijeliti </w:t>
      </w:r>
      <w:r w:rsidR="00BF609F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isti procenat do nominalnog</w:t>
      </w:r>
      <w:r w:rsidR="00784B1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, odnosno maksimalnog</w:t>
      </w:r>
      <w:r w:rsidR="00BF609F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iznosa Državnih obveznica</w:t>
      </w:r>
      <w:r w:rsidR="00726150" w:rsidRPr="005B423E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</w:p>
    <w:p w:rsidR="00336E54" w:rsidRPr="007F4962" w:rsidRDefault="00BF609F" w:rsidP="00BF609F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Ukoliko interesovanje za Državnim obveznicama u prvom krugu upisa obveznica bude veće od </w:t>
      </w:r>
      <w:r w:rsidR="0082046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maksimalnog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iznosa Državnih obveznica za upis, Emitent </w:t>
      </w:r>
      <w:r w:rsidR="00B112DC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neće raspisivati drugi krug upisa obveznica.</w:t>
      </w:r>
    </w:p>
    <w:p w:rsidR="00B112DC" w:rsidRPr="007F4962" w:rsidRDefault="00B112DC" w:rsidP="00B112DC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Emitent će</w:t>
      </w:r>
      <w:r w:rsidR="008C708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,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ukoliko interesovanje za </w:t>
      </w:r>
      <w:r w:rsidR="00974F49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Državnim 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obveznicama u prvom krugu upisa obveznica bude manje od nominalnog</w:t>
      </w:r>
      <w:r w:rsidR="0082046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, odnosno maksimalnog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iznosa obveznica, cjelokupan iznos upisanih obveznica dodijeliti ulagačima iz prvog kruga, a nakon toga raspisati drugi krug upisa obveznic</w:t>
      </w:r>
      <w:r w:rsidR="00DF13A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a.</w:t>
      </w:r>
    </w:p>
    <w:p w:rsidR="00336E54" w:rsidRPr="007F4962" w:rsidRDefault="00DF13A2" w:rsidP="00336E54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Emitent će</w:t>
      </w:r>
      <w:r w:rsidR="008C708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,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ukoliko interesovanje za </w:t>
      </w:r>
      <w:r w:rsidR="00974F49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Državnim 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obveznicama u drugom krugu upisa obveznica bude veće od raspoloživog iznosa obveznica</w:t>
      </w:r>
      <w:r w:rsidR="00D52063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za upis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,</w:t>
      </w:r>
      <w:r w:rsidR="00ED1A0E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odnosno od maksimalnog iznosa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dodijeliti</w:t>
      </w:r>
      <w:r w:rsidR="0003653E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isti procenat od iznosa upisanih obveznica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ulagačima iz drugog kruga, </w:t>
      </w:r>
      <w:r w:rsidR="0003653E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do </w:t>
      </w:r>
      <w:r w:rsidR="00D52063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raspoloživog</w:t>
      </w:r>
      <w:r w:rsidR="0003653E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iznosa obveznica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</w:p>
    <w:p w:rsidR="00336E54" w:rsidRPr="007F4962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</w:pP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Ako se </w:t>
      </w:r>
      <w:r w:rsidR="008C708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ulagaču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dodijeli manje obveznica nego što su upisane i uplaćene, a u skladu sa Alokacijom izvršen</w:t>
      </w:r>
      <w:r w:rsidR="00DF13A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om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od strane </w:t>
      </w:r>
      <w:r w:rsidR="00DF13A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Emitenta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, višak sredstava će biti vraćen </w:t>
      </w:r>
      <w:r w:rsidR="00DF13A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ulagaču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 roku od </w:t>
      </w:r>
      <w:r w:rsidR="0003653E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5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(</w:t>
      </w:r>
      <w:r w:rsidR="00303718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slovima: pet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) radnih dana nakon isteka Perioda</w:t>
      </w:r>
      <w:r w:rsidR="00974F49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upisa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 xml:space="preserve"> na račun naveden u </w:t>
      </w:r>
      <w:r w:rsidR="00DF13A2"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upisnom listiću</w:t>
      </w:r>
      <w:r w:rsidRPr="007F4962">
        <w:rPr>
          <w:rFonts w:ascii="Arial" w:eastAsiaTheme="minorHAnsi" w:hAnsi="Arial" w:cs="Arial"/>
          <w:color w:val="000000" w:themeColor="text1"/>
          <w:sz w:val="22"/>
          <w:szCs w:val="22"/>
          <w:lang w:val="sr-Latn-ME" w:eastAsia="en-US"/>
        </w:rPr>
        <w:t>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OBJAVA O KONAČNIM </w:t>
      </w:r>
      <w:r w:rsidR="00DF13A2"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REZULTATIMA</w:t>
      </w: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 xml:space="preserve"> EMISIJE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U Saopštenju o konačnim </w:t>
      </w:r>
      <w:r w:rsidR="00DF13A2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rezultatima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emisije,  </w:t>
      </w:r>
      <w:r w:rsidR="00DF13A2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Emitent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će posebno objaviti informaciju o ukupnom broju 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upisanih </w:t>
      </w:r>
      <w:r w:rsidR="00974F49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i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dodijeljenih</w:t>
      </w:r>
      <w:r w:rsidR="00974F49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Državnih obveznica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 prvom i drugom periodu upisa obveznica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DATUM EMISIJE – DAN PORAVNANJA</w:t>
      </w:r>
    </w:p>
    <w:p w:rsidR="00336E54" w:rsidRPr="00BA4463" w:rsidRDefault="00EB614B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bookmarkStart w:id="3" w:name="_Hlk210291684"/>
      <w:r>
        <w:rPr>
          <w:rFonts w:ascii="Arial" w:eastAsiaTheme="minorHAnsi" w:hAnsi="Arial" w:cs="Arial"/>
          <w:sz w:val="22"/>
          <w:szCs w:val="22"/>
          <w:lang w:val="sr-Latn-ME" w:eastAsia="en-US"/>
        </w:rPr>
        <w:t>U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lagači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postaju vlasnici 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Državnih 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obveznica nakon što one budu upisane na njihovim računima hartija od vr</w:t>
      </w:r>
      <w:r w:rsidR="006C6667">
        <w:rPr>
          <w:rFonts w:ascii="Arial" w:eastAsiaTheme="minorHAnsi" w:hAnsi="Arial" w:cs="Arial"/>
          <w:sz w:val="22"/>
          <w:szCs w:val="22"/>
          <w:lang w:val="sr-Latn-ME" w:eastAsia="en-US"/>
        </w:rPr>
        <w:t>ij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ednosti kod Centralno</w:t>
      </w:r>
      <w:r w:rsidR="006C6667">
        <w:rPr>
          <w:rFonts w:ascii="Arial" w:eastAsiaTheme="minorHAnsi" w:hAnsi="Arial" w:cs="Arial"/>
          <w:sz w:val="22"/>
          <w:szCs w:val="22"/>
          <w:lang w:val="sr-Latn-ME" w:eastAsia="en-US"/>
        </w:rPr>
        <w:t>g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klirinškog </w:t>
      </w:r>
      <w:r w:rsidR="006C6667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depozitarnog 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društva ("CKDD")</w:t>
      </w:r>
      <w:r w:rsidR="00ED1A0E">
        <w:rPr>
          <w:rFonts w:ascii="Arial" w:eastAsiaTheme="minorHAnsi" w:hAnsi="Arial" w:cs="Arial"/>
          <w:sz w:val="22"/>
          <w:szCs w:val="22"/>
          <w:lang w:val="sr-Latn-ME" w:eastAsia="en-US"/>
        </w:rPr>
        <w:t>, u skladu sa rokovima definisanim Uredbom.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</w:p>
    <w:bookmarkEnd w:id="3"/>
    <w:p w:rsidR="00A00024" w:rsidRDefault="00A0002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lastRenderedPageBreak/>
        <w:t>Svakom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EB614B">
        <w:rPr>
          <w:rFonts w:ascii="Arial" w:eastAsiaTheme="minorHAnsi" w:hAnsi="Arial" w:cs="Arial"/>
          <w:sz w:val="22"/>
          <w:szCs w:val="22"/>
          <w:lang w:val="en-US" w:eastAsia="en-US"/>
        </w:rPr>
        <w:t>ulagaču</w:t>
      </w:r>
      <w:proofErr w:type="spellEnd"/>
      <w:r w:rsidR="007F4962">
        <w:rPr>
          <w:rFonts w:ascii="Arial" w:eastAsiaTheme="minorHAnsi" w:hAnsi="Arial" w:cs="Arial"/>
          <w:sz w:val="22"/>
          <w:szCs w:val="22"/>
          <w:lang w:val="en-US" w:eastAsia="en-US"/>
        </w:rPr>
        <w:t>,</w:t>
      </w:r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fizičko</w:t>
      </w:r>
      <w:r w:rsidR="000D42F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m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0D42F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licu</w:t>
      </w:r>
      <w:proofErr w:type="spellEnd"/>
      <w:r w:rsidR="007F4962">
        <w:rPr>
          <w:rFonts w:ascii="Arial" w:eastAsiaTheme="minorHAnsi" w:hAnsi="Arial" w:cs="Arial"/>
          <w:sz w:val="22"/>
          <w:szCs w:val="22"/>
          <w:lang w:val="en-US" w:eastAsia="en-US"/>
        </w:rPr>
        <w:t>,</w:t>
      </w:r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koji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nema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otvoren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račun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kod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CKDD-a,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prilikom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procesa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upisa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0D42F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Državnih</w:t>
      </w:r>
      <w:proofErr w:type="spellEnd"/>
      <w:r w:rsidR="000D42F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0D42F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obveznica</w:t>
      </w:r>
      <w:proofErr w:type="spellEnd"/>
      <w:r w:rsidR="000D42F4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CKDD </w:t>
      </w:r>
      <w:proofErr w:type="spellStart"/>
      <w:r w:rsidR="006C6667" w:rsidRPr="00BA4463">
        <w:rPr>
          <w:rFonts w:ascii="Arial" w:eastAsiaTheme="minorHAnsi" w:hAnsi="Arial" w:cs="Arial"/>
          <w:sz w:val="22"/>
          <w:szCs w:val="22"/>
          <w:lang w:val="en-US" w:eastAsia="en-US"/>
        </w:rPr>
        <w:t>će</w:t>
      </w:r>
      <w:proofErr w:type="spellEnd"/>
      <w:r w:rsidR="006C6667"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otvoriti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takav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račun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skladu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sa </w:t>
      </w:r>
      <w:proofErr w:type="spellStart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>aktima</w:t>
      </w:r>
      <w:proofErr w:type="spellEnd"/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0D42F4" w:rsidRPr="00BA4463">
        <w:rPr>
          <w:rFonts w:ascii="Arial" w:eastAsiaTheme="minorHAnsi" w:hAnsi="Arial" w:cs="Arial"/>
          <w:sz w:val="22"/>
          <w:szCs w:val="22"/>
          <w:lang w:val="en-US" w:eastAsia="en-US"/>
        </w:rPr>
        <w:t>C</w:t>
      </w:r>
      <w:r w:rsidRPr="00BA446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KDD-a. </w:t>
      </w:r>
    </w:p>
    <w:p w:rsidR="00E06CEB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Dodijeljene 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Državne 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obveznice će biti 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prenijete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E91ACF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pravnim licima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registracijom odgovarajućeg broja izdatih obveznica na račune hartija od vr</w:t>
      </w:r>
      <w:r w:rsidR="006C6667">
        <w:rPr>
          <w:rFonts w:ascii="Arial" w:eastAsiaTheme="minorHAnsi" w:hAnsi="Arial" w:cs="Arial"/>
          <w:sz w:val="22"/>
          <w:szCs w:val="22"/>
          <w:lang w:val="sr-Latn-ME" w:eastAsia="en-US"/>
        </w:rPr>
        <w:t>ij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ednosti </w:t>
      </w:r>
      <w:r w:rsidR="00E91ACF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pravnog lica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, u skladu sa podacima unešenim u 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Upisni listić i u Registar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obveznica </w:t>
      </w:r>
      <w:r w:rsidR="000D42F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Emitenta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UVRŠTAVANJE OBVEZNICA NA ZVANIČNO TRŽIŠTE MONTENEGROBERZE</w:t>
      </w:r>
    </w:p>
    <w:p w:rsidR="00582B7F" w:rsidRPr="00BA4463" w:rsidRDefault="005D6FE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Emitent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podnosi zaht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j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ev za uvrštenje 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Državnih 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obveznica najkasnije u roku od 1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5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(</w:t>
      </w:r>
      <w:r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petnaest)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dana od dana </w:t>
      </w:r>
      <w:r w:rsidR="00F37F0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registracije u CKDD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>-u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, a 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>koje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će biti uvršten</w:t>
      </w:r>
      <w:r w:rsidR="00F37F08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e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na listu 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>u skladu sa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>odlukom</w:t>
      </w:r>
      <w:r w:rsidR="00336E54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o uvrštenju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koju donosi</w:t>
      </w:r>
      <w:r w:rsidR="00E06CEB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E06CEB" w:rsidRPr="00BA4463">
        <w:rPr>
          <w:rFonts w:ascii="Arial" w:eastAsiaTheme="minorHAnsi" w:hAnsi="Arial" w:cs="Arial"/>
          <w:sz w:val="22"/>
          <w:szCs w:val="22"/>
          <w:lang w:val="sr-Latn-ME" w:eastAsia="en-US"/>
        </w:rPr>
        <w:t>Montenegroberz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>a.</w:t>
      </w:r>
    </w:p>
    <w:p w:rsidR="00336E54" w:rsidRPr="00116E50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OBRADA LIČNIH PODATAKA</w:t>
      </w:r>
    </w:p>
    <w:p w:rsidR="00582B7F" w:rsidRPr="00BA4463" w:rsidRDefault="005D6FE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Emitent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, kao </w:t>
      </w:r>
      <w:r w:rsidR="00BA4463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rukovalac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poda</w:t>
      </w:r>
      <w:r w:rsidR="00BA4463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cima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, brine o zaštiti ličnih podataka </w:t>
      </w:r>
      <w:r w:rsidR="00DD6F2A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u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lagača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čiji</w:t>
      </w:r>
      <w:r w:rsidR="00336E54"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lični podaci će se obrađivati u svrhu </w:t>
      </w:r>
      <w:r w:rsidRPr="00116E50">
        <w:rPr>
          <w:rFonts w:ascii="Arial" w:eastAsiaTheme="minorHAnsi" w:hAnsi="Arial" w:cs="Arial"/>
          <w:sz w:val="22"/>
          <w:szCs w:val="22"/>
          <w:lang w:val="sr-Latn-ME" w:eastAsia="en-US"/>
        </w:rPr>
        <w:t>cjelokupnog procesa upisa obveznica, kao i konačne otplate o roku dospijeća.</w:t>
      </w:r>
    </w:p>
    <w:p w:rsidR="00336E54" w:rsidRPr="00BA4463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val="sr-Latn-ME" w:eastAsia="en-US"/>
        </w:rPr>
      </w:pPr>
      <w:r w:rsidRPr="00BA4463">
        <w:rPr>
          <w:rFonts w:ascii="Arial" w:eastAsiaTheme="minorHAnsi" w:hAnsi="Arial" w:cs="Arial"/>
          <w:b/>
          <w:sz w:val="22"/>
          <w:szCs w:val="22"/>
          <w:lang w:val="sr-Latn-ME" w:eastAsia="en-US"/>
        </w:rPr>
        <w:t>POSLOVNICE ZA UPIS</w:t>
      </w:r>
    </w:p>
    <w:p w:rsidR="00336E54" w:rsidRDefault="00336E54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Spisak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poslovnica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banaka 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za prvi 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i drugi 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krug upisa obveznica, njihove adrese i radno vrijeme, ka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o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i kontakt poda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ci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bookmarkStart w:id="4" w:name="_Hlk210644763"/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pr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eko koj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ih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se mogu dobiti sve informacije </w:t>
      </w:r>
      <w:r w:rsidR="00B12D60">
        <w:rPr>
          <w:rFonts w:ascii="Arial" w:eastAsiaTheme="minorHAnsi" w:hAnsi="Arial" w:cs="Arial"/>
          <w:sz w:val="22"/>
          <w:szCs w:val="22"/>
          <w:lang w:val="sr-Latn-ME" w:eastAsia="en-US"/>
        </w:rPr>
        <w:t>u vezi sa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realizacij</w:t>
      </w:r>
      <w:r w:rsidR="00B12D60">
        <w:rPr>
          <w:rFonts w:ascii="Arial" w:eastAsiaTheme="minorHAnsi" w:hAnsi="Arial" w:cs="Arial"/>
          <w:sz w:val="22"/>
          <w:szCs w:val="22"/>
          <w:lang w:val="sr-Latn-ME" w:eastAsia="en-US"/>
        </w:rPr>
        <w:t>om</w:t>
      </w:r>
      <w:bookmarkStart w:id="5" w:name="_GoBack"/>
      <w:bookmarkEnd w:id="5"/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emisije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 pr</w:t>
      </w:r>
      <w:r w:rsidR="00E91ACF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v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om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i drugom 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krug</w:t>
      </w:r>
      <w:r w:rsidR="00D95370"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>u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upisa obveznica 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>mogu</w:t>
      </w:r>
      <w:r w:rsidRPr="00E06CEB">
        <w:rPr>
          <w:rFonts w:ascii="Arial" w:eastAsiaTheme="minorHAnsi" w:hAnsi="Arial" w:cs="Arial"/>
          <w:sz w:val="22"/>
          <w:szCs w:val="22"/>
          <w:lang w:val="sr-Latn-ME" w:eastAsia="en-US"/>
        </w:rPr>
        <w:t xml:space="preserve"> se naći u nastavku</w:t>
      </w:r>
      <w:r w:rsidR="00E06CEB">
        <w:rPr>
          <w:rFonts w:ascii="Arial" w:eastAsiaTheme="minorHAnsi" w:hAnsi="Arial" w:cs="Arial"/>
          <w:sz w:val="22"/>
          <w:szCs w:val="22"/>
          <w:lang w:val="sr-Latn-ME" w:eastAsia="en-US"/>
        </w:rPr>
        <w:t>.</w:t>
      </w: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784B12">
      <w:pPr>
        <w:tabs>
          <w:tab w:val="left" w:pos="6837"/>
        </w:tabs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  <w:r>
        <w:rPr>
          <w:rFonts w:ascii="Arial" w:eastAsiaTheme="minorHAnsi" w:hAnsi="Arial" w:cs="Arial"/>
          <w:sz w:val="22"/>
          <w:szCs w:val="22"/>
          <w:lang w:val="sr-Latn-ME" w:eastAsia="en-US"/>
        </w:rPr>
        <w:tab/>
      </w: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bookmarkEnd w:id="0"/>
    <w:bookmarkEnd w:id="4"/>
    <w:p w:rsidR="00784B12" w:rsidRDefault="00784B12" w:rsidP="00336E5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ME" w:eastAsia="en-US"/>
        </w:rPr>
      </w:pPr>
    </w:p>
    <w:sectPr w:rsidR="00784B12" w:rsidSect="00352510">
      <w:headerReference w:type="default" r:id="rId8"/>
      <w:footerReference w:type="default" r:id="rId9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8E7" w:rsidRDefault="000368E7" w:rsidP="00086164">
      <w:r>
        <w:separator/>
      </w:r>
    </w:p>
  </w:endnote>
  <w:endnote w:type="continuationSeparator" w:id="0">
    <w:p w:rsidR="000368E7" w:rsidRDefault="000368E7" w:rsidP="0008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837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BB0" w:rsidRDefault="00AE3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76B2" w:rsidRDefault="00EA7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8E7" w:rsidRDefault="000368E7" w:rsidP="00086164">
      <w:r>
        <w:separator/>
      </w:r>
    </w:p>
  </w:footnote>
  <w:footnote w:type="continuationSeparator" w:id="0">
    <w:p w:rsidR="000368E7" w:rsidRDefault="000368E7" w:rsidP="0008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B12" w:rsidRPr="00FF39A4" w:rsidRDefault="00784B12" w:rsidP="004305C6">
    <w:pPr>
      <w:pStyle w:val="Title"/>
      <w:jc w:val="left"/>
      <w:rPr>
        <w:rFonts w:asciiTheme="minorHAnsi" w:hAnsiTheme="minorHAnsi" w:cstheme="minorHAnsi"/>
        <w:sz w:val="28"/>
        <w:szCs w:val="28"/>
      </w:rPr>
    </w:pPr>
    <w:r w:rsidRPr="001E3EEE">
      <w:rPr>
        <w:rFonts w:asciiTheme="minorHAnsi" w:hAnsiTheme="minorHAnsi" w:cstheme="minorHAnsi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B2940B" wp14:editId="3209C8E3">
              <wp:simplePos x="0" y="0"/>
              <wp:positionH relativeFrom="column">
                <wp:posOffset>4352925</wp:posOffset>
              </wp:positionH>
              <wp:positionV relativeFrom="paragraph">
                <wp:posOffset>161925</wp:posOffset>
              </wp:positionV>
              <wp:extent cx="1971675" cy="9334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B12" w:rsidRPr="00B56C4B" w:rsidRDefault="00784B12" w:rsidP="00B56C4B">
                          <w:pPr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 xml:space="preserve">Adresa: ul. Stanka Dragojevića 2, </w:t>
                          </w:r>
                        </w:p>
                        <w:p w:rsidR="00784B12" w:rsidRPr="00B56C4B" w:rsidRDefault="00784B12" w:rsidP="00B56C4B">
                          <w:pPr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>81000 Podgorica, Crna Gora</w:t>
                          </w:r>
                        </w:p>
                        <w:p w:rsidR="00784B12" w:rsidRPr="00B56C4B" w:rsidRDefault="00784B12" w:rsidP="00B56C4B">
                          <w:pPr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 xml:space="preserve">tel: +382 20 242 835 </w:t>
                          </w:r>
                        </w:p>
                        <w:p w:rsidR="00784B12" w:rsidRDefault="00784B12" w:rsidP="00B56C4B">
                          <w:pPr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 w:rsidRPr="00B56C4B">
                            <w:rPr>
                              <w:rFonts w:ascii="Cambria" w:hAnsi="Cambria"/>
                              <w:sz w:val="20"/>
                            </w:rPr>
                            <w:t>fax: +382 20 224 450</w:t>
                          </w:r>
                        </w:p>
                        <w:p w:rsidR="00784B12" w:rsidRPr="00683D55" w:rsidRDefault="00784B12" w:rsidP="00B56C4B">
                          <w:pPr>
                            <w:jc w:val="right"/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</w:pPr>
                          <w:r w:rsidRPr="00683D55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www.mif.gov.me</w:t>
                          </w:r>
                        </w:p>
                        <w:p w:rsidR="00784B12" w:rsidRPr="00AF27FF" w:rsidRDefault="00784B12" w:rsidP="004305C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9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2.75pt;margin-top:12.75pt;width:155.2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" stroked="f">
              <v:textbox>
                <w:txbxContent>
                  <w:p w:rsidR="00784B12" w:rsidRPr="00B56C4B" w:rsidRDefault="00784B12" w:rsidP="00B56C4B">
                    <w:pPr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 xml:space="preserve">Adresa: ul. Stanka Dragojevića 2, </w:t>
                    </w:r>
                  </w:p>
                  <w:p w:rsidR="00784B12" w:rsidRPr="00B56C4B" w:rsidRDefault="00784B12" w:rsidP="00B56C4B">
                    <w:pPr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>81000 Podgorica, Crna Gora</w:t>
                    </w:r>
                  </w:p>
                  <w:p w:rsidR="00784B12" w:rsidRPr="00B56C4B" w:rsidRDefault="00784B12" w:rsidP="00B56C4B">
                    <w:pPr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 xml:space="preserve">tel: +382 20 242 835 </w:t>
                    </w:r>
                  </w:p>
                  <w:p w:rsidR="00784B12" w:rsidRDefault="00784B12" w:rsidP="00B56C4B">
                    <w:pPr>
                      <w:jc w:val="right"/>
                      <w:rPr>
                        <w:rFonts w:ascii="Cambria" w:hAnsi="Cambria"/>
                        <w:sz w:val="20"/>
                      </w:rPr>
                    </w:pPr>
                    <w:r w:rsidRPr="00B56C4B">
                      <w:rPr>
                        <w:rFonts w:ascii="Cambria" w:hAnsi="Cambria"/>
                        <w:sz w:val="20"/>
                      </w:rPr>
                      <w:t>fax: +382 20 224 450</w:t>
                    </w:r>
                  </w:p>
                  <w:p w:rsidR="00784B12" w:rsidRPr="00683D55" w:rsidRDefault="00784B12" w:rsidP="00B56C4B">
                    <w:pPr>
                      <w:jc w:val="right"/>
                      <w:rPr>
                        <w:rFonts w:ascii="Calibri Light" w:hAnsi="Calibri Light"/>
                        <w:color w:val="0070C0"/>
                        <w:sz w:val="20"/>
                      </w:rPr>
                    </w:pPr>
                    <w:r w:rsidRPr="00683D55">
                      <w:rPr>
                        <w:rFonts w:ascii="Calibri Light" w:hAnsi="Calibri Light"/>
                        <w:color w:val="0070C0"/>
                        <w:sz w:val="20"/>
                      </w:rPr>
                      <w:t>www.mif.gov.me</w:t>
                    </w:r>
                  </w:p>
                  <w:p w:rsidR="00784B12" w:rsidRPr="00AF27FF" w:rsidRDefault="00784B12" w:rsidP="004305C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E3EEE">
      <w:rPr>
        <w:rFonts w:asciiTheme="minorHAnsi" w:hAnsiTheme="minorHAnsi" w:cstheme="minorHAnsi"/>
        <w:noProof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1FA204B" wp14:editId="43B5A733">
              <wp:simplePos x="0" y="0"/>
              <wp:positionH relativeFrom="margin">
                <wp:align>left</wp:align>
              </wp:positionH>
              <wp:positionV relativeFrom="paragraph">
                <wp:posOffset>-142875</wp:posOffset>
              </wp:positionV>
              <wp:extent cx="19050" cy="1304925"/>
              <wp:effectExtent l="0" t="0" r="19050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9050" cy="1304925"/>
                      </a:xfrm>
                      <a:prstGeom prst="line">
                        <a:avLst/>
                      </a:prstGeom>
                      <a:ln w="19050">
                        <a:gradFill>
                          <a:gsLst>
                            <a:gs pos="18000">
                              <a:srgbClr val="FF0000"/>
                            </a:gs>
                            <a:gs pos="65000">
                              <a:srgbClr val="FFC000"/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BE578" id="Straight Connector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left;mso-position-horizontal-relative:margin;mso-position-vertical:absolute;mso-position-vertical-relative:text;mso-width-percent:0;mso-height-percent:0;mso-width-relative:margin;mso-height-relative:margin" from="0,-11.25pt" to="1.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1E3EEE">
      <w:rPr>
        <w:rFonts w:asciiTheme="minorHAnsi" w:hAnsiTheme="minorHAnsi" w:cstheme="minorHAnsi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ADC3415" wp14:editId="6E1DE655">
          <wp:simplePos x="0" y="0"/>
          <wp:positionH relativeFrom="column">
            <wp:posOffset>200660</wp:posOffset>
          </wp:positionH>
          <wp:positionV relativeFrom="paragraph">
            <wp:posOffset>-176530</wp:posOffset>
          </wp:positionV>
          <wp:extent cx="539115" cy="6216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3EEE">
      <w:rPr>
        <w:rFonts w:asciiTheme="minorHAnsi" w:hAnsiTheme="minorHAnsi" w:cstheme="minorHAnsi"/>
      </w:rPr>
      <w:t xml:space="preserve">  </w:t>
    </w:r>
  </w:p>
  <w:p w:rsidR="00784B12" w:rsidRPr="00B56C4B" w:rsidRDefault="00784B12" w:rsidP="004305C6">
    <w:pPr>
      <w:pStyle w:val="Title"/>
      <w:spacing w:before="0" w:after="0" w:line="240" w:lineRule="auto"/>
      <w:jc w:val="left"/>
      <w:rPr>
        <w:rFonts w:cstheme="minorHAnsi"/>
        <w:b w:val="0"/>
        <w:sz w:val="28"/>
        <w:szCs w:val="28"/>
      </w:rPr>
    </w:pPr>
    <w:r w:rsidRPr="00FF39A4">
      <w:rPr>
        <w:rFonts w:asciiTheme="minorHAnsi" w:hAnsiTheme="minorHAnsi" w:cstheme="minorHAnsi"/>
        <w:b w:val="0"/>
        <w:sz w:val="28"/>
        <w:szCs w:val="28"/>
      </w:rPr>
      <w:t xml:space="preserve">  </w:t>
    </w:r>
    <w:r>
      <w:rPr>
        <w:rFonts w:asciiTheme="minorHAnsi" w:hAnsiTheme="minorHAnsi" w:cstheme="minorHAnsi"/>
        <w:b w:val="0"/>
        <w:sz w:val="28"/>
        <w:szCs w:val="28"/>
      </w:rPr>
      <w:t xml:space="preserve"> </w:t>
    </w:r>
    <w:r w:rsidRPr="00B56C4B">
      <w:rPr>
        <w:rFonts w:cstheme="minorHAnsi"/>
        <w:b w:val="0"/>
        <w:sz w:val="28"/>
        <w:szCs w:val="28"/>
      </w:rPr>
      <w:t>Ministarstvo</w:t>
    </w:r>
  </w:p>
  <w:p w:rsidR="00784B12" w:rsidRPr="00B56C4B" w:rsidRDefault="00784B12" w:rsidP="00B56C4B">
    <w:pPr>
      <w:pStyle w:val="Title"/>
      <w:tabs>
        <w:tab w:val="left" w:pos="4095"/>
      </w:tabs>
      <w:spacing w:before="0" w:after="0" w:line="240" w:lineRule="auto"/>
      <w:contextualSpacing/>
      <w:jc w:val="left"/>
      <w:rPr>
        <w:rFonts w:cstheme="minorHAnsi"/>
        <w:b w:val="0"/>
        <w:sz w:val="28"/>
        <w:szCs w:val="28"/>
      </w:rPr>
    </w:pPr>
    <w:r w:rsidRPr="00B56C4B">
      <w:rPr>
        <w:rFonts w:cstheme="minorHAnsi"/>
        <w:b w:val="0"/>
        <w:sz w:val="28"/>
        <w:szCs w:val="28"/>
      </w:rPr>
      <w:t xml:space="preserve">   finansija </w:t>
    </w:r>
  </w:p>
  <w:p w:rsidR="00784B12" w:rsidRDefault="00784B12" w:rsidP="00B56C4B">
    <w:pPr>
      <w:pStyle w:val="Title"/>
      <w:tabs>
        <w:tab w:val="left" w:pos="4095"/>
      </w:tabs>
      <w:spacing w:before="0" w:after="0" w:line="240" w:lineRule="auto"/>
      <w:contextualSpacing/>
      <w:jc w:val="left"/>
      <w:rPr>
        <w:rFonts w:asciiTheme="minorHAnsi" w:hAnsiTheme="minorHAnsi" w:cstheme="minorHAnsi"/>
        <w:b w:val="0"/>
        <w:sz w:val="28"/>
        <w:szCs w:val="28"/>
      </w:rPr>
    </w:pPr>
  </w:p>
  <w:p w:rsidR="00784B12" w:rsidRPr="00352510" w:rsidRDefault="00784B12" w:rsidP="003525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F02"/>
    <w:multiLevelType w:val="hybridMultilevel"/>
    <w:tmpl w:val="885CBEDE"/>
    <w:lvl w:ilvl="0" w:tplc="AEEAE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A4B"/>
    <w:multiLevelType w:val="hybridMultilevel"/>
    <w:tmpl w:val="31CA57D8"/>
    <w:lvl w:ilvl="0" w:tplc="1FEC0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4008"/>
    <w:multiLevelType w:val="hybridMultilevel"/>
    <w:tmpl w:val="2D742ECE"/>
    <w:lvl w:ilvl="0" w:tplc="1D8CF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43BE"/>
    <w:multiLevelType w:val="hybridMultilevel"/>
    <w:tmpl w:val="4AE2467C"/>
    <w:lvl w:ilvl="0" w:tplc="1FEC0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8E5"/>
    <w:multiLevelType w:val="hybridMultilevel"/>
    <w:tmpl w:val="14D0E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15B84"/>
    <w:multiLevelType w:val="hybridMultilevel"/>
    <w:tmpl w:val="13144898"/>
    <w:lvl w:ilvl="0" w:tplc="5840F3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 w:themeColor="text1"/>
      </w:rPr>
    </w:lvl>
    <w:lvl w:ilvl="1" w:tplc="8B7A2E18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Arial" w:eastAsia="Times New Roman" w:hAnsi="Arial" w:cs="Arial" w:hint="default"/>
      </w:rPr>
    </w:lvl>
    <w:lvl w:ilvl="2" w:tplc="1124DCBA">
      <w:start w:val="1"/>
      <w:numFmt w:val="decimal"/>
      <w:lvlText w:val="%3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43BB14D5"/>
    <w:multiLevelType w:val="hybridMultilevel"/>
    <w:tmpl w:val="301E4A08"/>
    <w:lvl w:ilvl="0" w:tplc="ED3E1190">
      <w:start w:val="1"/>
      <w:numFmt w:val="low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21EAA"/>
    <w:multiLevelType w:val="hybridMultilevel"/>
    <w:tmpl w:val="C8921CD0"/>
    <w:lvl w:ilvl="0" w:tplc="0186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6CFE"/>
    <w:multiLevelType w:val="hybridMultilevel"/>
    <w:tmpl w:val="41BA0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03C6E"/>
    <w:multiLevelType w:val="hybridMultilevel"/>
    <w:tmpl w:val="CB74CEBE"/>
    <w:lvl w:ilvl="0" w:tplc="521C87D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73CD2"/>
    <w:multiLevelType w:val="hybridMultilevel"/>
    <w:tmpl w:val="29A88B6E"/>
    <w:lvl w:ilvl="0" w:tplc="CC24FEE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A4E59"/>
    <w:multiLevelType w:val="hybridMultilevel"/>
    <w:tmpl w:val="C316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A3909"/>
    <w:multiLevelType w:val="hybridMultilevel"/>
    <w:tmpl w:val="B5C25F4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72254B"/>
    <w:multiLevelType w:val="hybridMultilevel"/>
    <w:tmpl w:val="826E4B50"/>
    <w:lvl w:ilvl="0" w:tplc="332CAF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92A4C"/>
    <w:multiLevelType w:val="hybridMultilevel"/>
    <w:tmpl w:val="5D86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10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79"/>
    <w:rsid w:val="0000388E"/>
    <w:rsid w:val="000067E3"/>
    <w:rsid w:val="00015839"/>
    <w:rsid w:val="000165FB"/>
    <w:rsid w:val="000174A5"/>
    <w:rsid w:val="00030AF7"/>
    <w:rsid w:val="000342B6"/>
    <w:rsid w:val="0003653E"/>
    <w:rsid w:val="000368E7"/>
    <w:rsid w:val="0004749F"/>
    <w:rsid w:val="00050B39"/>
    <w:rsid w:val="00050F47"/>
    <w:rsid w:val="00062061"/>
    <w:rsid w:val="000634DC"/>
    <w:rsid w:val="00076FA5"/>
    <w:rsid w:val="00080508"/>
    <w:rsid w:val="00086164"/>
    <w:rsid w:val="00095088"/>
    <w:rsid w:val="000A0389"/>
    <w:rsid w:val="000A37EF"/>
    <w:rsid w:val="000B23B1"/>
    <w:rsid w:val="000C2F27"/>
    <w:rsid w:val="000C3EB3"/>
    <w:rsid w:val="000D42F4"/>
    <w:rsid w:val="000D65E2"/>
    <w:rsid w:val="000D68B2"/>
    <w:rsid w:val="000E44A5"/>
    <w:rsid w:val="000E4881"/>
    <w:rsid w:val="000F485E"/>
    <w:rsid w:val="0010415B"/>
    <w:rsid w:val="00115A77"/>
    <w:rsid w:val="00116E50"/>
    <w:rsid w:val="00117335"/>
    <w:rsid w:val="001214D7"/>
    <w:rsid w:val="00137CAB"/>
    <w:rsid w:val="0014338B"/>
    <w:rsid w:val="00176293"/>
    <w:rsid w:val="00176504"/>
    <w:rsid w:val="00181BEA"/>
    <w:rsid w:val="001855B1"/>
    <w:rsid w:val="00186707"/>
    <w:rsid w:val="001917B8"/>
    <w:rsid w:val="001A0567"/>
    <w:rsid w:val="001B42BD"/>
    <w:rsid w:val="001B4F88"/>
    <w:rsid w:val="001B59D7"/>
    <w:rsid w:val="001C0230"/>
    <w:rsid w:val="001C1861"/>
    <w:rsid w:val="001C6B25"/>
    <w:rsid w:val="001D313F"/>
    <w:rsid w:val="001D4F81"/>
    <w:rsid w:val="001E707B"/>
    <w:rsid w:val="001F182A"/>
    <w:rsid w:val="001F2BB2"/>
    <w:rsid w:val="001F7FBF"/>
    <w:rsid w:val="0020646D"/>
    <w:rsid w:val="00213E20"/>
    <w:rsid w:val="00215501"/>
    <w:rsid w:val="002213E7"/>
    <w:rsid w:val="0023058B"/>
    <w:rsid w:val="0023218B"/>
    <w:rsid w:val="00244DA5"/>
    <w:rsid w:val="002513D2"/>
    <w:rsid w:val="00251C02"/>
    <w:rsid w:val="00256106"/>
    <w:rsid w:val="002638DD"/>
    <w:rsid w:val="00274171"/>
    <w:rsid w:val="002758C0"/>
    <w:rsid w:val="00295B43"/>
    <w:rsid w:val="002A2249"/>
    <w:rsid w:val="002A4D53"/>
    <w:rsid w:val="002A6109"/>
    <w:rsid w:val="002B762E"/>
    <w:rsid w:val="002C0FF3"/>
    <w:rsid w:val="002C2F59"/>
    <w:rsid w:val="002C6D6A"/>
    <w:rsid w:val="002D5090"/>
    <w:rsid w:val="002F25EE"/>
    <w:rsid w:val="002F3C5D"/>
    <w:rsid w:val="002F40B3"/>
    <w:rsid w:val="002F63DB"/>
    <w:rsid w:val="00301ECD"/>
    <w:rsid w:val="003023B1"/>
    <w:rsid w:val="0030345C"/>
    <w:rsid w:val="00303718"/>
    <w:rsid w:val="00303E37"/>
    <w:rsid w:val="00306591"/>
    <w:rsid w:val="00312327"/>
    <w:rsid w:val="00314AB3"/>
    <w:rsid w:val="0031796D"/>
    <w:rsid w:val="00336AA4"/>
    <w:rsid w:val="00336E54"/>
    <w:rsid w:val="00343229"/>
    <w:rsid w:val="003441BA"/>
    <w:rsid w:val="00352510"/>
    <w:rsid w:val="00353F10"/>
    <w:rsid w:val="00356618"/>
    <w:rsid w:val="0036232D"/>
    <w:rsid w:val="00364336"/>
    <w:rsid w:val="00371FFB"/>
    <w:rsid w:val="00372B7A"/>
    <w:rsid w:val="00375F6A"/>
    <w:rsid w:val="00377634"/>
    <w:rsid w:val="00380249"/>
    <w:rsid w:val="003914FC"/>
    <w:rsid w:val="003A1E22"/>
    <w:rsid w:val="003A46B0"/>
    <w:rsid w:val="003A7955"/>
    <w:rsid w:val="003B15C7"/>
    <w:rsid w:val="003B6D0F"/>
    <w:rsid w:val="003B7F58"/>
    <w:rsid w:val="003C2603"/>
    <w:rsid w:val="003D309A"/>
    <w:rsid w:val="003E130C"/>
    <w:rsid w:val="003E2F6F"/>
    <w:rsid w:val="003E35E9"/>
    <w:rsid w:val="003E54D7"/>
    <w:rsid w:val="003F38A9"/>
    <w:rsid w:val="004020A2"/>
    <w:rsid w:val="00416E6B"/>
    <w:rsid w:val="00417BD1"/>
    <w:rsid w:val="004224E6"/>
    <w:rsid w:val="00425761"/>
    <w:rsid w:val="004305C6"/>
    <w:rsid w:val="004307DE"/>
    <w:rsid w:val="00446164"/>
    <w:rsid w:val="004478B9"/>
    <w:rsid w:val="00453518"/>
    <w:rsid w:val="00462A89"/>
    <w:rsid w:val="00466185"/>
    <w:rsid w:val="00490EDB"/>
    <w:rsid w:val="00494B8E"/>
    <w:rsid w:val="00497373"/>
    <w:rsid w:val="004B2012"/>
    <w:rsid w:val="004B3ACB"/>
    <w:rsid w:val="004B6E4C"/>
    <w:rsid w:val="004C3CE0"/>
    <w:rsid w:val="004D6407"/>
    <w:rsid w:val="004D69C0"/>
    <w:rsid w:val="00503D01"/>
    <w:rsid w:val="00506632"/>
    <w:rsid w:val="00510DBF"/>
    <w:rsid w:val="00521CF2"/>
    <w:rsid w:val="00530FE9"/>
    <w:rsid w:val="00532BC8"/>
    <w:rsid w:val="00540BB4"/>
    <w:rsid w:val="00541CD0"/>
    <w:rsid w:val="00555E16"/>
    <w:rsid w:val="00564283"/>
    <w:rsid w:val="00567FE2"/>
    <w:rsid w:val="00572A1C"/>
    <w:rsid w:val="00574A26"/>
    <w:rsid w:val="00576CCC"/>
    <w:rsid w:val="00582B7F"/>
    <w:rsid w:val="00583BFB"/>
    <w:rsid w:val="00583CB3"/>
    <w:rsid w:val="0058559D"/>
    <w:rsid w:val="005968E9"/>
    <w:rsid w:val="0059718D"/>
    <w:rsid w:val="005A0CDE"/>
    <w:rsid w:val="005B0DAA"/>
    <w:rsid w:val="005B423E"/>
    <w:rsid w:val="005B5379"/>
    <w:rsid w:val="005C05CD"/>
    <w:rsid w:val="005C09FE"/>
    <w:rsid w:val="005C505E"/>
    <w:rsid w:val="005C674D"/>
    <w:rsid w:val="005D2617"/>
    <w:rsid w:val="005D5118"/>
    <w:rsid w:val="005D6707"/>
    <w:rsid w:val="005D6FE4"/>
    <w:rsid w:val="005E0FB4"/>
    <w:rsid w:val="005E5148"/>
    <w:rsid w:val="005F3EE9"/>
    <w:rsid w:val="0061773C"/>
    <w:rsid w:val="00625D82"/>
    <w:rsid w:val="006269DB"/>
    <w:rsid w:val="00640A85"/>
    <w:rsid w:val="00641285"/>
    <w:rsid w:val="00651D88"/>
    <w:rsid w:val="00654B55"/>
    <w:rsid w:val="00666379"/>
    <w:rsid w:val="00666F85"/>
    <w:rsid w:val="00672982"/>
    <w:rsid w:val="00677FE5"/>
    <w:rsid w:val="006841A3"/>
    <w:rsid w:val="00686330"/>
    <w:rsid w:val="00692CC1"/>
    <w:rsid w:val="00693517"/>
    <w:rsid w:val="006950FA"/>
    <w:rsid w:val="006A51C6"/>
    <w:rsid w:val="006C3918"/>
    <w:rsid w:val="006C6667"/>
    <w:rsid w:val="006D176B"/>
    <w:rsid w:val="006D47F7"/>
    <w:rsid w:val="006D709F"/>
    <w:rsid w:val="006D7544"/>
    <w:rsid w:val="006E1FD1"/>
    <w:rsid w:val="006E490A"/>
    <w:rsid w:val="006F1E58"/>
    <w:rsid w:val="006F5FFB"/>
    <w:rsid w:val="00703191"/>
    <w:rsid w:val="0070421B"/>
    <w:rsid w:val="0070562E"/>
    <w:rsid w:val="007061E1"/>
    <w:rsid w:val="0071602D"/>
    <w:rsid w:val="00716CA7"/>
    <w:rsid w:val="00721250"/>
    <w:rsid w:val="00725920"/>
    <w:rsid w:val="00725AC9"/>
    <w:rsid w:val="00726150"/>
    <w:rsid w:val="00730697"/>
    <w:rsid w:val="00730C1B"/>
    <w:rsid w:val="007317CE"/>
    <w:rsid w:val="0074702B"/>
    <w:rsid w:val="007524B9"/>
    <w:rsid w:val="0075457E"/>
    <w:rsid w:val="00754C25"/>
    <w:rsid w:val="007560E6"/>
    <w:rsid w:val="007705F1"/>
    <w:rsid w:val="007714F1"/>
    <w:rsid w:val="00772386"/>
    <w:rsid w:val="00774CD0"/>
    <w:rsid w:val="00776B8C"/>
    <w:rsid w:val="00782659"/>
    <w:rsid w:val="00783C34"/>
    <w:rsid w:val="00784B12"/>
    <w:rsid w:val="00785551"/>
    <w:rsid w:val="007903D4"/>
    <w:rsid w:val="00790D12"/>
    <w:rsid w:val="007912E2"/>
    <w:rsid w:val="007930B3"/>
    <w:rsid w:val="007937BC"/>
    <w:rsid w:val="00795B93"/>
    <w:rsid w:val="00796C0A"/>
    <w:rsid w:val="007A0A61"/>
    <w:rsid w:val="007A0B4C"/>
    <w:rsid w:val="007A57E7"/>
    <w:rsid w:val="007B0B4A"/>
    <w:rsid w:val="007C0BCD"/>
    <w:rsid w:val="007D4915"/>
    <w:rsid w:val="007D6AC4"/>
    <w:rsid w:val="007E3F4B"/>
    <w:rsid w:val="007F13B8"/>
    <w:rsid w:val="007F4962"/>
    <w:rsid w:val="007F75B8"/>
    <w:rsid w:val="008028C9"/>
    <w:rsid w:val="00804E03"/>
    <w:rsid w:val="00805266"/>
    <w:rsid w:val="008067FC"/>
    <w:rsid w:val="00806B21"/>
    <w:rsid w:val="00810FCD"/>
    <w:rsid w:val="008154AF"/>
    <w:rsid w:val="00820468"/>
    <w:rsid w:val="00822D67"/>
    <w:rsid w:val="008248A2"/>
    <w:rsid w:val="00830305"/>
    <w:rsid w:val="008368AF"/>
    <w:rsid w:val="00836F42"/>
    <w:rsid w:val="00855F94"/>
    <w:rsid w:val="00866079"/>
    <w:rsid w:val="00870608"/>
    <w:rsid w:val="008754CE"/>
    <w:rsid w:val="00881DC8"/>
    <w:rsid w:val="00894821"/>
    <w:rsid w:val="008A06A4"/>
    <w:rsid w:val="008A1C2E"/>
    <w:rsid w:val="008B5910"/>
    <w:rsid w:val="008C4F7D"/>
    <w:rsid w:val="008C6CD3"/>
    <w:rsid w:val="008C7088"/>
    <w:rsid w:val="008C7105"/>
    <w:rsid w:val="008D24FD"/>
    <w:rsid w:val="008D4FD8"/>
    <w:rsid w:val="008E159A"/>
    <w:rsid w:val="008E29F0"/>
    <w:rsid w:val="008E5450"/>
    <w:rsid w:val="008F5875"/>
    <w:rsid w:val="008F5DD8"/>
    <w:rsid w:val="008F7B90"/>
    <w:rsid w:val="009021FF"/>
    <w:rsid w:val="00904891"/>
    <w:rsid w:val="0091306E"/>
    <w:rsid w:val="0091669C"/>
    <w:rsid w:val="009167FB"/>
    <w:rsid w:val="00925ADD"/>
    <w:rsid w:val="009333B6"/>
    <w:rsid w:val="009462E1"/>
    <w:rsid w:val="00946A89"/>
    <w:rsid w:val="009534B1"/>
    <w:rsid w:val="009613E0"/>
    <w:rsid w:val="00961A5B"/>
    <w:rsid w:val="009674B0"/>
    <w:rsid w:val="00970373"/>
    <w:rsid w:val="00970B9D"/>
    <w:rsid w:val="00973BE4"/>
    <w:rsid w:val="00974F49"/>
    <w:rsid w:val="00980F31"/>
    <w:rsid w:val="00982755"/>
    <w:rsid w:val="00983CC2"/>
    <w:rsid w:val="009840C6"/>
    <w:rsid w:val="0099764E"/>
    <w:rsid w:val="009A3ACC"/>
    <w:rsid w:val="009A65A6"/>
    <w:rsid w:val="009C01FC"/>
    <w:rsid w:val="009C7ADA"/>
    <w:rsid w:val="009D5A4E"/>
    <w:rsid w:val="009E2138"/>
    <w:rsid w:val="00A00024"/>
    <w:rsid w:val="00A0267C"/>
    <w:rsid w:val="00A04CEA"/>
    <w:rsid w:val="00A22870"/>
    <w:rsid w:val="00A25B26"/>
    <w:rsid w:val="00A269EF"/>
    <w:rsid w:val="00A33D0B"/>
    <w:rsid w:val="00A360A6"/>
    <w:rsid w:val="00A364B9"/>
    <w:rsid w:val="00A37A6B"/>
    <w:rsid w:val="00A43544"/>
    <w:rsid w:val="00A50AD4"/>
    <w:rsid w:val="00A50DAD"/>
    <w:rsid w:val="00A519E7"/>
    <w:rsid w:val="00A54D49"/>
    <w:rsid w:val="00A55725"/>
    <w:rsid w:val="00A7493B"/>
    <w:rsid w:val="00A77776"/>
    <w:rsid w:val="00A8067E"/>
    <w:rsid w:val="00A87F99"/>
    <w:rsid w:val="00A919A4"/>
    <w:rsid w:val="00AA27DB"/>
    <w:rsid w:val="00AA484E"/>
    <w:rsid w:val="00AB45C2"/>
    <w:rsid w:val="00AC0F7B"/>
    <w:rsid w:val="00AC5B31"/>
    <w:rsid w:val="00AC78F6"/>
    <w:rsid w:val="00AC7BD5"/>
    <w:rsid w:val="00AE1352"/>
    <w:rsid w:val="00AE30A0"/>
    <w:rsid w:val="00AE3BB0"/>
    <w:rsid w:val="00AE7C12"/>
    <w:rsid w:val="00AF135C"/>
    <w:rsid w:val="00AF24F3"/>
    <w:rsid w:val="00AF278C"/>
    <w:rsid w:val="00B03095"/>
    <w:rsid w:val="00B112DC"/>
    <w:rsid w:val="00B12D60"/>
    <w:rsid w:val="00B17EE7"/>
    <w:rsid w:val="00B2108B"/>
    <w:rsid w:val="00B223B7"/>
    <w:rsid w:val="00B22482"/>
    <w:rsid w:val="00B24A0D"/>
    <w:rsid w:val="00B36C64"/>
    <w:rsid w:val="00B56C4B"/>
    <w:rsid w:val="00B7194D"/>
    <w:rsid w:val="00B73659"/>
    <w:rsid w:val="00B74728"/>
    <w:rsid w:val="00B776C2"/>
    <w:rsid w:val="00B77DBE"/>
    <w:rsid w:val="00B95B6C"/>
    <w:rsid w:val="00BA2BA7"/>
    <w:rsid w:val="00BA4463"/>
    <w:rsid w:val="00BA6973"/>
    <w:rsid w:val="00BA73A6"/>
    <w:rsid w:val="00BB196C"/>
    <w:rsid w:val="00BC1E0D"/>
    <w:rsid w:val="00BC6A68"/>
    <w:rsid w:val="00BE4812"/>
    <w:rsid w:val="00BE6655"/>
    <w:rsid w:val="00BE6C4F"/>
    <w:rsid w:val="00BE7D6B"/>
    <w:rsid w:val="00BF4A5F"/>
    <w:rsid w:val="00BF609F"/>
    <w:rsid w:val="00C00061"/>
    <w:rsid w:val="00C11DB8"/>
    <w:rsid w:val="00C2065E"/>
    <w:rsid w:val="00C302AE"/>
    <w:rsid w:val="00C445C8"/>
    <w:rsid w:val="00C5550D"/>
    <w:rsid w:val="00C56DF5"/>
    <w:rsid w:val="00C64DA3"/>
    <w:rsid w:val="00C65798"/>
    <w:rsid w:val="00C663FF"/>
    <w:rsid w:val="00C7145D"/>
    <w:rsid w:val="00C72C04"/>
    <w:rsid w:val="00C760E4"/>
    <w:rsid w:val="00C7670A"/>
    <w:rsid w:val="00C77B13"/>
    <w:rsid w:val="00C82DE7"/>
    <w:rsid w:val="00C91B84"/>
    <w:rsid w:val="00C96ABB"/>
    <w:rsid w:val="00C97CEC"/>
    <w:rsid w:val="00CA38CE"/>
    <w:rsid w:val="00CA5BDB"/>
    <w:rsid w:val="00CB3D63"/>
    <w:rsid w:val="00CD2E45"/>
    <w:rsid w:val="00CD39E2"/>
    <w:rsid w:val="00CD4F4F"/>
    <w:rsid w:val="00CE5672"/>
    <w:rsid w:val="00CE6F44"/>
    <w:rsid w:val="00CF40AF"/>
    <w:rsid w:val="00D20DB8"/>
    <w:rsid w:val="00D22C0E"/>
    <w:rsid w:val="00D27FA9"/>
    <w:rsid w:val="00D325EF"/>
    <w:rsid w:val="00D3589A"/>
    <w:rsid w:val="00D362CE"/>
    <w:rsid w:val="00D36A6C"/>
    <w:rsid w:val="00D40D25"/>
    <w:rsid w:val="00D42D1B"/>
    <w:rsid w:val="00D52063"/>
    <w:rsid w:val="00D605FC"/>
    <w:rsid w:val="00D63DE7"/>
    <w:rsid w:val="00D71D94"/>
    <w:rsid w:val="00D73149"/>
    <w:rsid w:val="00D75317"/>
    <w:rsid w:val="00D81AAF"/>
    <w:rsid w:val="00D83766"/>
    <w:rsid w:val="00D85A66"/>
    <w:rsid w:val="00D95370"/>
    <w:rsid w:val="00D95D0D"/>
    <w:rsid w:val="00D97FD7"/>
    <w:rsid w:val="00DA3BED"/>
    <w:rsid w:val="00DB04E6"/>
    <w:rsid w:val="00DB4B31"/>
    <w:rsid w:val="00DC3D6B"/>
    <w:rsid w:val="00DD3112"/>
    <w:rsid w:val="00DD6F2A"/>
    <w:rsid w:val="00DE1496"/>
    <w:rsid w:val="00DF0994"/>
    <w:rsid w:val="00DF13A2"/>
    <w:rsid w:val="00E02327"/>
    <w:rsid w:val="00E05F55"/>
    <w:rsid w:val="00E06CEB"/>
    <w:rsid w:val="00E07901"/>
    <w:rsid w:val="00E11CA4"/>
    <w:rsid w:val="00E13F64"/>
    <w:rsid w:val="00E15B1F"/>
    <w:rsid w:val="00E177B7"/>
    <w:rsid w:val="00E21808"/>
    <w:rsid w:val="00E25E32"/>
    <w:rsid w:val="00E26F52"/>
    <w:rsid w:val="00E27AEF"/>
    <w:rsid w:val="00E3186C"/>
    <w:rsid w:val="00E4264F"/>
    <w:rsid w:val="00E47897"/>
    <w:rsid w:val="00E60231"/>
    <w:rsid w:val="00E62A31"/>
    <w:rsid w:val="00E6373C"/>
    <w:rsid w:val="00E6450A"/>
    <w:rsid w:val="00E70B82"/>
    <w:rsid w:val="00E7693A"/>
    <w:rsid w:val="00E81707"/>
    <w:rsid w:val="00E82AF9"/>
    <w:rsid w:val="00E8386F"/>
    <w:rsid w:val="00E85B1C"/>
    <w:rsid w:val="00E86C1F"/>
    <w:rsid w:val="00E87049"/>
    <w:rsid w:val="00E877E7"/>
    <w:rsid w:val="00E91ACF"/>
    <w:rsid w:val="00E95664"/>
    <w:rsid w:val="00E96907"/>
    <w:rsid w:val="00EA1183"/>
    <w:rsid w:val="00EA2C96"/>
    <w:rsid w:val="00EA626F"/>
    <w:rsid w:val="00EA6454"/>
    <w:rsid w:val="00EA76B2"/>
    <w:rsid w:val="00EB48B2"/>
    <w:rsid w:val="00EB614B"/>
    <w:rsid w:val="00EC77DE"/>
    <w:rsid w:val="00ED17D2"/>
    <w:rsid w:val="00ED1A0E"/>
    <w:rsid w:val="00ED2005"/>
    <w:rsid w:val="00ED7B2A"/>
    <w:rsid w:val="00ED7B2E"/>
    <w:rsid w:val="00EE0586"/>
    <w:rsid w:val="00F03C63"/>
    <w:rsid w:val="00F04AA3"/>
    <w:rsid w:val="00F06623"/>
    <w:rsid w:val="00F1013F"/>
    <w:rsid w:val="00F139A7"/>
    <w:rsid w:val="00F27D04"/>
    <w:rsid w:val="00F31B56"/>
    <w:rsid w:val="00F3220B"/>
    <w:rsid w:val="00F36F7F"/>
    <w:rsid w:val="00F37F08"/>
    <w:rsid w:val="00F46E6F"/>
    <w:rsid w:val="00F51B17"/>
    <w:rsid w:val="00F52F8D"/>
    <w:rsid w:val="00F60875"/>
    <w:rsid w:val="00F60A5C"/>
    <w:rsid w:val="00F66D82"/>
    <w:rsid w:val="00F71AD1"/>
    <w:rsid w:val="00F74479"/>
    <w:rsid w:val="00F916AD"/>
    <w:rsid w:val="00F92005"/>
    <w:rsid w:val="00FA19A0"/>
    <w:rsid w:val="00FA51D0"/>
    <w:rsid w:val="00FC0D13"/>
    <w:rsid w:val="00FC68BD"/>
    <w:rsid w:val="00FD0284"/>
    <w:rsid w:val="00FD1877"/>
    <w:rsid w:val="00FE3A2A"/>
    <w:rsid w:val="00FE646F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04421"/>
  <w15:chartTrackingRefBased/>
  <w15:docId w15:val="{4C92A423-DF37-4AD1-9D32-7B72E7E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link w:val="Heading2Char"/>
    <w:uiPriority w:val="9"/>
    <w:qFormat/>
    <w:rsid w:val="00894821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2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2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86164"/>
    <w:pPr>
      <w:spacing w:after="24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6164"/>
    <w:rPr>
      <w:rFonts w:ascii="Arial" w:eastAsia="Times New Roman" w:hAnsi="Arial" w:cs="Times New Roman"/>
      <w:sz w:val="20"/>
      <w:szCs w:val="20"/>
      <w:lang w:val="sr-Latn-CS" w:eastAsia="sr-Latn-CS"/>
    </w:rPr>
  </w:style>
  <w:style w:type="character" w:styleId="CommentReference">
    <w:name w:val="annotation reference"/>
    <w:rsid w:val="0008616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64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86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6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86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6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086164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6164"/>
    <w:rPr>
      <w:rFonts w:ascii="Cambria" w:eastAsia="Times New Roman" w:hAnsi="Cambria" w:cs="Times New Roman"/>
      <w:b/>
      <w:bCs/>
      <w:kern w:val="28"/>
      <w:sz w:val="32"/>
      <w:szCs w:val="32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81DC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locked/>
    <w:rsid w:val="00B56C4B"/>
    <w:rPr>
      <w:rFonts w:ascii="Calibri" w:hAnsi="Calibri" w:cs="Calibri"/>
    </w:rPr>
  </w:style>
  <w:style w:type="paragraph" w:styleId="NoSpacing">
    <w:name w:val="No Spacing"/>
    <w:basedOn w:val="Normal"/>
    <w:link w:val="NoSpacingChar"/>
    <w:qFormat/>
    <w:rsid w:val="00B56C4B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2zakon">
    <w:name w:val="_2zakon"/>
    <w:basedOn w:val="Normal"/>
    <w:rsid w:val="00E70B82"/>
    <w:pPr>
      <w:spacing w:before="100" w:beforeAutospacing="1" w:after="100" w:afterAutospacing="1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948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76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293"/>
    <w:rPr>
      <w:color w:val="605E5C"/>
      <w:shd w:val="clear" w:color="auto" w:fill="E1DFDD"/>
    </w:rPr>
  </w:style>
  <w:style w:type="paragraph" w:customStyle="1" w:styleId="T30X">
    <w:name w:val="T30X"/>
    <w:basedOn w:val="Normal"/>
    <w:uiPriority w:val="99"/>
    <w:rsid w:val="00466185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067FC"/>
    <w:pPr>
      <w:spacing w:line="360" w:lineRule="auto"/>
      <w:ind w:firstLine="720"/>
    </w:pPr>
    <w:rPr>
      <w:rFonts w:ascii="Tahoma" w:hAnsi="Tahoma" w:cs="Tahoma"/>
      <w:sz w:val="28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067FC"/>
    <w:rPr>
      <w:rFonts w:ascii="Tahoma" w:eastAsia="Times New Roman" w:hAnsi="Tahoma" w:cs="Tahoma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540BB4"/>
    <w:pPr>
      <w:spacing w:before="120" w:after="120" w:line="264" w:lineRule="auto"/>
      <w:jc w:val="both"/>
    </w:pPr>
    <w:rPr>
      <w:rFonts w:eastAsia="Calibri"/>
      <w:lang w:val="sr-Latn-ME" w:eastAsia="en-US"/>
    </w:rPr>
  </w:style>
  <w:style w:type="paragraph" w:customStyle="1" w:styleId="xmsonormal">
    <w:name w:val="x_msonormal"/>
    <w:basedOn w:val="Normal"/>
    <w:rsid w:val="00540BB4"/>
    <w:pPr>
      <w:spacing w:before="100" w:beforeAutospacing="1" w:after="100" w:afterAutospacing="1"/>
    </w:pPr>
    <w:rPr>
      <w:lang w:val="en-US" w:eastAsia="en-US"/>
    </w:rPr>
  </w:style>
  <w:style w:type="paragraph" w:customStyle="1" w:styleId="tekst">
    <w:name w:val="tekst"/>
    <w:basedOn w:val="Normal"/>
    <w:rsid w:val="008A06A4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105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1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105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7105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710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2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24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2A22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224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303E3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ABCE-388A-4093-8970-CE918501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CFCU</dc:creator>
  <cp:keywords/>
  <dc:description/>
  <cp:lastModifiedBy>Azra Barjaktarevic</cp:lastModifiedBy>
  <cp:revision>5</cp:revision>
  <cp:lastPrinted>2025-10-22T09:21:00Z</cp:lastPrinted>
  <dcterms:created xsi:type="dcterms:W3CDTF">2025-10-23T10:02:00Z</dcterms:created>
  <dcterms:modified xsi:type="dcterms:W3CDTF">2025-10-23T10:08:00Z</dcterms:modified>
</cp:coreProperties>
</file>