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92" w:rsidRPr="00AD1B16" w:rsidRDefault="00D61692" w:rsidP="00D61692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AD1B16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2998" cy="82658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9" cy="82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CRNA GORA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MINISTARSTVO FINANSIJA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Sektor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za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ekonomsku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politiku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razvoj</w:t>
      </w:r>
    </w:p>
    <w:p w:rsidR="00D61692" w:rsidRPr="00AD1B16" w:rsidRDefault="00D61692" w:rsidP="00D61692">
      <w:pPr>
        <w:rPr>
          <w:rFonts w:cstheme="minorHAnsi"/>
        </w:rPr>
      </w:pPr>
    </w:p>
    <w:p w:rsidR="00D61692" w:rsidRPr="00AD1B16" w:rsidRDefault="00D61692" w:rsidP="00D61692">
      <w:pPr>
        <w:jc w:val="center"/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4F7F71" w:rsidRPr="00AD1B16" w:rsidRDefault="004F7F71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D61692">
      <w:pPr>
        <w:spacing w:line="240" w:lineRule="auto"/>
        <w:jc w:val="center"/>
        <w:rPr>
          <w:rFonts w:cstheme="minorHAnsi"/>
          <w:b/>
          <w:bCs/>
          <w:iCs/>
          <w:sz w:val="52"/>
          <w:szCs w:val="52"/>
        </w:rPr>
      </w:pPr>
      <w:r w:rsidRPr="00AD1B16">
        <w:rPr>
          <w:rFonts w:cstheme="minorHAnsi"/>
          <w:b/>
          <w:bCs/>
          <w:iCs/>
          <w:sz w:val="52"/>
          <w:szCs w:val="52"/>
        </w:rPr>
        <w:t>MJESEČNI MAKROEKONOMSKI INDIKATORI</w:t>
      </w:r>
    </w:p>
    <w:p w:rsidR="00D61692" w:rsidRPr="00AD1B16" w:rsidRDefault="00670D92" w:rsidP="00D6169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Maj</w:t>
      </w:r>
      <w:r w:rsidR="00DC3690" w:rsidRPr="00AD1B16">
        <w:rPr>
          <w:rFonts w:cstheme="minorHAnsi"/>
          <w:b/>
          <w:bCs/>
          <w:sz w:val="32"/>
          <w:szCs w:val="32"/>
        </w:rPr>
        <w:t xml:space="preserve"> 201</w:t>
      </w:r>
      <w:r w:rsidR="00F13EE1">
        <w:rPr>
          <w:rFonts w:cstheme="minorHAnsi"/>
          <w:b/>
          <w:bCs/>
          <w:sz w:val="32"/>
          <w:szCs w:val="32"/>
        </w:rPr>
        <w:t>3</w:t>
      </w:r>
      <w:r w:rsidR="00D61692" w:rsidRPr="00AD1B16">
        <w:rPr>
          <w:rFonts w:cstheme="minorHAnsi"/>
          <w:b/>
          <w:bCs/>
          <w:sz w:val="32"/>
          <w:szCs w:val="32"/>
        </w:rPr>
        <w:t>.</w:t>
      </w:r>
    </w:p>
    <w:p w:rsidR="00D61692" w:rsidRPr="00AD1B16" w:rsidRDefault="00D61692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D20CDA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C27FA4" w:rsidP="00D20CDA">
      <w:pPr>
        <w:spacing w:after="0" w:line="240" w:lineRule="auto"/>
        <w:rPr>
          <w:rFonts w:cstheme="minorHAnsi"/>
          <w:bCs/>
          <w:sz w:val="28"/>
          <w:szCs w:val="28"/>
        </w:rPr>
      </w:pPr>
      <w:r w:rsidRPr="00C27FA4">
        <w:rPr>
          <w:rFonts w:cstheme="minorHAnsi"/>
          <w:b/>
          <w:bCs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6.5pt;margin-top:367.6pt;width:234.35pt;height:304.1pt;rotation:-360;z-index:-251657728;mso-position-horizontal-relative:margin;mso-position-vertical-relative:margin;mso-width-relative:margin;mso-height-relative:margin" wrapcoords="1181 -93 506 93 -169 466 -169 21088 591 21507 1012 21647 1181 21647 20334 21647 21178 21507 21769 20902 21769 466 20841 0 20334 -93 1181 -93" o:allowincell="f" adj="1739" fillcolor="#943634 [2405]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621E7B" w:rsidRDefault="00621E7B" w:rsidP="00BE47B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BE47B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606BE6" w:rsidRPr="00BE47BD" w:rsidRDefault="00606BE6" w:rsidP="00BE47B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621E7B" w:rsidRDefault="00E31088" w:rsidP="00E31088">
                  <w:pPr>
                    <w:pStyle w:val="NoSpacing"/>
                    <w:numPr>
                      <w:ilvl w:val="0"/>
                      <w:numId w:val="8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pad cijena nafte i aluminijuma i pad inflacije u Eurozoni</w:t>
                  </w:r>
                </w:p>
                <w:p w:rsidR="00AC57E2" w:rsidRDefault="00AC57E2" w:rsidP="00AC57E2">
                  <w:pPr>
                    <w:pStyle w:val="NoSpacing"/>
                    <w:ind w:left="72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E31088" w:rsidRDefault="00E31088" w:rsidP="00E31088">
                  <w:pPr>
                    <w:pStyle w:val="NoSpacing"/>
                    <w:numPr>
                      <w:ilvl w:val="0"/>
                      <w:numId w:val="8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 w:rsidRPr="00E3108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Izvorni prihodi budzeta Crne Gore u aprilu  veći od plana i u odnosu na 2012</w:t>
                  </w:r>
                </w:p>
                <w:p w:rsidR="00AC57E2" w:rsidRDefault="00AC57E2" w:rsidP="00AC57E2">
                  <w:pPr>
                    <w:pStyle w:val="ListParagrap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E31088" w:rsidRDefault="00AC57E2" w:rsidP="00E31088">
                  <w:pPr>
                    <w:pStyle w:val="NoSpacing"/>
                    <w:numPr>
                      <w:ilvl w:val="0"/>
                      <w:numId w:val="8"/>
                    </w:num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Blagi pad kreditne aktivnosti u Aprilu</w:t>
                  </w:r>
                </w:p>
              </w:txbxContent>
            </v:textbox>
            <w10:wrap type="tight" anchorx="margin" anchory="margin"/>
          </v:shape>
        </w:pict>
      </w:r>
      <w:r w:rsidR="004F7F71" w:rsidRPr="00AD1B16">
        <w:rPr>
          <w:rFonts w:cstheme="minorHAnsi"/>
          <w:b/>
          <w:bCs/>
          <w:noProof/>
          <w:sz w:val="28"/>
          <w:szCs w:val="28"/>
          <w:lang w:val="sr-Latn-CS" w:eastAsia="sr-Latn-C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40640</wp:posOffset>
            </wp:positionV>
            <wp:extent cx="5528945" cy="5076190"/>
            <wp:effectExtent l="19050" t="0" r="0" b="0"/>
            <wp:wrapNone/>
            <wp:docPr id="11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507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692" w:rsidRPr="00AD1B16" w:rsidRDefault="00D61692" w:rsidP="00D20CDA">
      <w:pPr>
        <w:spacing w:after="0" w:line="240" w:lineRule="auto"/>
        <w:rPr>
          <w:rFonts w:cstheme="minorHAnsi"/>
          <w:bCs/>
          <w:iCs/>
          <w:sz w:val="26"/>
          <w:szCs w:val="26"/>
        </w:rPr>
      </w:pPr>
    </w:p>
    <w:p w:rsidR="00D61692" w:rsidRPr="00AD1B16" w:rsidRDefault="00D61692" w:rsidP="00D61692">
      <w:pPr>
        <w:pStyle w:val="NoSpacing"/>
        <w:rPr>
          <w:rFonts w:asciiTheme="minorHAnsi" w:hAnsiTheme="minorHAnsi" w:cstheme="minorHAnsi"/>
          <w:bCs/>
          <w:iCs/>
          <w:sz w:val="26"/>
          <w:szCs w:val="26"/>
        </w:rPr>
      </w:pPr>
    </w:p>
    <w:p w:rsidR="00694445" w:rsidRPr="00AD1B16" w:rsidRDefault="00694445" w:rsidP="00694445">
      <w:pPr>
        <w:pStyle w:val="NoSpacing"/>
        <w:rPr>
          <w:rFonts w:asciiTheme="minorHAnsi" w:hAnsiTheme="minorHAnsi" w:cstheme="minorHAnsi"/>
          <w:bCs/>
          <w:sz w:val="28"/>
          <w:szCs w:val="20"/>
        </w:rPr>
      </w:pPr>
    </w:p>
    <w:p w:rsidR="00694445" w:rsidRPr="00AD1B16" w:rsidRDefault="00694445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</w:pPr>
    </w:p>
    <w:p w:rsidR="003324D9" w:rsidRPr="00AD1B16" w:rsidRDefault="003324D9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777134" w:rsidRPr="00AD1B16" w:rsidRDefault="009B3ECE" w:rsidP="003324D9">
      <w:pPr>
        <w:pStyle w:val="NoSpacing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Autori priloga</w:t>
      </w:r>
      <w:r w:rsidRPr="00AD1B16">
        <w:rPr>
          <w:b/>
          <w:bCs/>
          <w:color w:val="000000"/>
          <w:sz w:val="16"/>
          <w:szCs w:val="16"/>
        </w:rPr>
        <w:t>:</w:t>
      </w:r>
      <w:r>
        <w:rPr>
          <w:b/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Radovan Živković</w:t>
      </w:r>
      <w:r>
        <w:rPr>
          <w:bCs/>
          <w:color w:val="000000"/>
          <w:sz w:val="16"/>
          <w:szCs w:val="16"/>
        </w:rPr>
        <w:t xml:space="preserve"> , </w:t>
      </w:r>
      <w:r w:rsidRPr="00AD1B16">
        <w:rPr>
          <w:bCs/>
          <w:color w:val="000000"/>
          <w:sz w:val="16"/>
          <w:szCs w:val="16"/>
        </w:rPr>
        <w:t>Radojka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Martinović, Olja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Tomanović,</w:t>
      </w:r>
      <w:r w:rsidRPr="008E1A73"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Stanko Jeknić</w:t>
      </w:r>
      <w:r w:rsidRPr="00AD1B16"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, Ivana Rašović</w:t>
      </w:r>
      <w:r w:rsidRPr="00AD1B16">
        <w:rPr>
          <w:bCs/>
          <w:color w:val="000000"/>
          <w:sz w:val="16"/>
          <w:szCs w:val="16"/>
        </w:rPr>
        <w:t>, Marija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Novosel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i</w:t>
      </w:r>
      <w:r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ZdenkaDabović</w:t>
      </w:r>
    </w:p>
    <w:p w:rsidR="004F7F71" w:rsidRPr="00AD1B16" w:rsidRDefault="004F7F71" w:rsidP="003324D9">
      <w:pPr>
        <w:pStyle w:val="NoSpacing"/>
        <w:rPr>
          <w:b/>
          <w:bCs/>
          <w:color w:val="000000"/>
          <w:sz w:val="16"/>
          <w:szCs w:val="16"/>
        </w:rPr>
      </w:pPr>
    </w:p>
    <w:p w:rsidR="00B40133" w:rsidRPr="00AD1B16" w:rsidRDefault="00B40133" w:rsidP="004F7F71">
      <w:pPr>
        <w:pStyle w:val="NoSpacing"/>
      </w:pPr>
      <w:r w:rsidRPr="00AD1B16">
        <w:br w:type="page"/>
      </w:r>
    </w:p>
    <w:tbl>
      <w:tblPr>
        <w:tblStyle w:val="TableGrid"/>
        <w:tblW w:w="10740" w:type="dxa"/>
        <w:tblBorders>
          <w:top w:val="thinThickSmallGap" w:sz="18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3629"/>
        <w:gridCol w:w="57"/>
      </w:tblGrid>
      <w:tr w:rsidR="00716A7D" w:rsidRPr="00AD1B16" w:rsidTr="00E71550">
        <w:trPr>
          <w:gridAfter w:val="1"/>
          <w:wAfter w:w="57" w:type="dxa"/>
        </w:trPr>
        <w:tc>
          <w:tcPr>
            <w:tcW w:w="7054" w:type="dxa"/>
            <w:tcBorders>
              <w:top w:val="thinThickSmallGap" w:sz="18" w:space="0" w:color="auto"/>
              <w:bottom w:val="single" w:sz="4" w:space="0" w:color="auto"/>
            </w:tcBorders>
          </w:tcPr>
          <w:p w:rsidR="00716A7D" w:rsidRPr="00AD1B16" w:rsidRDefault="00716A7D" w:rsidP="00D26E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AD1B16"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</w:rPr>
              <w:lastRenderedPageBreak/>
              <w:br w:type="page"/>
            </w:r>
            <w:bookmarkStart w:id="0" w:name="OLE_LINK3"/>
            <w:r w:rsidRPr="00AD1B16">
              <w:rPr>
                <w:b/>
                <w:bCs/>
                <w:sz w:val="20"/>
                <w:szCs w:val="20"/>
              </w:rPr>
              <w:t>Međunarodno</w:t>
            </w:r>
            <w:r w:rsidR="005D0E14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okruženje</w:t>
            </w:r>
            <w:bookmarkEnd w:id="0"/>
          </w:p>
        </w:tc>
        <w:tc>
          <w:tcPr>
            <w:tcW w:w="3629" w:type="dxa"/>
            <w:vMerge w:val="restart"/>
            <w:tcBorders>
              <w:top w:val="thinThickSmallGap" w:sz="18" w:space="0" w:color="auto"/>
            </w:tcBorders>
          </w:tcPr>
          <w:p w:rsidR="00D01C27" w:rsidRPr="00AD1B16" w:rsidRDefault="00AF77D6" w:rsidP="00EB64B9">
            <w:pPr>
              <w:ind w:left="-108"/>
              <w:rPr>
                <w:sz w:val="14"/>
                <w:szCs w:val="14"/>
              </w:rPr>
            </w:pPr>
            <w:r w:rsidRPr="00AF77D6">
              <w:rPr>
                <w:noProof/>
                <w:sz w:val="14"/>
                <w:szCs w:val="14"/>
                <w:lang w:val="sr-Latn-CS" w:eastAsia="sr-Latn-CS"/>
              </w:rPr>
              <w:drawing>
                <wp:inline distT="0" distB="0" distL="0" distR="0">
                  <wp:extent cx="2120900" cy="1955800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F6B9D" w:rsidRPr="00AD1B16" w:rsidTr="00920528">
        <w:trPr>
          <w:gridAfter w:val="1"/>
          <w:wAfter w:w="57" w:type="dxa"/>
          <w:trHeight w:val="3014"/>
        </w:trPr>
        <w:tc>
          <w:tcPr>
            <w:tcW w:w="7054" w:type="dxa"/>
            <w:tcBorders>
              <w:top w:val="single" w:sz="4" w:space="0" w:color="auto"/>
            </w:tcBorders>
          </w:tcPr>
          <w:p w:rsidR="00974320" w:rsidRPr="00AD1B16" w:rsidRDefault="00AF77D6" w:rsidP="00C2019D">
            <w:pPr>
              <w:pStyle w:val="Default"/>
              <w:rPr>
                <w:sz w:val="17"/>
                <w:szCs w:val="17"/>
              </w:rPr>
            </w:pPr>
            <w:r w:rsidRPr="00AF77D6">
              <w:rPr>
                <w:sz w:val="20"/>
              </w:rPr>
              <w:t xml:space="preserve">Jedan od glavnih indikatora kretanja u Eurozoni Markit PMI (Manufacturing Purchasing Managers) </w:t>
            </w:r>
            <w:r>
              <w:rPr>
                <w:sz w:val="20"/>
              </w:rPr>
              <w:t>je u</w:t>
            </w:r>
            <w:r w:rsidRPr="00AF77D6">
              <w:rPr>
                <w:sz w:val="20"/>
              </w:rPr>
              <w:t xml:space="preserve"> Aprilu je porastao </w:t>
            </w:r>
            <w:r>
              <w:rPr>
                <w:sz w:val="20"/>
              </w:rPr>
              <w:t>na</w:t>
            </w:r>
            <w:r w:rsidRPr="00AF77D6">
              <w:rPr>
                <w:sz w:val="20"/>
              </w:rPr>
              <w:t xml:space="preserve">  46.9  (Mart 46,5</w:t>
            </w:r>
            <w:r>
              <w:rPr>
                <w:sz w:val="20"/>
              </w:rPr>
              <w:t xml:space="preserve"> </w:t>
            </w:r>
            <w:r w:rsidRPr="00AF77D6">
              <w:rPr>
                <w:sz w:val="20"/>
              </w:rPr>
              <w:t xml:space="preserve">četvoromjesečnog </w:t>
            </w:r>
            <w:r>
              <w:rPr>
                <w:sz w:val="20"/>
              </w:rPr>
              <w:t>minimum. Svaka vrijednost ovog indikatora ispod 50 znači ne</w:t>
            </w:r>
            <w:r w:rsidR="00621E7B">
              <w:rPr>
                <w:sz w:val="20"/>
              </w:rPr>
              <w:t xml:space="preserve">gativna očekivanja i recesiju.  Posebno je nepovoljna vijest da je PMI za Njemačku pao ispod te granice već drugi mjesec za redom bržom stopom nego u prethodnom mjesecu. Njemačka je drugi svjetski izvoznik posle Kine. Slično kretanje pokazuje i indicator ukupnog ekonomsklog sentimenta (EC)- pad </w:t>
            </w:r>
            <w:r w:rsidR="00621E7B" w:rsidRPr="00621E7B">
              <w:rPr>
                <w:sz w:val="20"/>
              </w:rPr>
              <w:t>od 1.5 points in the euro area (to 88.6) and by 1.8 points in the EU (to 89.7)</w:t>
            </w:r>
            <w:r w:rsidR="00621E7B">
              <w:rPr>
                <w:sz w:val="20"/>
              </w:rPr>
              <w:t>. Ovi indikatori imaju visoku korelaciju s BDP-om u ukazuju da će se recesija nastaviti i u drugom kvartalu (0,2) s neizvjesnim kretanjima u daljem period- stagnacija. Cijena nafte je u padu tako da je krajem aprila kotir</w:t>
            </w:r>
            <w:r w:rsidR="00132DD0">
              <w:rPr>
                <w:sz w:val="20"/>
              </w:rPr>
              <w:t>ala na 100USD/barell.  Cijena aluminijuma pada i dostigla je nivo od 1861$/T</w:t>
            </w:r>
            <w:r w:rsidR="00621E7B">
              <w:rPr>
                <w:sz w:val="20"/>
              </w:rPr>
              <w:t xml:space="preserve"> </w:t>
            </w:r>
            <w:r w:rsidR="00132DD0">
              <w:rPr>
                <w:sz w:val="20"/>
              </w:rPr>
              <w:t xml:space="preserve">. Euro se kotira </w:t>
            </w:r>
            <w:r w:rsidR="00C2019D">
              <w:rPr>
                <w:sz w:val="20"/>
              </w:rPr>
              <w:t>na oko 1,31USD. Inflacija u Eurozoni je pala na 1,2% uzrokovana padom cijena energenata , stabilnim cijenama hrane i slabom tražnjom.</w:t>
            </w:r>
            <w:r w:rsidR="001D3BF7">
              <w:rPr>
                <w:sz w:val="20"/>
              </w:rPr>
              <w:t xml:space="preserve"> </w:t>
            </w:r>
          </w:p>
        </w:tc>
        <w:tc>
          <w:tcPr>
            <w:tcW w:w="3629" w:type="dxa"/>
            <w:vMerge/>
            <w:vAlign w:val="center"/>
          </w:tcPr>
          <w:p w:rsidR="00DF6B9D" w:rsidRPr="00AD1B16" w:rsidRDefault="00DF6B9D" w:rsidP="001C6750">
            <w:pPr>
              <w:ind w:left="34" w:hanging="34"/>
              <w:rPr>
                <w:sz w:val="17"/>
                <w:szCs w:val="17"/>
              </w:rPr>
            </w:pPr>
          </w:p>
        </w:tc>
      </w:tr>
      <w:tr w:rsidR="00DF6B9D" w:rsidRPr="00AD1B16" w:rsidTr="00920528">
        <w:trPr>
          <w:gridAfter w:val="1"/>
          <w:wAfter w:w="57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DF6B9D" w:rsidRPr="00AD1B16" w:rsidRDefault="00DF6B9D" w:rsidP="00F13EE1">
            <w:pPr>
              <w:pStyle w:val="ListParagraph"/>
              <w:numPr>
                <w:ilvl w:val="0"/>
                <w:numId w:val="1"/>
              </w:numPr>
              <w:rPr>
                <w:rStyle w:val="CaptionChar"/>
              </w:rPr>
            </w:pPr>
            <w:r w:rsidRPr="00AD1B16">
              <w:rPr>
                <w:rStyle w:val="CaptionChar"/>
              </w:rPr>
              <w:t>Realn</w:t>
            </w:r>
            <w:r w:rsidR="00F13EE1">
              <w:rPr>
                <w:rStyle w:val="CaptionChar"/>
              </w:rPr>
              <w:t xml:space="preserve">i </w:t>
            </w:r>
            <w:r w:rsidRPr="00AD1B16">
              <w:rPr>
                <w:rStyle w:val="CaptionChar"/>
              </w:rPr>
              <w:t>sektor</w:t>
            </w:r>
          </w:p>
        </w:tc>
        <w:tc>
          <w:tcPr>
            <w:tcW w:w="3629" w:type="dxa"/>
            <w:vMerge w:val="restart"/>
            <w:vAlign w:val="center"/>
          </w:tcPr>
          <w:p w:rsidR="00DF6B9D" w:rsidRPr="00AD1B16" w:rsidRDefault="00D122B2" w:rsidP="00157601">
            <w:pPr>
              <w:ind w:left="-250"/>
              <w:jc w:val="center"/>
            </w:pPr>
            <w:r w:rsidRPr="00D122B2">
              <w:rPr>
                <w:noProof/>
                <w:lang w:val="sr-Latn-CS" w:eastAsia="sr-Latn-CS"/>
              </w:rPr>
              <w:drawing>
                <wp:inline distT="0" distB="0" distL="0" distR="0">
                  <wp:extent cx="2092037" cy="1910325"/>
                  <wp:effectExtent l="0" t="0" r="3463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DF6B9D" w:rsidRPr="00AD1B16" w:rsidTr="00920528">
        <w:trPr>
          <w:gridAfter w:val="1"/>
          <w:wAfter w:w="57" w:type="dxa"/>
          <w:trHeight w:val="3288"/>
        </w:trPr>
        <w:tc>
          <w:tcPr>
            <w:tcW w:w="7054" w:type="dxa"/>
            <w:tcBorders>
              <w:top w:val="single" w:sz="4" w:space="0" w:color="auto"/>
            </w:tcBorders>
          </w:tcPr>
          <w:p w:rsidR="00DF6B9D" w:rsidRPr="00AD1B16" w:rsidRDefault="00615DA0" w:rsidP="00670D92">
            <w:pPr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670D92">
              <w:rPr>
                <w:rFonts w:ascii="Calibri" w:hAnsi="Calibri" w:cs="Calibri"/>
                <w:b/>
                <w:sz w:val="20"/>
              </w:rPr>
              <w:t>Industrijska proizvodnja i u aprilu bilježi rast kao rezultat povećane proizvodnje električne energije.</w:t>
            </w:r>
            <w:r w:rsidR="0014312F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70D92">
              <w:rPr>
                <w:rFonts w:ascii="Calibri" w:hAnsi="Calibri" w:cs="Calibri"/>
                <w:sz w:val="20"/>
              </w:rPr>
              <w:t>Godišnji rast industrijske proizvodnje od 14,2% opredijeljen je rastom u sektoru “snabdijevanje el.energijom, gasom i parom”(100,0%), usljed visokog rasta proizvodnje električne energije(povoljna hidrološka situacija ali i niska osnova u 2012.godini) i rastom  u  sektoru “vađenje rude i kamena “(10,5%), dok je sektor “prerađivačka industrija” ostvario godišnji pad od 28,2%, usljed pada proizvodnje osnovnih metala(57,3%), proizvodnje prehrambenih proizvoda(8,5%), proizvodnje pića(12,2%) i osnovnih farmaceutskih proizvoda(60,1%), koji čine preko 40% ukupne industrijske proizvodnje u Crnoj Gori.</w:t>
            </w:r>
            <w:r w:rsidR="0014312F">
              <w:rPr>
                <w:rFonts w:ascii="Calibri" w:hAnsi="Calibri" w:cs="Calibri"/>
                <w:sz w:val="20"/>
              </w:rPr>
              <w:t xml:space="preserve"> </w:t>
            </w:r>
            <w:r w:rsidRPr="00670D92">
              <w:rPr>
                <w:rFonts w:ascii="Calibri" w:hAnsi="Calibri" w:cs="Calibri"/>
                <w:sz w:val="20"/>
              </w:rPr>
              <w:t>Prema pokazateljima  ostvarenog turističkog prometa, Crnu Goru je u aprilu posjetilo 2,4% turista više i ostvareno 2,3% više  noćenja nego u istom mjesecu prošle godine, dok je u periodu januar-april ostvareno 5,5% više dolazaka i 0,4% manje noćenja turista nego u istom periodu prethodne godine. Promet u trgovini na malo (tekuće cijene) u aprilu bilježi godišnji rast od 7,8%, dok je u periodu januar-april rast iznosio 8,6%, u odnosu na uporedni period 2012.godine.</w:t>
            </w:r>
          </w:p>
        </w:tc>
        <w:tc>
          <w:tcPr>
            <w:tcW w:w="3629" w:type="dxa"/>
            <w:vMerge/>
            <w:vAlign w:val="center"/>
          </w:tcPr>
          <w:p w:rsidR="00DF6B9D" w:rsidRPr="00AD1B16" w:rsidRDefault="00DF6B9D" w:rsidP="00FE641C">
            <w:pPr>
              <w:spacing w:after="119"/>
              <w:jc w:val="center"/>
              <w:rPr>
                <w:noProof/>
              </w:rPr>
            </w:pPr>
          </w:p>
        </w:tc>
      </w:tr>
      <w:tr w:rsidR="00DF6B9D" w:rsidRPr="00AD1B16" w:rsidTr="009B3ECE">
        <w:trPr>
          <w:gridAfter w:val="1"/>
          <w:wAfter w:w="57" w:type="dxa"/>
          <w:trHeight w:val="123"/>
        </w:trPr>
        <w:tc>
          <w:tcPr>
            <w:tcW w:w="7054" w:type="dxa"/>
            <w:tcBorders>
              <w:bottom w:val="single" w:sz="4" w:space="0" w:color="auto"/>
            </w:tcBorders>
          </w:tcPr>
          <w:p w:rsidR="00DF6B9D" w:rsidRPr="00AD1B16" w:rsidRDefault="00DF6B9D" w:rsidP="00FE641C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D1B16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Cijene</w:t>
            </w:r>
          </w:p>
        </w:tc>
        <w:tc>
          <w:tcPr>
            <w:tcW w:w="3629" w:type="dxa"/>
            <w:vMerge w:val="restart"/>
            <w:vAlign w:val="center"/>
          </w:tcPr>
          <w:p w:rsidR="008962B4" w:rsidRDefault="00670D92" w:rsidP="008962B4">
            <w:pPr>
              <w:rPr>
                <w:b/>
                <w:noProof/>
              </w:rPr>
            </w:pPr>
            <w:r>
              <w:rPr>
                <w:b/>
                <w:noProof/>
                <w:lang w:val="sr-Latn-CS" w:eastAsia="sr-Latn-C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6350</wp:posOffset>
                  </wp:positionV>
                  <wp:extent cx="2235200" cy="2120900"/>
                  <wp:effectExtent l="0" t="0" r="0" b="0"/>
                  <wp:wrapSquare wrapText="bothSides"/>
                  <wp:docPr id="7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  <w:p w:rsidR="00DF6B9D" w:rsidRPr="00AD1B16" w:rsidRDefault="00DF6B9D" w:rsidP="008962B4">
            <w:pPr>
              <w:rPr>
                <w:b/>
                <w:noProof/>
              </w:rPr>
            </w:pPr>
          </w:p>
        </w:tc>
      </w:tr>
      <w:tr w:rsidR="00DF6B9D" w:rsidRPr="00AD1B16" w:rsidTr="00C2019D">
        <w:trPr>
          <w:gridAfter w:val="1"/>
          <w:wAfter w:w="57" w:type="dxa"/>
          <w:trHeight w:val="3320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DF6B9D" w:rsidRPr="00AD1B16" w:rsidRDefault="00667213" w:rsidP="00C2019D">
            <w:pPr>
              <w:pStyle w:val="Default"/>
              <w:jc w:val="both"/>
              <w:rPr>
                <w:sz w:val="17"/>
                <w:szCs w:val="17"/>
              </w:rPr>
            </w:pPr>
            <w:r w:rsidRPr="00670D92">
              <w:rPr>
                <w:rFonts w:cs="Arial-ItalicMT"/>
                <w:b/>
                <w:iCs/>
                <w:sz w:val="20"/>
                <w:szCs w:val="22"/>
                <w:lang w:eastAsia="sr-Latn-CS"/>
              </w:rPr>
              <w:t>U aprilu je zabilježen blagi pad godišnje stope inflacije.</w:t>
            </w:r>
            <w:r w:rsidR="00670D92" w:rsidRPr="00670D92">
              <w:rPr>
                <w:rFonts w:cs="Arial-ItalicMT"/>
                <w:b/>
                <w:iCs/>
                <w:sz w:val="20"/>
                <w:szCs w:val="22"/>
                <w:lang w:eastAsia="sr-Latn-CS"/>
              </w:rPr>
              <w:t xml:space="preserve"> </w:t>
            </w:r>
            <w:r w:rsidRPr="00670D92">
              <w:rPr>
                <w:rFonts w:cs="Arial-ItalicMT"/>
                <w:iCs/>
                <w:sz w:val="20"/>
                <w:szCs w:val="22"/>
                <w:lang w:eastAsia="sr-Latn-CS"/>
              </w:rPr>
              <w:t>Godišnja stopa inflacije, mjerena indeksom potrošačkih cijena, u aprilu 2013.godine iznosila je 3,2%,što je pad od 0,1p.p u odnosu na istu u martu tekuće godine.Najveći uticaj na inflaciju imali su  rast cijena hrane(5,4%), odjeće(16,8%),električne energije(9,7%) i farmaceutskih proizvoda(3,2%), koji  čine oko 50% ukupne potrošnje domaćinstava. Harmonizovani indeks potrošačkih cijena u aprilu 2013.godine ukazuje na godišnji rast od 2,4%,</w:t>
            </w:r>
            <w:r w:rsidRPr="00670D92">
              <w:rPr>
                <w:sz w:val="20"/>
                <w:szCs w:val="22"/>
              </w:rPr>
              <w:t xml:space="preserve"> pri čemu su najveći uticaj na ostvarenu stopu imali rast cijena u grupama „hrana“(5,5%), “odjeća“(14,7%), “električna energija, gas i ostala goriva“(7,2%) i „usluge smještaja“(3,5%)</w:t>
            </w:r>
            <w:r w:rsidRPr="00670D92">
              <w:rPr>
                <w:rFonts w:cs="Arial-ItalicMT"/>
                <w:iCs/>
                <w:sz w:val="20"/>
                <w:szCs w:val="22"/>
                <w:lang w:eastAsia="sr-Latn-CS"/>
              </w:rPr>
              <w:t>. Proizvođačke cijene su u aprilu 2013 godine niže su za 0,1% u odnosu na mart, dok je na godišnjem nivou ostvaren rast od 4,0%.Rast</w:t>
            </w:r>
            <w:r w:rsidRPr="00670D92">
              <w:rPr>
                <w:sz w:val="20"/>
                <w:szCs w:val="22"/>
              </w:rPr>
              <w:t xml:space="preserve"> je opredijeljen povećanjem cijena snabdijevanja električnom energijom, gasom i  parom(17,6%) i rastom cijena vađenja rude i kamena(2,9%), dok su cijene u prerađivačkoj industriji ostvarile godišnji pad od 0,3%.</w:t>
            </w:r>
          </w:p>
        </w:tc>
        <w:tc>
          <w:tcPr>
            <w:tcW w:w="3629" w:type="dxa"/>
            <w:vMerge/>
            <w:tcBorders>
              <w:bottom w:val="thinThickSmallGap" w:sz="18" w:space="0" w:color="auto"/>
            </w:tcBorders>
            <w:vAlign w:val="center"/>
          </w:tcPr>
          <w:p w:rsidR="00DF6B9D" w:rsidRPr="00AD1B16" w:rsidRDefault="00DF6B9D" w:rsidP="00480082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17"/>
                <w:szCs w:val="17"/>
              </w:rPr>
            </w:pPr>
          </w:p>
        </w:tc>
      </w:tr>
      <w:tr w:rsidR="00DF6B9D" w:rsidRPr="00AD1B16" w:rsidTr="00E71550">
        <w:trPr>
          <w:gridAfter w:val="1"/>
          <w:wAfter w:w="57" w:type="dxa"/>
          <w:trHeight w:val="255"/>
        </w:trPr>
        <w:tc>
          <w:tcPr>
            <w:tcW w:w="7054" w:type="dxa"/>
            <w:tcBorders>
              <w:bottom w:val="nil"/>
            </w:tcBorders>
            <w:vAlign w:val="center"/>
          </w:tcPr>
          <w:p w:rsidR="00607500" w:rsidRPr="00AD1B16" w:rsidRDefault="00DF6B9D" w:rsidP="00A3386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Zaposlenost</w:t>
            </w:r>
            <w:r w:rsidR="00E35767">
              <w:rPr>
                <w:b/>
                <w:bCs/>
                <w:sz w:val="20"/>
                <w:szCs w:val="20"/>
              </w:rPr>
              <w:t xml:space="preserve"> i</w:t>
            </w:r>
            <w:r w:rsidR="008573C7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zarade</w:t>
            </w:r>
          </w:p>
        </w:tc>
        <w:tc>
          <w:tcPr>
            <w:tcW w:w="3629" w:type="dxa"/>
            <w:vMerge w:val="restart"/>
            <w:tcBorders>
              <w:bottom w:val="nil"/>
            </w:tcBorders>
            <w:vAlign w:val="center"/>
          </w:tcPr>
          <w:p w:rsidR="00DF6B9D" w:rsidRPr="00AD1B16" w:rsidRDefault="007C0F86" w:rsidP="00905F6A">
            <w:pPr>
              <w:ind w:left="-250"/>
              <w:jc w:val="center"/>
            </w:pPr>
            <w:r w:rsidRPr="007C0F86">
              <w:rPr>
                <w:noProof/>
                <w:lang w:val="sr-Latn-CS" w:eastAsia="sr-Latn-CS"/>
              </w:rPr>
              <w:drawing>
                <wp:inline distT="0" distB="0" distL="0" distR="0">
                  <wp:extent cx="2484120" cy="2120900"/>
                  <wp:effectExtent l="19050" t="0" r="1143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F4195C" w:rsidRPr="00AD1B16" w:rsidTr="009B3ECE">
        <w:trPr>
          <w:gridAfter w:val="1"/>
          <w:wAfter w:w="57" w:type="dxa"/>
          <w:trHeight w:val="1986"/>
        </w:trPr>
        <w:tc>
          <w:tcPr>
            <w:tcW w:w="7054" w:type="dxa"/>
            <w:tcBorders>
              <w:top w:val="nil"/>
              <w:bottom w:val="thinThickSmallGap" w:sz="18" w:space="0" w:color="auto"/>
            </w:tcBorders>
          </w:tcPr>
          <w:p w:rsidR="00C2019D" w:rsidRDefault="005F33D4" w:rsidP="00E71550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2F12E6">
              <w:rPr>
                <w:b/>
                <w:sz w:val="20"/>
                <w:szCs w:val="20"/>
              </w:rPr>
              <w:t>U aprilu je</w:t>
            </w:r>
            <w:r>
              <w:rPr>
                <w:sz w:val="20"/>
                <w:szCs w:val="20"/>
              </w:rPr>
              <w:t xml:space="preserve"> </w:t>
            </w:r>
            <w:r w:rsidRPr="002F12E6">
              <w:rPr>
                <w:b/>
                <w:sz w:val="20"/>
                <w:szCs w:val="20"/>
              </w:rPr>
              <w:t xml:space="preserve">nastavljen trend povećanja zaposlenosti, a nezaposlenost je smanjena </w:t>
            </w:r>
            <w:r>
              <w:rPr>
                <w:b/>
                <w:sz w:val="20"/>
                <w:szCs w:val="20"/>
              </w:rPr>
              <w:t xml:space="preserve">i </w:t>
            </w:r>
            <w:r w:rsidRPr="002F12E6">
              <w:rPr>
                <w:b/>
                <w:sz w:val="20"/>
                <w:szCs w:val="20"/>
              </w:rPr>
              <w:t>dostigla najniži nivo u ovoj godini</w:t>
            </w:r>
            <w:r>
              <w:rPr>
                <w:sz w:val="20"/>
                <w:szCs w:val="20"/>
              </w:rPr>
              <w:t xml:space="preserve">. </w:t>
            </w:r>
            <w:r w:rsidRPr="002F12E6">
              <w:rPr>
                <w:b/>
                <w:sz w:val="20"/>
                <w:szCs w:val="20"/>
              </w:rPr>
              <w:t>Zaposlenih je u aprilu 2013. godine bilo ili 0,7% više nego u prethodnom mjesecu</w:t>
            </w:r>
            <w:r>
              <w:rPr>
                <w:sz w:val="20"/>
                <w:szCs w:val="20"/>
              </w:rPr>
              <w:t xml:space="preserve">, </w:t>
            </w:r>
            <w:r w:rsidRPr="002F12E6">
              <w:rPr>
                <w:b/>
                <w:sz w:val="20"/>
                <w:szCs w:val="20"/>
              </w:rPr>
              <w:t>a nezaposlenih 32</w:t>
            </w:r>
            <w:r w:rsidR="007C0F86">
              <w:rPr>
                <w:b/>
                <w:sz w:val="20"/>
                <w:szCs w:val="20"/>
              </w:rPr>
              <w:t>.</w:t>
            </w:r>
            <w:r w:rsidRPr="002F12E6">
              <w:rPr>
                <w:b/>
                <w:sz w:val="20"/>
                <w:szCs w:val="20"/>
              </w:rPr>
              <w:t>624 ili 1,1% manje</w:t>
            </w:r>
            <w:r>
              <w:rPr>
                <w:sz w:val="20"/>
                <w:szCs w:val="20"/>
              </w:rPr>
              <w:t xml:space="preserve">. Stopa nezaposlenosti je smanjena sa 14,2% u martu 2013. na 14,1% u aprilu 2013. Tokom čitavog proteklog perioda 2013. mjesečno se povećavao broj lica koja prvi put traže zaposlenje, od kojih je najveći broj mladih.  </w:t>
            </w:r>
            <w:r w:rsidRPr="002F12E6">
              <w:rPr>
                <w:b/>
                <w:sz w:val="20"/>
                <w:szCs w:val="20"/>
              </w:rPr>
              <w:t>Oglašeno je 2826 slobodnih radnih mjesta</w:t>
            </w:r>
            <w:r>
              <w:rPr>
                <w:sz w:val="20"/>
                <w:szCs w:val="20"/>
              </w:rPr>
              <w:t xml:space="preserve"> u aprilu, a za čitav period 5106 odnosno periodično 23,3% manje u 2013. nego u 2012. </w:t>
            </w:r>
            <w:r w:rsidRPr="002F12E6">
              <w:rPr>
                <w:b/>
                <w:sz w:val="20"/>
                <w:szCs w:val="20"/>
              </w:rPr>
              <w:t>Izdato je 2212 radnih dozvola strancima</w:t>
            </w:r>
            <w:r>
              <w:rPr>
                <w:sz w:val="20"/>
                <w:szCs w:val="20"/>
              </w:rPr>
              <w:t xml:space="preserve"> u aprilu, a za cijeli period 7132 ili periodično 24,7% više. </w:t>
            </w:r>
            <w:r w:rsidRPr="002F12E6">
              <w:rPr>
                <w:b/>
                <w:sz w:val="20"/>
                <w:szCs w:val="20"/>
              </w:rPr>
              <w:t>Prosječna zarada u aprilu 2013. je iznosila 724€,</w:t>
            </w:r>
            <w:r>
              <w:rPr>
                <w:sz w:val="20"/>
                <w:szCs w:val="20"/>
              </w:rPr>
              <w:t xml:space="preserve"> a u odnosu na mart</w:t>
            </w:r>
            <w:r w:rsidRPr="00C322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2013</w:t>
            </w:r>
            <w:r w:rsidRPr="00C3220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godine povećana je 0,1%</w:t>
            </w:r>
            <w:r w:rsidRPr="00C3220A">
              <w:rPr>
                <w:sz w:val="20"/>
                <w:szCs w:val="20"/>
              </w:rPr>
              <w:t xml:space="preserve">, dok je </w:t>
            </w:r>
            <w:r w:rsidRPr="002F12E6">
              <w:rPr>
                <w:b/>
                <w:sz w:val="20"/>
                <w:szCs w:val="20"/>
              </w:rPr>
              <w:t>neto zarada iznosila 477€,</w:t>
            </w:r>
            <w:r w:rsidRPr="00C3220A">
              <w:rPr>
                <w:sz w:val="20"/>
                <w:szCs w:val="20"/>
              </w:rPr>
              <w:t xml:space="preserve"> a povećana je 0,2%. ili </w:t>
            </w:r>
            <w:r w:rsidRPr="002F12E6">
              <w:rPr>
                <w:b/>
                <w:sz w:val="20"/>
                <w:szCs w:val="20"/>
              </w:rPr>
              <w:t>realno se smanjila 0,1%</w:t>
            </w:r>
            <w:r>
              <w:rPr>
                <w:sz w:val="20"/>
                <w:szCs w:val="20"/>
              </w:rPr>
              <w:t>, zbog povećanja potrošačkih cijena</w:t>
            </w:r>
          </w:p>
          <w:p w:rsidR="00670D92" w:rsidRPr="00AD1B16" w:rsidRDefault="005F33D4" w:rsidP="00E71550">
            <w:pPr>
              <w:pBdr>
                <w:top w:val="single" w:sz="4" w:space="1" w:color="auto"/>
              </w:pBdr>
              <w:jc w:val="both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 0,3%</w:t>
            </w:r>
            <w:r w:rsidRPr="00C3220A">
              <w:rPr>
                <w:sz w:val="20"/>
                <w:szCs w:val="20"/>
              </w:rPr>
              <w:t>.</w:t>
            </w:r>
            <w:r w:rsidR="00656863">
              <w:rPr>
                <w:sz w:val="20"/>
                <w:szCs w:val="20"/>
              </w:rPr>
              <w:t xml:space="preserve"> U periodu januar-april 2013. neto zarade periodično su smanjene 2,8%.</w:t>
            </w:r>
          </w:p>
        </w:tc>
        <w:tc>
          <w:tcPr>
            <w:tcW w:w="3629" w:type="dxa"/>
            <w:vMerge/>
            <w:tcBorders>
              <w:top w:val="nil"/>
              <w:bottom w:val="thinThickSmallGap" w:sz="18" w:space="0" w:color="auto"/>
            </w:tcBorders>
            <w:vAlign w:val="center"/>
          </w:tcPr>
          <w:p w:rsidR="00F4195C" w:rsidRPr="00AD1B16" w:rsidRDefault="00F4195C" w:rsidP="00CD1303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716A7D" w:rsidRPr="00AD1B16" w:rsidTr="00306B26">
        <w:trPr>
          <w:trHeight w:val="236"/>
        </w:trPr>
        <w:tc>
          <w:tcPr>
            <w:tcW w:w="7054" w:type="dxa"/>
            <w:tcBorders>
              <w:top w:val="thinThickSmallGap" w:sz="18" w:space="0" w:color="auto"/>
              <w:bottom w:val="single" w:sz="4" w:space="0" w:color="auto"/>
            </w:tcBorders>
          </w:tcPr>
          <w:p w:rsidR="00716A7D" w:rsidRPr="00AD1B16" w:rsidRDefault="00A46C9C" w:rsidP="00D26EB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AD1B16">
              <w:lastRenderedPageBreak/>
              <w:br w:type="page"/>
            </w:r>
            <w:r w:rsidR="00716A7D" w:rsidRPr="00AD1B16">
              <w:rPr>
                <w:b/>
                <w:bCs/>
                <w:sz w:val="20"/>
                <w:szCs w:val="20"/>
              </w:rPr>
              <w:t>Javne</w:t>
            </w:r>
            <w:r w:rsidR="00F13EE1">
              <w:rPr>
                <w:b/>
                <w:bCs/>
                <w:sz w:val="20"/>
                <w:szCs w:val="20"/>
              </w:rPr>
              <w:t xml:space="preserve"> </w:t>
            </w:r>
            <w:r w:rsidR="00716A7D" w:rsidRPr="00AD1B16">
              <w:rPr>
                <w:b/>
                <w:bCs/>
                <w:sz w:val="20"/>
                <w:szCs w:val="20"/>
              </w:rPr>
              <w:t>finansije</w:t>
            </w:r>
          </w:p>
        </w:tc>
        <w:tc>
          <w:tcPr>
            <w:tcW w:w="3686" w:type="dxa"/>
            <w:gridSpan w:val="2"/>
            <w:tcBorders>
              <w:top w:val="thinThickSmallGap" w:sz="18" w:space="0" w:color="auto"/>
              <w:bottom w:val="nil"/>
            </w:tcBorders>
            <w:vAlign w:val="center"/>
          </w:tcPr>
          <w:p w:rsidR="00487296" w:rsidRPr="00AD1B16" w:rsidRDefault="00487296" w:rsidP="00F70CC9">
            <w:pPr>
              <w:ind w:left="-250"/>
              <w:jc w:val="center"/>
            </w:pPr>
          </w:p>
        </w:tc>
      </w:tr>
      <w:tr w:rsidR="003652E1" w:rsidRPr="00AD1B16" w:rsidTr="00306B26">
        <w:trPr>
          <w:trHeight w:val="3425"/>
        </w:trPr>
        <w:tc>
          <w:tcPr>
            <w:tcW w:w="7054" w:type="dxa"/>
            <w:tcBorders>
              <w:top w:val="single" w:sz="4" w:space="0" w:color="auto"/>
            </w:tcBorders>
          </w:tcPr>
          <w:p w:rsidR="003652E1" w:rsidRPr="00670D92" w:rsidRDefault="003652E1" w:rsidP="00670D92">
            <w:pPr>
              <w:jc w:val="both"/>
              <w:rPr>
                <w:sz w:val="20"/>
              </w:rPr>
            </w:pPr>
            <w:r w:rsidRPr="00670D92">
              <w:rPr>
                <w:b/>
                <w:sz w:val="20"/>
              </w:rPr>
              <w:t>Izvorni prihodi budzeta Crne Gore u aprilu 2013.godine ostvareni su u iznosu od 103,19 mil.€ i veci su u odnosu na 2012.godinu za 4,48%, a za 3,24 % su veci od plana za 2013.</w:t>
            </w:r>
            <w:r w:rsidRPr="00670D92">
              <w:rPr>
                <w:sz w:val="20"/>
              </w:rPr>
              <w:t xml:space="preserve"> Najveci doprinos ovom rastu evidentan je kod prihoda od poreza na dodatu vrijednost, i akciza. Ova pozitivna kretanja mogu se dovesti u vezu sa mjerama Vlade koje sprovodi u cilju suzbijanja sive ekonomije.</w:t>
            </w:r>
          </w:p>
          <w:p w:rsidR="003652E1" w:rsidRPr="00670D92" w:rsidRDefault="003652E1" w:rsidP="00670D92">
            <w:pPr>
              <w:jc w:val="both"/>
              <w:rPr>
                <w:sz w:val="20"/>
              </w:rPr>
            </w:pPr>
            <w:r w:rsidRPr="00670D92">
              <w:rPr>
                <w:b/>
                <w:sz w:val="20"/>
              </w:rPr>
              <w:t>Izdaci budzeta</w:t>
            </w:r>
            <w:r w:rsidRPr="00670D92">
              <w:rPr>
                <w:sz w:val="20"/>
              </w:rPr>
              <w:t xml:space="preserve"> iznosili su 115,38 mil.€ i manji su za 34,69 mil.€ u odnosu na isti period prosle godine, a veci za 10,85 mil.€ u odnosu na plan 2013.godine. Stavke zbog kojih je u najvećoj mjeri došlo do smanjenja izdataka budzeta su rashodi za materijal i usluge, kao i transferi za socijalnu zastitu.</w:t>
            </w:r>
          </w:p>
          <w:p w:rsidR="003652E1" w:rsidRPr="00670D92" w:rsidRDefault="003652E1" w:rsidP="00670D92">
            <w:pPr>
              <w:jc w:val="both"/>
              <w:rPr>
                <w:sz w:val="20"/>
              </w:rPr>
            </w:pPr>
            <w:r w:rsidRPr="00670D92">
              <w:rPr>
                <w:b/>
                <w:sz w:val="20"/>
              </w:rPr>
              <w:t>Budzetski deficit</w:t>
            </w:r>
            <w:r w:rsidRPr="00670D92">
              <w:rPr>
                <w:sz w:val="20"/>
              </w:rPr>
              <w:t xml:space="preserve"> iznosio je 12,19 mil.€ i nizi je od deficita u aprilu 2012. godine za 39,11 mil.€. Kumulativni deficit budžeta u periodu januar-april 2013 godine iznosi 71,89 mil. € i niži je od deficit u istom period 2012. za 55,35 mil. €.</w:t>
            </w:r>
          </w:p>
          <w:p w:rsidR="003652E1" w:rsidRDefault="003652E1" w:rsidP="00670D92">
            <w:pPr>
              <w:jc w:val="both"/>
              <w:rPr>
                <w:sz w:val="20"/>
              </w:rPr>
            </w:pPr>
            <w:r w:rsidRPr="00670D92">
              <w:rPr>
                <w:b/>
                <w:sz w:val="20"/>
              </w:rPr>
              <w:t>Drzavni dug</w:t>
            </w:r>
            <w:r w:rsidRPr="00670D92">
              <w:rPr>
                <w:sz w:val="20"/>
              </w:rPr>
              <w:t xml:space="preserve"> na kraju aprila  2013.godine iznosio je 1.764,20mil.€ ili 50,16 % procijenjenog BDP-a i povecan je za 0,5 % u odnosu na predhodni mjesec. Unutrasnji dug iznosio je 431,70 mil. €, dug prema nerezidentima 1.332,50 mil.€. </w:t>
            </w:r>
          </w:p>
          <w:p w:rsidR="0014312F" w:rsidRPr="00670D92" w:rsidRDefault="0014312F" w:rsidP="00670D92">
            <w:pPr>
              <w:jc w:val="both"/>
              <w:rPr>
                <w:sz w:val="20"/>
              </w:rPr>
            </w:pPr>
          </w:p>
          <w:p w:rsidR="003652E1" w:rsidRPr="00401DED" w:rsidRDefault="003652E1" w:rsidP="00D93A4D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</w:tcBorders>
            <w:vAlign w:val="center"/>
          </w:tcPr>
          <w:p w:rsidR="003652E1" w:rsidRPr="00AD1B16" w:rsidRDefault="003652E1" w:rsidP="00D93A4D">
            <w:pPr>
              <w:jc w:val="center"/>
              <w:rPr>
                <w:noProof/>
              </w:rPr>
            </w:pPr>
            <w:r w:rsidRPr="003652E1">
              <w:rPr>
                <w:noProof/>
                <w:lang w:val="sr-Latn-CS" w:eastAsia="sr-Latn-CS"/>
              </w:rPr>
              <w:drawing>
                <wp:inline distT="0" distB="0" distL="0" distR="0">
                  <wp:extent cx="2274073" cy="2345635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D0474" w:rsidRPr="00AD1B16" w:rsidTr="00920528">
        <w:trPr>
          <w:trHeight w:val="3425"/>
        </w:trPr>
        <w:tc>
          <w:tcPr>
            <w:tcW w:w="7054" w:type="dxa"/>
            <w:tcBorders>
              <w:top w:val="single" w:sz="4" w:space="0" w:color="auto"/>
            </w:tcBorders>
          </w:tcPr>
          <w:p w:rsidR="00216AC2" w:rsidRDefault="00216AC2" w:rsidP="009B3ECE">
            <w:pPr>
              <w:pBdr>
                <w:bottom w:val="single" w:sz="4" w:space="1" w:color="auto"/>
              </w:pBdr>
              <w:rPr>
                <w:b/>
                <w:lang w:val="sr-Latn-CS" w:eastAsia="sr-Latn-CS"/>
              </w:rPr>
            </w:pPr>
            <w:r w:rsidRPr="00216AC2">
              <w:rPr>
                <w:b/>
                <w:lang w:val="sr-Latn-CS" w:eastAsia="sr-Latn-CS"/>
              </w:rPr>
              <w:t>6.Bankarski sektor i likvidnost</w:t>
            </w:r>
          </w:p>
          <w:p w:rsidR="00670D92" w:rsidRDefault="009B3ECE" w:rsidP="00E7155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0296C">
              <w:rPr>
                <w:rFonts w:cstheme="minorHAnsi"/>
                <w:b/>
                <w:bCs/>
                <w:sz w:val="20"/>
                <w:szCs w:val="20"/>
              </w:rPr>
              <w:t>Smanjenje kreditnih aktivnosti i ukupnih depozita obillježila su kretanja u aprilu</w:t>
            </w:r>
            <w:r w:rsidRPr="0030296C">
              <w:rPr>
                <w:rFonts w:cstheme="minorHAnsi"/>
                <w:bCs/>
                <w:sz w:val="20"/>
                <w:szCs w:val="20"/>
              </w:rPr>
              <w:t xml:space="preserve">. Ukupni </w:t>
            </w:r>
            <w:r w:rsidRPr="0030296C">
              <w:rPr>
                <w:rFonts w:cstheme="minorHAnsi"/>
                <w:b/>
                <w:bCs/>
                <w:sz w:val="20"/>
                <w:szCs w:val="20"/>
              </w:rPr>
              <w:t>kredit</w:t>
            </w:r>
            <w:r w:rsidRPr="0030296C">
              <w:rPr>
                <w:rFonts w:cstheme="minorHAnsi"/>
                <w:bCs/>
                <w:sz w:val="20"/>
                <w:szCs w:val="20"/>
              </w:rPr>
              <w:t xml:space="preserve">i i ostala potraživanja su iznosili 2,466,7 mil .€ i smanjeni su na mjesečnom nivou za 1,0 %, dok su ostvarili rast od 5,3 % u odnosu na kraj prethodne godine.Banke su u prva četiri mjeseca ove godine odobrile 237,2 mil. € novih kreditnih plasmana, pri čemu je najveći dio odobren privredi (46,6 %) i stanovništvu (39,0 %). Zbog visokih </w:t>
            </w:r>
            <w:r w:rsidRPr="0030296C">
              <w:rPr>
                <w:rFonts w:cstheme="minorHAnsi"/>
                <w:b/>
                <w:bCs/>
                <w:sz w:val="20"/>
                <w:szCs w:val="20"/>
              </w:rPr>
              <w:t>kamatnih stopa</w:t>
            </w:r>
            <w:r w:rsidRPr="0030296C">
              <w:rPr>
                <w:rFonts w:cstheme="minorHAnsi"/>
                <w:bCs/>
                <w:sz w:val="20"/>
                <w:szCs w:val="20"/>
              </w:rPr>
              <w:t xml:space="preserve"> Centralna banka Crne Gore je u novembru prošle godine donijela Odluku o privremenim mjerama za ograničenje kamatnih stopa, čija primjena važi do kraja  maja ove godine.Pozitivni efekti ove mjere su evidentni kroz smanjenje prosječnih pasivnih i aktivnih efektivnih  kamatnih stopa. Ukupni </w:t>
            </w:r>
            <w:r w:rsidRPr="0030296C">
              <w:rPr>
                <w:rFonts w:cstheme="minorHAnsi"/>
                <w:b/>
                <w:bCs/>
                <w:sz w:val="20"/>
                <w:szCs w:val="20"/>
              </w:rPr>
              <w:t>depoziti</w:t>
            </w:r>
            <w:r w:rsidRPr="0030296C">
              <w:rPr>
                <w:rFonts w:cstheme="minorHAnsi"/>
                <w:bCs/>
                <w:sz w:val="20"/>
                <w:szCs w:val="20"/>
              </w:rPr>
              <w:t xml:space="preserve"> su u aprilu iznosili 1,951,5 mil. €  i smanjeni su za 2,4 % u odnosu na prethodni mjesec , dok su na godišnjem nivou ostvarili rast od 7,9 %. Zaoštravanje problema </w:t>
            </w:r>
            <w:r w:rsidRPr="0030296C">
              <w:rPr>
                <w:rFonts w:cstheme="minorHAnsi"/>
                <w:b/>
                <w:bCs/>
                <w:sz w:val="20"/>
                <w:szCs w:val="20"/>
              </w:rPr>
              <w:t>nelikvidnosti</w:t>
            </w:r>
            <w:r w:rsidRPr="0030296C">
              <w:rPr>
                <w:rFonts w:cstheme="minorHAnsi"/>
                <w:bCs/>
                <w:sz w:val="20"/>
                <w:szCs w:val="20"/>
              </w:rPr>
              <w:t xml:space="preserve"> realnog sektora predstavlja prijetnju za stabilnost  bankarskog  sistema i najveći izvor kreditnog rizika.Krajem aprila je bilo evidentirano 53.124 pravnih lica i preduzetnika, što u odnosu na prethodni mjesec predstavlja povećanje od 0,84 %. U  blokadi je bilo 12.482 firmi sa ukupnim dugom od 430,7mil. €, što je za 1,2% više u odnosu na mart.</w:t>
            </w:r>
          </w:p>
          <w:p w:rsidR="0014312F" w:rsidRPr="00216AC2" w:rsidRDefault="0014312F" w:rsidP="00E71550">
            <w:pPr>
              <w:jc w:val="both"/>
              <w:rPr>
                <w:lang w:val="sr-Latn-CS" w:eastAsia="sr-Latn-CS"/>
              </w:rPr>
            </w:pPr>
          </w:p>
        </w:tc>
        <w:tc>
          <w:tcPr>
            <w:tcW w:w="3686" w:type="dxa"/>
            <w:gridSpan w:val="2"/>
            <w:tcBorders>
              <w:top w:val="nil"/>
            </w:tcBorders>
            <w:vAlign w:val="center"/>
          </w:tcPr>
          <w:p w:rsidR="00AD0474" w:rsidRPr="00AD1B16" w:rsidRDefault="0014312F" w:rsidP="00461324">
            <w:pPr>
              <w:jc w:val="center"/>
              <w:rPr>
                <w:noProof/>
              </w:rPr>
            </w:pPr>
            <w:r w:rsidRPr="0014312F">
              <w:rPr>
                <w:noProof/>
                <w:lang w:val="sr-Latn-CS" w:eastAsia="sr-Latn-CS"/>
              </w:rPr>
              <w:drawing>
                <wp:inline distT="0" distB="0" distL="0" distR="0">
                  <wp:extent cx="2273300" cy="205105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ED66A9" w:rsidRPr="00AD1B16" w:rsidTr="0014312F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ED66A9" w:rsidRPr="00A21EEE" w:rsidRDefault="00A21EEE" w:rsidP="00A21EEE">
            <w:pPr>
              <w:pStyle w:val="ListParagraph"/>
              <w:numPr>
                <w:ilvl w:val="0"/>
                <w:numId w:val="7"/>
              </w:numPr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</w:t>
            </w:r>
            <w:r w:rsidR="00670D92" w:rsidRPr="00A21EEE">
              <w:rPr>
                <w:b/>
                <w:bCs/>
                <w:sz w:val="20"/>
                <w:szCs w:val="20"/>
              </w:rPr>
              <w:t>oljnotrgovinska  razmjena  i  investicije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ED66A9" w:rsidRPr="00AD1B16" w:rsidRDefault="007206BA" w:rsidP="0014312F">
            <w:pPr>
              <w:ind w:left="-250"/>
              <w:jc w:val="center"/>
            </w:pPr>
            <w:r w:rsidRPr="007206BA">
              <w:rPr>
                <w:noProof/>
                <w:lang w:val="sr-Latn-CS" w:eastAsia="sr-Latn-CS"/>
              </w:rPr>
              <w:drawing>
                <wp:inline distT="0" distB="0" distL="0" distR="0">
                  <wp:extent cx="2241550" cy="2012950"/>
                  <wp:effectExtent l="0" t="0" r="0" b="0"/>
                  <wp:docPr id="4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46C9C" w:rsidRPr="00AD1B16" w:rsidTr="009B3ECE">
        <w:trPr>
          <w:trHeight w:val="4010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A21EEE" w:rsidRPr="00E71550" w:rsidRDefault="00A21EEE" w:rsidP="00A21EEE">
            <w:pPr>
              <w:jc w:val="both"/>
              <w:rPr>
                <w:sz w:val="20"/>
                <w:szCs w:val="18"/>
              </w:rPr>
            </w:pPr>
            <w:r w:rsidRPr="00E71550">
              <w:rPr>
                <w:rFonts w:cstheme="minorHAnsi"/>
                <w:b/>
                <w:sz w:val="20"/>
                <w:szCs w:val="18"/>
                <w:lang w:val="sr-Latn-CS"/>
              </w:rPr>
              <w:t xml:space="preserve">Poboljšanje trgovinskog bilansa posljedica je povećanja izvoza i smanjenja uvoza, što je rezultiralo spoljnotrgovinskim deficitom u iznosu od 397,6 mil.€ ili 8,2% manje nego u istom periodu prethodne godine. 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 xml:space="preserve">Kratkoročna promjena strukture i visine spoljnotrgovinskog deficita, uglavnom je generisana povećanjem obima proizvodnje električne energije usljed povoljnih hidroloških prilika. </w:t>
            </w:r>
            <w:r w:rsidRPr="00E71550">
              <w:rPr>
                <w:rFonts w:cstheme="minorHAnsi"/>
                <w:b/>
                <w:sz w:val="20"/>
                <w:szCs w:val="18"/>
                <w:lang w:val="sr-Latn-CS"/>
              </w:rPr>
              <w:t xml:space="preserve">Ukupna spoljnotrgovinska razmjena u periodu januar- april 2013.godine 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 xml:space="preserve">iznosila je 649,6 mil.€, što je za 2,3% manje u poređenju sa istim periodom 2012.godine. Ukupan </w:t>
            </w:r>
            <w:r w:rsidRPr="00E71550">
              <w:rPr>
                <w:rFonts w:cstheme="minorHAnsi"/>
                <w:b/>
                <w:sz w:val="20"/>
                <w:szCs w:val="18"/>
                <w:lang w:val="sr-Latn-CS"/>
              </w:rPr>
              <w:t>izvoz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 xml:space="preserve"> roba u posmatranom periodu iznosi 126,0mil.€ ili 8,6% više, dok je </w:t>
            </w:r>
            <w:r w:rsidRPr="00E71550">
              <w:rPr>
                <w:rFonts w:cstheme="minorHAnsi"/>
                <w:b/>
                <w:sz w:val="20"/>
                <w:szCs w:val="18"/>
                <w:lang w:val="sr-Latn-CS"/>
              </w:rPr>
              <w:t>uvezeno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 xml:space="preserve"> robe u vrijednosti od 523,5mil.€ ili 4,6% manje. Na povećanje </w:t>
            </w:r>
            <w:r w:rsidRPr="00E71550">
              <w:rPr>
                <w:rFonts w:cstheme="minorHAnsi"/>
                <w:b/>
                <w:sz w:val="20"/>
                <w:szCs w:val="18"/>
                <w:lang w:val="sr-Latn-CS"/>
              </w:rPr>
              <w:t>izvoza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 xml:space="preserve"> roba generalno je uticao rast izvoza električne energije koji je za navedeni period iznosio 218,0% i činio  29,2% ukupnog izvoza. zvoz aluminijuma i gvožđa i čelika su ostvarile pad (29,3% ukupnog izvoza). Nastavljen je trend smanjenja izvoza aluminijuma, karakterističan od početka 2012.godine, </w:t>
            </w:r>
            <w:r w:rsidR="00E71550">
              <w:rPr>
                <w:rFonts w:cstheme="minorHAnsi"/>
                <w:sz w:val="20"/>
                <w:szCs w:val="18"/>
                <w:lang w:val="sr-Latn-CS"/>
              </w:rPr>
              <w:t xml:space="preserve">s 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>pad</w:t>
            </w:r>
            <w:r w:rsidR="00E71550">
              <w:rPr>
                <w:rFonts w:cstheme="minorHAnsi"/>
                <w:sz w:val="20"/>
                <w:szCs w:val="18"/>
                <w:lang w:val="sr-Latn-CS"/>
              </w:rPr>
              <w:t>om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 xml:space="preserve"> od 39,0%. Na pad </w:t>
            </w:r>
            <w:r w:rsidRPr="00E71550">
              <w:rPr>
                <w:rFonts w:cstheme="minorHAnsi"/>
                <w:b/>
                <w:sz w:val="20"/>
                <w:szCs w:val="18"/>
                <w:lang w:val="sr-Latn-CS"/>
              </w:rPr>
              <w:t>uvoza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 xml:space="preserve"> roba najviše je uticalo smanjenje uvoza električne energije i nafte i naftnih derivata, čiji je uvoz smanjen za 63,0%  i 12,0%, respektivno.</w:t>
            </w:r>
            <w:r w:rsidRPr="00E71550">
              <w:rPr>
                <w:rFonts w:cstheme="minorHAnsi"/>
                <w:sz w:val="20"/>
                <w:szCs w:val="18"/>
              </w:rPr>
              <w:t xml:space="preserve"> 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>Uvoz robe široke potrošnje i mašina i transportnih uređaj</w:t>
            </w:r>
            <w:r w:rsidR="00AE4C39" w:rsidRPr="00E71550">
              <w:rPr>
                <w:rFonts w:cstheme="minorHAnsi"/>
                <w:sz w:val="20"/>
                <w:szCs w:val="18"/>
                <w:lang w:val="sr-Latn-CS"/>
              </w:rPr>
              <w:t>a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 xml:space="preserve"> ostao na približno istom nivou</w:t>
            </w:r>
            <w:r w:rsidR="00AE4C39" w:rsidRPr="00E71550">
              <w:rPr>
                <w:rFonts w:cstheme="minorHAnsi"/>
                <w:sz w:val="20"/>
                <w:szCs w:val="18"/>
                <w:lang w:val="sr-Latn-CS"/>
              </w:rPr>
              <w:t>.</w:t>
            </w:r>
            <w:r w:rsidRPr="00E71550">
              <w:rPr>
                <w:rFonts w:cstheme="minorHAnsi"/>
                <w:sz w:val="20"/>
                <w:szCs w:val="18"/>
                <w:lang w:val="sr-Latn-CS"/>
              </w:rPr>
              <w:t xml:space="preserve"> </w:t>
            </w:r>
            <w:r w:rsidRPr="00E71550">
              <w:rPr>
                <w:rFonts w:cstheme="minorHAnsi"/>
                <w:sz w:val="20"/>
                <w:szCs w:val="18"/>
              </w:rPr>
              <w:t>Pojedinačno, najveći   izvoz je ostavaren sa Srbijom,, Slovenijom i Hrvatskom (65,9% ukupnog izvoza), dok se na uvoz iz Srbije,Grčke,BiH, Italije i Njemačke odnosi 54,9% ukupnog  uvoza.</w:t>
            </w:r>
            <w:r w:rsidRPr="00E71550">
              <w:rPr>
                <w:sz w:val="20"/>
                <w:szCs w:val="18"/>
              </w:rPr>
              <w:t xml:space="preserve"> </w:t>
            </w:r>
          </w:p>
          <w:p w:rsidR="00A46C9C" w:rsidRPr="002A4910" w:rsidRDefault="00A46C9C" w:rsidP="002349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A46C9C" w:rsidRPr="00AD1B16" w:rsidRDefault="00A46C9C" w:rsidP="00CD1303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CD1303" w:rsidRPr="00AD1B16" w:rsidRDefault="00CD1303" w:rsidP="00D51C00">
      <w:pPr>
        <w:sectPr w:rsidR="00CD1303" w:rsidRPr="00AD1B16" w:rsidSect="009B3ECE">
          <w:pgSz w:w="11907" w:h="16839" w:code="9"/>
          <w:pgMar w:top="720" w:right="720" w:bottom="993" w:left="720" w:header="720" w:footer="720" w:gutter="0"/>
          <w:cols w:space="720"/>
          <w:docGrid w:linePitch="360"/>
        </w:sectPr>
      </w:pPr>
    </w:p>
    <w:p w:rsidR="00D61692" w:rsidRPr="00AD1B16" w:rsidRDefault="00D61692" w:rsidP="00D61692">
      <w:pPr>
        <w:jc w:val="center"/>
        <w:rPr>
          <w:sz w:val="17"/>
          <w:szCs w:val="16"/>
        </w:rPr>
      </w:pPr>
      <w:r w:rsidRPr="00AD1B16">
        <w:rPr>
          <w:sz w:val="17"/>
          <w:szCs w:val="16"/>
        </w:rPr>
        <w:lastRenderedPageBreak/>
        <w:t xml:space="preserve">Tabela 1: </w:t>
      </w:r>
      <w:r w:rsidRPr="00AD1B16">
        <w:rPr>
          <w:b/>
          <w:bCs/>
          <w:sz w:val="17"/>
          <w:szCs w:val="16"/>
        </w:rPr>
        <w:t>MAKROEKONOMSKI INDIKATORI</w:t>
      </w:r>
      <w:r w:rsidRPr="00AD1B16">
        <w:rPr>
          <w:sz w:val="17"/>
          <w:szCs w:val="16"/>
        </w:rPr>
        <w:t xml:space="preserve"> – </w:t>
      </w:r>
      <w:r w:rsidR="00D93A4D">
        <w:rPr>
          <w:sz w:val="17"/>
          <w:szCs w:val="16"/>
        </w:rPr>
        <w:t>April</w:t>
      </w:r>
      <w:r w:rsidRPr="00AD1B16">
        <w:rPr>
          <w:sz w:val="17"/>
          <w:szCs w:val="16"/>
        </w:rPr>
        <w:t xml:space="preserve"> 201</w:t>
      </w:r>
      <w:r w:rsidR="00D93A4D">
        <w:rPr>
          <w:sz w:val="17"/>
          <w:szCs w:val="16"/>
        </w:rPr>
        <w:t>3</w:t>
      </w:r>
      <w:r w:rsidR="000F5B09" w:rsidRPr="00AD1B16">
        <w:rPr>
          <w:sz w:val="17"/>
          <w:szCs w:val="16"/>
        </w:rPr>
        <w:t>.</w:t>
      </w:r>
    </w:p>
    <w:p w:rsidR="005D751B" w:rsidRPr="00AD1B16" w:rsidRDefault="008D6E96" w:rsidP="00303D85">
      <w:pPr>
        <w:spacing w:after="0" w:line="240" w:lineRule="auto"/>
        <w:rPr>
          <w:b/>
          <w:i/>
          <w:sz w:val="16"/>
          <w:szCs w:val="16"/>
        </w:rPr>
      </w:pPr>
      <w:bookmarkStart w:id="1" w:name="_GoBack"/>
      <w:bookmarkEnd w:id="1"/>
      <w:r w:rsidRPr="00AD1B16">
        <w:rPr>
          <w:b/>
          <w:i/>
          <w:sz w:val="16"/>
          <w:szCs w:val="16"/>
        </w:rPr>
        <w:t>Izvor: Monstat, Centralna Banka, Zavod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zapošljavanje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Crne Gor</w:t>
      </w:r>
      <w:r w:rsidR="005D751B" w:rsidRPr="00AD1B16">
        <w:rPr>
          <w:b/>
          <w:i/>
          <w:sz w:val="16"/>
          <w:szCs w:val="16"/>
        </w:rPr>
        <w:t>e</w:t>
      </w:r>
    </w:p>
    <w:p w:rsidR="005D751B" w:rsidRPr="00AD1B16" w:rsidRDefault="005D751B" w:rsidP="00303D85">
      <w:pPr>
        <w:spacing w:after="0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t>Svi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prikazani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kao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godišnje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stope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rasta (stopa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indikatora u posmatranom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mjesecu u odnosu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isti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prethodne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godine u %) ukoliko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nije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drugačije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naznačeno u nazivu</w:t>
      </w:r>
    </w:p>
    <w:p w:rsidR="001D3BF7" w:rsidRDefault="005D751B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t>M-n-M označava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mjesečnu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promjenu (stopa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indikatora u posmatranom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mjesecu u odnosu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prethodni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 u %)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178"/>
        <w:gridCol w:w="870"/>
        <w:gridCol w:w="890"/>
        <w:gridCol w:w="701"/>
        <w:gridCol w:w="701"/>
        <w:gridCol w:w="701"/>
        <w:gridCol w:w="701"/>
        <w:gridCol w:w="701"/>
        <w:gridCol w:w="890"/>
        <w:gridCol w:w="890"/>
        <w:gridCol w:w="890"/>
        <w:gridCol w:w="890"/>
        <w:gridCol w:w="890"/>
        <w:gridCol w:w="776"/>
        <w:gridCol w:w="812"/>
        <w:gridCol w:w="818"/>
      </w:tblGrid>
      <w:tr w:rsidR="001D3BF7" w:rsidRPr="001D3BF7" w:rsidTr="001D3BF7">
        <w:trPr>
          <w:trHeight w:val="315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8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2012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2013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apr 2013</w:t>
            </w:r>
          </w:p>
        </w:tc>
      </w:tr>
      <w:tr w:rsidR="001D3BF7" w:rsidRPr="001D3BF7" w:rsidTr="001D3BF7">
        <w:trPr>
          <w:trHeight w:val="720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VIII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XI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XII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III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IV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  <w:t>M-n-M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  <w:t>apr 2013 / apr 2012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8"/>
                <w:lang w:val="sr-Latn-CS" w:eastAsia="sr-Latn-CS"/>
              </w:rPr>
              <w:t>jan - apr 2013 / jan - apr 2012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-19,60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-5,50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-16,10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-24,40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14,20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10,6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6,3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-18,50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-14,20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-20,40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-40,50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-28,10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-20,30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-36,40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-32,80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-34,40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-28,20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19,6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-28,2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-32,6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-8,30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60,6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-0,4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8,6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-23,7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4A4154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</w:t>
            </w:r>
            <w:r w:rsidR="001D3BF7"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,0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-28,2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color w:val="C00000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n/d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165.776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162.567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173.124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173.024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169.877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168.701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168.589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167.484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167.370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167.379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167.738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</w:t>
            </w: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30.126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29.411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28.686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28.549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28.272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29.540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30.718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31.232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31.890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32.648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32.986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32.604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3,5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3,7</w:t>
            </w:r>
          </w:p>
        </w:tc>
      </w:tr>
      <w:tr w:rsidR="004A4154" w:rsidRPr="001D3BF7" w:rsidTr="004A4154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54" w:rsidRPr="001D3BF7" w:rsidRDefault="004A4154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154" w:rsidRPr="001D3BF7" w:rsidRDefault="004A4154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20,0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154" w:rsidRPr="001D3BF7" w:rsidRDefault="004A4154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18,8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54" w:rsidRPr="001D3BF7" w:rsidRDefault="004A4154" w:rsidP="001D3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20,6</w:t>
            </w:r>
          </w:p>
        </w:tc>
        <w:tc>
          <w:tcPr>
            <w:tcW w:w="8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54" w:rsidRPr="001D3BF7" w:rsidRDefault="004A4154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  <w:p w:rsidR="004A4154" w:rsidRPr="001D3BF7" w:rsidRDefault="004A4154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  <w:p w:rsidR="004A4154" w:rsidRPr="001D3BF7" w:rsidRDefault="004A4154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54" w:rsidRPr="001D3BF7" w:rsidRDefault="004A4154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54" w:rsidRPr="001D3BF7" w:rsidRDefault="004A4154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154" w:rsidRPr="001D3BF7" w:rsidRDefault="004A4154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154" w:rsidRPr="001D3BF7" w:rsidRDefault="004A4154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1D3BF7" w:rsidRPr="001D3BF7" w:rsidTr="004A4154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3.685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4.146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2.651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1.081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2.766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972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583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4A4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4A4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4A4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</w:t>
            </w:r>
          </w:p>
        </w:tc>
      </w:tr>
      <w:tr w:rsidR="00CE1D52" w:rsidRPr="001D3BF7" w:rsidTr="004A4154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724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Default="00CE1D52" w:rsidP="004A4154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Default="00CE1D52" w:rsidP="004A4154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-1,2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D52" w:rsidRDefault="00CE1D52" w:rsidP="004A4154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-1,6</w:t>
            </w:r>
          </w:p>
        </w:tc>
      </w:tr>
      <w:tr w:rsidR="00CE1D52" w:rsidRPr="001D3BF7" w:rsidTr="004A4154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Pr="001D3BF7" w:rsidRDefault="00CE1D52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477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Default="00CE1D52" w:rsidP="004A4154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2" w:rsidRDefault="00CE1D52" w:rsidP="004A4154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-2,9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D52" w:rsidRDefault="00CE1D52" w:rsidP="004A4154">
            <w:pPr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-2,8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2.327,5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2.345,2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2.374,7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2.401,4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2.425,3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2.361,5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2.338,1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2.342,0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2.482,8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2.507,6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2.490,7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2.466,7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32DD0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</w:t>
            </w:r>
            <w:r w:rsidR="001D3BF7"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1.818,9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1.843,4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1.916,6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1.954,4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2.001,1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1.965,5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1.982,9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1.980,7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1.969,8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1.990,1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1.999,3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1.951,5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961,5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955,7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951,8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931,4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922,3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904,9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918,2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912,3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995,3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1.001,4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1.014,0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1.016,6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830,3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831,7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827,6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824,6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825,2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821,6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818,1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809,2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857,4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861,1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865,8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872,5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483,0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480,7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527,4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552,1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569,2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549,5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546,4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526,5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507,8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518,7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525,4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489,8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-6,8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1.043,3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1.051,4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1.086,6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1.108,3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1.113,7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1.114,7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1.134,7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1.146,8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1.150,4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1.158,7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1.165,0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1.165,1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-0,17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3,32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3,12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34,5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30,1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26,5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28,0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29,9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36,8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22,7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8,6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167,7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170,8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177,6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173,4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147,7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158,6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136,6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139,5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110,2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113,8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138,1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161,3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16,8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6,9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-4,6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-133,2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-138,9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-146,3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-141,6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-117,6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-132,2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-104,3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-107,0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-82,2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-82,6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-108,2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-124,6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15,2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-8,2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25,8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34,4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58,9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18,3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92,7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20,9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77,3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32,2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101,7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97,6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104,5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114,7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108,5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108,2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116,8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110,4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111,1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100,0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-16,2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-15,9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2.002,5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1.885,5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1.876,3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1.843,3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2.064,1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1.974,3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1.948,8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2.086,8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2.037,6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2.053,6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1.911,3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1.861,0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-2,6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-9,2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-8,5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-1,1</w:t>
            </w:r>
          </w:p>
        </w:tc>
      </w:tr>
      <w:tr w:rsidR="001D3BF7" w:rsidRPr="001D3BF7" w:rsidTr="001D3BF7">
        <w:trPr>
          <w:trHeight w:hRule="exact" w:val="227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-0,5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BF7" w:rsidRPr="001D3BF7" w:rsidRDefault="001D3BF7" w:rsidP="001D3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</w:pPr>
            <w:r w:rsidRPr="001D3BF7">
              <w:rPr>
                <w:rFonts w:ascii="Calibri" w:eastAsia="Times New Roman" w:hAnsi="Calibri" w:cs="Calibri"/>
                <w:sz w:val="16"/>
                <w:szCs w:val="16"/>
                <w:lang w:val="sr-Latn-CS" w:eastAsia="sr-Latn-CS"/>
              </w:rPr>
              <w:t>-1,0</w:t>
            </w:r>
          </w:p>
        </w:tc>
      </w:tr>
    </w:tbl>
    <w:p w:rsidR="003A1150" w:rsidRPr="00AD1B16" w:rsidRDefault="003A1150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br w:type="page"/>
      </w:r>
    </w:p>
    <w:p w:rsidR="0097377E" w:rsidRPr="00AD1B16" w:rsidRDefault="0097377E" w:rsidP="003A1150">
      <w:pPr>
        <w:spacing w:after="0" w:line="240" w:lineRule="auto"/>
        <w:jc w:val="both"/>
        <w:rPr>
          <w:i/>
          <w:iCs/>
          <w:sz w:val="12"/>
          <w:szCs w:val="12"/>
        </w:rPr>
      </w:pPr>
    </w:p>
    <w:p w:rsidR="00690A2B" w:rsidRDefault="00D61692" w:rsidP="00DA35C2">
      <w:pPr>
        <w:jc w:val="center"/>
        <w:rPr>
          <w:sz w:val="17"/>
          <w:szCs w:val="16"/>
        </w:rPr>
      </w:pPr>
      <w:r w:rsidRPr="00AD1B16">
        <w:rPr>
          <w:sz w:val="17"/>
          <w:szCs w:val="16"/>
        </w:rPr>
        <w:t xml:space="preserve">Tabela 2: </w:t>
      </w:r>
      <w:r w:rsidRPr="00AD1B16">
        <w:rPr>
          <w:b/>
          <w:bCs/>
          <w:sz w:val="17"/>
          <w:szCs w:val="16"/>
        </w:rPr>
        <w:t>BUDŽET CRNE GORE</w:t>
      </w:r>
      <w:r w:rsidRPr="00AD1B16">
        <w:rPr>
          <w:sz w:val="17"/>
          <w:szCs w:val="16"/>
        </w:rPr>
        <w:t xml:space="preserve"> – </w:t>
      </w:r>
      <w:r w:rsidR="006F6DF8">
        <w:rPr>
          <w:sz w:val="17"/>
          <w:szCs w:val="16"/>
        </w:rPr>
        <w:t>A</w:t>
      </w:r>
      <w:r w:rsidR="002544EC">
        <w:rPr>
          <w:sz w:val="17"/>
          <w:szCs w:val="16"/>
        </w:rPr>
        <w:t xml:space="preserve">pril. </w:t>
      </w:r>
      <w:r w:rsidRPr="00AD1B16">
        <w:rPr>
          <w:sz w:val="17"/>
          <w:szCs w:val="16"/>
        </w:rPr>
        <w:t>201</w:t>
      </w:r>
      <w:r w:rsidR="002544EC">
        <w:rPr>
          <w:sz w:val="17"/>
          <w:szCs w:val="16"/>
        </w:rPr>
        <w:t>3</w:t>
      </w:r>
      <w:r w:rsidR="000F5B09" w:rsidRPr="00AD1B16">
        <w:rPr>
          <w:sz w:val="17"/>
          <w:szCs w:val="16"/>
        </w:rPr>
        <w:t>.</w:t>
      </w:r>
    </w:p>
    <w:tbl>
      <w:tblPr>
        <w:tblW w:w="14040" w:type="dxa"/>
        <w:tblInd w:w="103" w:type="dxa"/>
        <w:tblLook w:val="04A0"/>
      </w:tblPr>
      <w:tblGrid>
        <w:gridCol w:w="2140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07"/>
        <w:gridCol w:w="607"/>
        <w:gridCol w:w="607"/>
        <w:gridCol w:w="607"/>
        <w:gridCol w:w="819"/>
        <w:gridCol w:w="851"/>
        <w:gridCol w:w="819"/>
      </w:tblGrid>
      <w:tr w:rsidR="00437329" w:rsidRPr="00437329" w:rsidTr="00437329">
        <w:trPr>
          <w:trHeight w:val="28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</w:rPr>
              <w:t>BUDŽET CRNE GORE</w:t>
            </w:r>
          </w:p>
        </w:tc>
        <w:tc>
          <w:tcPr>
            <w:tcW w:w="53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2012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2013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2013-plan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37329">
              <w:rPr>
                <w:rFonts w:ascii="Calibri" w:eastAsia="Times New Roman" w:hAnsi="Calibri" w:cs="Calibri"/>
                <w:sz w:val="16"/>
                <w:szCs w:val="16"/>
              </w:rPr>
              <w:t>Analitika-APR</w:t>
            </w:r>
          </w:p>
        </w:tc>
      </w:tr>
      <w:tr w:rsidR="00437329" w:rsidRPr="00437329" w:rsidTr="00437329">
        <w:trPr>
          <w:trHeight w:val="97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VI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VII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VIII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XI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XII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IV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II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III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IV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37329">
              <w:rPr>
                <w:rFonts w:ascii="Calibri" w:eastAsia="Times New Roman" w:hAnsi="Calibri" w:cs="Calibri"/>
                <w:sz w:val="16"/>
                <w:szCs w:val="16"/>
              </w:rPr>
              <w:t>apr 2013/apr 2012(%)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37329">
              <w:rPr>
                <w:rFonts w:ascii="Calibri" w:eastAsia="Times New Roman" w:hAnsi="Calibri" w:cs="Calibri"/>
                <w:sz w:val="16"/>
                <w:szCs w:val="16"/>
              </w:rPr>
              <w:t>jan-apr 2013/jan-apr 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37329">
              <w:rPr>
                <w:rFonts w:ascii="Calibri" w:eastAsia="Times New Roman" w:hAnsi="Calibri" w:cs="Calibri"/>
                <w:sz w:val="16"/>
                <w:szCs w:val="16"/>
              </w:rPr>
              <w:t>apr 2013/apr 2013 plan</w:t>
            </w:r>
          </w:p>
        </w:tc>
      </w:tr>
      <w:tr w:rsidR="00437329" w:rsidRPr="00437329" w:rsidTr="00437329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IZVORNI PRIHODI, od čega: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98,76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86,82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95,94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130,90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108,52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95,84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99,23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85,31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125,85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54,54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75,64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88,29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103,19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56,41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72,07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82,94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99,96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4,48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10,34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3,24</w:t>
            </w:r>
          </w:p>
        </w:tc>
      </w:tr>
      <w:tr w:rsidR="00437329" w:rsidRPr="00437329" w:rsidTr="00437329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Porezi i doprinosi na  zarade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39,30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34,83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32,63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41,77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48,37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32,88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42,82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35,50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60,40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14,21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34,57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35,60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34,16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13,05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32,15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35,13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38,49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-13,09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2,79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-11,25</w:t>
            </w:r>
          </w:p>
        </w:tc>
      </w:tr>
      <w:tr w:rsidR="00437329" w:rsidRPr="00437329" w:rsidTr="0043732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Porez na dobit pravnih lica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13,49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3,05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3,80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28,54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3,27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1,54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0,79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14,80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0,58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0,52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4,47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12,49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9,72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13,62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18,50</w:t>
            </w:r>
          </w:p>
        </w:tc>
      </w:tr>
      <w:tr w:rsidR="00437329" w:rsidRPr="00437329" w:rsidTr="00437329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Porez na dodatu vrijednost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27,71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30,99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37,82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37,35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32,21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33,59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33,88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29,08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25,78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24,86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24,75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29,49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33,76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22,22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22,35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24,91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29,05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21,83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20,07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16,23</w:t>
            </w:r>
          </w:p>
        </w:tc>
      </w:tr>
      <w:tr w:rsidR="00437329" w:rsidRPr="00437329" w:rsidTr="00437329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Akcize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9,98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10,09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14,77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13,19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17,42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19,43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11,83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12,45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17,89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9,26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10,36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12,32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13,47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9,37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23,42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17,89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23,45</w:t>
            </w:r>
          </w:p>
        </w:tc>
      </w:tr>
      <w:tr w:rsidR="00437329" w:rsidRPr="00437329" w:rsidTr="0043732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Porez na medj trgovinu i transak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3,38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3,25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1,99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1,69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2,09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2,25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2,43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3,48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-38,23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-42,07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-42,48</w:t>
            </w:r>
          </w:p>
        </w:tc>
      </w:tr>
      <w:tr w:rsidR="00437329" w:rsidRPr="00437329" w:rsidTr="00437329">
        <w:trPr>
          <w:trHeight w:val="330"/>
        </w:trPr>
        <w:tc>
          <w:tcPr>
            <w:tcW w:w="21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IZDACI BUDŽETA, od čega 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150,06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102,72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99,68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104,30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97,73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117,66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104,03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100,50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137,23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80,87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91,11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106,19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115,38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106,33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104,02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104,00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104,09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-23,11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-6,02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10,85</w:t>
            </w:r>
          </w:p>
        </w:tc>
      </w:tr>
      <w:tr w:rsidR="00437329" w:rsidRPr="00437329" w:rsidTr="00437329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Bruto zarade i doprinosi na teret posl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31,22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31,22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30,98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30,98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30,98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30,98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31,00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31,02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31,01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31,01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-0,76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-0,76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-0,09</w:t>
            </w:r>
          </w:p>
        </w:tc>
      </w:tr>
      <w:tr w:rsidR="00437329" w:rsidRPr="00437329" w:rsidTr="00437329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Rashodi za materijal i usluge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21,04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14,12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10,19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16,20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10,52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13,17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12,39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21,50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3,61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6,76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-67,85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-41,94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8,62</w:t>
            </w:r>
          </w:p>
        </w:tc>
      </w:tr>
      <w:tr w:rsidR="00437329" w:rsidRPr="00437329" w:rsidTr="00437329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Kamate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14,13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4,87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1,23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18,18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0,52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0,80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3,69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24,54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73,60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26,40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318,25</w:t>
            </w:r>
          </w:p>
        </w:tc>
      </w:tr>
      <w:tr w:rsidR="00437329" w:rsidRPr="00437329" w:rsidTr="00437329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Transferi za socijalnu zaštitu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43,78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40,87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39,07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40,98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39,99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40,35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40,56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40,34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42,46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38,15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39,98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42,82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36,72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41,49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41,49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41,49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41,49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-16,11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-11,49</w:t>
            </w:r>
          </w:p>
        </w:tc>
      </w:tr>
      <w:tr w:rsidR="00437329" w:rsidRPr="00437329" w:rsidTr="00437329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Transferi instit, pojed i NVO sektoru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4,07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4,77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5,88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7,62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7,62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44,59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222,25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-22,75</w:t>
            </w:r>
          </w:p>
        </w:tc>
      </w:tr>
      <w:tr w:rsidR="00437329" w:rsidRPr="00437329" w:rsidTr="00437329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Kapitalni izdaci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4,32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5,50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4,11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6,14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7,88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4,64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5,85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6,17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16,42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4,87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4,81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11,51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10,23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-22,26</w:t>
            </w:r>
          </w:p>
        </w:tc>
      </w:tr>
      <w:tr w:rsidR="00437329" w:rsidRPr="00437329" w:rsidTr="00437329">
        <w:trPr>
          <w:trHeight w:val="330"/>
        </w:trPr>
        <w:tc>
          <w:tcPr>
            <w:tcW w:w="21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Suficit / Deficit budžeta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-51,30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-15,90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-3,75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26,60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10,79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-21,82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-4,80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-15,19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-11,38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-26,33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-15,47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-17,91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-12,19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-49,93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-31,95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-21,06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-4,13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-76,24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-43,50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195,07</w:t>
            </w:r>
          </w:p>
        </w:tc>
      </w:tr>
      <w:tr w:rsidR="00437329" w:rsidRPr="00437329" w:rsidTr="00437329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Primarni deficit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-37,17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-13,88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1,12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27,83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13,39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-3,64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-4,28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-14,39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-7,68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-25,78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-14,53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-16,02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12,35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-44,06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-26,08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-15,19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-133,23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-58,18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611,16</w:t>
            </w:r>
          </w:p>
        </w:tc>
      </w:tr>
      <w:tr w:rsidR="00437329" w:rsidRPr="00437329" w:rsidTr="00437329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Otplata dugova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11,89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12,12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22,12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23,07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22,68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16,35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5,24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4,44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15,10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16,06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6,29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7,69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2,82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5,38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-47,14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-22,97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-21,79</w:t>
            </w:r>
          </w:p>
        </w:tc>
      </w:tr>
      <w:tr w:rsidR="00437329" w:rsidRPr="00437329" w:rsidTr="00437329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Državni dug (stanje duga)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1638,60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1634,50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1629,60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1718,80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1703,20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1707,20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1709,40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1700,20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1699,50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1732,70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1732,70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1755,70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1764,20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7,67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 </w:t>
            </w:r>
          </w:p>
        </w:tc>
      </w:tr>
      <w:tr w:rsidR="00437329" w:rsidRPr="00437329" w:rsidTr="00437329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Domaći dug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432,60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424,10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424,10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411,20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395,40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399,60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401,30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393,10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404,50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400,10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396,70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420,30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431,70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-0,21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 </w:t>
            </w:r>
          </w:p>
        </w:tc>
      </w:tr>
      <w:tr w:rsidR="00437329" w:rsidRPr="00437329" w:rsidTr="00437329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Inostrani dug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1206,00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1210,40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1205,50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1307,60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1307,80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1307,60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1308,10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sz w:val="14"/>
                <w:szCs w:val="14"/>
              </w:rPr>
              <w:t>1307,10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1295,00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1332,60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1336,00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1335,40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1332,50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329" w:rsidRPr="00437329" w:rsidRDefault="00437329" w:rsidP="00437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10,49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329" w:rsidRPr="00437329" w:rsidRDefault="00437329" w:rsidP="004373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</w:pPr>
            <w:r w:rsidRPr="0043732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</w:rPr>
              <w:t> </w:t>
            </w:r>
          </w:p>
        </w:tc>
      </w:tr>
    </w:tbl>
    <w:p w:rsidR="002544EC" w:rsidRPr="00AD1B16" w:rsidRDefault="002544EC" w:rsidP="00DA35C2">
      <w:pPr>
        <w:jc w:val="center"/>
        <w:rPr>
          <w:sz w:val="17"/>
          <w:szCs w:val="16"/>
        </w:rPr>
      </w:pPr>
    </w:p>
    <w:p w:rsidR="005025EC" w:rsidRPr="00AD1B16" w:rsidRDefault="008D6E96" w:rsidP="009F669F">
      <w:pPr>
        <w:rPr>
          <w:rFonts w:cstheme="minorHAnsi"/>
          <w:bCs/>
          <w:sz w:val="14"/>
          <w:szCs w:val="14"/>
        </w:rPr>
      </w:pPr>
      <w:r w:rsidRPr="00AD1B16">
        <w:rPr>
          <w:b/>
          <w:i/>
          <w:sz w:val="14"/>
          <w:szCs w:val="14"/>
        </w:rPr>
        <w:t>Izvor: Ministarstvo</w:t>
      </w:r>
      <w:r w:rsidR="00F13EE1">
        <w:rPr>
          <w:b/>
          <w:i/>
          <w:sz w:val="14"/>
          <w:szCs w:val="14"/>
        </w:rPr>
        <w:t xml:space="preserve"> </w:t>
      </w:r>
      <w:r w:rsidRPr="00AD1B16">
        <w:rPr>
          <w:b/>
          <w:i/>
          <w:sz w:val="14"/>
          <w:szCs w:val="14"/>
        </w:rPr>
        <w:t>finansijaCrne Gore</w:t>
      </w:r>
    </w:p>
    <w:p w:rsidR="005025EC" w:rsidRPr="00AD1B16" w:rsidRDefault="005025EC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A2480A" w:rsidRPr="00AD1B16" w:rsidRDefault="00A2480A" w:rsidP="005025EC">
      <w:pPr>
        <w:ind w:left="-142"/>
        <w:jc w:val="both"/>
        <w:rPr>
          <w:sz w:val="14"/>
          <w:szCs w:val="14"/>
        </w:rPr>
      </w:pPr>
      <w:r w:rsidRPr="00AD1B16">
        <w:rPr>
          <w:rFonts w:cstheme="minorHAnsi"/>
          <w:bCs/>
          <w:sz w:val="14"/>
          <w:szCs w:val="14"/>
        </w:rPr>
        <w:t>.</w:t>
      </w:r>
    </w:p>
    <w:sectPr w:rsidR="00A2480A" w:rsidRPr="00AD1B16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04" w:rsidRDefault="00232F04" w:rsidP="00965FCD">
      <w:pPr>
        <w:spacing w:after="0" w:line="240" w:lineRule="auto"/>
      </w:pPr>
      <w:r>
        <w:separator/>
      </w:r>
    </w:p>
  </w:endnote>
  <w:endnote w:type="continuationSeparator" w:id="0">
    <w:p w:rsidR="00232F04" w:rsidRDefault="00232F04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04" w:rsidRDefault="00232F04" w:rsidP="00965FCD">
      <w:pPr>
        <w:spacing w:after="0" w:line="240" w:lineRule="auto"/>
      </w:pPr>
      <w:r>
        <w:separator/>
      </w:r>
    </w:p>
  </w:footnote>
  <w:footnote w:type="continuationSeparator" w:id="0">
    <w:p w:rsidR="00232F04" w:rsidRDefault="00232F04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2ECD"/>
    <w:multiLevelType w:val="hybridMultilevel"/>
    <w:tmpl w:val="ED3CAA82"/>
    <w:lvl w:ilvl="0" w:tplc="3F3C6374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EE23FD"/>
    <w:multiLevelType w:val="hybridMultilevel"/>
    <w:tmpl w:val="93802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F44AF"/>
    <w:multiLevelType w:val="hybridMultilevel"/>
    <w:tmpl w:val="7D22FD2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97970"/>
    <w:multiLevelType w:val="hybridMultilevel"/>
    <w:tmpl w:val="68FE6D24"/>
    <w:lvl w:ilvl="0" w:tplc="901E345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1692"/>
    <w:rsid w:val="000000CB"/>
    <w:rsid w:val="000010A3"/>
    <w:rsid w:val="00003D78"/>
    <w:rsid w:val="00004B56"/>
    <w:rsid w:val="000147A0"/>
    <w:rsid w:val="00014AAB"/>
    <w:rsid w:val="00014D0B"/>
    <w:rsid w:val="00014E6A"/>
    <w:rsid w:val="00021033"/>
    <w:rsid w:val="000224B4"/>
    <w:rsid w:val="00022789"/>
    <w:rsid w:val="000263A4"/>
    <w:rsid w:val="000341DE"/>
    <w:rsid w:val="00034923"/>
    <w:rsid w:val="0003544A"/>
    <w:rsid w:val="000369E1"/>
    <w:rsid w:val="000421A3"/>
    <w:rsid w:val="000449CD"/>
    <w:rsid w:val="00044CB0"/>
    <w:rsid w:val="00045654"/>
    <w:rsid w:val="00046C9E"/>
    <w:rsid w:val="00050EAB"/>
    <w:rsid w:val="00052DC4"/>
    <w:rsid w:val="00053F4A"/>
    <w:rsid w:val="00054068"/>
    <w:rsid w:val="00055E5C"/>
    <w:rsid w:val="00055F78"/>
    <w:rsid w:val="00056E43"/>
    <w:rsid w:val="000601A4"/>
    <w:rsid w:val="00061391"/>
    <w:rsid w:val="000645F3"/>
    <w:rsid w:val="00067726"/>
    <w:rsid w:val="000734AF"/>
    <w:rsid w:val="00073786"/>
    <w:rsid w:val="00074378"/>
    <w:rsid w:val="000747AC"/>
    <w:rsid w:val="00074C3E"/>
    <w:rsid w:val="0007530C"/>
    <w:rsid w:val="000808D1"/>
    <w:rsid w:val="00080AEE"/>
    <w:rsid w:val="000812E2"/>
    <w:rsid w:val="00085B67"/>
    <w:rsid w:val="00090FDD"/>
    <w:rsid w:val="00091154"/>
    <w:rsid w:val="000915D3"/>
    <w:rsid w:val="000917D8"/>
    <w:rsid w:val="000925F7"/>
    <w:rsid w:val="000945C9"/>
    <w:rsid w:val="0009548F"/>
    <w:rsid w:val="00097E38"/>
    <w:rsid w:val="000A1159"/>
    <w:rsid w:val="000A2350"/>
    <w:rsid w:val="000A2F52"/>
    <w:rsid w:val="000A43CE"/>
    <w:rsid w:val="000A47FF"/>
    <w:rsid w:val="000A4E37"/>
    <w:rsid w:val="000A787A"/>
    <w:rsid w:val="000B1DD7"/>
    <w:rsid w:val="000B502D"/>
    <w:rsid w:val="000B67B1"/>
    <w:rsid w:val="000B7AE2"/>
    <w:rsid w:val="000C06C5"/>
    <w:rsid w:val="000C1965"/>
    <w:rsid w:val="000C36DB"/>
    <w:rsid w:val="000C6818"/>
    <w:rsid w:val="000D0374"/>
    <w:rsid w:val="000D52CF"/>
    <w:rsid w:val="000D5D48"/>
    <w:rsid w:val="000D5ED7"/>
    <w:rsid w:val="000D6DF1"/>
    <w:rsid w:val="000E13EB"/>
    <w:rsid w:val="000E2251"/>
    <w:rsid w:val="000E2351"/>
    <w:rsid w:val="000E3987"/>
    <w:rsid w:val="000E6096"/>
    <w:rsid w:val="000E77A4"/>
    <w:rsid w:val="000F4D73"/>
    <w:rsid w:val="000F5B09"/>
    <w:rsid w:val="000F6C6B"/>
    <w:rsid w:val="000F756E"/>
    <w:rsid w:val="00100371"/>
    <w:rsid w:val="0010339D"/>
    <w:rsid w:val="00107128"/>
    <w:rsid w:val="00112853"/>
    <w:rsid w:val="00114109"/>
    <w:rsid w:val="00115519"/>
    <w:rsid w:val="00116365"/>
    <w:rsid w:val="001164A1"/>
    <w:rsid w:val="00117AB0"/>
    <w:rsid w:val="00120A3A"/>
    <w:rsid w:val="00131185"/>
    <w:rsid w:val="001326B7"/>
    <w:rsid w:val="00132DD0"/>
    <w:rsid w:val="00134816"/>
    <w:rsid w:val="00134C6C"/>
    <w:rsid w:val="00136E70"/>
    <w:rsid w:val="0014312F"/>
    <w:rsid w:val="00144C86"/>
    <w:rsid w:val="0014607D"/>
    <w:rsid w:val="00147278"/>
    <w:rsid w:val="00152E4F"/>
    <w:rsid w:val="001530CE"/>
    <w:rsid w:val="0015515C"/>
    <w:rsid w:val="00156E33"/>
    <w:rsid w:val="00157601"/>
    <w:rsid w:val="001610BD"/>
    <w:rsid w:val="001613FC"/>
    <w:rsid w:val="001627A3"/>
    <w:rsid w:val="00163041"/>
    <w:rsid w:val="001644C7"/>
    <w:rsid w:val="00165DE6"/>
    <w:rsid w:val="001678F1"/>
    <w:rsid w:val="00170C82"/>
    <w:rsid w:val="00170CCE"/>
    <w:rsid w:val="00172D59"/>
    <w:rsid w:val="00174836"/>
    <w:rsid w:val="0017540F"/>
    <w:rsid w:val="00181309"/>
    <w:rsid w:val="0018289E"/>
    <w:rsid w:val="0018592D"/>
    <w:rsid w:val="00186BEF"/>
    <w:rsid w:val="00186F09"/>
    <w:rsid w:val="00187C66"/>
    <w:rsid w:val="00190285"/>
    <w:rsid w:val="001942BA"/>
    <w:rsid w:val="001A2829"/>
    <w:rsid w:val="001A392F"/>
    <w:rsid w:val="001A594D"/>
    <w:rsid w:val="001A65F4"/>
    <w:rsid w:val="001A7319"/>
    <w:rsid w:val="001B3267"/>
    <w:rsid w:val="001C1F7E"/>
    <w:rsid w:val="001C23DD"/>
    <w:rsid w:val="001C264C"/>
    <w:rsid w:val="001C2751"/>
    <w:rsid w:val="001C51EC"/>
    <w:rsid w:val="001C5CE9"/>
    <w:rsid w:val="001C6698"/>
    <w:rsid w:val="001C6750"/>
    <w:rsid w:val="001D0A32"/>
    <w:rsid w:val="001D3BF7"/>
    <w:rsid w:val="001D4E81"/>
    <w:rsid w:val="001E29D1"/>
    <w:rsid w:val="001E2BC7"/>
    <w:rsid w:val="001E33FE"/>
    <w:rsid w:val="001E4EAE"/>
    <w:rsid w:val="001E5BE3"/>
    <w:rsid w:val="001F1378"/>
    <w:rsid w:val="001F19CC"/>
    <w:rsid w:val="001F2B57"/>
    <w:rsid w:val="001F4C02"/>
    <w:rsid w:val="001F69DD"/>
    <w:rsid w:val="001F7C33"/>
    <w:rsid w:val="002000E5"/>
    <w:rsid w:val="0020246C"/>
    <w:rsid w:val="00203447"/>
    <w:rsid w:val="00205D15"/>
    <w:rsid w:val="00206062"/>
    <w:rsid w:val="00207613"/>
    <w:rsid w:val="00207B53"/>
    <w:rsid w:val="0021042E"/>
    <w:rsid w:val="00212126"/>
    <w:rsid w:val="00212633"/>
    <w:rsid w:val="0021614C"/>
    <w:rsid w:val="00216AC2"/>
    <w:rsid w:val="00220834"/>
    <w:rsid w:val="002210E9"/>
    <w:rsid w:val="00223E45"/>
    <w:rsid w:val="002251C3"/>
    <w:rsid w:val="00225F74"/>
    <w:rsid w:val="0022695C"/>
    <w:rsid w:val="00227682"/>
    <w:rsid w:val="00227D75"/>
    <w:rsid w:val="00230FA2"/>
    <w:rsid w:val="00231268"/>
    <w:rsid w:val="00232F04"/>
    <w:rsid w:val="00234902"/>
    <w:rsid w:val="00236B99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44EC"/>
    <w:rsid w:val="00256550"/>
    <w:rsid w:val="0025757E"/>
    <w:rsid w:val="00257D9D"/>
    <w:rsid w:val="00260EF0"/>
    <w:rsid w:val="00265023"/>
    <w:rsid w:val="002650CF"/>
    <w:rsid w:val="00265406"/>
    <w:rsid w:val="00265A3D"/>
    <w:rsid w:val="00270FD9"/>
    <w:rsid w:val="002717A8"/>
    <w:rsid w:val="002723A7"/>
    <w:rsid w:val="00274EBC"/>
    <w:rsid w:val="00282488"/>
    <w:rsid w:val="00282DBE"/>
    <w:rsid w:val="00283704"/>
    <w:rsid w:val="00294586"/>
    <w:rsid w:val="00296127"/>
    <w:rsid w:val="00297AC4"/>
    <w:rsid w:val="002A046A"/>
    <w:rsid w:val="002A0D49"/>
    <w:rsid w:val="002A10A8"/>
    <w:rsid w:val="002A1B2B"/>
    <w:rsid w:val="002A1DC4"/>
    <w:rsid w:val="002A235B"/>
    <w:rsid w:val="002A24A1"/>
    <w:rsid w:val="002A4910"/>
    <w:rsid w:val="002A68B8"/>
    <w:rsid w:val="002B10AE"/>
    <w:rsid w:val="002B318C"/>
    <w:rsid w:val="002B552A"/>
    <w:rsid w:val="002C1A52"/>
    <w:rsid w:val="002C1FBF"/>
    <w:rsid w:val="002C47B8"/>
    <w:rsid w:val="002C6888"/>
    <w:rsid w:val="002C78FB"/>
    <w:rsid w:val="002D170B"/>
    <w:rsid w:val="002D175D"/>
    <w:rsid w:val="002D2E80"/>
    <w:rsid w:val="002D3B0F"/>
    <w:rsid w:val="002D5865"/>
    <w:rsid w:val="002E6CB0"/>
    <w:rsid w:val="002F184C"/>
    <w:rsid w:val="002F19E7"/>
    <w:rsid w:val="002F323A"/>
    <w:rsid w:val="002F5002"/>
    <w:rsid w:val="002F567B"/>
    <w:rsid w:val="002F6AB2"/>
    <w:rsid w:val="003004B8"/>
    <w:rsid w:val="003022A7"/>
    <w:rsid w:val="0030296C"/>
    <w:rsid w:val="00303D85"/>
    <w:rsid w:val="00306B26"/>
    <w:rsid w:val="00307F4D"/>
    <w:rsid w:val="0031558E"/>
    <w:rsid w:val="00315B94"/>
    <w:rsid w:val="003217C9"/>
    <w:rsid w:val="00321CA6"/>
    <w:rsid w:val="00327AC3"/>
    <w:rsid w:val="00330832"/>
    <w:rsid w:val="00330C13"/>
    <w:rsid w:val="00331520"/>
    <w:rsid w:val="00331C0E"/>
    <w:rsid w:val="00331D9F"/>
    <w:rsid w:val="003324D9"/>
    <w:rsid w:val="0033276A"/>
    <w:rsid w:val="00333C49"/>
    <w:rsid w:val="00337648"/>
    <w:rsid w:val="00340752"/>
    <w:rsid w:val="003409C9"/>
    <w:rsid w:val="00341583"/>
    <w:rsid w:val="00344581"/>
    <w:rsid w:val="00350CFE"/>
    <w:rsid w:val="0035139C"/>
    <w:rsid w:val="003568F4"/>
    <w:rsid w:val="00357182"/>
    <w:rsid w:val="00357E66"/>
    <w:rsid w:val="00360100"/>
    <w:rsid w:val="00360197"/>
    <w:rsid w:val="003625F1"/>
    <w:rsid w:val="00364D14"/>
    <w:rsid w:val="003652E1"/>
    <w:rsid w:val="00365311"/>
    <w:rsid w:val="00365E46"/>
    <w:rsid w:val="00366F41"/>
    <w:rsid w:val="0037726C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0732"/>
    <w:rsid w:val="0039257B"/>
    <w:rsid w:val="0039441A"/>
    <w:rsid w:val="00396D7E"/>
    <w:rsid w:val="00396FDF"/>
    <w:rsid w:val="003A0776"/>
    <w:rsid w:val="003A0C23"/>
    <w:rsid w:val="003A0F73"/>
    <w:rsid w:val="003A1150"/>
    <w:rsid w:val="003A1E5E"/>
    <w:rsid w:val="003B1992"/>
    <w:rsid w:val="003B1A29"/>
    <w:rsid w:val="003B2900"/>
    <w:rsid w:val="003B3299"/>
    <w:rsid w:val="003B436A"/>
    <w:rsid w:val="003B48D5"/>
    <w:rsid w:val="003B4F8C"/>
    <w:rsid w:val="003B62EC"/>
    <w:rsid w:val="003B6844"/>
    <w:rsid w:val="003C14C9"/>
    <w:rsid w:val="003C15EF"/>
    <w:rsid w:val="003C1D23"/>
    <w:rsid w:val="003C4817"/>
    <w:rsid w:val="003D1EDB"/>
    <w:rsid w:val="003D4359"/>
    <w:rsid w:val="003D4739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757E"/>
    <w:rsid w:val="003F0052"/>
    <w:rsid w:val="003F0EA8"/>
    <w:rsid w:val="003F5183"/>
    <w:rsid w:val="003F5A35"/>
    <w:rsid w:val="00400C11"/>
    <w:rsid w:val="004010A8"/>
    <w:rsid w:val="00401DED"/>
    <w:rsid w:val="00404546"/>
    <w:rsid w:val="00406097"/>
    <w:rsid w:val="00406C7B"/>
    <w:rsid w:val="00407FE4"/>
    <w:rsid w:val="0041311D"/>
    <w:rsid w:val="00415784"/>
    <w:rsid w:val="00415806"/>
    <w:rsid w:val="004159BE"/>
    <w:rsid w:val="00417DAC"/>
    <w:rsid w:val="004200AE"/>
    <w:rsid w:val="00420CBC"/>
    <w:rsid w:val="00421432"/>
    <w:rsid w:val="00421CD5"/>
    <w:rsid w:val="00425EC2"/>
    <w:rsid w:val="00427696"/>
    <w:rsid w:val="00430C42"/>
    <w:rsid w:val="00435D37"/>
    <w:rsid w:val="00436469"/>
    <w:rsid w:val="00437329"/>
    <w:rsid w:val="00437A18"/>
    <w:rsid w:val="0044465C"/>
    <w:rsid w:val="0044550D"/>
    <w:rsid w:val="004471B9"/>
    <w:rsid w:val="00447221"/>
    <w:rsid w:val="00455227"/>
    <w:rsid w:val="00461324"/>
    <w:rsid w:val="0046148B"/>
    <w:rsid w:val="004634E4"/>
    <w:rsid w:val="004655E7"/>
    <w:rsid w:val="004725CB"/>
    <w:rsid w:val="0047278D"/>
    <w:rsid w:val="00475763"/>
    <w:rsid w:val="00480082"/>
    <w:rsid w:val="004848E8"/>
    <w:rsid w:val="004865CE"/>
    <w:rsid w:val="004868F5"/>
    <w:rsid w:val="00487296"/>
    <w:rsid w:val="004932C1"/>
    <w:rsid w:val="00493B63"/>
    <w:rsid w:val="004940E0"/>
    <w:rsid w:val="00496861"/>
    <w:rsid w:val="004A1113"/>
    <w:rsid w:val="004A382B"/>
    <w:rsid w:val="004A3894"/>
    <w:rsid w:val="004A38D1"/>
    <w:rsid w:val="004A4154"/>
    <w:rsid w:val="004A55B1"/>
    <w:rsid w:val="004A56BE"/>
    <w:rsid w:val="004A5717"/>
    <w:rsid w:val="004A62DA"/>
    <w:rsid w:val="004B1C2A"/>
    <w:rsid w:val="004B41B2"/>
    <w:rsid w:val="004B7800"/>
    <w:rsid w:val="004B7883"/>
    <w:rsid w:val="004C0135"/>
    <w:rsid w:val="004C16F3"/>
    <w:rsid w:val="004C373F"/>
    <w:rsid w:val="004C3C31"/>
    <w:rsid w:val="004C659C"/>
    <w:rsid w:val="004D49A0"/>
    <w:rsid w:val="004D4E0F"/>
    <w:rsid w:val="004E7676"/>
    <w:rsid w:val="004F288B"/>
    <w:rsid w:val="004F3817"/>
    <w:rsid w:val="004F50B8"/>
    <w:rsid w:val="004F7808"/>
    <w:rsid w:val="004F7D2D"/>
    <w:rsid w:val="004F7F71"/>
    <w:rsid w:val="005025EC"/>
    <w:rsid w:val="005027D6"/>
    <w:rsid w:val="005070CF"/>
    <w:rsid w:val="005078B9"/>
    <w:rsid w:val="00516264"/>
    <w:rsid w:val="00517175"/>
    <w:rsid w:val="00522282"/>
    <w:rsid w:val="00524587"/>
    <w:rsid w:val="0052531F"/>
    <w:rsid w:val="005253D1"/>
    <w:rsid w:val="00532B88"/>
    <w:rsid w:val="005331BD"/>
    <w:rsid w:val="0053458C"/>
    <w:rsid w:val="0053621B"/>
    <w:rsid w:val="00536525"/>
    <w:rsid w:val="0053722D"/>
    <w:rsid w:val="00541131"/>
    <w:rsid w:val="00541D70"/>
    <w:rsid w:val="005429A2"/>
    <w:rsid w:val="00543A1F"/>
    <w:rsid w:val="00546967"/>
    <w:rsid w:val="00547212"/>
    <w:rsid w:val="005523CF"/>
    <w:rsid w:val="0055364A"/>
    <w:rsid w:val="00553E61"/>
    <w:rsid w:val="0055409D"/>
    <w:rsid w:val="0055507E"/>
    <w:rsid w:val="00555A5E"/>
    <w:rsid w:val="0055713F"/>
    <w:rsid w:val="00560529"/>
    <w:rsid w:val="00560667"/>
    <w:rsid w:val="00561992"/>
    <w:rsid w:val="00564436"/>
    <w:rsid w:val="005644BB"/>
    <w:rsid w:val="00565662"/>
    <w:rsid w:val="00570C9B"/>
    <w:rsid w:val="00570EEF"/>
    <w:rsid w:val="005715D6"/>
    <w:rsid w:val="00571A37"/>
    <w:rsid w:val="0057438A"/>
    <w:rsid w:val="00580172"/>
    <w:rsid w:val="00581749"/>
    <w:rsid w:val="005829D9"/>
    <w:rsid w:val="00583591"/>
    <w:rsid w:val="005852DA"/>
    <w:rsid w:val="005916D5"/>
    <w:rsid w:val="00593B25"/>
    <w:rsid w:val="00595DA2"/>
    <w:rsid w:val="005A4AB8"/>
    <w:rsid w:val="005A5064"/>
    <w:rsid w:val="005A5229"/>
    <w:rsid w:val="005B0DB1"/>
    <w:rsid w:val="005B18F4"/>
    <w:rsid w:val="005B25F8"/>
    <w:rsid w:val="005B5CB7"/>
    <w:rsid w:val="005B7040"/>
    <w:rsid w:val="005C19AB"/>
    <w:rsid w:val="005C3915"/>
    <w:rsid w:val="005C4CBE"/>
    <w:rsid w:val="005C5F38"/>
    <w:rsid w:val="005D0E14"/>
    <w:rsid w:val="005D4BC4"/>
    <w:rsid w:val="005D751B"/>
    <w:rsid w:val="005E038B"/>
    <w:rsid w:val="005E150E"/>
    <w:rsid w:val="005E2852"/>
    <w:rsid w:val="005E35C9"/>
    <w:rsid w:val="005E4CD1"/>
    <w:rsid w:val="005E5941"/>
    <w:rsid w:val="005E6D35"/>
    <w:rsid w:val="005F33D4"/>
    <w:rsid w:val="005F50EA"/>
    <w:rsid w:val="005F568D"/>
    <w:rsid w:val="006006C6"/>
    <w:rsid w:val="006050EA"/>
    <w:rsid w:val="00606BE6"/>
    <w:rsid w:val="006071F2"/>
    <w:rsid w:val="00607217"/>
    <w:rsid w:val="00607500"/>
    <w:rsid w:val="0061084D"/>
    <w:rsid w:val="00611F8A"/>
    <w:rsid w:val="006127E9"/>
    <w:rsid w:val="00612F5E"/>
    <w:rsid w:val="00613676"/>
    <w:rsid w:val="00615DA0"/>
    <w:rsid w:val="00616B6E"/>
    <w:rsid w:val="00620FA4"/>
    <w:rsid w:val="00621E7B"/>
    <w:rsid w:val="0062271A"/>
    <w:rsid w:val="00623BC4"/>
    <w:rsid w:val="00624C12"/>
    <w:rsid w:val="0063610A"/>
    <w:rsid w:val="00645ED4"/>
    <w:rsid w:val="00647B12"/>
    <w:rsid w:val="006509EE"/>
    <w:rsid w:val="0065108A"/>
    <w:rsid w:val="006534C5"/>
    <w:rsid w:val="00653CF3"/>
    <w:rsid w:val="00654A8A"/>
    <w:rsid w:val="00656863"/>
    <w:rsid w:val="0065775B"/>
    <w:rsid w:val="00661339"/>
    <w:rsid w:val="00661C7E"/>
    <w:rsid w:val="00663690"/>
    <w:rsid w:val="00664DEB"/>
    <w:rsid w:val="00666EFC"/>
    <w:rsid w:val="00667213"/>
    <w:rsid w:val="00670373"/>
    <w:rsid w:val="00670D92"/>
    <w:rsid w:val="00671844"/>
    <w:rsid w:val="006723F0"/>
    <w:rsid w:val="00672DCB"/>
    <w:rsid w:val="006751BF"/>
    <w:rsid w:val="006756E9"/>
    <w:rsid w:val="006759B4"/>
    <w:rsid w:val="006760A4"/>
    <w:rsid w:val="00676A4B"/>
    <w:rsid w:val="00681351"/>
    <w:rsid w:val="00681A9E"/>
    <w:rsid w:val="00684902"/>
    <w:rsid w:val="00690A2B"/>
    <w:rsid w:val="00690EA9"/>
    <w:rsid w:val="006910F4"/>
    <w:rsid w:val="00691F1D"/>
    <w:rsid w:val="00692810"/>
    <w:rsid w:val="0069434B"/>
    <w:rsid w:val="00694445"/>
    <w:rsid w:val="00695141"/>
    <w:rsid w:val="00695AC5"/>
    <w:rsid w:val="006971AF"/>
    <w:rsid w:val="00697A91"/>
    <w:rsid w:val="006A0B4A"/>
    <w:rsid w:val="006A290B"/>
    <w:rsid w:val="006A5DE6"/>
    <w:rsid w:val="006A6C58"/>
    <w:rsid w:val="006B2866"/>
    <w:rsid w:val="006B3579"/>
    <w:rsid w:val="006B4777"/>
    <w:rsid w:val="006B7725"/>
    <w:rsid w:val="006C15C6"/>
    <w:rsid w:val="006C2906"/>
    <w:rsid w:val="006C3C84"/>
    <w:rsid w:val="006C5F17"/>
    <w:rsid w:val="006C7BA4"/>
    <w:rsid w:val="006C7EA3"/>
    <w:rsid w:val="006D1A57"/>
    <w:rsid w:val="006D3720"/>
    <w:rsid w:val="006D3727"/>
    <w:rsid w:val="006D4A5C"/>
    <w:rsid w:val="006D53D7"/>
    <w:rsid w:val="006D74DB"/>
    <w:rsid w:val="006E11AC"/>
    <w:rsid w:val="006E339F"/>
    <w:rsid w:val="006E4746"/>
    <w:rsid w:val="006E4B91"/>
    <w:rsid w:val="006E6751"/>
    <w:rsid w:val="006F2861"/>
    <w:rsid w:val="006F4309"/>
    <w:rsid w:val="006F5E1B"/>
    <w:rsid w:val="006F6B2B"/>
    <w:rsid w:val="006F6D5E"/>
    <w:rsid w:val="006F6DF8"/>
    <w:rsid w:val="00701093"/>
    <w:rsid w:val="007027D1"/>
    <w:rsid w:val="007055C9"/>
    <w:rsid w:val="00710BC7"/>
    <w:rsid w:val="00712271"/>
    <w:rsid w:val="00713AA0"/>
    <w:rsid w:val="00715597"/>
    <w:rsid w:val="00716A7D"/>
    <w:rsid w:val="00716B14"/>
    <w:rsid w:val="00717FE8"/>
    <w:rsid w:val="007206BA"/>
    <w:rsid w:val="00721DCD"/>
    <w:rsid w:val="00722A4C"/>
    <w:rsid w:val="00725D07"/>
    <w:rsid w:val="007307C9"/>
    <w:rsid w:val="00734688"/>
    <w:rsid w:val="00734729"/>
    <w:rsid w:val="00736E76"/>
    <w:rsid w:val="00737DB4"/>
    <w:rsid w:val="007406F2"/>
    <w:rsid w:val="00742C04"/>
    <w:rsid w:val="007452A1"/>
    <w:rsid w:val="00745BCE"/>
    <w:rsid w:val="00746132"/>
    <w:rsid w:val="007469F9"/>
    <w:rsid w:val="007515DA"/>
    <w:rsid w:val="00753C0A"/>
    <w:rsid w:val="00754F86"/>
    <w:rsid w:val="0075551E"/>
    <w:rsid w:val="00756761"/>
    <w:rsid w:val="007579F4"/>
    <w:rsid w:val="00757A6C"/>
    <w:rsid w:val="0076100C"/>
    <w:rsid w:val="00761287"/>
    <w:rsid w:val="0076182F"/>
    <w:rsid w:val="007618B8"/>
    <w:rsid w:val="00771538"/>
    <w:rsid w:val="007722BC"/>
    <w:rsid w:val="00772A01"/>
    <w:rsid w:val="00772F45"/>
    <w:rsid w:val="00777134"/>
    <w:rsid w:val="00781377"/>
    <w:rsid w:val="00784166"/>
    <w:rsid w:val="0078476D"/>
    <w:rsid w:val="00784BF8"/>
    <w:rsid w:val="00785339"/>
    <w:rsid w:val="00786F50"/>
    <w:rsid w:val="00791DC2"/>
    <w:rsid w:val="007941BB"/>
    <w:rsid w:val="00794B8C"/>
    <w:rsid w:val="00796ED1"/>
    <w:rsid w:val="00797B66"/>
    <w:rsid w:val="007A1882"/>
    <w:rsid w:val="007A2838"/>
    <w:rsid w:val="007A299E"/>
    <w:rsid w:val="007A33EE"/>
    <w:rsid w:val="007B0888"/>
    <w:rsid w:val="007B5A1B"/>
    <w:rsid w:val="007B5C2E"/>
    <w:rsid w:val="007B7DBE"/>
    <w:rsid w:val="007C0F86"/>
    <w:rsid w:val="007C1EE8"/>
    <w:rsid w:val="007C2107"/>
    <w:rsid w:val="007C2827"/>
    <w:rsid w:val="007D0956"/>
    <w:rsid w:val="007D4C9D"/>
    <w:rsid w:val="007D4EE7"/>
    <w:rsid w:val="007D5AB1"/>
    <w:rsid w:val="007E0203"/>
    <w:rsid w:val="007E056C"/>
    <w:rsid w:val="007E081D"/>
    <w:rsid w:val="007E1AB8"/>
    <w:rsid w:val="007E293C"/>
    <w:rsid w:val="007E36EB"/>
    <w:rsid w:val="007E4538"/>
    <w:rsid w:val="007E5CC1"/>
    <w:rsid w:val="007E7DDD"/>
    <w:rsid w:val="007F33E9"/>
    <w:rsid w:val="007F388B"/>
    <w:rsid w:val="007F61AF"/>
    <w:rsid w:val="007F775F"/>
    <w:rsid w:val="00802B7F"/>
    <w:rsid w:val="00804F0B"/>
    <w:rsid w:val="00805844"/>
    <w:rsid w:val="00806B4B"/>
    <w:rsid w:val="00810837"/>
    <w:rsid w:val="00810CDD"/>
    <w:rsid w:val="0081184B"/>
    <w:rsid w:val="00811DF5"/>
    <w:rsid w:val="00812E0B"/>
    <w:rsid w:val="00813F13"/>
    <w:rsid w:val="00815A2F"/>
    <w:rsid w:val="00817A6A"/>
    <w:rsid w:val="0082070B"/>
    <w:rsid w:val="00822F67"/>
    <w:rsid w:val="00824F33"/>
    <w:rsid w:val="008251C2"/>
    <w:rsid w:val="0082721B"/>
    <w:rsid w:val="008343BA"/>
    <w:rsid w:val="00836A00"/>
    <w:rsid w:val="00845320"/>
    <w:rsid w:val="00845675"/>
    <w:rsid w:val="00847B5B"/>
    <w:rsid w:val="00854098"/>
    <w:rsid w:val="008573C7"/>
    <w:rsid w:val="00860BDB"/>
    <w:rsid w:val="00861096"/>
    <w:rsid w:val="00861D85"/>
    <w:rsid w:val="00861F52"/>
    <w:rsid w:val="00864891"/>
    <w:rsid w:val="00873808"/>
    <w:rsid w:val="00873FD5"/>
    <w:rsid w:val="00875C4F"/>
    <w:rsid w:val="008770B1"/>
    <w:rsid w:val="00877642"/>
    <w:rsid w:val="00880646"/>
    <w:rsid w:val="00882650"/>
    <w:rsid w:val="00883754"/>
    <w:rsid w:val="008842AB"/>
    <w:rsid w:val="008844C7"/>
    <w:rsid w:val="008855BC"/>
    <w:rsid w:val="00886930"/>
    <w:rsid w:val="0089243B"/>
    <w:rsid w:val="0089368B"/>
    <w:rsid w:val="008962B4"/>
    <w:rsid w:val="0089702D"/>
    <w:rsid w:val="008A1B88"/>
    <w:rsid w:val="008A1FE3"/>
    <w:rsid w:val="008A20BC"/>
    <w:rsid w:val="008A30DD"/>
    <w:rsid w:val="008A3BC7"/>
    <w:rsid w:val="008A3F44"/>
    <w:rsid w:val="008A466B"/>
    <w:rsid w:val="008A68EC"/>
    <w:rsid w:val="008A73B0"/>
    <w:rsid w:val="008B285E"/>
    <w:rsid w:val="008B2B3C"/>
    <w:rsid w:val="008C01EB"/>
    <w:rsid w:val="008C15C8"/>
    <w:rsid w:val="008C2299"/>
    <w:rsid w:val="008C3941"/>
    <w:rsid w:val="008D0998"/>
    <w:rsid w:val="008D2C8B"/>
    <w:rsid w:val="008D4618"/>
    <w:rsid w:val="008D6E96"/>
    <w:rsid w:val="008D6F6A"/>
    <w:rsid w:val="008D6F78"/>
    <w:rsid w:val="008E0E90"/>
    <w:rsid w:val="008E6D00"/>
    <w:rsid w:val="008E7183"/>
    <w:rsid w:val="008F0415"/>
    <w:rsid w:val="008F195C"/>
    <w:rsid w:val="008F3342"/>
    <w:rsid w:val="008F34CB"/>
    <w:rsid w:val="008F3986"/>
    <w:rsid w:val="008F4E21"/>
    <w:rsid w:val="008F4F59"/>
    <w:rsid w:val="008F7755"/>
    <w:rsid w:val="00902289"/>
    <w:rsid w:val="009022BB"/>
    <w:rsid w:val="0090493D"/>
    <w:rsid w:val="00904C72"/>
    <w:rsid w:val="00905430"/>
    <w:rsid w:val="00905BF5"/>
    <w:rsid w:val="00905F6A"/>
    <w:rsid w:val="00907FE0"/>
    <w:rsid w:val="00910CBD"/>
    <w:rsid w:val="0091144B"/>
    <w:rsid w:val="009126D6"/>
    <w:rsid w:val="00915576"/>
    <w:rsid w:val="00916A0F"/>
    <w:rsid w:val="00920528"/>
    <w:rsid w:val="0092368D"/>
    <w:rsid w:val="0092403C"/>
    <w:rsid w:val="0092474C"/>
    <w:rsid w:val="009271A2"/>
    <w:rsid w:val="00927DD4"/>
    <w:rsid w:val="0093484E"/>
    <w:rsid w:val="009351E3"/>
    <w:rsid w:val="00935A48"/>
    <w:rsid w:val="00937C0F"/>
    <w:rsid w:val="00941C71"/>
    <w:rsid w:val="00941E99"/>
    <w:rsid w:val="0094299F"/>
    <w:rsid w:val="009472A1"/>
    <w:rsid w:val="00947E4E"/>
    <w:rsid w:val="00951A56"/>
    <w:rsid w:val="009543FD"/>
    <w:rsid w:val="0095708D"/>
    <w:rsid w:val="009570EC"/>
    <w:rsid w:val="00957325"/>
    <w:rsid w:val="009602F6"/>
    <w:rsid w:val="00962341"/>
    <w:rsid w:val="009647DB"/>
    <w:rsid w:val="00964C41"/>
    <w:rsid w:val="00965B35"/>
    <w:rsid w:val="00965FCD"/>
    <w:rsid w:val="00966CC3"/>
    <w:rsid w:val="009707F3"/>
    <w:rsid w:val="00970817"/>
    <w:rsid w:val="00972F5D"/>
    <w:rsid w:val="0097377E"/>
    <w:rsid w:val="00974320"/>
    <w:rsid w:val="00974F42"/>
    <w:rsid w:val="00982395"/>
    <w:rsid w:val="0098296F"/>
    <w:rsid w:val="009836D7"/>
    <w:rsid w:val="0098562F"/>
    <w:rsid w:val="009860B5"/>
    <w:rsid w:val="00992B90"/>
    <w:rsid w:val="00994D96"/>
    <w:rsid w:val="009A0736"/>
    <w:rsid w:val="009A24E1"/>
    <w:rsid w:val="009A4C61"/>
    <w:rsid w:val="009A792A"/>
    <w:rsid w:val="009B1C0A"/>
    <w:rsid w:val="009B320B"/>
    <w:rsid w:val="009B3ECE"/>
    <w:rsid w:val="009B5779"/>
    <w:rsid w:val="009B65AF"/>
    <w:rsid w:val="009B6603"/>
    <w:rsid w:val="009C162D"/>
    <w:rsid w:val="009C42D7"/>
    <w:rsid w:val="009C756D"/>
    <w:rsid w:val="009D04AF"/>
    <w:rsid w:val="009D198A"/>
    <w:rsid w:val="009D2F97"/>
    <w:rsid w:val="009D36B4"/>
    <w:rsid w:val="009D3AEA"/>
    <w:rsid w:val="009D3E8D"/>
    <w:rsid w:val="009D64D9"/>
    <w:rsid w:val="009D6D64"/>
    <w:rsid w:val="009D7885"/>
    <w:rsid w:val="009E04A3"/>
    <w:rsid w:val="009E5304"/>
    <w:rsid w:val="009E58AC"/>
    <w:rsid w:val="009E5D48"/>
    <w:rsid w:val="009E70C1"/>
    <w:rsid w:val="009E7177"/>
    <w:rsid w:val="009F0EB0"/>
    <w:rsid w:val="009F1090"/>
    <w:rsid w:val="009F18E0"/>
    <w:rsid w:val="009F3CF9"/>
    <w:rsid w:val="009F3DA9"/>
    <w:rsid w:val="009F669F"/>
    <w:rsid w:val="00A00218"/>
    <w:rsid w:val="00A0035B"/>
    <w:rsid w:val="00A060B3"/>
    <w:rsid w:val="00A06C70"/>
    <w:rsid w:val="00A07539"/>
    <w:rsid w:val="00A119B4"/>
    <w:rsid w:val="00A11CDE"/>
    <w:rsid w:val="00A14996"/>
    <w:rsid w:val="00A16685"/>
    <w:rsid w:val="00A17447"/>
    <w:rsid w:val="00A2097F"/>
    <w:rsid w:val="00A21EEE"/>
    <w:rsid w:val="00A22776"/>
    <w:rsid w:val="00A22911"/>
    <w:rsid w:val="00A233F2"/>
    <w:rsid w:val="00A2480A"/>
    <w:rsid w:val="00A25D5F"/>
    <w:rsid w:val="00A33860"/>
    <w:rsid w:val="00A34594"/>
    <w:rsid w:val="00A34E49"/>
    <w:rsid w:val="00A34E9D"/>
    <w:rsid w:val="00A35C10"/>
    <w:rsid w:val="00A4482B"/>
    <w:rsid w:val="00A44F75"/>
    <w:rsid w:val="00A4692E"/>
    <w:rsid w:val="00A46C9C"/>
    <w:rsid w:val="00A46DEF"/>
    <w:rsid w:val="00A52BC0"/>
    <w:rsid w:val="00A55764"/>
    <w:rsid w:val="00A559ED"/>
    <w:rsid w:val="00A55AB0"/>
    <w:rsid w:val="00A5642C"/>
    <w:rsid w:val="00A57868"/>
    <w:rsid w:val="00A6220E"/>
    <w:rsid w:val="00A62711"/>
    <w:rsid w:val="00A63167"/>
    <w:rsid w:val="00A66994"/>
    <w:rsid w:val="00A67103"/>
    <w:rsid w:val="00A73828"/>
    <w:rsid w:val="00A74590"/>
    <w:rsid w:val="00A75004"/>
    <w:rsid w:val="00A76BD3"/>
    <w:rsid w:val="00A80523"/>
    <w:rsid w:val="00A85320"/>
    <w:rsid w:val="00A85322"/>
    <w:rsid w:val="00A919D2"/>
    <w:rsid w:val="00A94105"/>
    <w:rsid w:val="00A9414F"/>
    <w:rsid w:val="00A94444"/>
    <w:rsid w:val="00A95B3A"/>
    <w:rsid w:val="00A965E6"/>
    <w:rsid w:val="00AA1568"/>
    <w:rsid w:val="00AA4C9B"/>
    <w:rsid w:val="00AA53FC"/>
    <w:rsid w:val="00AA57C2"/>
    <w:rsid w:val="00AB1AAD"/>
    <w:rsid w:val="00AB2252"/>
    <w:rsid w:val="00AB3700"/>
    <w:rsid w:val="00AB47EB"/>
    <w:rsid w:val="00AB4C24"/>
    <w:rsid w:val="00AB4C79"/>
    <w:rsid w:val="00AC41A8"/>
    <w:rsid w:val="00AC57E2"/>
    <w:rsid w:val="00AC7CE7"/>
    <w:rsid w:val="00AD02E0"/>
    <w:rsid w:val="00AD0474"/>
    <w:rsid w:val="00AD1B16"/>
    <w:rsid w:val="00AD1CF2"/>
    <w:rsid w:val="00AD677F"/>
    <w:rsid w:val="00AD69AC"/>
    <w:rsid w:val="00AD6C85"/>
    <w:rsid w:val="00AD6E0C"/>
    <w:rsid w:val="00AD725A"/>
    <w:rsid w:val="00AE3B29"/>
    <w:rsid w:val="00AE46D2"/>
    <w:rsid w:val="00AE4C39"/>
    <w:rsid w:val="00AF16EF"/>
    <w:rsid w:val="00AF2A35"/>
    <w:rsid w:val="00AF39C0"/>
    <w:rsid w:val="00AF6471"/>
    <w:rsid w:val="00AF71DC"/>
    <w:rsid w:val="00AF77D6"/>
    <w:rsid w:val="00B02D66"/>
    <w:rsid w:val="00B0449D"/>
    <w:rsid w:val="00B063C0"/>
    <w:rsid w:val="00B10371"/>
    <w:rsid w:val="00B129C6"/>
    <w:rsid w:val="00B12E31"/>
    <w:rsid w:val="00B12FFF"/>
    <w:rsid w:val="00B144B8"/>
    <w:rsid w:val="00B159EB"/>
    <w:rsid w:val="00B215A7"/>
    <w:rsid w:val="00B2447D"/>
    <w:rsid w:val="00B2654F"/>
    <w:rsid w:val="00B27D61"/>
    <w:rsid w:val="00B30BC0"/>
    <w:rsid w:val="00B322A4"/>
    <w:rsid w:val="00B36D48"/>
    <w:rsid w:val="00B40133"/>
    <w:rsid w:val="00B41E7A"/>
    <w:rsid w:val="00B46ABF"/>
    <w:rsid w:val="00B47CAB"/>
    <w:rsid w:val="00B50021"/>
    <w:rsid w:val="00B50CF4"/>
    <w:rsid w:val="00B53433"/>
    <w:rsid w:val="00B6394D"/>
    <w:rsid w:val="00B63FBA"/>
    <w:rsid w:val="00B6519A"/>
    <w:rsid w:val="00B663B8"/>
    <w:rsid w:val="00B7153F"/>
    <w:rsid w:val="00B71665"/>
    <w:rsid w:val="00B71C0B"/>
    <w:rsid w:val="00B74947"/>
    <w:rsid w:val="00B7591E"/>
    <w:rsid w:val="00B80B47"/>
    <w:rsid w:val="00B81BD0"/>
    <w:rsid w:val="00B82794"/>
    <w:rsid w:val="00B84CCB"/>
    <w:rsid w:val="00B862AF"/>
    <w:rsid w:val="00B90D97"/>
    <w:rsid w:val="00B91241"/>
    <w:rsid w:val="00B92D47"/>
    <w:rsid w:val="00BA0B65"/>
    <w:rsid w:val="00BA1F78"/>
    <w:rsid w:val="00BA6FEF"/>
    <w:rsid w:val="00BB24C2"/>
    <w:rsid w:val="00BB40F6"/>
    <w:rsid w:val="00BB60B2"/>
    <w:rsid w:val="00BB785F"/>
    <w:rsid w:val="00BB7D3F"/>
    <w:rsid w:val="00BC2E39"/>
    <w:rsid w:val="00BC4BB9"/>
    <w:rsid w:val="00BC6076"/>
    <w:rsid w:val="00BC6E86"/>
    <w:rsid w:val="00BC76FE"/>
    <w:rsid w:val="00BD0C9A"/>
    <w:rsid w:val="00BD30D2"/>
    <w:rsid w:val="00BE2E1E"/>
    <w:rsid w:val="00BE47BD"/>
    <w:rsid w:val="00BE5B52"/>
    <w:rsid w:val="00BE6E6D"/>
    <w:rsid w:val="00BF0ACC"/>
    <w:rsid w:val="00BF1F70"/>
    <w:rsid w:val="00BF2B93"/>
    <w:rsid w:val="00BF301B"/>
    <w:rsid w:val="00BF43FA"/>
    <w:rsid w:val="00BF7150"/>
    <w:rsid w:val="00C00FED"/>
    <w:rsid w:val="00C0135E"/>
    <w:rsid w:val="00C01F4F"/>
    <w:rsid w:val="00C0788A"/>
    <w:rsid w:val="00C131FA"/>
    <w:rsid w:val="00C13F58"/>
    <w:rsid w:val="00C14571"/>
    <w:rsid w:val="00C1491F"/>
    <w:rsid w:val="00C157D1"/>
    <w:rsid w:val="00C2019D"/>
    <w:rsid w:val="00C20E5A"/>
    <w:rsid w:val="00C22E55"/>
    <w:rsid w:val="00C25367"/>
    <w:rsid w:val="00C26844"/>
    <w:rsid w:val="00C2734A"/>
    <w:rsid w:val="00C27FA4"/>
    <w:rsid w:val="00C321B7"/>
    <w:rsid w:val="00C34AC1"/>
    <w:rsid w:val="00C35CAA"/>
    <w:rsid w:val="00C37B69"/>
    <w:rsid w:val="00C41BAB"/>
    <w:rsid w:val="00C41D78"/>
    <w:rsid w:val="00C42122"/>
    <w:rsid w:val="00C42838"/>
    <w:rsid w:val="00C4601D"/>
    <w:rsid w:val="00C46235"/>
    <w:rsid w:val="00C50494"/>
    <w:rsid w:val="00C51BC7"/>
    <w:rsid w:val="00C53A70"/>
    <w:rsid w:val="00C55A0F"/>
    <w:rsid w:val="00C565D2"/>
    <w:rsid w:val="00C576EA"/>
    <w:rsid w:val="00C57CD2"/>
    <w:rsid w:val="00C6164F"/>
    <w:rsid w:val="00C62171"/>
    <w:rsid w:val="00C6348A"/>
    <w:rsid w:val="00C6406C"/>
    <w:rsid w:val="00C64636"/>
    <w:rsid w:val="00C652CE"/>
    <w:rsid w:val="00C701AF"/>
    <w:rsid w:val="00C72651"/>
    <w:rsid w:val="00C72C89"/>
    <w:rsid w:val="00C74B05"/>
    <w:rsid w:val="00C75F0D"/>
    <w:rsid w:val="00C75F73"/>
    <w:rsid w:val="00C81007"/>
    <w:rsid w:val="00C85EA2"/>
    <w:rsid w:val="00C86D66"/>
    <w:rsid w:val="00C9152B"/>
    <w:rsid w:val="00C93D87"/>
    <w:rsid w:val="00C93DA1"/>
    <w:rsid w:val="00C9626E"/>
    <w:rsid w:val="00CA44ED"/>
    <w:rsid w:val="00CA7C68"/>
    <w:rsid w:val="00CB0013"/>
    <w:rsid w:val="00CB04AC"/>
    <w:rsid w:val="00CB0D35"/>
    <w:rsid w:val="00CB2C84"/>
    <w:rsid w:val="00CB311F"/>
    <w:rsid w:val="00CB4560"/>
    <w:rsid w:val="00CB47DE"/>
    <w:rsid w:val="00CB7966"/>
    <w:rsid w:val="00CC16C7"/>
    <w:rsid w:val="00CC199B"/>
    <w:rsid w:val="00CC53C4"/>
    <w:rsid w:val="00CC577F"/>
    <w:rsid w:val="00CC67DD"/>
    <w:rsid w:val="00CC6A54"/>
    <w:rsid w:val="00CD1303"/>
    <w:rsid w:val="00CD16E6"/>
    <w:rsid w:val="00CD3371"/>
    <w:rsid w:val="00CD4B5D"/>
    <w:rsid w:val="00CD68CA"/>
    <w:rsid w:val="00CE043A"/>
    <w:rsid w:val="00CE1D52"/>
    <w:rsid w:val="00CF24FB"/>
    <w:rsid w:val="00CF5FA3"/>
    <w:rsid w:val="00D0131E"/>
    <w:rsid w:val="00D01C27"/>
    <w:rsid w:val="00D01ED4"/>
    <w:rsid w:val="00D0344E"/>
    <w:rsid w:val="00D0409E"/>
    <w:rsid w:val="00D0655B"/>
    <w:rsid w:val="00D06D66"/>
    <w:rsid w:val="00D0711F"/>
    <w:rsid w:val="00D122B2"/>
    <w:rsid w:val="00D17067"/>
    <w:rsid w:val="00D20419"/>
    <w:rsid w:val="00D20CDA"/>
    <w:rsid w:val="00D22919"/>
    <w:rsid w:val="00D26B12"/>
    <w:rsid w:val="00D26EB8"/>
    <w:rsid w:val="00D31577"/>
    <w:rsid w:val="00D31748"/>
    <w:rsid w:val="00D32131"/>
    <w:rsid w:val="00D322B0"/>
    <w:rsid w:val="00D32FC1"/>
    <w:rsid w:val="00D333BF"/>
    <w:rsid w:val="00D33EDE"/>
    <w:rsid w:val="00D34181"/>
    <w:rsid w:val="00D35983"/>
    <w:rsid w:val="00D3631D"/>
    <w:rsid w:val="00D37C63"/>
    <w:rsid w:val="00D44ED9"/>
    <w:rsid w:val="00D45256"/>
    <w:rsid w:val="00D47D6A"/>
    <w:rsid w:val="00D50FD4"/>
    <w:rsid w:val="00D51C00"/>
    <w:rsid w:val="00D51E0A"/>
    <w:rsid w:val="00D55775"/>
    <w:rsid w:val="00D564C8"/>
    <w:rsid w:val="00D61692"/>
    <w:rsid w:val="00D672B8"/>
    <w:rsid w:val="00D710FD"/>
    <w:rsid w:val="00D71690"/>
    <w:rsid w:val="00D733AC"/>
    <w:rsid w:val="00D73AA8"/>
    <w:rsid w:val="00D75F50"/>
    <w:rsid w:val="00D76A94"/>
    <w:rsid w:val="00D7718A"/>
    <w:rsid w:val="00D803C1"/>
    <w:rsid w:val="00D8410C"/>
    <w:rsid w:val="00D85C94"/>
    <w:rsid w:val="00D8651E"/>
    <w:rsid w:val="00D91904"/>
    <w:rsid w:val="00D92C91"/>
    <w:rsid w:val="00D93A4D"/>
    <w:rsid w:val="00D96B77"/>
    <w:rsid w:val="00DA35C2"/>
    <w:rsid w:val="00DA372E"/>
    <w:rsid w:val="00DA618B"/>
    <w:rsid w:val="00DA7A14"/>
    <w:rsid w:val="00DB0D61"/>
    <w:rsid w:val="00DB2EE2"/>
    <w:rsid w:val="00DB3E5E"/>
    <w:rsid w:val="00DB55E7"/>
    <w:rsid w:val="00DC1184"/>
    <w:rsid w:val="00DC3690"/>
    <w:rsid w:val="00DC48C0"/>
    <w:rsid w:val="00DD042C"/>
    <w:rsid w:val="00DD0CF8"/>
    <w:rsid w:val="00DD230D"/>
    <w:rsid w:val="00DD351E"/>
    <w:rsid w:val="00DD756A"/>
    <w:rsid w:val="00DE0595"/>
    <w:rsid w:val="00DE1A7C"/>
    <w:rsid w:val="00DE2C31"/>
    <w:rsid w:val="00DE4794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1F45"/>
    <w:rsid w:val="00E02E82"/>
    <w:rsid w:val="00E03367"/>
    <w:rsid w:val="00E05C49"/>
    <w:rsid w:val="00E06855"/>
    <w:rsid w:val="00E143F2"/>
    <w:rsid w:val="00E20800"/>
    <w:rsid w:val="00E237D9"/>
    <w:rsid w:val="00E27F19"/>
    <w:rsid w:val="00E30184"/>
    <w:rsid w:val="00E30F05"/>
    <w:rsid w:val="00E31088"/>
    <w:rsid w:val="00E318AD"/>
    <w:rsid w:val="00E32169"/>
    <w:rsid w:val="00E328B1"/>
    <w:rsid w:val="00E35767"/>
    <w:rsid w:val="00E35BCC"/>
    <w:rsid w:val="00E36E18"/>
    <w:rsid w:val="00E370F8"/>
    <w:rsid w:val="00E37149"/>
    <w:rsid w:val="00E40915"/>
    <w:rsid w:val="00E41355"/>
    <w:rsid w:val="00E453FC"/>
    <w:rsid w:val="00E456CD"/>
    <w:rsid w:val="00E4745C"/>
    <w:rsid w:val="00E523EF"/>
    <w:rsid w:val="00E565C1"/>
    <w:rsid w:val="00E56648"/>
    <w:rsid w:val="00E56E69"/>
    <w:rsid w:val="00E57695"/>
    <w:rsid w:val="00E57725"/>
    <w:rsid w:val="00E610DC"/>
    <w:rsid w:val="00E6159E"/>
    <w:rsid w:val="00E64AA5"/>
    <w:rsid w:val="00E71550"/>
    <w:rsid w:val="00E72541"/>
    <w:rsid w:val="00E72808"/>
    <w:rsid w:val="00E72F93"/>
    <w:rsid w:val="00E734B7"/>
    <w:rsid w:val="00E73E27"/>
    <w:rsid w:val="00E75796"/>
    <w:rsid w:val="00E8093F"/>
    <w:rsid w:val="00E82901"/>
    <w:rsid w:val="00E82C42"/>
    <w:rsid w:val="00E83DA8"/>
    <w:rsid w:val="00E83E92"/>
    <w:rsid w:val="00E842DE"/>
    <w:rsid w:val="00E84A41"/>
    <w:rsid w:val="00E8523D"/>
    <w:rsid w:val="00E87BA7"/>
    <w:rsid w:val="00E91311"/>
    <w:rsid w:val="00E92380"/>
    <w:rsid w:val="00E95A95"/>
    <w:rsid w:val="00EA2FB5"/>
    <w:rsid w:val="00EA43D5"/>
    <w:rsid w:val="00EA60A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3691"/>
    <w:rsid w:val="00EC4680"/>
    <w:rsid w:val="00EC70BD"/>
    <w:rsid w:val="00ED05BC"/>
    <w:rsid w:val="00ED0E4C"/>
    <w:rsid w:val="00ED21BB"/>
    <w:rsid w:val="00ED2422"/>
    <w:rsid w:val="00ED3FE9"/>
    <w:rsid w:val="00ED4AD3"/>
    <w:rsid w:val="00ED4E43"/>
    <w:rsid w:val="00ED66A9"/>
    <w:rsid w:val="00EE0860"/>
    <w:rsid w:val="00EE096D"/>
    <w:rsid w:val="00EE2019"/>
    <w:rsid w:val="00EE2426"/>
    <w:rsid w:val="00EE337A"/>
    <w:rsid w:val="00EE4F3A"/>
    <w:rsid w:val="00EE5F9C"/>
    <w:rsid w:val="00EE725A"/>
    <w:rsid w:val="00EE7773"/>
    <w:rsid w:val="00EF0EF4"/>
    <w:rsid w:val="00EF3CD5"/>
    <w:rsid w:val="00EF490F"/>
    <w:rsid w:val="00EF5EA4"/>
    <w:rsid w:val="00EF668F"/>
    <w:rsid w:val="00EF6D1A"/>
    <w:rsid w:val="00F00B04"/>
    <w:rsid w:val="00F01200"/>
    <w:rsid w:val="00F03B06"/>
    <w:rsid w:val="00F04386"/>
    <w:rsid w:val="00F04AF5"/>
    <w:rsid w:val="00F064DC"/>
    <w:rsid w:val="00F07191"/>
    <w:rsid w:val="00F10750"/>
    <w:rsid w:val="00F1270D"/>
    <w:rsid w:val="00F13EE1"/>
    <w:rsid w:val="00F20B21"/>
    <w:rsid w:val="00F21847"/>
    <w:rsid w:val="00F21D60"/>
    <w:rsid w:val="00F231BA"/>
    <w:rsid w:val="00F24232"/>
    <w:rsid w:val="00F24992"/>
    <w:rsid w:val="00F26DC6"/>
    <w:rsid w:val="00F27924"/>
    <w:rsid w:val="00F3219F"/>
    <w:rsid w:val="00F32E78"/>
    <w:rsid w:val="00F36375"/>
    <w:rsid w:val="00F4195C"/>
    <w:rsid w:val="00F52271"/>
    <w:rsid w:val="00F54342"/>
    <w:rsid w:val="00F550CB"/>
    <w:rsid w:val="00F5720E"/>
    <w:rsid w:val="00F5737B"/>
    <w:rsid w:val="00F619FF"/>
    <w:rsid w:val="00F6365F"/>
    <w:rsid w:val="00F653CD"/>
    <w:rsid w:val="00F65D2D"/>
    <w:rsid w:val="00F67252"/>
    <w:rsid w:val="00F70CC9"/>
    <w:rsid w:val="00F737D1"/>
    <w:rsid w:val="00F74097"/>
    <w:rsid w:val="00F743B0"/>
    <w:rsid w:val="00F81AF7"/>
    <w:rsid w:val="00F81F17"/>
    <w:rsid w:val="00F911BE"/>
    <w:rsid w:val="00F93E6F"/>
    <w:rsid w:val="00F94127"/>
    <w:rsid w:val="00F943E3"/>
    <w:rsid w:val="00F94653"/>
    <w:rsid w:val="00F967FC"/>
    <w:rsid w:val="00FA053C"/>
    <w:rsid w:val="00FA1BE2"/>
    <w:rsid w:val="00FA2AA4"/>
    <w:rsid w:val="00FB03D2"/>
    <w:rsid w:val="00FB0828"/>
    <w:rsid w:val="00FB6B92"/>
    <w:rsid w:val="00FC1555"/>
    <w:rsid w:val="00FC39C8"/>
    <w:rsid w:val="00FC3AFD"/>
    <w:rsid w:val="00FC4259"/>
    <w:rsid w:val="00FD004E"/>
    <w:rsid w:val="00FD0116"/>
    <w:rsid w:val="00FD0297"/>
    <w:rsid w:val="00FD0AB9"/>
    <w:rsid w:val="00FE0243"/>
    <w:rsid w:val="00FE097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13A2"/>
    <w:rsid w:val="00FF3DED"/>
    <w:rsid w:val="00FF5D0A"/>
    <w:rsid w:val="00FF614F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pPr>
      <w:spacing w:after="0" w:line="240" w:lineRule="auto"/>
    </w:pPr>
    <w:rPr>
      <w:rFonts w:ascii="Calibri" w:eastAsia="PMingLiU" w:hAnsi="Calibri" w:cs="Calibri"/>
      <w:lang w:eastAsia="zh-TW"/>
    </w:rPr>
  </w:style>
  <w:style w:type="character" w:customStyle="1" w:styleId="NoSpacingChar">
    <w:name w:val="No Spacing Char"/>
    <w:basedOn w:val="DefaultParagraphFont"/>
    <w:link w:val="NoSpacing"/>
    <w:locked/>
    <w:rsid w:val="00D61692"/>
    <w:rPr>
      <w:rFonts w:ascii="Calibri" w:eastAsia="PMingLiU" w:hAnsi="Calibri" w:cs="Calibri"/>
      <w:lang w:eastAsia="zh-TW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ascii="Calibri" w:eastAsia="PMingLiU" w:hAnsi="Calibri" w:cs="Calibri"/>
      <w:lang w:eastAsia="zh-TW"/>
    </w:rPr>
  </w:style>
  <w:style w:type="paragraph" w:styleId="Caption">
    <w:name w:val="caption"/>
    <w:basedOn w:val="Normal"/>
    <w:next w:val="Normal"/>
    <w:link w:val="CaptionChar"/>
    <w:qFormat/>
    <w:rsid w:val="00D61692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21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1A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69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FCD"/>
  </w:style>
  <w:style w:type="paragraph" w:styleId="Footer">
    <w:name w:val="footer"/>
    <w:basedOn w:val="Normal"/>
    <w:link w:val="Foot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FCD"/>
  </w:style>
  <w:style w:type="paragraph" w:customStyle="1" w:styleId="msonospacing0">
    <w:name w:val="msonospacing"/>
    <w:rsid w:val="0055364A"/>
    <w:pPr>
      <w:spacing w:after="0" w:line="240" w:lineRule="auto"/>
    </w:pPr>
    <w:rPr>
      <w:rFonts w:ascii="PMingLiU" w:eastAsia="PMingLiU" w:hAnsi="Times New Roman" w:cs="Times New Roman" w:hint="eastAsia"/>
      <w:lang w:eastAsia="zh-TW"/>
    </w:rPr>
  </w:style>
  <w:style w:type="table" w:styleId="TableGrid">
    <w:name w:val="Table Grid"/>
    <w:basedOn w:val="TableNormal"/>
    <w:uiPriority w:val="59"/>
    <w:rsid w:val="00CD1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84D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61A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1A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61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MMI\MMI%202013\MMI_2013_05\mmi_sirovi%20podaci_2013%2005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tanko.jeknic\Desktop\JUNE%202013\MMI\mmi%203,4\MMI%204\mmi_sirovi%20podaci_2013%200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MMI\MMI%202013\MMI_2013_05\mmi_sirovi%20podaci_2013%200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My%20Documents\Dropbox\MINISTARSTVO%20FINANSIJA\SEP\MMI\MMI%202013\MMI_2013_05\mmi_sirovi%20podaci_2013%200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/>
            </a:pPr>
            <a:r>
              <a:rPr lang="sr-Latn-CS" sz="1000"/>
              <a:t>PMI indeks</a:t>
            </a:r>
          </a:p>
        </c:rich>
      </c:tx>
      <c:layout>
        <c:manualLayout>
          <c:xMode val="edge"/>
          <c:yMode val="edge"/>
          <c:x val="0.48207721280602644"/>
          <c:y val="1.2164750957854404E-2"/>
        </c:manualLayout>
      </c:layout>
      <c:overlay val="1"/>
    </c:title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-1.373634651600754E-2"/>
                  <c:y val="3.1762452107279696E-3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52,2</a:t>
                    </a:r>
                    <a:r>
                      <a:rPr lang="sr-Latn-RS" sz="700"/>
                      <a:t>                           2- mj maks</a:t>
                    </a:r>
                    <a:endParaRPr lang="en-US" sz="700"/>
                  </a:p>
                </c:rich>
              </c:tx>
              <c:showVal val="1"/>
            </c:dLbl>
            <c:dLbl>
              <c:idx val="1"/>
              <c:layout>
                <c:manualLayout>
                  <c:x val="0"/>
                  <c:y val="-1.8518518518518566E-2"/>
                </c:manualLayout>
              </c:layout>
              <c:tx>
                <c:rich>
                  <a:bodyPr/>
                  <a:lstStyle/>
                  <a:p>
                    <a:pPr>
                      <a:defRPr sz="700"/>
                    </a:pPr>
                    <a:r>
                      <a:rPr lang="en-US" sz="700"/>
                      <a:t>49,2</a:t>
                    </a:r>
                    <a:r>
                      <a:rPr lang="sr-Latn-RS" sz="700"/>
                      <a:t>       5</a:t>
                    </a:r>
                    <a:r>
                      <a:rPr lang="sr-Latn-RS" sz="700" b="0" i="0" u="none" strike="noStrike" baseline="0"/>
                      <a:t>-mj min</a:t>
                    </a:r>
                    <a:endParaRPr lang="en-US" sz="700"/>
                  </a:p>
                </c:rich>
              </c:tx>
              <c:spPr/>
              <c:showVal val="1"/>
            </c:dLbl>
            <c:dLbl>
              <c:idx val="2"/>
              <c:layout>
                <c:manualLayout>
                  <c:x val="-2.9411764705882353E-2"/>
                  <c:y val="-1.3888888888888938E-2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46,6</a:t>
                    </a:r>
                    <a:r>
                      <a:rPr lang="sr-Latn-RS" sz="700"/>
                      <a:t> </a:t>
                    </a:r>
                    <a:r>
                      <a:rPr lang="sr-Latn-RS" sz="700" b="0" i="0" u="none" strike="noStrike" baseline="0"/>
                      <a:t>19-mj maks</a:t>
                    </a:r>
                    <a:endParaRPr lang="en-US" sz="700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700"/>
                      <a:t>44,3</a:t>
                    </a:r>
                    <a:r>
                      <a:rPr lang="sr-Latn-RS" sz="700"/>
                      <a:t> </a:t>
                    </a:r>
                    <a:r>
                      <a:rPr lang="sr-Latn-RS" sz="700" b="0" i="0" u="none" strike="noStrike" baseline="0"/>
                      <a:t>4-mj maks</a:t>
                    </a:r>
                    <a:endParaRPr lang="en-US" sz="700"/>
                  </a:p>
                </c:rich>
              </c:tx>
              <c:showVal val="1"/>
            </c:dLbl>
            <c:dLbl>
              <c:idx val="4"/>
              <c:layout>
                <c:manualLayout>
                  <c:x val="4.1854990583804035E-2"/>
                  <c:y val="-6.0823754789272062E-3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44</a:t>
                    </a:r>
                    <a:r>
                      <a:rPr lang="sr-Latn-RS" sz="700"/>
                      <a:t>,0     </a:t>
                    </a:r>
                    <a:r>
                      <a:rPr lang="sr-Latn-RS" sz="700" b="0" i="0" u="none" strike="noStrike" baseline="0"/>
                      <a:t>2-mj min</a:t>
                    </a:r>
                    <a:endParaRPr lang="en-US" sz="700"/>
                  </a:p>
                </c:rich>
              </c:tx>
              <c:showVal val="1"/>
            </c:dLbl>
            <c:showVal val="1"/>
          </c:dLbls>
          <c:cat>
            <c:strRef>
              <c:f>Sheet1!$E$6:$E$10</c:f>
              <c:strCache>
                <c:ptCount val="5"/>
                <c:pt idx="0">
                  <c:v>Irska</c:v>
                </c:pt>
                <c:pt idx="1">
                  <c:v>Njemačka</c:v>
                </c:pt>
                <c:pt idx="2">
                  <c:v>Italija</c:v>
                </c:pt>
                <c:pt idx="3">
                  <c:v>Francuska</c:v>
                </c:pt>
                <c:pt idx="4">
                  <c:v>Španija</c:v>
                </c:pt>
              </c:strCache>
            </c:strRef>
          </c:cat>
          <c:val>
            <c:numRef>
              <c:f>Sheet1!$F$6:$F$10</c:f>
              <c:numCache>
                <c:formatCode>General</c:formatCode>
                <c:ptCount val="5"/>
                <c:pt idx="0">
                  <c:v>52.2</c:v>
                </c:pt>
                <c:pt idx="1">
                  <c:v>49.2</c:v>
                </c:pt>
                <c:pt idx="2">
                  <c:v>46.6</c:v>
                </c:pt>
                <c:pt idx="3">
                  <c:v>44.3</c:v>
                </c:pt>
                <c:pt idx="4">
                  <c:v>44</c:v>
                </c:pt>
              </c:numCache>
            </c:numRef>
          </c:val>
        </c:ser>
        <c:axId val="107006976"/>
        <c:axId val="107033728"/>
      </c:barChart>
      <c:catAx>
        <c:axId val="10700697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07033728"/>
        <c:crosses val="autoZero"/>
        <c:auto val="1"/>
        <c:lblAlgn val="ctr"/>
        <c:lblOffset val="100"/>
      </c:catAx>
      <c:valAx>
        <c:axId val="107033728"/>
        <c:scaling>
          <c:orientation val="minMax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0700697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850"/>
            </a:pPr>
            <a:r>
              <a:rPr lang="x-none" sz="850"/>
              <a:t>Stope</a:t>
            </a:r>
            <a:r>
              <a:rPr lang="x-none" sz="850" baseline="0"/>
              <a:t> rasta u prerađivačkoj industriji i promet u maloprodaji</a:t>
            </a:r>
            <a:endParaRPr lang="en-US" sz="850"/>
          </a:p>
        </c:rich>
      </c:tx>
      <c:layout>
        <c:manualLayout>
          <c:xMode val="edge"/>
          <c:yMode val="edge"/>
          <c:x val="0.15672906358730962"/>
          <c:y val="4.6170154293117653E-3"/>
        </c:manualLayout>
      </c:layout>
    </c:title>
    <c:plotArea>
      <c:layout>
        <c:manualLayout>
          <c:layoutTarget val="inner"/>
          <c:xMode val="edge"/>
          <c:yMode val="edge"/>
          <c:x val="0.17460159643447989"/>
          <c:y val="0.29804980827869632"/>
          <c:w val="0.85094714429304674"/>
          <c:h val="0.55059555280935368"/>
        </c:manualLayout>
      </c:layout>
      <c:lineChart>
        <c:grouping val="standard"/>
        <c:ser>
          <c:idx val="0"/>
          <c:order val="0"/>
          <c:tx>
            <c:strRef>
              <c:f>'Makroekonomski indikatori'!$C$13</c:f>
              <c:strCache>
                <c:ptCount val="1"/>
                <c:pt idx="0">
                  <c:v>Prerađivačka industrija (stopa rasta)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strRef>
              <c:f>'Makroekonomski indikatori'!$S$10:$AE$10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'Makroekonomski indikatori'!$S$13:$AE$13</c:f>
              <c:numCache>
                <c:formatCode>0.00</c:formatCode>
                <c:ptCount val="13"/>
                <c:pt idx="0">
                  <c:v>33.1</c:v>
                </c:pt>
                <c:pt idx="1">
                  <c:v>3.6</c:v>
                </c:pt>
                <c:pt idx="2">
                  <c:v>-18.5</c:v>
                </c:pt>
                <c:pt idx="3">
                  <c:v>-20.399999999999999</c:v>
                </c:pt>
                <c:pt idx="4">
                  <c:v>-13</c:v>
                </c:pt>
                <c:pt idx="5">
                  <c:v>-20.399999999999999</c:v>
                </c:pt>
                <c:pt idx="6">
                  <c:v>-40.5</c:v>
                </c:pt>
                <c:pt idx="7">
                  <c:v>-28.1</c:v>
                </c:pt>
                <c:pt idx="8">
                  <c:v>-20.3</c:v>
                </c:pt>
                <c:pt idx="9">
                  <c:v>-36.4</c:v>
                </c:pt>
                <c:pt idx="10">
                  <c:v>-32.800000000000004</c:v>
                </c:pt>
                <c:pt idx="11">
                  <c:v>-34.4</c:v>
                </c:pt>
                <c:pt idx="12">
                  <c:v>0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indikatori'!$C$15</c:f>
              <c:strCache>
                <c:ptCount val="1"/>
                <c:pt idx="0">
                  <c:v>Promet u maloprodaji (stopa rasta)</c:v>
                </c:pt>
              </c:strCache>
            </c:strRef>
          </c:tx>
          <c:spPr>
            <a:ln cmpd="sng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'Makroekonomski indikatori'!$S$10:$AE$10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'Makroekonomski indikatori'!$S$15:$AE$15</c:f>
              <c:numCache>
                <c:formatCode>0.00</c:formatCode>
                <c:ptCount val="13"/>
                <c:pt idx="0">
                  <c:v>18.600000000000001</c:v>
                </c:pt>
                <c:pt idx="1">
                  <c:v>9.8000000000000007</c:v>
                </c:pt>
                <c:pt idx="2">
                  <c:v>3.3</c:v>
                </c:pt>
                <c:pt idx="3">
                  <c:v>4.4000000000000004</c:v>
                </c:pt>
                <c:pt idx="4">
                  <c:v>1.1000000000000001</c:v>
                </c:pt>
                <c:pt idx="5">
                  <c:v>4.4000000000000004</c:v>
                </c:pt>
                <c:pt idx="6">
                  <c:v>3.5</c:v>
                </c:pt>
                <c:pt idx="7">
                  <c:v>2.1</c:v>
                </c:pt>
                <c:pt idx="8">
                  <c:v>2.1</c:v>
                </c:pt>
                <c:pt idx="9">
                  <c:v>12.1</c:v>
                </c:pt>
                <c:pt idx="10">
                  <c:v>8.2000000000000011</c:v>
                </c:pt>
                <c:pt idx="11">
                  <c:v>6.6</c:v>
                </c:pt>
                <c:pt idx="12">
                  <c:v>0</c:v>
                </c:pt>
              </c:numCache>
            </c:numRef>
          </c:val>
          <c:smooth val="1"/>
        </c:ser>
        <c:marker val="1"/>
        <c:axId val="109291776"/>
        <c:axId val="109308160"/>
      </c:lineChart>
      <c:catAx>
        <c:axId val="109291776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700"/>
            </a:pPr>
            <a:endParaRPr lang="sr-Latn-CS"/>
          </a:p>
        </c:txPr>
        <c:crossAx val="109308160"/>
        <c:crosses val="autoZero"/>
        <c:auto val="1"/>
        <c:lblAlgn val="ctr"/>
        <c:lblOffset val="100"/>
        <c:tickLblSkip val="1"/>
      </c:catAx>
      <c:valAx>
        <c:axId val="109308160"/>
        <c:scaling>
          <c:orientation val="minMax"/>
        </c:scaling>
        <c:axPos val="l"/>
        <c:numFmt formatCode="0.0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092917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7455618614776175"/>
          <c:y val="0.17372488974389191"/>
          <c:w val="0.81747486109690837"/>
          <c:h val="0.1098907636545432"/>
        </c:manualLayout>
      </c:layout>
      <c:txPr>
        <a:bodyPr/>
        <a:lstStyle/>
        <a:p>
          <a:pPr>
            <a:defRPr lang="en-US"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800"/>
            </a:pPr>
            <a:r>
              <a:rPr lang="en-US" sz="800"/>
              <a:t>inflacija</a:t>
            </a:r>
          </a:p>
        </c:rich>
      </c:tx>
    </c:title>
    <c:plotArea>
      <c:layout>
        <c:manualLayout>
          <c:layoutTarget val="inner"/>
          <c:xMode val="edge"/>
          <c:yMode val="edge"/>
          <c:x val="0.13438479778843221"/>
          <c:y val="0.25189932183332575"/>
          <c:w val="0.80979053562110148"/>
          <c:h val="0.54594268202023877"/>
        </c:manualLayout>
      </c:layout>
      <c:lineChart>
        <c:grouping val="standard"/>
        <c:ser>
          <c:idx val="0"/>
          <c:order val="0"/>
          <c:tx>
            <c:strRef>
              <c:f>'Makroekonomski indikatori'!$C$19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'Makroekonomski indikatori'!$S$10:$AE$10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'Makroekonomski indikatori'!$S$19:$AE$19</c:f>
              <c:numCache>
                <c:formatCode>#,##0.0</c:formatCode>
                <c:ptCount val="13"/>
                <c:pt idx="0">
                  <c:v>2.9</c:v>
                </c:pt>
                <c:pt idx="1">
                  <c:v>3.6</c:v>
                </c:pt>
                <c:pt idx="2">
                  <c:v>4.4000000000000004</c:v>
                </c:pt>
                <c:pt idx="3">
                  <c:v>4.5999999999999996</c:v>
                </c:pt>
                <c:pt idx="4">
                  <c:v>5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4.8</c:v>
                </c:pt>
                <c:pt idx="8">
                  <c:v>4.4000000000000004</c:v>
                </c:pt>
                <c:pt idx="9">
                  <c:v>3.8</c:v>
                </c:pt>
                <c:pt idx="10">
                  <c:v>3.1</c:v>
                </c:pt>
                <c:pt idx="11">
                  <c:v>3</c:v>
                </c:pt>
              </c:numCache>
            </c:numRef>
          </c:val>
          <c:smooth val="1"/>
        </c:ser>
        <c:marker val="1"/>
        <c:axId val="110376448"/>
        <c:axId val="110408448"/>
      </c:lineChart>
      <c:catAx>
        <c:axId val="1103764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10408448"/>
        <c:crossesAt val="1.5"/>
        <c:auto val="1"/>
        <c:lblAlgn val="ctr"/>
        <c:lblOffset val="100"/>
        <c:tickLblSkip val="3"/>
      </c:catAx>
      <c:valAx>
        <c:axId val="110408448"/>
        <c:scaling>
          <c:orientation val="minMax"/>
          <c:max val="5.5"/>
          <c:min val="1.5"/>
        </c:scaling>
        <c:axPos val="l"/>
        <c:numFmt formatCode="#,##0.0" sourceLinked="1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1037644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6.4581090283577017E-2"/>
          <c:y val="8.5954658352271035E-2"/>
          <c:w val="0.9"/>
          <c:h val="0.17653444929645998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/>
            </a:pPr>
            <a:r>
              <a:rPr lang="sr-Latn-CS" sz="900"/>
              <a:t>Prosječne neto zarade</a:t>
            </a:r>
          </a:p>
        </c:rich>
      </c:tx>
      <c:layout>
        <c:manualLayout>
          <c:xMode val="edge"/>
          <c:yMode val="edge"/>
          <c:x val="0.21678059581320464"/>
          <c:y val="8.3709981167608291E-2"/>
        </c:manualLayout>
      </c:layout>
      <c:overlay val="1"/>
    </c:title>
    <c:plotArea>
      <c:layout/>
      <c:lineChart>
        <c:grouping val="standard"/>
        <c:ser>
          <c:idx val="1"/>
          <c:order val="0"/>
          <c:marker>
            <c:symbol val="none"/>
          </c:marker>
          <c:cat>
            <c:strRef>
              <c:f>'Makroekonomski indikatori'!$T$59:$AE$59</c:f>
              <c:strCache>
                <c:ptCount val="12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2013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</c:strCache>
            </c:strRef>
          </c:cat>
          <c:val>
            <c:numRef>
              <c:f>'Makroekonomski indikatori'!$T$27:$AE$27</c:f>
              <c:numCache>
                <c:formatCode>#,##0</c:formatCode>
                <c:ptCount val="12"/>
                <c:pt idx="0">
                  <c:v>487</c:v>
                </c:pt>
                <c:pt idx="1">
                  <c:v>484</c:v>
                </c:pt>
                <c:pt idx="2">
                  <c:v>480</c:v>
                </c:pt>
                <c:pt idx="3">
                  <c:v>480</c:v>
                </c:pt>
                <c:pt idx="4">
                  <c:v>483</c:v>
                </c:pt>
                <c:pt idx="5">
                  <c:v>480</c:v>
                </c:pt>
                <c:pt idx="6">
                  <c:v>478</c:v>
                </c:pt>
                <c:pt idx="7">
                  <c:v>497</c:v>
                </c:pt>
                <c:pt idx="8">
                  <c:v>490</c:v>
                </c:pt>
                <c:pt idx="9">
                  <c:v>485</c:v>
                </c:pt>
                <c:pt idx="10">
                  <c:v>476</c:v>
                </c:pt>
                <c:pt idx="11">
                  <c:v>477</c:v>
                </c:pt>
              </c:numCache>
            </c:numRef>
          </c:val>
        </c:ser>
        <c:marker val="1"/>
        <c:axId val="115309568"/>
        <c:axId val="115534464"/>
      </c:lineChart>
      <c:catAx>
        <c:axId val="11530956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15534464"/>
        <c:crosses val="autoZero"/>
        <c:auto val="1"/>
        <c:lblAlgn val="ctr"/>
        <c:lblOffset val="100"/>
      </c:catAx>
      <c:valAx>
        <c:axId val="115534464"/>
        <c:scaling>
          <c:orientation val="minMax"/>
          <c:min val="475"/>
        </c:scaling>
        <c:axPos val="l"/>
        <c:majorGridlines>
          <c:spPr>
            <a:ln>
              <a:solidFill>
                <a:schemeClr val="accent1">
                  <a:lumMod val="40000"/>
                  <a:lumOff val="60000"/>
                </a:schemeClr>
              </a:solidFill>
              <a:prstDash val="sysDot"/>
            </a:ln>
          </c:spPr>
        </c:majorGridlines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sr-Latn-CS"/>
          </a:p>
        </c:txPr>
        <c:crossAx val="115309568"/>
        <c:crosses val="autoZero"/>
        <c:crossBetween val="between"/>
      </c:valAx>
      <c:spPr>
        <a:ln>
          <a:noFill/>
        </a:ln>
      </c:spPr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800"/>
            </a:pPr>
            <a:r>
              <a:rPr lang="x-none" sz="800"/>
              <a:t>D</a:t>
            </a:r>
            <a:r>
              <a:rPr lang="en-US" sz="800"/>
              <a:t>RŽAVNI</a:t>
            </a:r>
            <a:r>
              <a:rPr lang="x-none" sz="800"/>
              <a:t> BUDŽET</a:t>
            </a:r>
            <a:endParaRPr lang="en-US" sz="800"/>
          </a:p>
        </c:rich>
      </c:tx>
    </c:title>
    <c:plotArea>
      <c:layout>
        <c:manualLayout>
          <c:layoutTarget val="inner"/>
          <c:xMode val="edge"/>
          <c:yMode val="edge"/>
          <c:x val="0.15749991899225696"/>
          <c:y val="0.1416752454531548"/>
          <c:w val="0.70754916726257833"/>
          <c:h val="0.61043103134696042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indikatori'!$AV$20</c:f>
              <c:strCache>
                <c:ptCount val="1"/>
                <c:pt idx="0">
                  <c:v>Suficit / Deficit budžeta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'Fiskalni indikatori'!$BK$6:$BW$6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indikatori'!$BK$20:$BX$20</c:f>
              <c:numCache>
                <c:formatCode>0.00,,</c:formatCode>
                <c:ptCount val="14"/>
                <c:pt idx="0">
                  <c:v>-8601774.5941666514</c:v>
                </c:pt>
                <c:pt idx="1">
                  <c:v>-51300834.05416666</c:v>
                </c:pt>
                <c:pt idx="2">
                  <c:v>-15902559.364166632</c:v>
                </c:pt>
                <c:pt idx="3">
                  <c:v>-3745745.7141666557</c:v>
                </c:pt>
                <c:pt idx="4">
                  <c:v>26603941.475833312</c:v>
                </c:pt>
                <c:pt idx="5">
                  <c:v>10787125.645833343</c:v>
                </c:pt>
                <c:pt idx="6">
                  <c:v>-21819425.644166689</c:v>
                </c:pt>
                <c:pt idx="7">
                  <c:v>-4802538.3741666526</c:v>
                </c:pt>
                <c:pt idx="8">
                  <c:v>-15187791.394166647</c:v>
                </c:pt>
                <c:pt idx="9">
                  <c:v>-11379726.964166641</c:v>
                </c:pt>
                <c:pt idx="10">
                  <c:v>-26331443.129999995</c:v>
                </c:pt>
                <c:pt idx="11">
                  <c:v>-15470015.379999995</c:v>
                </c:pt>
                <c:pt idx="12">
                  <c:v>-17905975.349999979</c:v>
                </c:pt>
                <c:pt idx="13">
                  <c:v>-12187088.800000032</c:v>
                </c:pt>
              </c:numCache>
            </c:numRef>
          </c:val>
        </c:ser>
        <c:gapWidth val="17"/>
        <c:overlap val="-21"/>
        <c:axId val="107981056"/>
        <c:axId val="107979520"/>
      </c:barChart>
      <c:lineChart>
        <c:grouping val="standard"/>
        <c:ser>
          <c:idx val="0"/>
          <c:order val="0"/>
          <c:tx>
            <c:strRef>
              <c:f>'Fiskalni indikatori'!$AV$28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'Fiskalni indikatori'!$BL$6:$BX$6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'Fiskalni indikatori'!$BK$7:$BX$7</c:f>
              <c:numCache>
                <c:formatCode>0.00,,</c:formatCode>
                <c:ptCount val="14"/>
                <c:pt idx="0">
                  <c:v>76276638</c:v>
                </c:pt>
                <c:pt idx="1">
                  <c:v>98761847.500000015</c:v>
                </c:pt>
                <c:pt idx="2">
                  <c:v>86817319.960000023</c:v>
                </c:pt>
                <c:pt idx="3">
                  <c:v>95935673.590000004</c:v>
                </c:pt>
                <c:pt idx="4">
                  <c:v>130902818.23</c:v>
                </c:pt>
                <c:pt idx="5">
                  <c:v>108520677.06999999</c:v>
                </c:pt>
                <c:pt idx="6">
                  <c:v>95844316.429999992</c:v>
                </c:pt>
                <c:pt idx="7">
                  <c:v>99225993.690000013</c:v>
                </c:pt>
                <c:pt idx="8">
                  <c:v>85312820.549999997</c:v>
                </c:pt>
                <c:pt idx="9">
                  <c:v>125850417.43000002</c:v>
                </c:pt>
                <c:pt idx="10">
                  <c:v>54542432.850000001</c:v>
                </c:pt>
                <c:pt idx="11">
                  <c:v>75644319.790000007</c:v>
                </c:pt>
                <c:pt idx="12">
                  <c:v>88285086.690000013</c:v>
                </c:pt>
                <c:pt idx="13">
                  <c:v>103190215.27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indikatori'!$AV$29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'Fiskalni indikatori'!$BL$6:$BX$6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'Fiskalni indikatori'!$BK$13:$BX$13</c:f>
              <c:numCache>
                <c:formatCode>0.00,,</c:formatCode>
                <c:ptCount val="14"/>
                <c:pt idx="0">
                  <c:v>84878412.594166651</c:v>
                </c:pt>
                <c:pt idx="1">
                  <c:v>150062681.55416662</c:v>
                </c:pt>
                <c:pt idx="2">
                  <c:v>102719879.32416666</c:v>
                </c:pt>
                <c:pt idx="3">
                  <c:v>99681419.30416666</c:v>
                </c:pt>
                <c:pt idx="4">
                  <c:v>104298876.75416666</c:v>
                </c:pt>
                <c:pt idx="5">
                  <c:v>97733551.42416665</c:v>
                </c:pt>
                <c:pt idx="6">
                  <c:v>117663742.07416666</c:v>
                </c:pt>
                <c:pt idx="7">
                  <c:v>104028532.06416668</c:v>
                </c:pt>
                <c:pt idx="8">
                  <c:v>100500611.94416721</c:v>
                </c:pt>
                <c:pt idx="9">
                  <c:v>137230144.39416665</c:v>
                </c:pt>
                <c:pt idx="10">
                  <c:v>80873875.979999989</c:v>
                </c:pt>
                <c:pt idx="11">
                  <c:v>91114335.169999972</c:v>
                </c:pt>
                <c:pt idx="12">
                  <c:v>106191062.03999999</c:v>
                </c:pt>
                <c:pt idx="13">
                  <c:v>115377304.07000001</c:v>
                </c:pt>
              </c:numCache>
            </c:numRef>
          </c:val>
          <c:smooth val="1"/>
        </c:ser>
        <c:marker val="1"/>
        <c:axId val="107062784"/>
        <c:axId val="107064320"/>
      </c:lineChart>
      <c:catAx>
        <c:axId val="107062784"/>
        <c:scaling>
          <c:orientation val="minMax"/>
        </c:scaling>
        <c:axPos val="b"/>
        <c:numFmt formatCode="#,##0.00" sourceLinked="0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07064320"/>
        <c:crosses val="autoZero"/>
        <c:auto val="1"/>
        <c:lblAlgn val="ctr"/>
        <c:lblOffset val="100"/>
      </c:catAx>
      <c:valAx>
        <c:axId val="107064320"/>
        <c:scaling>
          <c:orientation val="minMax"/>
          <c:min val="0"/>
        </c:scaling>
        <c:axPos val="l"/>
        <c:majorGridlines/>
        <c:numFmt formatCode="0.0,,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7062784"/>
        <c:crosses val="autoZero"/>
        <c:crossBetween val="between"/>
      </c:valAx>
      <c:valAx>
        <c:axId val="107979520"/>
        <c:scaling>
          <c:orientation val="minMax"/>
          <c:max val="100000000"/>
          <c:min val="-70000000"/>
        </c:scaling>
        <c:axPos val="r"/>
        <c:numFmt formatCode="0.0,," sourceLinked="0"/>
        <c:tickLblPos val="nextTo"/>
        <c:spPr>
          <a:noFill/>
        </c:spPr>
        <c:txPr>
          <a:bodyPr rot="0" vert="horz" anchor="ctr" anchorCtr="0"/>
          <a:lstStyle/>
          <a:p>
            <a:pPr>
              <a:defRPr lang="sr-Latn-CS" sz="700"/>
            </a:pPr>
            <a:endParaRPr lang="sr-Latn-CS"/>
          </a:p>
        </c:txPr>
        <c:crossAx val="107981056"/>
        <c:crosses val="max"/>
        <c:crossBetween val="between"/>
      </c:valAx>
      <c:catAx>
        <c:axId val="107981056"/>
        <c:scaling>
          <c:orientation val="minMax"/>
        </c:scaling>
        <c:delete val="1"/>
        <c:axPos val="b"/>
        <c:numFmt formatCode="General" sourceLinked="1"/>
        <c:tickLblPos val="none"/>
        <c:crossAx val="107979520"/>
        <c:crosses val="autoZero"/>
        <c:auto val="1"/>
        <c:lblAlgn val="ctr"/>
        <c:lblOffset val="100"/>
      </c:catAx>
    </c:plotArea>
    <c:legend>
      <c:legendPos val="b"/>
      <c:legendEntry>
        <c:idx val="1"/>
        <c:txPr>
          <a:bodyPr/>
          <a:lstStyle/>
          <a:p>
            <a:pPr>
              <a:defRPr sz="800"/>
            </a:pPr>
            <a:endParaRPr lang="sr-Latn-CS"/>
          </a:p>
        </c:txPr>
      </c:legendEntry>
      <c:layout>
        <c:manualLayout>
          <c:xMode val="edge"/>
          <c:yMode val="edge"/>
          <c:x val="0.14817847981531121"/>
          <c:y val="0.82442835718374785"/>
          <c:w val="0.7626945517160677"/>
          <c:h val="0.13977082010932021"/>
        </c:manualLayout>
      </c:layout>
      <c:txPr>
        <a:bodyPr/>
        <a:lstStyle/>
        <a:p>
          <a:pPr>
            <a:defRPr lang="sr-Latn-CS"/>
          </a:pPr>
          <a:endParaRPr lang="sr-Latn-C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 baseline="0"/>
      </a:pPr>
      <a:endParaRPr lang="sr-Latn-CS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800"/>
            </a:pPr>
            <a:r>
              <a:rPr lang="x-none" sz="800">
                <a:latin typeface="+mn-lt"/>
              </a:rPr>
              <a:t>Ukupni krediti i ukupni depoziti (mil.</a:t>
            </a:r>
            <a:r>
              <a:rPr lang="x-none" sz="800">
                <a:latin typeface="+mn-lt"/>
                <a:cs typeface="Times New Roman"/>
              </a:rPr>
              <a:t>€)</a:t>
            </a:r>
            <a:endParaRPr lang="en-US" sz="800">
              <a:latin typeface="+mn-lt"/>
            </a:endParaRPr>
          </a:p>
        </c:rich>
      </c:tx>
      <c:layout>
        <c:manualLayout>
          <c:xMode val="edge"/>
          <c:yMode val="edge"/>
          <c:x val="0.15342946507980057"/>
          <c:y val="1.3834681810037611E-2"/>
        </c:manualLayout>
      </c:layout>
      <c:overlay val="1"/>
    </c:title>
    <c:plotArea>
      <c:layout>
        <c:manualLayout>
          <c:layoutTarget val="inner"/>
          <c:xMode val="edge"/>
          <c:yMode val="edge"/>
          <c:x val="0.17832300149592994"/>
          <c:y val="0.20223469778876274"/>
          <c:w val="0.8157151894474729"/>
          <c:h val="0.63735838779956422"/>
        </c:manualLayout>
      </c:layout>
      <c:lineChart>
        <c:grouping val="standard"/>
        <c:ser>
          <c:idx val="1"/>
          <c:order val="0"/>
          <c:tx>
            <c:v>Krediti u kašnjenju</c:v>
          </c:tx>
          <c:cat>
            <c:strRef>
              <c:f>'Makroekonomski indikatori'!$R$59:$AE$59</c:f>
              <c:strCache>
                <c:ptCount val="14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2013</c:v>
                </c:pt>
                <c:pt idx="11">
                  <c:v>II</c:v>
                </c:pt>
                <c:pt idx="12">
                  <c:v>III</c:v>
                </c:pt>
                <c:pt idx="13">
                  <c:v>IV</c:v>
                </c:pt>
              </c:strCache>
            </c:strRef>
          </c:cat>
          <c:val>
            <c:numRef>
              <c:f>'Makroekonomski indikatori'!$D$32:$P$32</c:f>
            </c:numRef>
          </c:val>
        </c:ser>
        <c:ser>
          <c:idx val="0"/>
          <c:order val="1"/>
          <c:tx>
            <c:strRef>
              <c:f>'Makroekonomski indikatori'!$C$29</c:f>
              <c:strCache>
                <c:ptCount val="1"/>
                <c:pt idx="0">
                  <c:v>Ukupni krediti (kumulativ, mil. €)</c:v>
                </c:pt>
              </c:strCache>
            </c:strRef>
          </c:tx>
          <c:spPr>
            <a:ln>
              <a:solidFill>
                <a:srgbClr val="C00000"/>
              </a:solidFill>
              <a:prstDash val="dash"/>
            </a:ln>
          </c:spPr>
          <c:marker>
            <c:symbol val="none"/>
          </c:marker>
          <c:cat>
            <c:strRef>
              <c:f>'Makroekonomski indikatori'!$R$59:$AE$59</c:f>
              <c:strCache>
                <c:ptCount val="14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2013</c:v>
                </c:pt>
                <c:pt idx="11">
                  <c:v>II</c:v>
                </c:pt>
                <c:pt idx="12">
                  <c:v>III</c:v>
                </c:pt>
                <c:pt idx="13">
                  <c:v>IV</c:v>
                </c:pt>
              </c:strCache>
            </c:strRef>
          </c:cat>
          <c:val>
            <c:numRef>
              <c:f>'Makroekonomski indikatori'!$R$29:$AE$29</c:f>
              <c:numCache>
                <c:formatCode>0,000.0,,</c:formatCode>
                <c:ptCount val="14"/>
                <c:pt idx="0">
                  <c:v>2349588000</c:v>
                </c:pt>
                <c:pt idx="1">
                  <c:v>2327574000</c:v>
                </c:pt>
                <c:pt idx="2">
                  <c:v>2327549000</c:v>
                </c:pt>
                <c:pt idx="3">
                  <c:v>2345227000</c:v>
                </c:pt>
                <c:pt idx="4">
                  <c:v>2374653000</c:v>
                </c:pt>
                <c:pt idx="5">
                  <c:v>2401365000</c:v>
                </c:pt>
                <c:pt idx="6">
                  <c:v>2425304000</c:v>
                </c:pt>
                <c:pt idx="7">
                  <c:v>2361547000</c:v>
                </c:pt>
                <c:pt idx="8">
                  <c:v>2338102000</c:v>
                </c:pt>
                <c:pt idx="9">
                  <c:v>2341978000</c:v>
                </c:pt>
                <c:pt idx="10">
                  <c:v>2482799000</c:v>
                </c:pt>
                <c:pt idx="11">
                  <c:v>2507595000</c:v>
                </c:pt>
                <c:pt idx="12">
                  <c:v>2490722000</c:v>
                </c:pt>
                <c:pt idx="13">
                  <c:v>2466654000</c:v>
                </c:pt>
              </c:numCache>
            </c:numRef>
          </c:val>
          <c:smooth val="1"/>
        </c:ser>
        <c:marker val="1"/>
        <c:axId val="108012672"/>
        <c:axId val="108014208"/>
      </c:lineChart>
      <c:lineChart>
        <c:grouping val="standard"/>
        <c:ser>
          <c:idx val="2"/>
          <c:order val="2"/>
          <c:tx>
            <c:strRef>
              <c:f>'Makroekonomski indikatori'!$C$35</c:f>
              <c:strCache>
                <c:ptCount val="1"/>
                <c:pt idx="0">
                  <c:v>Ukupni depoziti (kumulativ, mil €)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'Makroekonomski indikatori'!$R$59:$AE$59</c:f>
              <c:strCache>
                <c:ptCount val="14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2013</c:v>
                </c:pt>
                <c:pt idx="11">
                  <c:v>II</c:v>
                </c:pt>
                <c:pt idx="12">
                  <c:v>III</c:v>
                </c:pt>
                <c:pt idx="13">
                  <c:v>IV</c:v>
                </c:pt>
              </c:strCache>
            </c:strRef>
          </c:cat>
          <c:val>
            <c:numRef>
              <c:f>'Makroekonomski indikatori'!$R$35:$AE$35</c:f>
              <c:numCache>
                <c:formatCode>#,##0.0,,</c:formatCode>
                <c:ptCount val="14"/>
                <c:pt idx="0" formatCode="0,000.0,,">
                  <c:v>1792598000</c:v>
                </c:pt>
                <c:pt idx="1">
                  <c:v>1809321000</c:v>
                </c:pt>
                <c:pt idx="2">
                  <c:v>1818885000</c:v>
                </c:pt>
                <c:pt idx="3">
                  <c:v>1843392000</c:v>
                </c:pt>
                <c:pt idx="4">
                  <c:v>1916624000</c:v>
                </c:pt>
                <c:pt idx="5">
                  <c:v>1954383000</c:v>
                </c:pt>
                <c:pt idx="6">
                  <c:v>2001119000</c:v>
                </c:pt>
                <c:pt idx="7">
                  <c:v>1965523000</c:v>
                </c:pt>
                <c:pt idx="8">
                  <c:v>1982935000</c:v>
                </c:pt>
                <c:pt idx="9">
                  <c:v>1980718000</c:v>
                </c:pt>
                <c:pt idx="10">
                  <c:v>1969827000</c:v>
                </c:pt>
                <c:pt idx="11">
                  <c:v>1990069000</c:v>
                </c:pt>
                <c:pt idx="12">
                  <c:v>1999290000</c:v>
                </c:pt>
                <c:pt idx="13">
                  <c:v>1951485000</c:v>
                </c:pt>
              </c:numCache>
            </c:numRef>
          </c:val>
          <c:smooth val="1"/>
        </c:ser>
        <c:marker val="1"/>
        <c:axId val="109868928"/>
        <c:axId val="109867392"/>
      </c:lineChart>
      <c:catAx>
        <c:axId val="108012672"/>
        <c:scaling>
          <c:orientation val="minMax"/>
        </c:scaling>
        <c:axPos val="b"/>
        <c:numFmt formatCode="0.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08014208"/>
        <c:crosses val="autoZero"/>
        <c:auto val="1"/>
        <c:lblAlgn val="ctr"/>
        <c:lblOffset val="100"/>
        <c:tickLblSkip val="3"/>
      </c:catAx>
      <c:valAx>
        <c:axId val="108014208"/>
        <c:scaling>
          <c:orientation val="minMax"/>
          <c:min val="1900000000.0000002"/>
        </c:scaling>
        <c:axPos val="l"/>
        <c:numFmt formatCode="0,000.0,," sourceLinked="1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08012672"/>
        <c:crosses val="autoZero"/>
        <c:crossBetween val="between"/>
        <c:majorUnit val="200000000"/>
      </c:valAx>
      <c:valAx>
        <c:axId val="109867392"/>
        <c:scaling>
          <c:orientation val="minMax"/>
          <c:min val="1750000000"/>
        </c:scaling>
        <c:axPos val="r"/>
        <c:numFmt formatCode="0,000.0,,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9868928"/>
        <c:crosses val="max"/>
        <c:crossBetween val="between"/>
      </c:valAx>
      <c:catAx>
        <c:axId val="109868928"/>
        <c:scaling>
          <c:orientation val="minMax"/>
        </c:scaling>
        <c:delete val="1"/>
        <c:axPos val="b"/>
        <c:tickLblPos val="none"/>
        <c:crossAx val="10986739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8.6330884617076498E-2"/>
          <c:y val="8.6508861314936555E-2"/>
          <c:w val="0.73119751022036461"/>
          <c:h val="0.10683285440613177"/>
        </c:manualLayout>
      </c:layout>
      <c:txPr>
        <a:bodyPr/>
        <a:lstStyle/>
        <a:p>
          <a:pPr>
            <a:defRPr lang="en-US"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900"/>
            </a:pPr>
            <a:r>
              <a:rPr lang="en-US" sz="900"/>
              <a:t>Spoljnotrgovinski bilans</a:t>
            </a:r>
            <a:r>
              <a:rPr lang="en-US" sz="900" baseline="0"/>
              <a:t> (mil. </a:t>
            </a:r>
            <a:r>
              <a:rPr lang="en-US" sz="900" baseline="0">
                <a:latin typeface="Calibri"/>
              </a:rPr>
              <a:t>€)</a:t>
            </a:r>
            <a:endParaRPr lang="en-US" sz="900"/>
          </a:p>
        </c:rich>
      </c:tx>
      <c:layout>
        <c:manualLayout>
          <c:xMode val="edge"/>
          <c:yMode val="edge"/>
          <c:x val="0.14422252459235796"/>
          <c:y val="5.4507066742840223E-3"/>
        </c:manualLayout>
      </c:layout>
    </c:title>
    <c:plotArea>
      <c:layout>
        <c:manualLayout>
          <c:layoutTarget val="inner"/>
          <c:xMode val="edge"/>
          <c:yMode val="edge"/>
          <c:x val="0.13120404329980634"/>
          <c:y val="0.13965727424567767"/>
          <c:w val="0.76230462877089122"/>
          <c:h val="0.51914882540509277"/>
        </c:manualLayout>
      </c:layout>
      <c:barChart>
        <c:barDir val="col"/>
        <c:grouping val="clustered"/>
        <c:ser>
          <c:idx val="2"/>
          <c:order val="2"/>
          <c:tx>
            <c:strRef>
              <c:f>'[1]Makroekonomski indikatori'!$C$47</c:f>
              <c:strCache>
                <c:ptCount val="1"/>
                <c:pt idx="0">
                  <c:v>Spoljnotrgovinski bilans (u mil €)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'[1]Makroekonomski indikatori'!$P$60:$AE$60</c:f>
              <c:strCache>
                <c:ptCount val="16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'[1]Makroekonomski indikatori'!$P$47:$AE$47</c:f>
              <c:numCache>
                <c:formatCode>General</c:formatCode>
                <c:ptCount val="16"/>
                <c:pt idx="0">
                  <c:v>-72446000</c:v>
                </c:pt>
                <c:pt idx="1">
                  <c:v>-82626000</c:v>
                </c:pt>
                <c:pt idx="2">
                  <c:v>-158072000</c:v>
                </c:pt>
                <c:pt idx="3">
                  <c:v>-119730000</c:v>
                </c:pt>
                <c:pt idx="4">
                  <c:v>-133225000</c:v>
                </c:pt>
                <c:pt idx="5">
                  <c:v>-138890000</c:v>
                </c:pt>
                <c:pt idx="6">
                  <c:v>-117584000</c:v>
                </c:pt>
                <c:pt idx="7">
                  <c:v>-141577000</c:v>
                </c:pt>
                <c:pt idx="8">
                  <c:v>-117584000</c:v>
                </c:pt>
                <c:pt idx="9">
                  <c:v>-106785000</c:v>
                </c:pt>
                <c:pt idx="10">
                  <c:v>-104165000</c:v>
                </c:pt>
                <c:pt idx="11">
                  <c:v>-106785000</c:v>
                </c:pt>
                <c:pt idx="12">
                  <c:v>-82219000</c:v>
                </c:pt>
                <c:pt idx="13">
                  <c:v>-82590000</c:v>
                </c:pt>
                <c:pt idx="14">
                  <c:v>-108157000</c:v>
                </c:pt>
                <c:pt idx="15">
                  <c:v>-124590000</c:v>
                </c:pt>
              </c:numCache>
            </c:numRef>
          </c:val>
        </c:ser>
        <c:gapWidth val="66"/>
        <c:axId val="110142976"/>
        <c:axId val="110144512"/>
      </c:barChart>
      <c:lineChart>
        <c:grouping val="standard"/>
        <c:ser>
          <c:idx val="1"/>
          <c:order val="1"/>
          <c:tx>
            <c:v>Uvoz</c:v>
          </c:tx>
          <c:spPr>
            <a:ln>
              <a:solidFill>
                <a:srgbClr val="C00000"/>
              </a:solidFill>
            </a:ln>
            <a:effectLst>
              <a:outerShdw blurRad="50800" dist="38100" dir="5400000" algn="t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strRef>
              <c:f>'[1]Makroekonomski indikatori'!$P$60:$AE$60</c:f>
              <c:strCache>
                <c:ptCount val="16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'[1]Makroekonomski indikatori'!$P$46:$AE$46</c:f>
              <c:numCache>
                <c:formatCode>General</c:formatCode>
                <c:ptCount val="16"/>
                <c:pt idx="0">
                  <c:v>99919000</c:v>
                </c:pt>
                <c:pt idx="1">
                  <c:v>106537000</c:v>
                </c:pt>
                <c:pt idx="2">
                  <c:v>191452000</c:v>
                </c:pt>
                <c:pt idx="3">
                  <c:v>150969000</c:v>
                </c:pt>
                <c:pt idx="4">
                  <c:v>167727000</c:v>
                </c:pt>
                <c:pt idx="5">
                  <c:v>170816000</c:v>
                </c:pt>
                <c:pt idx="6">
                  <c:v>147706000</c:v>
                </c:pt>
                <c:pt idx="7">
                  <c:v>173351000</c:v>
                </c:pt>
                <c:pt idx="8">
                  <c:v>147706000</c:v>
                </c:pt>
                <c:pt idx="9">
                  <c:v>158634000</c:v>
                </c:pt>
                <c:pt idx="10">
                  <c:v>136515000</c:v>
                </c:pt>
                <c:pt idx="11">
                  <c:v>139228000</c:v>
                </c:pt>
                <c:pt idx="12">
                  <c:v>110202000</c:v>
                </c:pt>
                <c:pt idx="13">
                  <c:v>113849000</c:v>
                </c:pt>
                <c:pt idx="14">
                  <c:v>138106000</c:v>
                </c:pt>
                <c:pt idx="15">
                  <c:v>161349000</c:v>
                </c:pt>
              </c:numCache>
            </c:numRef>
          </c:val>
          <c:smooth val="1"/>
        </c:ser>
        <c:marker val="1"/>
        <c:axId val="110142976"/>
        <c:axId val="110144512"/>
      </c:lineChart>
      <c:lineChart>
        <c:grouping val="standard"/>
        <c:ser>
          <c:idx val="0"/>
          <c:order val="0"/>
          <c:tx>
            <c:v>Izvoz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'[1]Makroekonomski indikatori'!$P$60:$AE$60</c:f>
              <c:strCache>
                <c:ptCount val="16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'[1]Makroekonomski indikatori'!$P$45:$AE$45</c:f>
              <c:numCache>
                <c:formatCode>General</c:formatCode>
                <c:ptCount val="16"/>
                <c:pt idx="0">
                  <c:v>27473000</c:v>
                </c:pt>
                <c:pt idx="1">
                  <c:v>23911000</c:v>
                </c:pt>
                <c:pt idx="2">
                  <c:v>33380000</c:v>
                </c:pt>
                <c:pt idx="3">
                  <c:v>31239000</c:v>
                </c:pt>
                <c:pt idx="4">
                  <c:v>34502000</c:v>
                </c:pt>
                <c:pt idx="5">
                  <c:v>31926000</c:v>
                </c:pt>
                <c:pt idx="6">
                  <c:v>30122000</c:v>
                </c:pt>
                <c:pt idx="7">
                  <c:v>31774000</c:v>
                </c:pt>
                <c:pt idx="8">
                  <c:v>30122000</c:v>
                </c:pt>
                <c:pt idx="9">
                  <c:v>26476000</c:v>
                </c:pt>
                <c:pt idx="10">
                  <c:v>32350000</c:v>
                </c:pt>
                <c:pt idx="11">
                  <c:v>32443000</c:v>
                </c:pt>
                <c:pt idx="12">
                  <c:v>27983000</c:v>
                </c:pt>
                <c:pt idx="13">
                  <c:v>31259000</c:v>
                </c:pt>
                <c:pt idx="14">
                  <c:v>29949000</c:v>
                </c:pt>
                <c:pt idx="15">
                  <c:v>36759000</c:v>
                </c:pt>
              </c:numCache>
            </c:numRef>
          </c:val>
          <c:smooth val="1"/>
        </c:ser>
        <c:marker val="1"/>
        <c:axId val="110151936"/>
        <c:axId val="110150400"/>
      </c:lineChart>
      <c:catAx>
        <c:axId val="110142976"/>
        <c:scaling>
          <c:orientation val="minMax"/>
        </c:scaling>
        <c:axPos val="b"/>
        <c:numFmt formatCode="@" sourceLinked="1"/>
        <c:majorTickMark val="cross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110144512"/>
        <c:crosses val="autoZero"/>
        <c:lblAlgn val="ctr"/>
        <c:lblOffset val="100"/>
        <c:tickLblSkip val="3"/>
        <c:tickMarkSkip val="1"/>
      </c:catAx>
      <c:valAx>
        <c:axId val="110144512"/>
        <c:scaling>
          <c:orientation val="minMax"/>
        </c:scaling>
        <c:axPos val="l"/>
        <c:numFmt formatCode="0.0,," sourceLinked="0"/>
        <c:majorTickMark val="none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110142976"/>
        <c:crosses val="autoZero"/>
        <c:crossBetween val="between"/>
      </c:valAx>
      <c:valAx>
        <c:axId val="110150400"/>
        <c:scaling>
          <c:orientation val="minMax"/>
        </c:scaling>
        <c:axPos val="r"/>
        <c:numFmt formatCode="0.0,," sourceLinked="0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10151936"/>
        <c:crosses val="max"/>
        <c:crossBetween val="between"/>
      </c:valAx>
      <c:catAx>
        <c:axId val="110151936"/>
        <c:scaling>
          <c:orientation val="minMax"/>
        </c:scaling>
        <c:delete val="1"/>
        <c:axPos val="b"/>
        <c:numFmt formatCode="0.0,," sourceLinked="1"/>
        <c:tickLblPos val="none"/>
        <c:crossAx val="110150400"/>
        <c:crosses val="autoZero"/>
        <c:lblAlgn val="ctr"/>
        <c:lblOffset val="100"/>
      </c:catAx>
    </c:plotArea>
    <c:legend>
      <c:legendPos val="b"/>
      <c:txPr>
        <a:bodyPr/>
        <a:lstStyle/>
        <a:p>
          <a:pPr>
            <a:defRPr lang="en-US" sz="700"/>
          </a:pPr>
          <a:endParaRPr lang="sr-Latn-CS"/>
        </a:p>
      </c:txPr>
    </c:legend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0.07724</cdr:x>
      <cdr:y>0</cdr:y>
    </cdr:from>
    <cdr:to>
      <cdr:x>0.30909</cdr:x>
      <cdr:y>0.13782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5931" y="0"/>
          <a:ext cx="528092" cy="3709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x-none" sz="800"/>
            <a:t>Prihod</a:t>
          </a:r>
          <a:r>
            <a:rPr lang="hr-BA" sz="800"/>
            <a:t>/</a:t>
          </a:r>
          <a:r>
            <a:rPr lang="x-none" sz="800"/>
            <a:t>Rash</a:t>
          </a:r>
        </a:p>
        <a:p xmlns:a="http://schemas.openxmlformats.org/drawingml/2006/main">
          <a:r>
            <a:rPr lang="x-none" sz="800"/>
            <a:t>Rashodi</a:t>
          </a:r>
          <a:endParaRPr lang="en-US" sz="800"/>
        </a:p>
      </cdr:txBody>
    </cdr:sp>
  </cdr:relSizeAnchor>
  <cdr:relSizeAnchor xmlns:cdr="http://schemas.openxmlformats.org/drawingml/2006/chartDrawing">
    <cdr:from>
      <cdr:x>3.54685E-7</cdr:x>
      <cdr:y>0.00408</cdr:y>
    </cdr:from>
    <cdr:to>
      <cdr:x>0.27258</cdr:x>
      <cdr:y>0.18041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" y="13767"/>
          <a:ext cx="768525" cy="594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0.81512</cdr:x>
      <cdr:y>0.01383</cdr:y>
    </cdr:from>
    <cdr:to>
      <cdr:x>0.93858</cdr:x>
      <cdr:y>0.14712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886327" y="35750"/>
          <a:ext cx="285706" cy="3444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x-none" sz="800"/>
            <a:t>Suficit/</a:t>
          </a:r>
        </a:p>
        <a:p xmlns:a="http://schemas.openxmlformats.org/drawingml/2006/main">
          <a:r>
            <a:rPr lang="x-none" sz="800"/>
            <a:t>Deficit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0.11824</cdr:x>
      <cdr:y>0.0271</cdr:y>
    </cdr:from>
    <cdr:to>
      <cdr:x>0.45946</cdr:x>
      <cdr:y>0.18041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33375" y="91339"/>
          <a:ext cx="962026" cy="5166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0.06419</cdr:x>
      <cdr:y>0.03344</cdr:y>
    </cdr:from>
    <cdr:to>
      <cdr:x>0.08041</cdr:x>
      <cdr:y>0.04757</cdr:y>
    </cdr:to>
    <cdr:sp macro="" textlink="">
      <cdr:nvSpPr>
        <cdr:cNvPr id="6" name="TextBox 5"/>
        <cdr:cNvSpPr txBox="1"/>
      </cdr:nvSpPr>
      <cdr:spPr>
        <a:xfrm xmlns:a="http://schemas.openxmlformats.org/drawingml/2006/main" flipH="1">
          <a:off x="180975" y="112713"/>
          <a:ext cx="45719" cy="4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85C6-D928-4D03-8D77-4673400E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milos.popovic;Iva Radovan</dc:creator>
  <cp:lastModifiedBy>radovan.zivkovic</cp:lastModifiedBy>
  <cp:revision>17</cp:revision>
  <cp:lastPrinted>2012-11-12T09:08:00Z</cp:lastPrinted>
  <dcterms:created xsi:type="dcterms:W3CDTF">2013-06-12T13:33:00Z</dcterms:created>
  <dcterms:modified xsi:type="dcterms:W3CDTF">2013-06-14T08:41:00Z</dcterms:modified>
</cp:coreProperties>
</file>