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F17" w:rsidRPr="00257F17" w:rsidRDefault="00257F17" w:rsidP="00257F17">
      <w:pPr>
        <w:pStyle w:val="Title"/>
        <w:ind w:left="1134"/>
        <w:rPr>
          <w:rFonts w:ascii="Arial" w:hAnsi="Arial" w:cs="Arial"/>
          <w:b w:val="0"/>
          <w:bCs/>
          <w:sz w:val="22"/>
          <w:szCs w:val="22"/>
        </w:rPr>
      </w:pP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30012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Crna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Gora</w:t>
      </w:r>
    </w:p>
    <w:p w:rsidR="00257F17" w:rsidRPr="00257F17" w:rsidRDefault="00257F17" w:rsidP="00257F17">
      <w:pPr>
        <w:pStyle w:val="Title"/>
        <w:spacing w:after="0"/>
        <w:ind w:left="1134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Ministarstvo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održivog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257F17">
        <w:rPr>
          <w:rFonts w:ascii="Arial" w:hAnsi="Arial" w:cs="Arial"/>
          <w:b w:val="0"/>
          <w:bCs/>
          <w:sz w:val="22"/>
          <w:szCs w:val="22"/>
        </w:rPr>
        <w:t>razvoja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proofErr w:type="gram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turizma</w:t>
      </w:r>
      <w:proofErr w:type="spellEnd"/>
    </w:p>
    <w:p w:rsidR="00BB0D38" w:rsidRPr="00257F17" w:rsidRDefault="00BB0D38" w:rsidP="00E12F19">
      <w:pPr>
        <w:pStyle w:val="Default"/>
        <w:tabs>
          <w:tab w:val="left" w:pos="2970"/>
        </w:tabs>
        <w:spacing w:after="240" w:line="276" w:lineRule="auto"/>
        <w:rPr>
          <w:rFonts w:ascii="Arial" w:hAnsi="Arial" w:cs="Arial"/>
          <w:bCs/>
          <w:sz w:val="22"/>
          <w:szCs w:val="22"/>
        </w:rPr>
      </w:pP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E12F19" w:rsidRDefault="00E12F19" w:rsidP="00257F17">
      <w:pPr>
        <w:pStyle w:val="NoSpacing"/>
        <w:tabs>
          <w:tab w:val="left" w:pos="368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E12F19" w:rsidRPr="00C2235E" w:rsidRDefault="00E12F19" w:rsidP="00257F17">
      <w:p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C2235E">
        <w:rPr>
          <w:rFonts w:asciiTheme="majorHAnsi" w:hAnsiTheme="majorHAnsi"/>
        </w:rPr>
        <w:t>Broj</w:t>
      </w:r>
      <w:proofErr w:type="spellEnd"/>
      <w:r w:rsidRPr="00C2235E">
        <w:rPr>
          <w:rFonts w:asciiTheme="majorHAnsi" w:hAnsiTheme="majorHAnsi"/>
        </w:rPr>
        <w:t>:</w:t>
      </w:r>
      <w:r w:rsidR="0006152E">
        <w:rPr>
          <w:rFonts w:asciiTheme="majorHAnsi" w:hAnsiTheme="majorHAnsi"/>
        </w:rPr>
        <w:t xml:space="preserve"> 01/05/3-515</w:t>
      </w:r>
      <w:r w:rsidRPr="00C2235E">
        <w:rPr>
          <w:rFonts w:asciiTheme="majorHAnsi" w:hAnsiTheme="majorHAnsi"/>
        </w:rPr>
        <w:tab/>
      </w:r>
      <w:r w:rsidRPr="00C2235E">
        <w:rPr>
          <w:rFonts w:asciiTheme="majorHAnsi" w:hAnsiTheme="majorHAnsi"/>
        </w:rPr>
        <w:tab/>
      </w:r>
    </w:p>
    <w:p w:rsidR="00E12F19" w:rsidRPr="00C2235E" w:rsidRDefault="00E12F19" w:rsidP="00257F17">
      <w:pPr>
        <w:spacing w:after="0" w:line="240" w:lineRule="auto"/>
        <w:jc w:val="both"/>
        <w:rPr>
          <w:rFonts w:asciiTheme="majorHAnsi" w:hAnsiTheme="majorHAnsi"/>
        </w:rPr>
      </w:pPr>
      <w:r w:rsidRPr="00C2235E">
        <w:rPr>
          <w:rFonts w:asciiTheme="majorHAnsi" w:hAnsiTheme="majorHAnsi"/>
        </w:rPr>
        <w:t xml:space="preserve">Podgorica, </w:t>
      </w:r>
      <w:r w:rsidR="0006152E">
        <w:rPr>
          <w:rFonts w:asciiTheme="majorHAnsi" w:hAnsiTheme="majorHAnsi"/>
        </w:rPr>
        <w:t>18. 06. 2</w:t>
      </w:r>
      <w:r w:rsidRPr="00C2235E">
        <w:rPr>
          <w:rFonts w:asciiTheme="majorHAnsi" w:hAnsiTheme="majorHAnsi"/>
        </w:rPr>
        <w:t xml:space="preserve">019. </w:t>
      </w:r>
      <w:proofErr w:type="spellStart"/>
      <w:r w:rsidRPr="00C2235E">
        <w:rPr>
          <w:rFonts w:asciiTheme="majorHAnsi" w:hAnsiTheme="majorHAnsi"/>
        </w:rPr>
        <w:t>godine</w:t>
      </w:r>
      <w:proofErr w:type="spellEnd"/>
    </w:p>
    <w:p w:rsidR="00E12F19" w:rsidRDefault="00E12F19" w:rsidP="00E12F19">
      <w:pPr>
        <w:jc w:val="center"/>
      </w:pPr>
    </w:p>
    <w:p w:rsidR="00E12F19" w:rsidRDefault="00E12F19" w:rsidP="00E12F19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  <w:sz w:val="24"/>
          <w:szCs w:val="24"/>
        </w:rPr>
      </w:pPr>
      <w:r w:rsidRPr="00C2235E">
        <w:rPr>
          <w:rFonts w:ascii="Cambria" w:hAnsi="Cambria" w:cs="ArialNarrow"/>
          <w:sz w:val="24"/>
          <w:szCs w:val="24"/>
        </w:rPr>
        <w:t xml:space="preserve">U </w:t>
      </w:r>
      <w:proofErr w:type="spellStart"/>
      <w:r w:rsidRPr="00C2235E">
        <w:rPr>
          <w:rFonts w:ascii="Cambria" w:hAnsi="Cambria" w:cs="ArialNarrow"/>
          <w:sz w:val="24"/>
          <w:szCs w:val="24"/>
        </w:rPr>
        <w:t>skladu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sa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Zaključkom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Vlade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Crne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Gore </w:t>
      </w:r>
      <w:proofErr w:type="spellStart"/>
      <w:r w:rsidRPr="00C2235E">
        <w:rPr>
          <w:rFonts w:ascii="Cambria" w:hAnsi="Cambria" w:cs="ArialNarrow"/>
          <w:sz w:val="24"/>
          <w:szCs w:val="24"/>
        </w:rPr>
        <w:t>broj</w:t>
      </w:r>
      <w:proofErr w:type="spellEnd"/>
      <w:r w:rsidRPr="00C2235E">
        <w:rPr>
          <w:rFonts w:ascii="Cambria" w:hAnsi="Cambria" w:cs="ArialNarrow"/>
          <w:sz w:val="24"/>
          <w:szCs w:val="24"/>
        </w:rPr>
        <w:t>: 07-23</w:t>
      </w:r>
      <w:r w:rsidR="0006152E">
        <w:rPr>
          <w:rFonts w:ascii="Cambria" w:hAnsi="Cambria" w:cs="ArialNarrow"/>
          <w:sz w:val="24"/>
          <w:szCs w:val="24"/>
        </w:rPr>
        <w:t>19</w:t>
      </w:r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od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13. </w:t>
      </w:r>
      <w:proofErr w:type="spellStart"/>
      <w:r w:rsidRPr="00C2235E">
        <w:rPr>
          <w:rFonts w:ascii="Cambria" w:hAnsi="Cambria" w:cs="ArialNarrow"/>
          <w:sz w:val="24"/>
          <w:szCs w:val="24"/>
        </w:rPr>
        <w:t>juna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2019. </w:t>
      </w:r>
      <w:proofErr w:type="spellStart"/>
      <w:r w:rsidRPr="00C2235E">
        <w:rPr>
          <w:rFonts w:ascii="Cambria" w:hAnsi="Cambria" w:cs="ArialNarrow"/>
          <w:sz w:val="24"/>
          <w:szCs w:val="24"/>
        </w:rPr>
        <w:t>godine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, </w:t>
      </w:r>
      <w:proofErr w:type="spellStart"/>
      <w:r w:rsidR="00257F17">
        <w:rPr>
          <w:rFonts w:ascii="Cambria" w:hAnsi="Cambria" w:cs="Arial"/>
          <w:bCs/>
          <w:sz w:val="24"/>
          <w:szCs w:val="24"/>
        </w:rPr>
        <w:t>Nacionalna</w:t>
      </w:r>
      <w:proofErr w:type="spellEnd"/>
      <w:r w:rsidR="00257F17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257F17">
        <w:rPr>
          <w:rFonts w:ascii="Cambria" w:hAnsi="Cambria" w:cs="Arial"/>
          <w:bCs/>
          <w:sz w:val="24"/>
          <w:szCs w:val="24"/>
        </w:rPr>
        <w:t>turistička</w:t>
      </w:r>
      <w:proofErr w:type="spellEnd"/>
      <w:r w:rsidR="00257F17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257F17">
        <w:rPr>
          <w:rFonts w:ascii="Cambria" w:hAnsi="Cambria" w:cs="Arial"/>
          <w:bCs/>
          <w:sz w:val="24"/>
          <w:szCs w:val="24"/>
        </w:rPr>
        <w:t>organizacija</w:t>
      </w:r>
      <w:proofErr w:type="spellEnd"/>
      <w:r w:rsidR="00257F17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="00257F17">
        <w:rPr>
          <w:rFonts w:ascii="Cambria" w:hAnsi="Cambria" w:cs="Arial"/>
          <w:bCs/>
          <w:sz w:val="24"/>
          <w:szCs w:val="24"/>
        </w:rPr>
        <w:t>Crne</w:t>
      </w:r>
      <w:proofErr w:type="spellEnd"/>
      <w:r w:rsidR="00257F17">
        <w:rPr>
          <w:rFonts w:ascii="Cambria" w:hAnsi="Cambria" w:cs="Arial"/>
          <w:bCs/>
          <w:sz w:val="24"/>
          <w:szCs w:val="24"/>
        </w:rPr>
        <w:t xml:space="preserve"> Gore </w:t>
      </w:r>
      <w:proofErr w:type="spellStart"/>
      <w:r w:rsidRPr="00C2235E">
        <w:rPr>
          <w:rFonts w:ascii="Cambria" w:hAnsi="Cambria" w:cs="Arial"/>
          <w:bCs/>
          <w:sz w:val="24"/>
          <w:szCs w:val="24"/>
        </w:rPr>
        <w:t>objavljuje</w:t>
      </w:r>
      <w:proofErr w:type="spellEnd"/>
      <w:r w:rsidRPr="00C2235E">
        <w:rPr>
          <w:rFonts w:ascii="Cambria" w:hAnsi="Cambria" w:cs="Arial"/>
          <w:bCs/>
          <w:sz w:val="24"/>
          <w:szCs w:val="24"/>
        </w:rPr>
        <w:t>:</w:t>
      </w:r>
    </w:p>
    <w:p w:rsidR="00257F17" w:rsidRPr="00C2235E" w:rsidRDefault="00257F17" w:rsidP="00E12F19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  <w:sz w:val="24"/>
          <w:szCs w:val="24"/>
        </w:rPr>
      </w:pPr>
    </w:p>
    <w:p w:rsidR="00257F17" w:rsidRPr="00C2235E" w:rsidRDefault="00257F17" w:rsidP="00257F17">
      <w:pPr>
        <w:autoSpaceDE w:val="0"/>
        <w:autoSpaceDN w:val="0"/>
        <w:adjustRightInd w:val="0"/>
        <w:spacing w:after="0"/>
        <w:ind w:right="347"/>
        <w:jc w:val="center"/>
        <w:rPr>
          <w:rFonts w:ascii="Cambria" w:hAnsi="Cambria" w:cs="Arial"/>
          <w:b/>
          <w:bCs/>
          <w:color w:val="000000"/>
          <w:sz w:val="44"/>
          <w:szCs w:val="44"/>
        </w:rPr>
      </w:pPr>
      <w:r w:rsidRPr="00C2235E">
        <w:rPr>
          <w:rFonts w:ascii="Cambria" w:hAnsi="Cambria" w:cs="Arial"/>
          <w:b/>
          <w:bCs/>
          <w:color w:val="000000"/>
          <w:sz w:val="44"/>
          <w:szCs w:val="44"/>
        </w:rPr>
        <w:t>J A V N I    P O Z I V</w:t>
      </w:r>
    </w:p>
    <w:p w:rsidR="00E12F19" w:rsidRPr="00EF2AAE" w:rsidRDefault="00E12F19" w:rsidP="00257F17">
      <w:pPr>
        <w:pStyle w:val="NoSpacing"/>
        <w:tabs>
          <w:tab w:val="left" w:pos="3686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EF2AAE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podnošenje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dobijanje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podrške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zajedničko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oglašavanje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tržištu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Izraela</w:t>
      </w:r>
      <w:proofErr w:type="spellEnd"/>
    </w:p>
    <w:p w:rsidR="009302A2" w:rsidRPr="00EF2AAE" w:rsidRDefault="009302A2" w:rsidP="005D1014">
      <w:pPr>
        <w:pStyle w:val="Default"/>
        <w:spacing w:after="240" w:line="276" w:lineRule="auto"/>
        <w:rPr>
          <w:b/>
        </w:rPr>
      </w:pPr>
    </w:p>
    <w:p w:rsidR="002A5F8A" w:rsidRPr="00EF2AAE" w:rsidRDefault="002A5F8A" w:rsidP="00812C4A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</w:pPr>
      <w:proofErr w:type="spellStart"/>
      <w:r w:rsidRPr="00EF2AAE">
        <w:rPr>
          <w:b/>
        </w:rPr>
        <w:t>Predmet</w:t>
      </w:r>
      <w:proofErr w:type="spellEnd"/>
      <w:r w:rsidRPr="00EF2AAE">
        <w:rPr>
          <w:b/>
        </w:rPr>
        <w:t xml:space="preserve"> </w:t>
      </w:r>
      <w:proofErr w:type="spellStart"/>
      <w:r w:rsidRPr="00EF2AAE">
        <w:rPr>
          <w:b/>
        </w:rPr>
        <w:t>podrške</w:t>
      </w:r>
      <w:proofErr w:type="spellEnd"/>
      <w:r w:rsidRPr="00EF2AAE">
        <w:rPr>
          <w:b/>
        </w:rPr>
        <w:t>:</w:t>
      </w:r>
      <w:r w:rsidRPr="00EF2AAE">
        <w:t xml:space="preserve"> 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Predmet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podr</w:t>
      </w:r>
      <w:proofErr w:type="spellEnd"/>
      <w:r w:rsidRPr="00EF2AAE">
        <w:rPr>
          <w:rFonts w:eastAsia="Calibri"/>
          <w:color w:val="auto"/>
          <w:lang w:val="uz-Cyrl-UZ"/>
        </w:rPr>
        <w:t>š</w:t>
      </w:r>
      <w:proofErr w:type="spellStart"/>
      <w:r w:rsidRPr="00EF2AAE">
        <w:rPr>
          <w:rFonts w:eastAsia="Calibri"/>
          <w:color w:val="auto"/>
        </w:rPr>
        <w:t>ke</w:t>
      </w:r>
      <w:proofErr w:type="spellEnd"/>
      <w:r w:rsidRPr="00EF2AAE">
        <w:rPr>
          <w:rFonts w:eastAsia="Calibri"/>
          <w:color w:val="auto"/>
        </w:rPr>
        <w:t xml:space="preserve"> je </w:t>
      </w:r>
      <w:proofErr w:type="spellStart"/>
      <w:r w:rsidRPr="00EF2AAE">
        <w:rPr>
          <w:rFonts w:eastAsia="Calibri"/>
          <w:color w:val="auto"/>
        </w:rPr>
        <w:t>zajedničko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organizovanih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putovanja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obuhvata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 </w:t>
      </w:r>
      <w:proofErr w:type="spellStart"/>
      <w:r w:rsidRPr="00EF2AAE">
        <w:rPr>
          <w:rFonts w:eastAsia="Calibri"/>
          <w:color w:val="auto"/>
        </w:rPr>
        <w:t>kao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turističke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destinacije</w:t>
      </w:r>
      <w:proofErr w:type="spellEnd"/>
      <w:r w:rsidR="002A5F8A" w:rsidRPr="00EF2AAE">
        <w:rPr>
          <w:rFonts w:eastAsia="Calibri"/>
          <w:color w:val="auto"/>
        </w:rPr>
        <w:t>,</w:t>
      </w:r>
      <w:r w:rsidRPr="00EF2AAE">
        <w:rPr>
          <w:rFonts w:eastAsia="Calibri"/>
          <w:color w:val="auto"/>
        </w:rPr>
        <w:t xml:space="preserve"> </w:t>
      </w:r>
      <w:r w:rsidR="002A5F8A" w:rsidRPr="00EF2AAE">
        <w:rPr>
          <w:rFonts w:eastAsia="Calibri"/>
          <w:color w:val="auto"/>
        </w:rPr>
        <w:t xml:space="preserve">za </w:t>
      </w:r>
      <w:proofErr w:type="spellStart"/>
      <w:r w:rsidR="002A5F8A" w:rsidRPr="00EF2AAE">
        <w:rPr>
          <w:rFonts w:eastAsia="Calibri"/>
          <w:color w:val="auto"/>
        </w:rPr>
        <w:t>ljetnju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turističku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sezonu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i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zimsku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turističku</w:t>
      </w:r>
      <w:proofErr w:type="spellEnd"/>
      <w:r w:rsidR="002A5F8A" w:rsidRPr="00EF2AAE">
        <w:rPr>
          <w:rFonts w:eastAsia="Calibri"/>
          <w:color w:val="auto"/>
        </w:rPr>
        <w:t xml:space="preserve"> </w:t>
      </w:r>
      <w:proofErr w:type="spellStart"/>
      <w:r w:rsidR="002A5F8A" w:rsidRPr="00EF2AAE">
        <w:rPr>
          <w:rFonts w:eastAsia="Calibri"/>
          <w:color w:val="auto"/>
        </w:rPr>
        <w:t>sezonu</w:t>
      </w:r>
      <w:proofErr w:type="spellEnd"/>
      <w:r w:rsidR="002A5F8A" w:rsidRPr="00EF2AAE">
        <w:rPr>
          <w:rFonts w:eastAsia="Calibri"/>
          <w:color w:val="auto"/>
        </w:rPr>
        <w:t xml:space="preserve"> 2019/2020. </w:t>
      </w:r>
      <w:proofErr w:type="spellStart"/>
      <w:r w:rsidR="002A5F8A" w:rsidRPr="00EF2AAE">
        <w:rPr>
          <w:rFonts w:eastAsia="Calibri"/>
          <w:color w:val="auto"/>
        </w:rPr>
        <w:t>godine</w:t>
      </w:r>
      <w:proofErr w:type="spellEnd"/>
      <w:r w:rsidR="002A5F8A" w:rsidRPr="00EF2AAE">
        <w:rPr>
          <w:rFonts w:eastAsia="Calibri"/>
          <w:color w:val="auto"/>
        </w:rPr>
        <w:t xml:space="preserve">, </w:t>
      </w:r>
      <w:r w:rsidRPr="00EF2AAE">
        <w:rPr>
          <w:rFonts w:eastAsia="Calibri"/>
          <w:color w:val="auto"/>
        </w:rPr>
        <w:t xml:space="preserve">od </w:t>
      </w:r>
      <w:proofErr w:type="spellStart"/>
      <w:r w:rsidRPr="00EF2AAE">
        <w:rPr>
          <w:rFonts w:eastAsia="Calibri"/>
          <w:color w:val="auto"/>
        </w:rPr>
        <w:t>strane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Nacionalne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turističke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organizacije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organizatora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putovanja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organizovanim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avionskim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dolascima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Pr="00EF2AAE">
        <w:rPr>
          <w:rFonts w:eastAsia="Calibri"/>
          <w:color w:val="auto"/>
        </w:rPr>
        <w:t xml:space="preserve">, u </w:t>
      </w:r>
      <w:proofErr w:type="spellStart"/>
      <w:r w:rsidRPr="00EF2AAE">
        <w:rPr>
          <w:rFonts w:eastAsia="Calibri"/>
          <w:color w:val="auto"/>
        </w:rPr>
        <w:t>njegovim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promotivnim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kampanjama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tržištu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Izraela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programi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uključuju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organizovane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usluge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prevoza</w:t>
      </w:r>
      <w:proofErr w:type="spellEnd"/>
      <w:r w:rsidRPr="00EF2AAE">
        <w:rPr>
          <w:rFonts w:eastAsia="Calibri"/>
          <w:color w:val="auto"/>
        </w:rPr>
        <w:t xml:space="preserve"> do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smještaja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Crnoj</w:t>
      </w:r>
      <w:proofErr w:type="spellEnd"/>
      <w:r w:rsidRPr="00EF2AAE">
        <w:rPr>
          <w:rFonts w:eastAsia="Calibri"/>
          <w:color w:val="auto"/>
        </w:rPr>
        <w:t xml:space="preserve"> Gori).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Zajedničko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odnosi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isključivo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ponudu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aranžmana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koji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uključuju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predsezonu</w:t>
      </w:r>
      <w:proofErr w:type="spellEnd"/>
      <w:r w:rsidR="002B2A7B">
        <w:rPr>
          <w:rFonts w:eastAsia="Calibri"/>
          <w:color w:val="auto"/>
        </w:rPr>
        <w:t xml:space="preserve"> </w:t>
      </w:r>
      <w:proofErr w:type="spellStart"/>
      <w:r w:rsidR="002B2A7B">
        <w:rPr>
          <w:rFonts w:eastAsia="Calibri"/>
          <w:color w:val="auto"/>
        </w:rPr>
        <w:t>i</w:t>
      </w:r>
      <w:proofErr w:type="spellEnd"/>
      <w:r w:rsidR="007908D1">
        <w:rPr>
          <w:rFonts w:eastAsia="Calibri"/>
          <w:color w:val="auto"/>
        </w:rPr>
        <w:t xml:space="preserve"> </w:t>
      </w:r>
      <w:proofErr w:type="spellStart"/>
      <w:r w:rsidR="007908D1">
        <w:rPr>
          <w:rFonts w:eastAsia="Calibri"/>
          <w:color w:val="auto"/>
        </w:rPr>
        <w:t>postezonu</w:t>
      </w:r>
      <w:proofErr w:type="spellEnd"/>
      <w:r w:rsidR="007908D1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rFonts w:eastAsia="Calibri"/>
          <w:color w:val="auto"/>
        </w:rPr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  <w:proofErr w:type="spellStart"/>
      <w:r w:rsidRPr="00EF2AAE">
        <w:rPr>
          <w:rFonts w:eastAsia="Calibri"/>
          <w:b/>
          <w:color w:val="auto"/>
        </w:rPr>
        <w:t>Ukupan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iznos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sredstava</w:t>
      </w:r>
      <w:proofErr w:type="spellEnd"/>
      <w:r w:rsidRPr="00EF2AAE">
        <w:rPr>
          <w:rFonts w:eastAsia="Calibri"/>
          <w:b/>
          <w:color w:val="auto"/>
        </w:rPr>
        <w:t>: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  <w:proofErr w:type="spellStart"/>
      <w:r w:rsidRPr="00EF2AAE">
        <w:t>Ukupna</w:t>
      </w:r>
      <w:proofErr w:type="spellEnd"/>
      <w:r w:rsidRPr="00EF2AAE">
        <w:t xml:space="preserve"> </w:t>
      </w:r>
      <w:proofErr w:type="spellStart"/>
      <w:r w:rsidRPr="00EF2AAE">
        <w:t>planirana</w:t>
      </w:r>
      <w:proofErr w:type="spellEnd"/>
      <w:r w:rsidRPr="00EF2AAE">
        <w:t xml:space="preserve"> </w:t>
      </w:r>
      <w:proofErr w:type="spellStart"/>
      <w:r w:rsidRPr="00EF2AAE">
        <w:t>sredstva</w:t>
      </w:r>
      <w:proofErr w:type="spellEnd"/>
      <w:r w:rsidRPr="00EF2AAE">
        <w:t xml:space="preserve"> za </w:t>
      </w:r>
      <w:proofErr w:type="spellStart"/>
      <w:r w:rsidRPr="00EF2AAE">
        <w:t>ovu</w:t>
      </w:r>
      <w:proofErr w:type="spellEnd"/>
      <w:r w:rsidRPr="00EF2AAE">
        <w:t xml:space="preserve"> </w:t>
      </w:r>
      <w:proofErr w:type="spellStart"/>
      <w:r w:rsidRPr="00EF2AAE">
        <w:t>mjeru</w:t>
      </w:r>
      <w:proofErr w:type="spellEnd"/>
      <w:r w:rsidRPr="00EF2AAE">
        <w:t xml:space="preserve"> </w:t>
      </w:r>
      <w:proofErr w:type="spellStart"/>
      <w:r w:rsidRPr="00EF2AAE">
        <w:t>programa</w:t>
      </w:r>
      <w:proofErr w:type="spellEnd"/>
      <w:r w:rsidRPr="00EF2AAE">
        <w:t xml:space="preserve"> </w:t>
      </w:r>
      <w:proofErr w:type="spellStart"/>
      <w:r w:rsidRPr="00EF2AAE">
        <w:t>iznose</w:t>
      </w:r>
      <w:proofErr w:type="spellEnd"/>
      <w:r w:rsidRPr="00EF2AAE">
        <w:t xml:space="preserve"> 50.000,00 € (</w:t>
      </w:r>
      <w:proofErr w:type="spellStart"/>
      <w:r w:rsidRPr="00EF2AAE">
        <w:t>sa</w:t>
      </w:r>
      <w:proofErr w:type="spellEnd"/>
      <w:r w:rsidRPr="00EF2AAE">
        <w:t xml:space="preserve"> PDV-om).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  <w:proofErr w:type="spellStart"/>
      <w:r w:rsidRPr="00EF2AAE">
        <w:rPr>
          <w:b/>
        </w:rPr>
        <w:t>Ciljevi</w:t>
      </w:r>
      <w:proofErr w:type="spellEnd"/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  <w:proofErr w:type="spellStart"/>
      <w:r w:rsidRPr="00EF2AAE">
        <w:t>Bolji</w:t>
      </w:r>
      <w:proofErr w:type="spellEnd"/>
      <w:r w:rsidRPr="00EF2AAE">
        <w:t xml:space="preserve"> marketing </w:t>
      </w:r>
      <w:proofErr w:type="spellStart"/>
      <w:r w:rsidRPr="00EF2AAE">
        <w:t>Crne</w:t>
      </w:r>
      <w:proofErr w:type="spellEnd"/>
      <w:r w:rsidRPr="00EF2AAE">
        <w:t xml:space="preserve"> Gore </w:t>
      </w:r>
      <w:proofErr w:type="spellStart"/>
      <w:r w:rsidRPr="00EF2AAE">
        <w:t>kao</w:t>
      </w:r>
      <w:proofErr w:type="spellEnd"/>
      <w:r w:rsidRPr="00EF2AAE">
        <w:t xml:space="preserve"> </w:t>
      </w:r>
      <w:proofErr w:type="spellStart"/>
      <w:r w:rsidRPr="00EF2AAE">
        <w:t>turističke</w:t>
      </w:r>
      <w:proofErr w:type="spellEnd"/>
      <w:r w:rsidRPr="00EF2AAE">
        <w:t xml:space="preserve"> </w:t>
      </w:r>
      <w:proofErr w:type="spellStart"/>
      <w:r w:rsidRPr="00EF2AAE">
        <w:t>destinacije</w:t>
      </w:r>
      <w:proofErr w:type="spellEnd"/>
      <w:r w:rsidRPr="00EF2AAE">
        <w:t xml:space="preserve"> </w:t>
      </w:r>
      <w:proofErr w:type="spellStart"/>
      <w:r w:rsidRPr="00EF2AAE">
        <w:t>i</w:t>
      </w:r>
      <w:proofErr w:type="spellEnd"/>
      <w:r w:rsidRPr="00EF2AAE">
        <w:t xml:space="preserve"> </w:t>
      </w:r>
      <w:proofErr w:type="spellStart"/>
      <w:r w:rsidRPr="00EF2AAE">
        <w:t>povećanje</w:t>
      </w:r>
      <w:proofErr w:type="spellEnd"/>
      <w:r w:rsidRPr="00EF2AAE">
        <w:t xml:space="preserve"> </w:t>
      </w:r>
      <w:proofErr w:type="spellStart"/>
      <w:r w:rsidRPr="00EF2AAE">
        <w:t>turističkog</w:t>
      </w:r>
      <w:proofErr w:type="spellEnd"/>
      <w:r w:rsidRPr="00EF2AAE">
        <w:t xml:space="preserve"> </w:t>
      </w:r>
      <w:proofErr w:type="spellStart"/>
      <w:r w:rsidRPr="00EF2AAE">
        <w:t>p</w:t>
      </w:r>
      <w:r w:rsidR="00630CAD" w:rsidRPr="00EF2AAE">
        <w:t>rometa</w:t>
      </w:r>
      <w:proofErr w:type="spellEnd"/>
      <w:r w:rsidR="00630CAD" w:rsidRPr="00EF2AAE">
        <w:t xml:space="preserve"> </w:t>
      </w:r>
      <w:proofErr w:type="spellStart"/>
      <w:r w:rsidR="00630CAD" w:rsidRPr="00EF2AAE">
        <w:t>sa</w:t>
      </w:r>
      <w:proofErr w:type="spellEnd"/>
      <w:r w:rsidR="00630CAD" w:rsidRPr="00EF2AAE">
        <w:t xml:space="preserve"> </w:t>
      </w:r>
      <w:proofErr w:type="spellStart"/>
      <w:r w:rsidR="00630CAD" w:rsidRPr="00EF2AAE">
        <w:t>emitivnog</w:t>
      </w:r>
      <w:proofErr w:type="spellEnd"/>
      <w:r w:rsidRPr="00EF2AAE">
        <w:t xml:space="preserve"> </w:t>
      </w:r>
      <w:proofErr w:type="spellStart"/>
      <w:r w:rsidRPr="00EF2AAE">
        <w:t>tržišta</w:t>
      </w:r>
      <w:proofErr w:type="spellEnd"/>
      <w:r w:rsidR="0089610D" w:rsidRPr="00EF2AAE">
        <w:t xml:space="preserve"> </w:t>
      </w:r>
      <w:proofErr w:type="spellStart"/>
      <w:r w:rsidR="0089610D" w:rsidRPr="00EF2AAE">
        <w:t>Izraela</w:t>
      </w:r>
      <w:proofErr w:type="spellEnd"/>
      <w:r w:rsidRPr="00EF2AAE">
        <w:t>.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  <w:proofErr w:type="spellStart"/>
      <w:r w:rsidRPr="00EF2AAE">
        <w:rPr>
          <w:b/>
        </w:rPr>
        <w:t>Korisnici</w:t>
      </w:r>
      <w:proofErr w:type="spellEnd"/>
      <w:r w:rsidRPr="00EF2AAE">
        <w:rPr>
          <w:b/>
        </w:rPr>
        <w:t xml:space="preserve"> </w:t>
      </w:r>
    </w:p>
    <w:p w:rsidR="00BF6FE0" w:rsidRPr="00EF2AAE" w:rsidRDefault="00BF6FE0" w:rsidP="00BF6FE0">
      <w:pPr>
        <w:pStyle w:val="Normal1"/>
        <w:tabs>
          <w:tab w:val="left" w:pos="270"/>
        </w:tabs>
        <w:ind w:left="284"/>
        <w:jc w:val="both"/>
        <w:rPr>
          <w:rFonts w:eastAsia="Calibri"/>
          <w:b/>
          <w:color w:val="auto"/>
        </w:rPr>
      </w:pPr>
    </w:p>
    <w:p w:rsidR="00812C4A" w:rsidRDefault="00812C4A" w:rsidP="00812C4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Turisti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</w:rPr>
        <w:t>ke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agencije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/ </w:t>
      </w:r>
      <w:proofErr w:type="spellStart"/>
      <w:r w:rsidRPr="00EF2AAE">
        <w:rPr>
          <w:rFonts w:ascii="Times New Roman" w:hAnsi="Times New Roman"/>
          <w:sz w:val="24"/>
          <w:szCs w:val="24"/>
        </w:rPr>
        <w:t>turoperatori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registrovani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u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Crnoj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Gori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EF2AAE">
        <w:rPr>
          <w:rFonts w:ascii="Times New Roman" w:hAnsi="Times New Roman"/>
          <w:sz w:val="24"/>
          <w:szCs w:val="24"/>
        </w:rPr>
        <w:t>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svoje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promotivne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kampanje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realizuju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u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saradnji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turoperatorima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tr</w:t>
      </w:r>
      <w:r w:rsidRPr="00EF2AAE">
        <w:rPr>
          <w:rFonts w:ascii="Times New Roman" w:hAnsi="Times New Roman"/>
          <w:sz w:val="24"/>
          <w:szCs w:val="24"/>
          <w:lang w:val="sr-Latn-CS"/>
        </w:rPr>
        <w:t>ž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š</w:t>
      </w:r>
      <w:r w:rsidRPr="00EF2AAE">
        <w:rPr>
          <w:rFonts w:ascii="Times New Roman" w:hAnsi="Times New Roman"/>
          <w:sz w:val="24"/>
          <w:szCs w:val="24"/>
        </w:rPr>
        <w:t>ta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Izraela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imaju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paket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aran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ž</w:t>
      </w:r>
      <w:r w:rsidRPr="00EF2AAE">
        <w:rPr>
          <w:rFonts w:ascii="Times New Roman" w:hAnsi="Times New Roman"/>
          <w:sz w:val="24"/>
          <w:szCs w:val="24"/>
        </w:rPr>
        <w:t>mane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organizovanim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vazdu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</w:rPr>
        <w:t>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č</w:t>
      </w:r>
      <w:proofErr w:type="spellStart"/>
      <w:r w:rsidRPr="00EF2AAE">
        <w:rPr>
          <w:rFonts w:ascii="Times New Roman" w:hAnsi="Times New Roman"/>
          <w:sz w:val="24"/>
          <w:szCs w:val="24"/>
        </w:rPr>
        <w:t>arter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prevozom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zakupljenim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sjedi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</w:rPr>
        <w:t>tima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redovnim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linijama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792973" w:rsidRDefault="00792973" w:rsidP="00812C4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92973" w:rsidRPr="00EF2AAE" w:rsidRDefault="00792973" w:rsidP="00812C4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812C4A" w:rsidRPr="00EF2AAE" w:rsidRDefault="00812C4A" w:rsidP="009B1BD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/>
          <w:b/>
          <w:sz w:val="24"/>
          <w:szCs w:val="24"/>
        </w:rPr>
        <w:t>Iznos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podrške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b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Najveći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iznos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može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odobriti</w:t>
      </w:r>
      <w:proofErr w:type="spellEnd"/>
      <w:r w:rsidRPr="00EF2AAE">
        <w:rPr>
          <w:rFonts w:eastAsia="Calibri"/>
          <w:color w:val="auto"/>
        </w:rPr>
        <w:t xml:space="preserve"> je do 50.000,00 €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ne </w:t>
      </w:r>
      <w:proofErr w:type="spellStart"/>
      <w:r w:rsidRPr="00EF2AAE">
        <w:rPr>
          <w:rFonts w:eastAsia="Calibri"/>
          <w:color w:val="auto"/>
        </w:rPr>
        <w:t>više</w:t>
      </w:r>
      <w:proofErr w:type="spellEnd"/>
      <w:r w:rsidRPr="00EF2AAE">
        <w:rPr>
          <w:rFonts w:eastAsia="Calibri"/>
          <w:color w:val="auto"/>
        </w:rPr>
        <w:t xml:space="preserve"> od 50% </w:t>
      </w:r>
      <w:proofErr w:type="spellStart"/>
      <w:r w:rsidRPr="00EF2AAE">
        <w:rPr>
          <w:rFonts w:eastAsia="Calibri"/>
          <w:color w:val="auto"/>
        </w:rPr>
        <w:t>prihvatljivih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troškova</w:t>
      </w:r>
      <w:proofErr w:type="spellEnd"/>
      <w:r w:rsidRPr="00EF2AAE">
        <w:rPr>
          <w:rFonts w:eastAsia="Calibri"/>
          <w:color w:val="auto"/>
        </w:rPr>
        <w:t xml:space="preserve">. NTOCG </w:t>
      </w:r>
      <w:proofErr w:type="spellStart"/>
      <w:r w:rsidRPr="00EF2AAE">
        <w:rPr>
          <w:rFonts w:eastAsia="Calibri"/>
          <w:color w:val="auto"/>
        </w:rPr>
        <w:t>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pravo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traži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promjenu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pojedinih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aktivnosti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plana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predloženog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predloži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nove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radi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usklađivanja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strateškim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Crne</w:t>
      </w:r>
      <w:proofErr w:type="spellEnd"/>
      <w:r w:rsidRPr="00EF2AAE">
        <w:rPr>
          <w:rFonts w:eastAsia="Calibri"/>
          <w:color w:val="auto"/>
        </w:rPr>
        <w:t xml:space="preserve"> Gore. 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Svaki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nosilac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treba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priloži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samo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jedan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 za </w:t>
      </w:r>
      <w:proofErr w:type="spellStart"/>
      <w:r w:rsidRPr="00EF2AAE">
        <w:rPr>
          <w:rFonts w:eastAsia="Calibri"/>
          <w:color w:val="auto"/>
        </w:rPr>
        <w:t>sve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vrste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zakupa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aktivnostima</w:t>
      </w:r>
      <w:proofErr w:type="spellEnd"/>
      <w:r w:rsidRPr="00EF2AAE">
        <w:rPr>
          <w:rFonts w:eastAsia="Calibri"/>
          <w:color w:val="auto"/>
        </w:rPr>
        <w:t xml:space="preserve"> po </w:t>
      </w:r>
      <w:proofErr w:type="spellStart"/>
      <w:r w:rsidRPr="00EF2AAE">
        <w:rPr>
          <w:rFonts w:eastAsia="Calibri"/>
          <w:color w:val="auto"/>
        </w:rPr>
        <w:t>vrstama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napomenama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kako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realizuju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agencija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samostalno</w:t>
      </w:r>
      <w:proofErr w:type="spellEnd"/>
      <w:r w:rsidRPr="00EF2AAE">
        <w:rPr>
          <w:rFonts w:eastAsia="Calibri"/>
          <w:color w:val="auto"/>
        </w:rPr>
        <w:t xml:space="preserve">). </w:t>
      </w:r>
    </w:p>
    <w:p w:rsidR="00812C4A" w:rsidRPr="00EF2AAE" w:rsidRDefault="00812C4A" w:rsidP="00812C4A">
      <w:pPr>
        <w:pStyle w:val="Normal1"/>
        <w:ind w:left="360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Turistička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agencija</w:t>
      </w:r>
      <w:proofErr w:type="spellEnd"/>
      <w:r w:rsidRPr="00EF2AAE">
        <w:rPr>
          <w:rFonts w:eastAsia="Calibri"/>
          <w:color w:val="auto"/>
        </w:rPr>
        <w:t xml:space="preserve"> /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je </w:t>
      </w:r>
      <w:proofErr w:type="spellStart"/>
      <w:r w:rsidRPr="00EF2AAE">
        <w:rPr>
          <w:rFonts w:eastAsia="Calibri"/>
          <w:color w:val="auto"/>
        </w:rPr>
        <w:t>dužna</w:t>
      </w:r>
      <w:proofErr w:type="spellEnd"/>
      <w:r w:rsidRPr="00EF2AAE">
        <w:rPr>
          <w:rFonts w:eastAsia="Calibri"/>
          <w:color w:val="auto"/>
        </w:rPr>
        <w:t xml:space="preserve"> da </w:t>
      </w:r>
      <w:proofErr w:type="spellStart"/>
      <w:r w:rsidRPr="00EF2AAE">
        <w:rPr>
          <w:rFonts w:eastAsia="Calibri"/>
          <w:color w:val="auto"/>
        </w:rPr>
        <w:t>iznos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vrijednosti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odobrenih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uloži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b/>
          <w:color w:val="auto"/>
        </w:rPr>
        <w:t>zakup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medijskog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prostora</w:t>
      </w:r>
      <w:proofErr w:type="spellEnd"/>
      <w:r w:rsidRPr="00EF2AAE">
        <w:rPr>
          <w:rFonts w:eastAsia="Calibri"/>
          <w:color w:val="auto"/>
        </w:rPr>
        <w:t xml:space="preserve"> za offline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online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. NTOCG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uplatiti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nakon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podnošenja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izvještaja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realizaciji</w:t>
      </w:r>
      <w:proofErr w:type="spellEnd"/>
      <w:r w:rsidR="00086FB6" w:rsidRPr="00EF2AAE">
        <w:rPr>
          <w:rFonts w:eastAsia="Calibri"/>
          <w:color w:val="auto"/>
        </w:rPr>
        <w:t xml:space="preserve"> </w:t>
      </w:r>
      <w:proofErr w:type="spellStart"/>
      <w:r w:rsidR="00086FB6" w:rsidRPr="00EF2AAE">
        <w:rPr>
          <w:rFonts w:eastAsia="Calibri"/>
          <w:color w:val="auto"/>
        </w:rPr>
        <w:t>aktivnosti</w:t>
      </w:r>
      <w:proofErr w:type="spellEnd"/>
      <w:r w:rsidRPr="00EF2AAE">
        <w:rPr>
          <w:rFonts w:eastAsia="Calibri"/>
          <w:color w:val="auto"/>
        </w:rPr>
        <w:t>.</w:t>
      </w:r>
    </w:p>
    <w:p w:rsidR="00D500DF" w:rsidRPr="00EF2AAE" w:rsidRDefault="00D500DF" w:rsidP="00062288">
      <w:pPr>
        <w:tabs>
          <w:tab w:val="left" w:pos="360"/>
          <w:tab w:val="left" w:pos="2160"/>
        </w:tabs>
        <w:jc w:val="both"/>
        <w:rPr>
          <w:rFonts w:ascii="Times New Roman" w:hAnsi="Times New Roman"/>
          <w:iCs/>
          <w:sz w:val="24"/>
          <w:szCs w:val="24"/>
          <w:lang w:val="sr-Latn-CS"/>
        </w:rPr>
      </w:pPr>
    </w:p>
    <w:p w:rsidR="00812C4A" w:rsidRPr="00EF2AAE" w:rsidRDefault="00812C4A" w:rsidP="009B1BDC">
      <w:pPr>
        <w:numPr>
          <w:ilvl w:val="0"/>
          <w:numId w:val="9"/>
        </w:numPr>
        <w:tabs>
          <w:tab w:val="left" w:pos="360"/>
          <w:tab w:val="left" w:pos="1350"/>
        </w:tabs>
        <w:spacing w:after="0" w:line="240" w:lineRule="auto"/>
        <w:ind w:left="284"/>
        <w:jc w:val="both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EF2AAE">
        <w:rPr>
          <w:rFonts w:ascii="Times New Roman" w:hAnsi="Times New Roman"/>
          <w:b/>
          <w:iCs/>
          <w:sz w:val="24"/>
          <w:szCs w:val="24"/>
          <w:lang w:val="sr-Latn-CS"/>
        </w:rPr>
        <w:t>Namjena sredstava</w:t>
      </w:r>
    </w:p>
    <w:p w:rsidR="00217196" w:rsidRPr="00EF2AAE" w:rsidRDefault="00217196" w:rsidP="00812C4A">
      <w:pPr>
        <w:pStyle w:val="Normal1"/>
        <w:tabs>
          <w:tab w:val="left" w:pos="0"/>
        </w:tabs>
        <w:ind w:right="347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tabs>
          <w:tab w:val="left" w:pos="0"/>
        </w:tabs>
        <w:ind w:right="347"/>
        <w:jc w:val="both"/>
        <w:rPr>
          <w:color w:val="auto"/>
          <w:lang w:val="sr-Latn-CS"/>
        </w:rPr>
      </w:pPr>
      <w:proofErr w:type="spellStart"/>
      <w:r w:rsidRPr="00EF2AAE">
        <w:rPr>
          <w:color w:val="auto"/>
        </w:rPr>
        <w:t>Podr</w:t>
      </w:r>
      <w:proofErr w:type="spellEnd"/>
      <w:r w:rsidRPr="00EF2AAE">
        <w:rPr>
          <w:color w:val="auto"/>
          <w:lang w:val="sr-Latn-CS"/>
        </w:rPr>
        <w:t>š</w:t>
      </w:r>
      <w:r w:rsidRPr="00EF2AAE">
        <w:rPr>
          <w:color w:val="auto"/>
        </w:rPr>
        <w:t>ka</w:t>
      </w:r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marketing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aktivnostima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tr</w:t>
      </w:r>
      <w:r w:rsidRPr="00EF2AAE">
        <w:rPr>
          <w:color w:val="auto"/>
          <w:lang w:val="sr-Latn-CS"/>
        </w:rPr>
        <w:t>ž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>š</w:t>
      </w:r>
      <w:proofErr w:type="spellStart"/>
      <w:r w:rsidRPr="00EF2AAE">
        <w:rPr>
          <w:color w:val="auto"/>
        </w:rPr>
        <w:t>tu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Izraela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kroz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pokrivanje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dijela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tro</w:t>
      </w:r>
      <w:proofErr w:type="spellEnd"/>
      <w:r w:rsidRPr="00EF2AAE">
        <w:rPr>
          <w:color w:val="auto"/>
          <w:lang w:val="sr-Latn-CS"/>
        </w:rPr>
        <w:t>š</w:t>
      </w:r>
      <w:proofErr w:type="spellStart"/>
      <w:r w:rsidRPr="00EF2AAE">
        <w:rPr>
          <w:color w:val="auto"/>
        </w:rPr>
        <w:t>kova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za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promotivne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kampanje</w:t>
      </w:r>
      <w:proofErr w:type="spellEnd"/>
      <w:r w:rsidRPr="00EF2AAE">
        <w:rPr>
          <w:color w:val="auto"/>
          <w:lang w:val="sr-Latn-CS"/>
        </w:rPr>
        <w:t xml:space="preserve"> </w:t>
      </w:r>
      <w:r w:rsidR="0089610D" w:rsidRPr="00EF2AAE">
        <w:rPr>
          <w:color w:val="auto"/>
          <w:lang w:val="sr-Latn-CS"/>
        </w:rPr>
        <w:t xml:space="preserve">za Crnu Goru </w:t>
      </w:r>
      <w:r w:rsidR="0089610D" w:rsidRPr="00EF2AAE">
        <w:rPr>
          <w:rFonts w:eastAsia="Calibri"/>
          <w:color w:val="auto"/>
        </w:rPr>
        <w:t xml:space="preserve">za </w:t>
      </w:r>
      <w:proofErr w:type="spellStart"/>
      <w:r w:rsidR="0089610D" w:rsidRPr="00EF2AAE">
        <w:rPr>
          <w:rFonts w:eastAsia="Calibri"/>
          <w:color w:val="auto"/>
        </w:rPr>
        <w:t>ljetnju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turističku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sezonu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i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zimsku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turističku</w:t>
      </w:r>
      <w:proofErr w:type="spellEnd"/>
      <w:r w:rsidR="0089610D" w:rsidRPr="00EF2AAE">
        <w:rPr>
          <w:rFonts w:eastAsia="Calibri"/>
          <w:color w:val="auto"/>
        </w:rPr>
        <w:t xml:space="preserve"> </w:t>
      </w:r>
      <w:proofErr w:type="spellStart"/>
      <w:r w:rsidR="0089610D" w:rsidRPr="00EF2AAE">
        <w:rPr>
          <w:rFonts w:eastAsia="Calibri"/>
          <w:color w:val="auto"/>
        </w:rPr>
        <w:t>sezonu</w:t>
      </w:r>
      <w:proofErr w:type="spellEnd"/>
      <w:r w:rsidR="0089610D" w:rsidRPr="00EF2AAE">
        <w:rPr>
          <w:rFonts w:eastAsia="Calibri"/>
          <w:color w:val="auto"/>
        </w:rPr>
        <w:t xml:space="preserve"> 2019/2020. </w:t>
      </w:r>
      <w:proofErr w:type="spellStart"/>
      <w:proofErr w:type="gramStart"/>
      <w:r w:rsidR="0089610D" w:rsidRPr="00EF2AAE">
        <w:rPr>
          <w:rFonts w:eastAsia="Calibri"/>
          <w:color w:val="auto"/>
        </w:rPr>
        <w:t>godine</w:t>
      </w:r>
      <w:proofErr w:type="spellEnd"/>
      <w:r w:rsidR="0089610D" w:rsidRPr="00EF2AAE">
        <w:rPr>
          <w:rFonts w:eastAsia="Calibri"/>
          <w:color w:val="auto"/>
        </w:rPr>
        <w:t>,</w:t>
      </w:r>
      <w:r w:rsidRPr="00EF2AAE">
        <w:rPr>
          <w:color w:val="auto"/>
          <w:lang w:val="sr-Latn-CS"/>
        </w:rPr>
        <w:t>.</w:t>
      </w:r>
      <w:proofErr w:type="gramEnd"/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  <w:lang w:val="sr-Latn-CS"/>
        </w:rPr>
      </w:pPr>
    </w:p>
    <w:p w:rsidR="00217196" w:rsidRPr="00EF2AAE" w:rsidRDefault="00812C4A" w:rsidP="00217196">
      <w:pPr>
        <w:pStyle w:val="Normal1"/>
        <w:jc w:val="both"/>
        <w:rPr>
          <w:rFonts w:eastAsia="Calibri"/>
          <w:color w:val="auto"/>
          <w:lang w:val="sr-Latn-CS"/>
        </w:rPr>
      </w:pP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aran</w:t>
      </w:r>
      <w:proofErr w:type="spellEnd"/>
      <w:r w:rsidRPr="00EF2AAE">
        <w:rPr>
          <w:rFonts w:eastAsia="Calibri"/>
          <w:color w:val="auto"/>
          <w:lang w:val="sr-Latn-CS"/>
        </w:rPr>
        <w:t>ž</w:t>
      </w:r>
      <w:proofErr w:type="spellStart"/>
      <w:r w:rsidRPr="00EF2AAE">
        <w:rPr>
          <w:rFonts w:eastAsia="Calibri"/>
          <w:color w:val="auto"/>
        </w:rPr>
        <w:t>mani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za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se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mogu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kandidovati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u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ovom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modelu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moraju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="00217196" w:rsidRPr="00EF2AAE">
        <w:rPr>
          <w:rFonts w:eastAsia="Calibri"/>
          <w:color w:val="auto"/>
          <w:lang w:val="sr-Latn-CS"/>
        </w:rPr>
        <w:t xml:space="preserve">uključivati i ljetnju i zimsku turističku sezonu. </w:t>
      </w:r>
    </w:p>
    <w:p w:rsidR="00217196" w:rsidRPr="00EF2AAE" w:rsidRDefault="00217196" w:rsidP="00217196">
      <w:pPr>
        <w:pStyle w:val="Normal1"/>
        <w:jc w:val="both"/>
        <w:rPr>
          <w:rFonts w:eastAsia="Calibri"/>
          <w:color w:val="auto"/>
          <w:lang w:val="sr-Latn-CS"/>
        </w:rPr>
      </w:pPr>
    </w:p>
    <w:p w:rsidR="00812C4A" w:rsidRPr="00EF2AAE" w:rsidRDefault="00812C4A" w:rsidP="00217196">
      <w:pPr>
        <w:pStyle w:val="Normal1"/>
        <w:jc w:val="both"/>
        <w:rPr>
          <w:color w:val="auto"/>
          <w:lang w:val="sr-Latn-CS"/>
        </w:rPr>
      </w:pPr>
      <w:proofErr w:type="spellStart"/>
      <w:r w:rsidRPr="00EF2AAE">
        <w:rPr>
          <w:rFonts w:eastAsia="Calibri"/>
          <w:color w:val="auto"/>
        </w:rPr>
        <w:t>Prednost</w:t>
      </w:r>
      <w:proofErr w:type="spellEnd"/>
      <w:r w:rsidRPr="00EF2AAE">
        <w:rPr>
          <w:rFonts w:eastAsia="Calibri"/>
          <w:color w:val="auto"/>
          <w:lang w:val="sr-Latn-CS"/>
        </w:rPr>
        <w:t xml:space="preserve"> ć</w:t>
      </w:r>
      <w:r w:rsidRPr="00EF2AAE">
        <w:rPr>
          <w:rFonts w:eastAsia="Calibri"/>
          <w:color w:val="auto"/>
        </w:rPr>
        <w:t>e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imati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prijave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za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aran</w:t>
      </w:r>
      <w:proofErr w:type="spellEnd"/>
      <w:r w:rsidRPr="00EF2AAE">
        <w:rPr>
          <w:rFonts w:eastAsia="Calibri"/>
          <w:color w:val="auto"/>
          <w:lang w:val="sr-Latn-CS"/>
        </w:rPr>
        <w:t>ž</w:t>
      </w:r>
      <w:r w:rsidRPr="00EF2AAE">
        <w:rPr>
          <w:rFonts w:eastAsia="Calibri"/>
          <w:color w:val="auto"/>
        </w:rPr>
        <w:t>mane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vazdu</w:t>
      </w:r>
      <w:proofErr w:type="spellEnd"/>
      <w:r w:rsidRPr="00EF2AAE">
        <w:rPr>
          <w:rFonts w:eastAsia="Calibri"/>
          <w:color w:val="auto"/>
          <w:lang w:val="sr-Latn-CS"/>
        </w:rPr>
        <w:t>š</w:t>
      </w:r>
      <w:proofErr w:type="spellStart"/>
      <w:r w:rsidRPr="00EF2AAE">
        <w:rPr>
          <w:rFonts w:eastAsia="Calibri"/>
          <w:color w:val="auto"/>
        </w:rPr>
        <w:t>nim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prevozom</w:t>
      </w:r>
      <w:proofErr w:type="spellEnd"/>
      <w:r w:rsidR="00217196"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ostvaruju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ve</w:t>
      </w:r>
      <w:proofErr w:type="spellEnd"/>
      <w:r w:rsidRPr="00EF2AAE">
        <w:rPr>
          <w:rFonts w:eastAsia="Calibri"/>
          <w:color w:val="auto"/>
          <w:lang w:val="sr-Latn-CS"/>
        </w:rPr>
        <w:t>ć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broj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putnika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u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paket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aran</w:t>
      </w:r>
      <w:proofErr w:type="spellEnd"/>
      <w:r w:rsidRPr="00EF2AAE">
        <w:rPr>
          <w:rFonts w:eastAsia="Calibri"/>
          <w:color w:val="auto"/>
          <w:lang w:val="sr-Latn-CS"/>
        </w:rPr>
        <w:t>ž</w:t>
      </w:r>
      <w:proofErr w:type="spellStart"/>
      <w:r w:rsidRPr="00EF2AAE">
        <w:rPr>
          <w:rFonts w:eastAsia="Calibri"/>
          <w:color w:val="auto"/>
        </w:rPr>
        <w:t>manima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r w:rsidRPr="00EF2AAE">
        <w:rPr>
          <w:rFonts w:eastAsia="Calibri"/>
          <w:color w:val="auto"/>
        </w:rPr>
        <w:t>za</w:t>
      </w:r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="00217196" w:rsidRPr="00EF2AAE">
        <w:rPr>
          <w:rFonts w:eastAsia="Calibri"/>
          <w:color w:val="auto"/>
          <w:lang w:val="sr-Latn-CS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  <w:lang w:val="sr-Latn-CS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  <w:lang w:val="sr-Latn-CS"/>
        </w:rPr>
      </w:pPr>
      <w:proofErr w:type="spellStart"/>
      <w:r w:rsidRPr="00EF2AAE">
        <w:rPr>
          <w:rFonts w:eastAsia="Calibri"/>
          <w:b/>
          <w:color w:val="auto"/>
        </w:rPr>
        <w:t>Marketin</w:t>
      </w:r>
      <w:proofErr w:type="spellEnd"/>
      <w:r w:rsidRPr="00EF2AAE">
        <w:rPr>
          <w:rFonts w:eastAsia="Calibri"/>
          <w:b/>
          <w:color w:val="auto"/>
          <w:lang w:val="sr-Latn-CS"/>
        </w:rPr>
        <w:t>š</w:t>
      </w:r>
      <w:proofErr w:type="spellStart"/>
      <w:r w:rsidRPr="00EF2AAE">
        <w:rPr>
          <w:rFonts w:eastAsia="Calibri"/>
          <w:b/>
          <w:color w:val="auto"/>
        </w:rPr>
        <w:t>ke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aktivnosti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r w:rsidRPr="00EF2AAE">
        <w:rPr>
          <w:rFonts w:eastAsia="Calibri"/>
          <w:b/>
          <w:color w:val="auto"/>
        </w:rPr>
        <w:t>u</w:t>
      </w:r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zakupu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prihvatljive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r w:rsidRPr="00EF2AAE">
        <w:rPr>
          <w:rFonts w:eastAsia="Calibri"/>
          <w:b/>
          <w:color w:val="auto"/>
        </w:rPr>
        <w:t>za</w:t>
      </w:r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udru</w:t>
      </w:r>
      <w:proofErr w:type="spellEnd"/>
      <w:r w:rsidRPr="00EF2AAE">
        <w:rPr>
          <w:rFonts w:eastAsia="Calibri"/>
          <w:b/>
          <w:color w:val="auto"/>
          <w:lang w:val="sr-Latn-CS"/>
        </w:rPr>
        <w:t>ž</w:t>
      </w:r>
      <w:proofErr w:type="spellStart"/>
      <w:r w:rsidRPr="00EF2AAE">
        <w:rPr>
          <w:rFonts w:eastAsia="Calibri"/>
          <w:b/>
          <w:color w:val="auto"/>
        </w:rPr>
        <w:t>eno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ogla</w:t>
      </w:r>
      <w:proofErr w:type="spellEnd"/>
      <w:r w:rsidRPr="00EF2AAE">
        <w:rPr>
          <w:rFonts w:eastAsia="Calibri"/>
          <w:b/>
          <w:color w:val="auto"/>
          <w:lang w:val="sr-Latn-CS"/>
        </w:rPr>
        <w:t>š</w:t>
      </w:r>
      <w:proofErr w:type="spellStart"/>
      <w:r w:rsidRPr="00EF2AAE">
        <w:rPr>
          <w:rFonts w:eastAsia="Calibri"/>
          <w:b/>
          <w:color w:val="auto"/>
        </w:rPr>
        <w:t>avanje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r w:rsidRPr="00EF2AAE">
        <w:rPr>
          <w:rFonts w:eastAsia="Calibri"/>
          <w:b/>
          <w:color w:val="auto"/>
        </w:rPr>
        <w:t>po</w:t>
      </w:r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ovom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modelu</w:t>
      </w:r>
      <w:proofErr w:type="spellEnd"/>
      <w:r w:rsidRPr="00EF2AAE">
        <w:rPr>
          <w:rFonts w:eastAsia="Calibri"/>
          <w:b/>
          <w:color w:val="auto"/>
          <w:lang w:val="sr-Latn-CS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su</w:t>
      </w:r>
      <w:proofErr w:type="spellEnd"/>
      <w:r w:rsidRPr="00EF2AAE">
        <w:rPr>
          <w:rFonts w:eastAsia="Calibri"/>
          <w:b/>
          <w:color w:val="auto"/>
          <w:lang w:val="sr-Latn-CS"/>
        </w:rPr>
        <w:t>: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štampanim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medijima</w:t>
      </w:r>
      <w:proofErr w:type="spellEnd"/>
      <w:r w:rsidRPr="00EF2AAE">
        <w:rPr>
          <w:rFonts w:eastAsia="Calibri"/>
          <w:color w:val="auto"/>
        </w:rPr>
        <w:t>,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televiziji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radiju</w:t>
      </w:r>
      <w:proofErr w:type="spellEnd"/>
      <w:r w:rsidRPr="00EF2AAE">
        <w:rPr>
          <w:rFonts w:eastAsia="Calibri"/>
          <w:color w:val="auto"/>
        </w:rPr>
        <w:t>,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ulično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plakati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displeji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javnim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prostorima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javnom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prevozu</w:t>
      </w:r>
      <w:proofErr w:type="spellEnd"/>
      <w:r w:rsidRPr="00EF2AAE">
        <w:rPr>
          <w:rFonts w:eastAsia="Calibri"/>
          <w:color w:val="auto"/>
        </w:rPr>
        <w:t>),</w:t>
      </w:r>
    </w:p>
    <w:p w:rsidR="00812C4A" w:rsidRPr="00EF2AAE" w:rsidRDefault="00812C4A" w:rsidP="009B1BDC">
      <w:pPr>
        <w:pStyle w:val="Normal1"/>
        <w:numPr>
          <w:ilvl w:val="1"/>
          <w:numId w:val="6"/>
        </w:numPr>
        <w:ind w:hanging="360"/>
        <w:contextualSpacing/>
        <w:jc w:val="both"/>
        <w:rPr>
          <w:color w:val="auto"/>
        </w:rPr>
      </w:pPr>
      <w:r w:rsidRPr="00EF2AAE">
        <w:rPr>
          <w:rFonts w:eastAsia="Calibri"/>
          <w:color w:val="auto"/>
        </w:rPr>
        <w:t xml:space="preserve">online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uključujući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mrežama</w:t>
      </w:r>
      <w:proofErr w:type="spellEnd"/>
      <w:r w:rsidRPr="00EF2AAE">
        <w:rPr>
          <w:rFonts w:eastAsia="Calibri"/>
          <w:color w:val="auto"/>
        </w:rPr>
        <w:t>),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r w:rsidRPr="00EF2AAE">
        <w:rPr>
          <w:rFonts w:eastAsia="Calibri"/>
          <w:b/>
          <w:color w:val="auto"/>
        </w:rPr>
        <w:t xml:space="preserve">u </w:t>
      </w:r>
      <w:proofErr w:type="spellStart"/>
      <w:r w:rsidRPr="00EF2AAE">
        <w:rPr>
          <w:rFonts w:eastAsia="Calibri"/>
          <w:b/>
          <w:color w:val="auto"/>
        </w:rPr>
        <w:t>vlastitim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prodajnim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i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promotivnim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kanalima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web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stranicama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štampana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promotivna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brošura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katalog</w:t>
      </w:r>
      <w:proofErr w:type="spellEnd"/>
      <w:r w:rsidRPr="00EF2AAE">
        <w:rPr>
          <w:rFonts w:eastAsia="Calibri"/>
          <w:color w:val="auto"/>
        </w:rPr>
        <w:t xml:space="preserve"> s </w:t>
      </w:r>
      <w:proofErr w:type="spellStart"/>
      <w:r w:rsidRPr="00EF2AAE">
        <w:rPr>
          <w:rFonts w:eastAsia="Calibri"/>
          <w:color w:val="auto"/>
        </w:rPr>
        <w:t>objavljenim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oglasom</w:t>
      </w:r>
      <w:proofErr w:type="spellEnd"/>
      <w:r w:rsidRPr="00EF2AAE">
        <w:rPr>
          <w:rFonts w:eastAsia="Calibri"/>
          <w:color w:val="auto"/>
        </w:rPr>
        <w:t xml:space="preserve"> NTOCG, TV/radio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) </w:t>
      </w:r>
      <w:proofErr w:type="spellStart"/>
      <w:r w:rsidRPr="00EF2AAE">
        <w:rPr>
          <w:rFonts w:eastAsia="Calibri"/>
          <w:color w:val="auto"/>
        </w:rPr>
        <w:t>treba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dio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plana </w:t>
      </w:r>
      <w:proofErr w:type="spellStart"/>
      <w:r w:rsidRPr="00EF2AAE">
        <w:rPr>
          <w:rFonts w:eastAsia="Calibri"/>
          <w:color w:val="auto"/>
        </w:rPr>
        <w:t>ali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troškovi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vezani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isto</w:t>
      </w:r>
      <w:proofErr w:type="spellEnd"/>
      <w:r w:rsidRPr="00EF2AAE">
        <w:rPr>
          <w:rFonts w:eastAsia="Calibri"/>
          <w:color w:val="auto"/>
        </w:rPr>
        <w:t xml:space="preserve"> ne </w:t>
      </w:r>
      <w:proofErr w:type="spellStart"/>
      <w:r w:rsidRPr="00EF2AAE">
        <w:rPr>
          <w:rFonts w:eastAsia="Calibri"/>
          <w:color w:val="auto"/>
        </w:rPr>
        <w:t>ulaze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osnovu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obračun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podrške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ind w:left="360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r w:rsidRPr="00EF2AAE">
        <w:rPr>
          <w:rFonts w:eastAsia="Calibri"/>
          <w:color w:val="auto"/>
        </w:rPr>
        <w:t xml:space="preserve">NTOCG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kanalima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partnera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treba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prisutan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kao</w:t>
      </w:r>
      <w:proofErr w:type="spellEnd"/>
      <w:r w:rsidRPr="00EF2AAE">
        <w:rPr>
          <w:rFonts w:eastAsia="Calibri"/>
          <w:color w:val="auto"/>
        </w:rPr>
        <w:t xml:space="preserve"> partner </w:t>
      </w:r>
      <w:proofErr w:type="spellStart"/>
      <w:r w:rsidRPr="00EF2AAE">
        <w:rPr>
          <w:rFonts w:eastAsia="Calibri"/>
          <w:color w:val="auto"/>
        </w:rPr>
        <w:t>dok</w:t>
      </w:r>
      <w:proofErr w:type="spellEnd"/>
      <w:r w:rsidRPr="00EF2AAE">
        <w:rPr>
          <w:rFonts w:eastAsia="Calibri"/>
          <w:color w:val="auto"/>
        </w:rPr>
        <w:t xml:space="preserve"> god </w:t>
      </w:r>
      <w:proofErr w:type="spellStart"/>
      <w:r w:rsidRPr="00EF2AAE">
        <w:rPr>
          <w:rFonts w:eastAsia="Calibri"/>
          <w:color w:val="auto"/>
        </w:rPr>
        <w:t>traje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udruženo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odnosno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vrijeme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trajanja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kandidovanog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predmetnu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destinaciju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003764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b/>
          <w:color w:val="auto"/>
        </w:rPr>
      </w:pPr>
      <w:proofErr w:type="spellStart"/>
      <w:r w:rsidRPr="00EF2AAE">
        <w:rPr>
          <w:rFonts w:eastAsia="Calibri"/>
          <w:b/>
          <w:color w:val="auto"/>
        </w:rPr>
        <w:t>Način</w:t>
      </w:r>
      <w:proofErr w:type="spellEnd"/>
      <w:r w:rsidRPr="00EF2AAE">
        <w:rPr>
          <w:rFonts w:eastAsia="Calibri"/>
          <w:b/>
          <w:color w:val="auto"/>
        </w:rPr>
        <w:t xml:space="preserve"> </w:t>
      </w:r>
      <w:proofErr w:type="spellStart"/>
      <w:r w:rsidRPr="00EF2AAE">
        <w:rPr>
          <w:rFonts w:eastAsia="Calibri"/>
          <w:b/>
          <w:color w:val="auto"/>
        </w:rPr>
        <w:t>oglašavanja</w:t>
      </w:r>
      <w:proofErr w:type="spellEnd"/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ind w:left="360"/>
        <w:jc w:val="both"/>
        <w:rPr>
          <w:rFonts w:eastAsia="Calibri"/>
          <w:color w:val="auto"/>
        </w:rPr>
      </w:pPr>
      <w:r w:rsidRPr="00EF2AAE">
        <w:rPr>
          <w:rFonts w:eastAsia="Calibri"/>
          <w:color w:val="auto"/>
        </w:rPr>
        <w:t xml:space="preserve">U </w:t>
      </w:r>
      <w:proofErr w:type="spellStart"/>
      <w:r w:rsidRPr="00EF2AAE">
        <w:rPr>
          <w:rFonts w:eastAsia="Calibri"/>
          <w:color w:val="auto"/>
        </w:rPr>
        <w:t>svim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vrstama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nosilac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mora </w:t>
      </w:r>
      <w:proofErr w:type="spellStart"/>
      <w:r w:rsidRPr="00EF2AAE">
        <w:rPr>
          <w:rFonts w:eastAsia="Calibri"/>
          <w:color w:val="auto"/>
        </w:rPr>
        <w:t>izvršiti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sljedeće</w:t>
      </w:r>
      <w:proofErr w:type="spellEnd"/>
      <w:r w:rsidRPr="00EF2AAE">
        <w:rPr>
          <w:rFonts w:eastAsia="Calibri"/>
          <w:color w:val="auto"/>
        </w:rPr>
        <w:t>: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objaviti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zajednički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najmanje</w:t>
      </w:r>
      <w:proofErr w:type="spellEnd"/>
      <w:r w:rsidRPr="00EF2AAE">
        <w:rPr>
          <w:rFonts w:eastAsia="Calibri"/>
          <w:color w:val="auto"/>
        </w:rPr>
        <w:t xml:space="preserve"> 1/3 </w:t>
      </w:r>
      <w:proofErr w:type="spellStart"/>
      <w:r w:rsidRPr="00EF2AAE">
        <w:rPr>
          <w:rFonts w:eastAsia="Calibri"/>
          <w:color w:val="auto"/>
        </w:rPr>
        <w:t>prostora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sadrži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vizuelni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materijal</w:t>
      </w:r>
      <w:proofErr w:type="spellEnd"/>
      <w:r w:rsidRPr="00EF2AAE">
        <w:rPr>
          <w:rFonts w:eastAsia="Calibri"/>
          <w:color w:val="auto"/>
        </w:rPr>
        <w:t xml:space="preserve"> NTOCG, 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internet </w:t>
      </w:r>
      <w:proofErr w:type="spellStart"/>
      <w:r w:rsidRPr="00EF2AAE">
        <w:rPr>
          <w:rFonts w:eastAsia="Calibri"/>
          <w:color w:val="auto"/>
        </w:rPr>
        <w:t>stranicama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„home </w:t>
      </w:r>
      <w:proofErr w:type="gramStart"/>
      <w:r w:rsidRPr="00EF2AAE">
        <w:rPr>
          <w:rFonts w:eastAsia="Calibri"/>
          <w:color w:val="auto"/>
        </w:rPr>
        <w:t xml:space="preserve">page“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proofErr w:type="gram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„landing page“ </w:t>
      </w:r>
      <w:proofErr w:type="spellStart"/>
      <w:r w:rsidRPr="00EF2AAE">
        <w:rPr>
          <w:rFonts w:eastAsia="Calibri"/>
          <w:color w:val="auto"/>
        </w:rPr>
        <w:t>stranici</w:t>
      </w:r>
      <w:proofErr w:type="spellEnd"/>
      <w:r w:rsidRPr="00EF2AAE">
        <w:rPr>
          <w:rFonts w:eastAsia="Calibri"/>
          <w:color w:val="auto"/>
        </w:rPr>
        <w:t xml:space="preserve"> online </w:t>
      </w:r>
      <w:proofErr w:type="spellStart"/>
      <w:r w:rsidRPr="00EF2AAE">
        <w:rPr>
          <w:rFonts w:eastAsia="Calibri"/>
          <w:color w:val="auto"/>
        </w:rPr>
        <w:t>kampanje</w:t>
      </w:r>
      <w:proofErr w:type="spellEnd"/>
      <w:r w:rsidRPr="00EF2AAE">
        <w:rPr>
          <w:rFonts w:eastAsia="Calibri"/>
          <w:color w:val="auto"/>
        </w:rPr>
        <w:t xml:space="preserve">) </w:t>
      </w:r>
      <w:proofErr w:type="spellStart"/>
      <w:r w:rsidRPr="00EF2AAE">
        <w:rPr>
          <w:rFonts w:eastAsia="Calibri"/>
          <w:color w:val="auto"/>
        </w:rPr>
        <w:t>postaviti</w:t>
      </w:r>
      <w:proofErr w:type="spellEnd"/>
      <w:r w:rsidRPr="00EF2AAE">
        <w:rPr>
          <w:rFonts w:eastAsia="Calibri"/>
          <w:color w:val="auto"/>
        </w:rPr>
        <w:t xml:space="preserve"> online </w:t>
      </w:r>
      <w:proofErr w:type="spellStart"/>
      <w:r w:rsidRPr="00EF2AAE">
        <w:rPr>
          <w:rFonts w:eastAsia="Calibri"/>
          <w:color w:val="auto"/>
        </w:rPr>
        <w:t>oglase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kojima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oglašava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turizam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najmanje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formatu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lastRenderedPageBreak/>
        <w:t>od</w:t>
      </w:r>
      <w:proofErr w:type="spellEnd"/>
      <w:r w:rsidRPr="00EF2AAE">
        <w:rPr>
          <w:rFonts w:eastAsia="Calibri"/>
          <w:color w:val="auto"/>
        </w:rPr>
        <w:t xml:space="preserve"> 300x250, </w:t>
      </w:r>
      <w:proofErr w:type="spellStart"/>
      <w:r w:rsidRPr="00EF2AAE">
        <w:rPr>
          <w:rFonts w:eastAsia="Calibri"/>
          <w:color w:val="auto"/>
        </w:rPr>
        <w:t>težine</w:t>
      </w:r>
      <w:proofErr w:type="spellEnd"/>
      <w:r w:rsidRPr="00EF2AAE">
        <w:rPr>
          <w:rFonts w:eastAsia="Calibri"/>
          <w:color w:val="auto"/>
        </w:rPr>
        <w:t xml:space="preserve"> 40 KB, a u </w:t>
      </w:r>
      <w:proofErr w:type="spellStart"/>
      <w:r w:rsidRPr="00EF2AAE">
        <w:rPr>
          <w:rFonts w:eastAsia="Calibri"/>
          <w:color w:val="auto"/>
        </w:rPr>
        <w:t>vlastitim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katalozima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najmanje</w:t>
      </w:r>
      <w:proofErr w:type="spellEnd"/>
      <w:r w:rsidRPr="00EF2AAE">
        <w:rPr>
          <w:rFonts w:eastAsia="Calibri"/>
          <w:color w:val="auto"/>
        </w:rPr>
        <w:t xml:space="preserve"> 1 </w:t>
      </w:r>
      <w:proofErr w:type="spellStart"/>
      <w:r w:rsidRPr="00EF2AAE">
        <w:rPr>
          <w:rFonts w:eastAsia="Calibri"/>
          <w:color w:val="auto"/>
        </w:rPr>
        <w:t>stranicu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vizuelni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materijal</w:t>
      </w:r>
      <w:proofErr w:type="spellEnd"/>
      <w:r w:rsidRPr="00EF2AAE">
        <w:rPr>
          <w:rFonts w:eastAsia="Calibri"/>
          <w:color w:val="auto"/>
        </w:rPr>
        <w:t xml:space="preserve"> NTOCG,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r w:rsidRPr="00EF2AAE">
        <w:rPr>
          <w:rFonts w:eastAsia="Calibri"/>
          <w:color w:val="auto"/>
        </w:rPr>
        <w:t xml:space="preserve">u </w:t>
      </w:r>
      <w:proofErr w:type="spellStart"/>
      <w:r w:rsidRPr="00EF2AAE">
        <w:rPr>
          <w:rFonts w:eastAsia="Calibri"/>
          <w:color w:val="auto"/>
        </w:rPr>
        <w:t>slučaju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mrežama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istaknuti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link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odgovarajući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kanal</w:t>
      </w:r>
      <w:proofErr w:type="spellEnd"/>
      <w:r w:rsidRPr="00EF2AAE">
        <w:rPr>
          <w:rFonts w:eastAsia="Calibri"/>
          <w:color w:val="auto"/>
        </w:rPr>
        <w:t xml:space="preserve"> NTOCG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istoj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društvenoj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mreži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ili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alternativni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shodno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dogovoru</w:t>
      </w:r>
      <w:proofErr w:type="spellEnd"/>
      <w:r w:rsidRPr="00EF2AAE">
        <w:rPr>
          <w:rFonts w:eastAsia="Calibri"/>
          <w:color w:val="auto"/>
        </w:rPr>
        <w:t xml:space="preserve"> s NTOCG,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kod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radijskog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oglas</w:t>
      </w:r>
      <w:proofErr w:type="spellEnd"/>
      <w:r w:rsidRPr="00EF2AAE">
        <w:rPr>
          <w:rFonts w:eastAsia="Calibri"/>
          <w:color w:val="auto"/>
        </w:rPr>
        <w:t xml:space="preserve"> mora </w:t>
      </w:r>
      <w:proofErr w:type="spellStart"/>
      <w:r w:rsidRPr="00EF2AAE">
        <w:rPr>
          <w:rFonts w:eastAsia="Calibri"/>
          <w:color w:val="auto"/>
        </w:rPr>
        <w:t>završavati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sloganom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odredi</w:t>
      </w:r>
      <w:proofErr w:type="spellEnd"/>
      <w:r w:rsidRPr="00EF2AAE">
        <w:rPr>
          <w:rFonts w:eastAsia="Calibri"/>
          <w:color w:val="auto"/>
        </w:rPr>
        <w:t xml:space="preserve"> NTOCG za </w:t>
      </w:r>
      <w:proofErr w:type="spellStart"/>
      <w:r w:rsidRPr="00EF2AAE">
        <w:rPr>
          <w:rFonts w:eastAsia="Calibri"/>
          <w:color w:val="auto"/>
        </w:rPr>
        <w:t>oglašavanje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crnogorskog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turizma</w:t>
      </w:r>
      <w:proofErr w:type="spellEnd"/>
      <w:r w:rsidRPr="00EF2AAE">
        <w:rPr>
          <w:rFonts w:eastAsia="Calibri"/>
          <w:color w:val="auto"/>
        </w:rPr>
        <w:t>,</w:t>
      </w:r>
    </w:p>
    <w:p w:rsidR="00812C4A" w:rsidRPr="00EF2AAE" w:rsidRDefault="00812C4A" w:rsidP="009B1BDC">
      <w:pPr>
        <w:pStyle w:val="Normal1"/>
        <w:numPr>
          <w:ilvl w:val="0"/>
          <w:numId w:val="4"/>
        </w:numPr>
        <w:ind w:hanging="360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kod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video</w:t>
      </w:r>
      <w:proofErr w:type="spellEnd"/>
      <w:r w:rsidRPr="00EF2AAE">
        <w:rPr>
          <w:rFonts w:eastAsia="Calibri"/>
          <w:color w:val="auto"/>
          <w:lang w:val="de-DE"/>
        </w:rPr>
        <w:t xml:space="preserve">/TV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proofErr w:type="gramStart"/>
      <w:r w:rsidRPr="00EF2AAE">
        <w:rPr>
          <w:rFonts w:eastAsia="Calibri"/>
          <w:color w:val="auto"/>
          <w:lang w:val="de-DE"/>
        </w:rPr>
        <w:t>koristiti</w:t>
      </w:r>
      <w:proofErr w:type="spellEnd"/>
      <w:r w:rsidRPr="00EF2AAE">
        <w:rPr>
          <w:rFonts w:eastAsia="Calibri"/>
          <w:color w:val="auto"/>
          <w:lang w:val="de-DE"/>
        </w:rPr>
        <w:t xml:space="preserve">  </w:t>
      </w:r>
      <w:proofErr w:type="spellStart"/>
      <w:r w:rsidRPr="00EF2AAE">
        <w:rPr>
          <w:rFonts w:eastAsia="Calibri"/>
          <w:color w:val="auto"/>
          <w:lang w:val="de-DE"/>
        </w:rPr>
        <w:t>materijal</w:t>
      </w:r>
      <w:proofErr w:type="spellEnd"/>
      <w:proofErr w:type="gram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koji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odobri</w:t>
      </w:r>
      <w:proofErr w:type="spellEnd"/>
      <w:r w:rsidRPr="00EF2AAE">
        <w:rPr>
          <w:rFonts w:eastAsia="Calibri"/>
          <w:color w:val="auto"/>
          <w:lang w:val="de-DE"/>
        </w:rPr>
        <w:t xml:space="preserve"> NTOCG.</w:t>
      </w:r>
    </w:p>
    <w:p w:rsidR="00812C4A" w:rsidRPr="00EF2AAE" w:rsidRDefault="00812C4A" w:rsidP="00812C4A">
      <w:pPr>
        <w:pStyle w:val="Normal1"/>
        <w:ind w:left="1080"/>
        <w:jc w:val="both"/>
        <w:rPr>
          <w:rFonts w:eastAsia="Calibri"/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8"/>
        </w:numPr>
        <w:ind w:hanging="360"/>
        <w:contextualSpacing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Svi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učesnici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udruženog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dužni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su</w:t>
      </w:r>
      <w:proofErr w:type="spellEnd"/>
      <w:r w:rsidRPr="00EF2AAE">
        <w:rPr>
          <w:rFonts w:eastAsia="Calibri"/>
          <w:color w:val="auto"/>
          <w:lang w:val="de-DE"/>
        </w:rPr>
        <w:t xml:space="preserve"> na </w:t>
      </w:r>
      <w:proofErr w:type="spellStart"/>
      <w:r w:rsidRPr="00EF2AAE">
        <w:rPr>
          <w:rFonts w:eastAsia="Calibri"/>
          <w:color w:val="auto"/>
          <w:lang w:val="de-DE"/>
        </w:rPr>
        <w:t>vlastitim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internet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stranicama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postaviti</w:t>
      </w:r>
      <w:proofErr w:type="spellEnd"/>
      <w:r w:rsidRPr="00EF2AAE">
        <w:rPr>
          <w:rFonts w:eastAsia="Calibri"/>
          <w:color w:val="auto"/>
          <w:lang w:val="de-DE"/>
        </w:rPr>
        <w:t xml:space="preserve"> online </w:t>
      </w:r>
      <w:proofErr w:type="spellStart"/>
      <w:r w:rsidRPr="00EF2AAE">
        <w:rPr>
          <w:rFonts w:eastAsia="Calibri"/>
          <w:color w:val="auto"/>
          <w:lang w:val="de-DE"/>
        </w:rPr>
        <w:t>oglase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kojima</w:t>
      </w:r>
      <w:proofErr w:type="spellEnd"/>
      <w:r w:rsidRPr="00EF2AAE">
        <w:rPr>
          <w:rFonts w:eastAsia="Calibri"/>
          <w:color w:val="auto"/>
          <w:lang w:val="de-DE"/>
        </w:rPr>
        <w:t xml:space="preserve"> se </w:t>
      </w:r>
      <w:proofErr w:type="spellStart"/>
      <w:r w:rsidRPr="00EF2AAE">
        <w:rPr>
          <w:rFonts w:eastAsia="Calibri"/>
          <w:color w:val="auto"/>
          <w:lang w:val="de-DE"/>
        </w:rPr>
        <w:t>oglašava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crnogorski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turizam</w:t>
      </w:r>
      <w:proofErr w:type="spellEnd"/>
      <w:r w:rsidRPr="00EF2AAE">
        <w:rPr>
          <w:rFonts w:eastAsia="Calibri"/>
          <w:color w:val="auto"/>
          <w:lang w:val="de-DE"/>
        </w:rPr>
        <w:t xml:space="preserve">, </w:t>
      </w:r>
      <w:proofErr w:type="spellStart"/>
      <w:r w:rsidRPr="00EF2AAE">
        <w:rPr>
          <w:rFonts w:eastAsia="Calibri"/>
          <w:color w:val="auto"/>
          <w:lang w:val="de-DE"/>
        </w:rPr>
        <w:t>odnosno</w:t>
      </w:r>
      <w:proofErr w:type="spellEnd"/>
      <w:r w:rsidRPr="00EF2AAE">
        <w:rPr>
          <w:rFonts w:eastAsia="Calibri"/>
          <w:color w:val="auto"/>
          <w:lang w:val="de-DE"/>
        </w:rPr>
        <w:t xml:space="preserve"> NTOCG, </w:t>
      </w:r>
      <w:proofErr w:type="spellStart"/>
      <w:r w:rsidRPr="00EF2AAE">
        <w:rPr>
          <w:rFonts w:eastAsia="Calibri"/>
          <w:color w:val="auto"/>
          <w:lang w:val="de-DE"/>
        </w:rPr>
        <w:t>najmanje</w:t>
      </w:r>
      <w:proofErr w:type="spellEnd"/>
      <w:r w:rsidRPr="00EF2AAE">
        <w:rPr>
          <w:rFonts w:eastAsia="Calibri"/>
          <w:color w:val="auto"/>
          <w:lang w:val="de-DE"/>
        </w:rPr>
        <w:t xml:space="preserve"> u </w:t>
      </w:r>
      <w:proofErr w:type="spellStart"/>
      <w:r w:rsidRPr="00EF2AAE">
        <w:rPr>
          <w:rFonts w:eastAsia="Calibri"/>
          <w:color w:val="auto"/>
          <w:lang w:val="de-DE"/>
        </w:rPr>
        <w:t>formatu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od</w:t>
      </w:r>
      <w:proofErr w:type="spellEnd"/>
      <w:r w:rsidRPr="00EF2AAE">
        <w:rPr>
          <w:rFonts w:eastAsia="Calibri"/>
          <w:color w:val="auto"/>
          <w:lang w:val="de-DE"/>
        </w:rPr>
        <w:t xml:space="preserve"> 300x250, </w:t>
      </w:r>
      <w:proofErr w:type="spellStart"/>
      <w:r w:rsidRPr="00EF2AAE">
        <w:rPr>
          <w:rFonts w:eastAsia="Calibri"/>
          <w:color w:val="auto"/>
          <w:lang w:val="de-DE"/>
        </w:rPr>
        <w:t>težine</w:t>
      </w:r>
      <w:proofErr w:type="spellEnd"/>
      <w:r w:rsidRPr="00EF2AAE">
        <w:rPr>
          <w:rFonts w:eastAsia="Calibri"/>
          <w:color w:val="auto"/>
          <w:lang w:val="de-DE"/>
        </w:rPr>
        <w:t xml:space="preserve"> 40 KB (</w:t>
      </w:r>
      <w:proofErr w:type="spellStart"/>
      <w:r w:rsidRPr="00EF2AAE">
        <w:rPr>
          <w:rFonts w:eastAsia="Calibri"/>
          <w:color w:val="auto"/>
          <w:lang w:val="de-DE"/>
        </w:rPr>
        <w:t>banner</w:t>
      </w:r>
      <w:proofErr w:type="spellEnd"/>
      <w:r w:rsidRPr="00EF2AAE">
        <w:rPr>
          <w:rFonts w:eastAsia="Calibri"/>
          <w:color w:val="auto"/>
          <w:lang w:val="de-DE"/>
        </w:rPr>
        <w:t xml:space="preserve"> NTOCG </w:t>
      </w:r>
      <w:proofErr w:type="spellStart"/>
      <w:r w:rsidRPr="00EF2AAE">
        <w:rPr>
          <w:rFonts w:eastAsia="Calibri"/>
          <w:color w:val="auto"/>
          <w:lang w:val="de-DE"/>
        </w:rPr>
        <w:t>povezan</w:t>
      </w:r>
      <w:proofErr w:type="spellEnd"/>
      <w:r w:rsidRPr="00EF2AAE">
        <w:rPr>
          <w:rFonts w:eastAsia="Calibri"/>
          <w:color w:val="auto"/>
          <w:lang w:val="de-DE"/>
        </w:rPr>
        <w:t xml:space="preserve"> s web </w:t>
      </w:r>
      <w:proofErr w:type="spellStart"/>
      <w:r w:rsidRPr="00EF2AAE">
        <w:rPr>
          <w:rFonts w:eastAsia="Calibri"/>
          <w:color w:val="auto"/>
          <w:lang w:val="de-DE"/>
        </w:rPr>
        <w:t>stranicom</w:t>
      </w:r>
      <w:proofErr w:type="spellEnd"/>
      <w:r w:rsidRPr="00EF2AAE">
        <w:rPr>
          <w:rFonts w:eastAsia="Calibri"/>
          <w:color w:val="auto"/>
          <w:lang w:val="de-DE"/>
        </w:rPr>
        <w:t xml:space="preserve"> NTOCG). </w:t>
      </w:r>
    </w:p>
    <w:p w:rsidR="00812C4A" w:rsidRPr="00EF2AAE" w:rsidRDefault="00812C4A" w:rsidP="009B1BDC">
      <w:pPr>
        <w:pStyle w:val="Normal1"/>
        <w:numPr>
          <w:ilvl w:val="0"/>
          <w:numId w:val="8"/>
        </w:numPr>
        <w:ind w:hanging="360"/>
        <w:contextualSpacing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Nosilac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dužan</w:t>
      </w:r>
      <w:proofErr w:type="spellEnd"/>
      <w:r w:rsidRPr="00EF2AAE">
        <w:rPr>
          <w:rFonts w:eastAsia="Calibri"/>
          <w:color w:val="auto"/>
          <w:lang w:val="de-DE"/>
        </w:rPr>
        <w:t xml:space="preserve"> je u </w:t>
      </w:r>
      <w:proofErr w:type="spellStart"/>
      <w:r w:rsidRPr="00EF2AAE">
        <w:rPr>
          <w:rFonts w:eastAsia="Calibri"/>
          <w:color w:val="auto"/>
          <w:lang w:val="de-DE"/>
        </w:rPr>
        <w:t>svim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vrstama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objaviti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oglas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iz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kojeg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će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biti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jasno</w:t>
      </w:r>
      <w:proofErr w:type="spellEnd"/>
      <w:r w:rsidRPr="00EF2AAE">
        <w:rPr>
          <w:rFonts w:eastAsia="Calibri"/>
          <w:color w:val="auto"/>
          <w:lang w:val="de-DE"/>
        </w:rPr>
        <w:t xml:space="preserve"> da </w:t>
      </w:r>
      <w:proofErr w:type="spellStart"/>
      <w:r w:rsidRPr="00EF2AAE">
        <w:rPr>
          <w:rFonts w:eastAsia="Calibri"/>
          <w:color w:val="auto"/>
          <w:lang w:val="de-DE"/>
        </w:rPr>
        <w:t>se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radi</w:t>
      </w:r>
      <w:proofErr w:type="spellEnd"/>
      <w:r w:rsidRPr="00EF2AAE">
        <w:rPr>
          <w:rFonts w:eastAsia="Calibri"/>
          <w:color w:val="auto"/>
          <w:lang w:val="de-DE"/>
        </w:rPr>
        <w:t xml:space="preserve"> o </w:t>
      </w:r>
      <w:proofErr w:type="spellStart"/>
      <w:r w:rsidRPr="00EF2AAE">
        <w:rPr>
          <w:rFonts w:eastAsia="Calibri"/>
          <w:color w:val="auto"/>
          <w:lang w:val="de-DE"/>
        </w:rPr>
        <w:t>udruženom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oglašavanju</w:t>
      </w:r>
      <w:proofErr w:type="spellEnd"/>
      <w:r w:rsidRPr="00EF2AAE">
        <w:rPr>
          <w:rFonts w:eastAsia="Calibri"/>
          <w:color w:val="auto"/>
          <w:lang w:val="de-DE"/>
        </w:rPr>
        <w:t xml:space="preserve"> NTOCG i </w:t>
      </w:r>
      <w:proofErr w:type="spellStart"/>
      <w:r w:rsidRPr="00EF2AAE">
        <w:rPr>
          <w:rFonts w:eastAsia="Calibri"/>
          <w:color w:val="auto"/>
          <w:lang w:val="de-DE"/>
        </w:rPr>
        <w:t>partnera</w:t>
      </w:r>
      <w:proofErr w:type="spellEnd"/>
      <w:r w:rsidRPr="00EF2AAE">
        <w:rPr>
          <w:rFonts w:eastAsia="Calibri"/>
          <w:color w:val="auto"/>
          <w:lang w:val="de-DE"/>
        </w:rPr>
        <w:t>.</w:t>
      </w:r>
    </w:p>
    <w:p w:rsidR="00812C4A" w:rsidRPr="00062288" w:rsidRDefault="00812C4A" w:rsidP="00812C4A">
      <w:pPr>
        <w:pStyle w:val="Normal1"/>
        <w:numPr>
          <w:ilvl w:val="0"/>
          <w:numId w:val="8"/>
        </w:numPr>
        <w:ind w:hanging="360"/>
        <w:contextualSpacing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Nosilac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dužan</w:t>
      </w:r>
      <w:proofErr w:type="spellEnd"/>
      <w:r w:rsidRPr="00EF2AAE">
        <w:rPr>
          <w:rFonts w:eastAsia="Calibri"/>
          <w:color w:val="auto"/>
          <w:lang w:val="de-DE"/>
        </w:rPr>
        <w:t xml:space="preserve"> je </w:t>
      </w:r>
      <w:proofErr w:type="spellStart"/>
      <w:r w:rsidRPr="00EF2AAE">
        <w:rPr>
          <w:rFonts w:eastAsia="Calibri"/>
          <w:color w:val="auto"/>
          <w:lang w:val="de-DE"/>
        </w:rPr>
        <w:t>prije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pokretanja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 NTOCG </w:t>
      </w:r>
      <w:proofErr w:type="spellStart"/>
      <w:r w:rsidRPr="00EF2AAE">
        <w:rPr>
          <w:rFonts w:eastAsia="Calibri"/>
          <w:color w:val="auto"/>
          <w:lang w:val="de-DE"/>
        </w:rPr>
        <w:t>dostaviti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predlog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oglasa</w:t>
      </w:r>
      <w:proofErr w:type="spellEnd"/>
      <w:r w:rsidRPr="00EF2AAE">
        <w:rPr>
          <w:rFonts w:eastAsia="Calibri"/>
          <w:color w:val="auto"/>
          <w:lang w:val="de-DE"/>
        </w:rPr>
        <w:t xml:space="preserve"> na </w:t>
      </w:r>
      <w:proofErr w:type="spellStart"/>
      <w:r w:rsidRPr="00EF2AAE">
        <w:rPr>
          <w:rFonts w:eastAsia="Calibri"/>
          <w:color w:val="auto"/>
          <w:lang w:val="de-DE"/>
        </w:rPr>
        <w:t>autorizaciju</w:t>
      </w:r>
      <w:proofErr w:type="spellEnd"/>
      <w:r w:rsidRPr="00EF2AAE">
        <w:rPr>
          <w:rFonts w:eastAsia="Calibri"/>
          <w:color w:val="auto"/>
          <w:lang w:val="de-DE"/>
        </w:rPr>
        <w:t xml:space="preserve"> (</w:t>
      </w:r>
      <w:proofErr w:type="spellStart"/>
      <w:r w:rsidRPr="00EF2AAE">
        <w:rPr>
          <w:rFonts w:eastAsia="Calibri"/>
          <w:color w:val="auto"/>
          <w:lang w:val="de-DE"/>
        </w:rPr>
        <w:t>navesti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model</w:t>
      </w:r>
      <w:proofErr w:type="spellEnd"/>
      <w:r w:rsidRPr="00EF2AAE">
        <w:rPr>
          <w:rFonts w:eastAsia="Calibri"/>
          <w:color w:val="auto"/>
          <w:lang w:val="de-DE"/>
        </w:rPr>
        <w:t>/</w:t>
      </w:r>
      <w:proofErr w:type="spellStart"/>
      <w:r w:rsidRPr="00EF2AAE">
        <w:rPr>
          <w:rFonts w:eastAsia="Calibri"/>
          <w:color w:val="auto"/>
          <w:lang w:val="de-DE"/>
        </w:rPr>
        <w:t>ugovor</w:t>
      </w:r>
      <w:proofErr w:type="spellEnd"/>
      <w:r w:rsidRPr="00EF2AAE">
        <w:rPr>
          <w:rFonts w:eastAsia="Calibri"/>
          <w:color w:val="auto"/>
          <w:lang w:val="de-DE"/>
        </w:rPr>
        <w:t xml:space="preserve"> i </w:t>
      </w:r>
      <w:proofErr w:type="spellStart"/>
      <w:r w:rsidRPr="00EF2AAE">
        <w:rPr>
          <w:rFonts w:eastAsia="Calibri"/>
          <w:color w:val="auto"/>
          <w:lang w:val="de-DE"/>
        </w:rPr>
        <w:t>nosioca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oglašavanja</w:t>
      </w:r>
      <w:proofErr w:type="spellEnd"/>
      <w:r w:rsidRPr="00EF2AAE">
        <w:rPr>
          <w:rFonts w:eastAsia="Calibri"/>
          <w:color w:val="auto"/>
          <w:lang w:val="de-DE"/>
        </w:rPr>
        <w:t xml:space="preserve">), i </w:t>
      </w:r>
      <w:proofErr w:type="spellStart"/>
      <w:r w:rsidRPr="00EF2AAE">
        <w:rPr>
          <w:rFonts w:eastAsia="Calibri"/>
          <w:color w:val="auto"/>
          <w:lang w:val="de-DE"/>
        </w:rPr>
        <w:t>odgovoran</w:t>
      </w:r>
      <w:proofErr w:type="spellEnd"/>
      <w:r w:rsidRPr="00EF2AAE">
        <w:rPr>
          <w:rFonts w:eastAsia="Calibri"/>
          <w:color w:val="auto"/>
          <w:lang w:val="de-DE"/>
        </w:rPr>
        <w:t xml:space="preserve"> je </w:t>
      </w:r>
      <w:proofErr w:type="spellStart"/>
      <w:r w:rsidRPr="00EF2AAE">
        <w:rPr>
          <w:rFonts w:eastAsia="Calibri"/>
          <w:color w:val="auto"/>
          <w:lang w:val="de-DE"/>
        </w:rPr>
        <w:t>za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poštovanje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autorskih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prava</w:t>
      </w:r>
      <w:proofErr w:type="spellEnd"/>
      <w:r w:rsidRPr="00EF2AAE">
        <w:rPr>
          <w:rFonts w:eastAsia="Calibri"/>
          <w:color w:val="auto"/>
          <w:lang w:val="de-DE"/>
        </w:rPr>
        <w:t xml:space="preserve"> u </w:t>
      </w:r>
      <w:proofErr w:type="spellStart"/>
      <w:r w:rsidRPr="00EF2AAE">
        <w:rPr>
          <w:rFonts w:eastAsia="Calibri"/>
          <w:color w:val="auto"/>
          <w:lang w:val="de-DE"/>
        </w:rPr>
        <w:t>korišćenju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materijala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za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>.</w:t>
      </w:r>
    </w:p>
    <w:p w:rsidR="00812C4A" w:rsidRDefault="00812C4A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D86E22" w:rsidRDefault="00D86E22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D86E22" w:rsidRPr="00EF2AAE" w:rsidRDefault="00D86E22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9"/>
        </w:numPr>
        <w:ind w:left="284"/>
        <w:contextualSpacing/>
        <w:jc w:val="both"/>
        <w:rPr>
          <w:b/>
          <w:color w:val="auto"/>
          <w:lang w:val="de-DE"/>
        </w:rPr>
      </w:pPr>
      <w:proofErr w:type="spellStart"/>
      <w:r w:rsidRPr="00EF2AAE">
        <w:rPr>
          <w:b/>
          <w:color w:val="auto"/>
          <w:lang w:val="de-DE"/>
        </w:rPr>
        <w:t>Sredstva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koja</w:t>
      </w:r>
      <w:proofErr w:type="spellEnd"/>
      <w:r w:rsidRPr="00EF2AAE">
        <w:rPr>
          <w:b/>
          <w:color w:val="auto"/>
          <w:lang w:val="de-DE"/>
        </w:rPr>
        <w:t xml:space="preserve"> ne </w:t>
      </w:r>
      <w:proofErr w:type="spellStart"/>
      <w:r w:rsidRPr="00EF2AAE">
        <w:rPr>
          <w:b/>
          <w:color w:val="auto"/>
          <w:lang w:val="de-DE"/>
        </w:rPr>
        <w:t>ulaze</w:t>
      </w:r>
      <w:proofErr w:type="spellEnd"/>
      <w:r w:rsidRPr="00EF2AAE">
        <w:rPr>
          <w:b/>
          <w:color w:val="auto"/>
          <w:lang w:val="de-DE"/>
        </w:rPr>
        <w:t xml:space="preserve"> u </w:t>
      </w:r>
      <w:proofErr w:type="spellStart"/>
      <w:r w:rsidRPr="00EF2AAE">
        <w:rPr>
          <w:b/>
          <w:color w:val="auto"/>
          <w:lang w:val="de-DE"/>
        </w:rPr>
        <w:t>obračun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za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podršku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od</w:t>
      </w:r>
      <w:proofErr w:type="spellEnd"/>
      <w:r w:rsidRPr="00EF2AAE">
        <w:rPr>
          <w:b/>
          <w:color w:val="auto"/>
          <w:lang w:val="de-DE"/>
        </w:rPr>
        <w:t xml:space="preserve"> </w:t>
      </w:r>
      <w:proofErr w:type="spellStart"/>
      <w:r w:rsidRPr="00EF2AAE">
        <w:rPr>
          <w:b/>
          <w:color w:val="auto"/>
          <w:lang w:val="de-DE"/>
        </w:rPr>
        <w:t>strane</w:t>
      </w:r>
      <w:proofErr w:type="spellEnd"/>
      <w:r w:rsidRPr="00EF2AAE">
        <w:rPr>
          <w:b/>
          <w:color w:val="auto"/>
          <w:lang w:val="de-DE"/>
        </w:rPr>
        <w:t xml:space="preserve"> NTOCG:</w:t>
      </w:r>
    </w:p>
    <w:p w:rsidR="00812C4A" w:rsidRPr="00EF2AAE" w:rsidRDefault="00812C4A" w:rsidP="00812C4A">
      <w:pPr>
        <w:pStyle w:val="Normal1"/>
        <w:contextualSpacing/>
        <w:jc w:val="both"/>
        <w:rPr>
          <w:rFonts w:eastAsia="Calibri"/>
          <w:color w:val="auto"/>
          <w:lang w:val="de-DE"/>
        </w:rPr>
      </w:pPr>
    </w:p>
    <w:p w:rsidR="00812C4A" w:rsidRPr="00EF2AAE" w:rsidRDefault="00812C4A" w:rsidP="00812C4A">
      <w:pPr>
        <w:pStyle w:val="Normal1"/>
        <w:ind w:right="347"/>
        <w:jc w:val="both"/>
        <w:rPr>
          <w:color w:val="auto"/>
          <w:lang w:val="de-DE"/>
        </w:rPr>
      </w:pPr>
      <w:proofErr w:type="spellStart"/>
      <w:r w:rsidRPr="00EF2AAE">
        <w:rPr>
          <w:color w:val="auto"/>
          <w:lang w:val="de-DE"/>
        </w:rPr>
        <w:t>Korisnik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podrške</w:t>
      </w:r>
      <w:proofErr w:type="spellEnd"/>
      <w:r w:rsidRPr="00EF2AAE">
        <w:rPr>
          <w:color w:val="auto"/>
          <w:lang w:val="de-DE"/>
        </w:rPr>
        <w:t xml:space="preserve"> ne </w:t>
      </w:r>
      <w:proofErr w:type="spellStart"/>
      <w:r w:rsidRPr="00EF2AAE">
        <w:rPr>
          <w:color w:val="auto"/>
          <w:lang w:val="de-DE"/>
        </w:rPr>
        <w:t>može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kao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svoje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učešće</w:t>
      </w:r>
      <w:proofErr w:type="spellEnd"/>
      <w:r w:rsidRPr="00EF2AAE">
        <w:rPr>
          <w:color w:val="auto"/>
          <w:lang w:val="de-DE"/>
        </w:rPr>
        <w:t xml:space="preserve"> u </w:t>
      </w:r>
      <w:proofErr w:type="spellStart"/>
      <w:r w:rsidRPr="00EF2AAE">
        <w:rPr>
          <w:color w:val="auto"/>
          <w:lang w:val="de-DE"/>
        </w:rPr>
        <w:t>finansiranju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projekta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prikazati</w:t>
      </w:r>
      <w:proofErr w:type="spellEnd"/>
      <w:r w:rsidRPr="00EF2AAE">
        <w:rPr>
          <w:color w:val="auto"/>
          <w:lang w:val="de-DE"/>
        </w:rPr>
        <w:t>:</w:t>
      </w:r>
    </w:p>
    <w:p w:rsidR="00812C4A" w:rsidRPr="00EF2AAE" w:rsidRDefault="00812C4A" w:rsidP="00812C4A">
      <w:pPr>
        <w:pStyle w:val="Normal1"/>
        <w:ind w:right="347"/>
        <w:jc w:val="both"/>
        <w:rPr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12"/>
        </w:numPr>
        <w:ind w:right="347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 xml:space="preserve"> u </w:t>
      </w:r>
      <w:proofErr w:type="spellStart"/>
      <w:r w:rsidRPr="00EF2AAE">
        <w:rPr>
          <w:rFonts w:eastAsia="Calibri"/>
          <w:color w:val="auto"/>
          <w:lang w:val="de-DE"/>
        </w:rPr>
        <w:t>vlastitim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prodajnim</w:t>
      </w:r>
      <w:proofErr w:type="spellEnd"/>
      <w:r w:rsidRPr="00EF2AAE">
        <w:rPr>
          <w:rFonts w:eastAsia="Calibri"/>
          <w:color w:val="auto"/>
          <w:lang w:val="de-DE"/>
        </w:rPr>
        <w:t xml:space="preserve"> i </w:t>
      </w:r>
      <w:proofErr w:type="spellStart"/>
      <w:r w:rsidRPr="00EF2AAE">
        <w:rPr>
          <w:rFonts w:eastAsia="Calibri"/>
          <w:color w:val="auto"/>
          <w:lang w:val="de-DE"/>
        </w:rPr>
        <w:t>promotivnim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kanalima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12"/>
        </w:numPr>
        <w:ind w:right="347"/>
        <w:jc w:val="both"/>
        <w:rPr>
          <w:color w:val="auto"/>
        </w:rPr>
      </w:pPr>
      <w:proofErr w:type="spellStart"/>
      <w:r w:rsidRPr="00EF2AAE">
        <w:rPr>
          <w:color w:val="auto"/>
        </w:rPr>
        <w:t>ranije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investirana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sredstva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kao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ni</w:t>
      </w:r>
      <w:proofErr w:type="spellEnd"/>
      <w:r w:rsidRPr="00EF2AAE">
        <w:rPr>
          <w:color w:val="auto"/>
        </w:rPr>
        <w:t xml:space="preserve"> </w:t>
      </w:r>
    </w:p>
    <w:p w:rsidR="00812C4A" w:rsidRPr="00EF2AAE" w:rsidRDefault="00812C4A" w:rsidP="009B1BDC">
      <w:pPr>
        <w:pStyle w:val="Normal1"/>
        <w:numPr>
          <w:ilvl w:val="0"/>
          <w:numId w:val="12"/>
        </w:numPr>
        <w:ind w:right="-7"/>
        <w:jc w:val="both"/>
        <w:rPr>
          <w:rFonts w:eastAsia="Calibri"/>
          <w:color w:val="auto"/>
        </w:rPr>
      </w:pPr>
      <w:proofErr w:type="spellStart"/>
      <w:r w:rsidRPr="00EF2AAE">
        <w:rPr>
          <w:color w:val="auto"/>
        </w:rPr>
        <w:t>sredstva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planira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investirati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nekom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narednom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periodu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nakon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realizacije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aktivnosti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podržanog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projekta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812C4A">
      <w:pPr>
        <w:pStyle w:val="ListParagraph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C4A" w:rsidRPr="00EF2AAE" w:rsidRDefault="00812C4A" w:rsidP="009B1BDC">
      <w:pPr>
        <w:pStyle w:val="ListParagraph"/>
        <w:numPr>
          <w:ilvl w:val="0"/>
          <w:numId w:val="9"/>
        </w:numPr>
        <w:ind w:left="284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Potrebna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dokumentacija</w:t>
      </w:r>
      <w:proofErr w:type="spellEnd"/>
    </w:p>
    <w:p w:rsidR="00812C4A" w:rsidRPr="00EF2AAE" w:rsidRDefault="00812C4A" w:rsidP="00812C4A">
      <w:pPr>
        <w:pStyle w:val="ListParagraph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12C4A" w:rsidRPr="00B25362" w:rsidRDefault="00812C4A" w:rsidP="00812C4A">
      <w:pPr>
        <w:pStyle w:val="Normal1"/>
        <w:ind w:right="347"/>
        <w:jc w:val="both"/>
        <w:rPr>
          <w:color w:val="auto"/>
          <w:lang w:val="de-DE"/>
        </w:rPr>
      </w:pPr>
      <w:proofErr w:type="spellStart"/>
      <w:r w:rsidRPr="00B25362">
        <w:rPr>
          <w:color w:val="auto"/>
          <w:lang w:val="de-DE"/>
        </w:rPr>
        <w:t>Potrebno</w:t>
      </w:r>
      <w:proofErr w:type="spellEnd"/>
      <w:r w:rsidRPr="00B25362">
        <w:rPr>
          <w:color w:val="auto"/>
          <w:lang w:val="de-DE"/>
        </w:rPr>
        <w:t xml:space="preserve"> je </w:t>
      </w:r>
      <w:proofErr w:type="spellStart"/>
      <w:r w:rsidRPr="00B25362">
        <w:rPr>
          <w:color w:val="auto"/>
          <w:lang w:val="de-DE"/>
        </w:rPr>
        <w:t>dostaviti</w:t>
      </w:r>
      <w:proofErr w:type="spellEnd"/>
      <w:r w:rsidRPr="00B25362">
        <w:rPr>
          <w:color w:val="auto"/>
          <w:lang w:val="de-DE"/>
        </w:rPr>
        <w:t xml:space="preserve"> </w:t>
      </w:r>
      <w:proofErr w:type="spellStart"/>
      <w:r w:rsidRPr="00B25362">
        <w:rPr>
          <w:color w:val="auto"/>
          <w:lang w:val="de-DE"/>
        </w:rPr>
        <w:t>sljedeću</w:t>
      </w:r>
      <w:proofErr w:type="spellEnd"/>
      <w:r w:rsidRPr="00B25362">
        <w:rPr>
          <w:color w:val="auto"/>
          <w:lang w:val="de-DE"/>
        </w:rPr>
        <w:t xml:space="preserve"> </w:t>
      </w:r>
      <w:proofErr w:type="spellStart"/>
      <w:r w:rsidRPr="00B25362">
        <w:rPr>
          <w:color w:val="auto"/>
          <w:lang w:val="de-DE"/>
        </w:rPr>
        <w:t>dokumentaciju</w:t>
      </w:r>
      <w:proofErr w:type="spellEnd"/>
      <w:r w:rsidRPr="00B25362">
        <w:rPr>
          <w:color w:val="auto"/>
          <w:lang w:val="de-DE"/>
        </w:rPr>
        <w:t>:</w:t>
      </w:r>
    </w:p>
    <w:p w:rsidR="00812C4A" w:rsidRPr="00B25362" w:rsidRDefault="00812C4A" w:rsidP="00812C4A">
      <w:pPr>
        <w:pStyle w:val="Normal1"/>
        <w:ind w:left="360" w:right="347"/>
        <w:jc w:val="both"/>
        <w:rPr>
          <w:color w:val="auto"/>
          <w:lang w:val="de-DE"/>
        </w:rPr>
      </w:pPr>
    </w:p>
    <w:p w:rsidR="00812C4A" w:rsidRPr="00EF2AAE" w:rsidRDefault="00812C4A" w:rsidP="009B1BDC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Dokaz</w:t>
      </w:r>
      <w:proofErr w:type="spellEnd"/>
      <w:r w:rsidRPr="00EF2AAE">
        <w:rPr>
          <w:color w:val="auto"/>
        </w:rPr>
        <w:t xml:space="preserve"> o </w:t>
      </w:r>
      <w:proofErr w:type="spellStart"/>
      <w:r w:rsidRPr="00EF2AAE">
        <w:rPr>
          <w:color w:val="auto"/>
        </w:rPr>
        <w:t>registraciji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pravnog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lica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Dokaz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izdat</w:t>
      </w:r>
      <w:proofErr w:type="spellEnd"/>
      <w:r w:rsidRPr="00EF2AAE">
        <w:rPr>
          <w:color w:val="auto"/>
        </w:rPr>
        <w:t xml:space="preserve"> od organa </w:t>
      </w:r>
      <w:proofErr w:type="spellStart"/>
      <w:r w:rsidRPr="00EF2AAE">
        <w:rPr>
          <w:color w:val="auto"/>
        </w:rPr>
        <w:t>nadležnog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poslove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poreza</w:t>
      </w:r>
      <w:proofErr w:type="spellEnd"/>
      <w:r w:rsidRPr="00EF2AAE">
        <w:rPr>
          <w:color w:val="auto"/>
        </w:rPr>
        <w:t xml:space="preserve"> da </w:t>
      </w:r>
      <w:proofErr w:type="spellStart"/>
      <w:r w:rsidRPr="00EF2AAE">
        <w:rPr>
          <w:color w:val="auto"/>
        </w:rPr>
        <w:t>su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uredno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prijavljene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obračunate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izvršene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sve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obaveze</w:t>
      </w:r>
      <w:proofErr w:type="spellEnd"/>
      <w:r w:rsidRPr="00EF2AAE">
        <w:rPr>
          <w:color w:val="auto"/>
        </w:rPr>
        <w:t xml:space="preserve"> po </w:t>
      </w:r>
      <w:proofErr w:type="spellStart"/>
      <w:r w:rsidRPr="00EF2AAE">
        <w:rPr>
          <w:color w:val="auto"/>
        </w:rPr>
        <w:t>osnovu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poreza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doprinosa</w:t>
      </w:r>
      <w:proofErr w:type="spellEnd"/>
      <w:r w:rsidRPr="00EF2AAE">
        <w:rPr>
          <w:color w:val="auto"/>
        </w:rPr>
        <w:t xml:space="preserve"> do 90 dana </w:t>
      </w:r>
      <w:proofErr w:type="spellStart"/>
      <w:r w:rsidRPr="00EF2AAE">
        <w:rPr>
          <w:color w:val="auto"/>
        </w:rPr>
        <w:t>prije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dostavljanja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javni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poziv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Kopiju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ugovora</w:t>
      </w:r>
      <w:proofErr w:type="spellEnd"/>
      <w:r w:rsidRPr="00EF2AAE">
        <w:rPr>
          <w:color w:val="auto"/>
        </w:rPr>
        <w:t xml:space="preserve"> o </w:t>
      </w:r>
      <w:proofErr w:type="spellStart"/>
      <w:r w:rsidRPr="00EF2AAE">
        <w:rPr>
          <w:color w:val="auto"/>
        </w:rPr>
        <w:t>uspostavljenoj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poslovnoj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saradnji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turoperatorom</w:t>
      </w:r>
      <w:proofErr w:type="spellEnd"/>
      <w:r w:rsidR="00792973">
        <w:rPr>
          <w:color w:val="auto"/>
        </w:rPr>
        <w:t>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color w:val="auto"/>
        </w:rPr>
      </w:pPr>
      <w:r w:rsidRPr="00EF2AAE">
        <w:rPr>
          <w:color w:val="auto"/>
        </w:rPr>
        <w:t xml:space="preserve">Reference </w:t>
      </w:r>
      <w:proofErr w:type="spellStart"/>
      <w:r w:rsidRPr="00EF2AAE">
        <w:rPr>
          <w:color w:val="auto"/>
        </w:rPr>
        <w:t>kompanija</w:t>
      </w:r>
      <w:proofErr w:type="spellEnd"/>
      <w:r w:rsidRPr="00EF2AAE">
        <w:rPr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turističke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agencije</w:t>
      </w:r>
      <w:proofErr w:type="spellEnd"/>
      <w:r w:rsidRPr="00EF2AAE">
        <w:rPr>
          <w:rFonts w:eastAsia="Calibri"/>
          <w:color w:val="auto"/>
        </w:rPr>
        <w:t xml:space="preserve"> / </w:t>
      </w:r>
      <w:proofErr w:type="spellStart"/>
      <w:r w:rsidRPr="00EF2AAE">
        <w:rPr>
          <w:rFonts w:eastAsia="Calibri"/>
          <w:color w:val="auto"/>
        </w:rPr>
        <w:t>turoperatora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color w:val="auto"/>
        </w:rPr>
        <w:t>registrovane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Crnoj</w:t>
      </w:r>
      <w:proofErr w:type="spellEnd"/>
      <w:r w:rsidRPr="00EF2AAE">
        <w:rPr>
          <w:color w:val="auto"/>
        </w:rPr>
        <w:t xml:space="preserve"> Gori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turoperatora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emitivnog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tržišta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kojim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sarađuju</w:t>
      </w:r>
      <w:proofErr w:type="spellEnd"/>
      <w:r w:rsidRPr="00EF2AAE">
        <w:rPr>
          <w:color w:val="auto"/>
        </w:rPr>
        <w:t>)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rFonts w:eastAsia="Calibri"/>
          <w:color w:val="auto"/>
        </w:rPr>
      </w:pPr>
      <w:proofErr w:type="spellStart"/>
      <w:r w:rsidRPr="00EF2AAE">
        <w:rPr>
          <w:color w:val="auto"/>
        </w:rPr>
        <w:t>Popunjenu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obrasce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priloga</w:t>
      </w:r>
      <w:proofErr w:type="spellEnd"/>
      <w:r w:rsidRPr="00EF2AAE">
        <w:rPr>
          <w:rFonts w:eastAsia="Calibri"/>
          <w:color w:val="auto"/>
        </w:rPr>
        <w:t>:</w:t>
      </w:r>
    </w:p>
    <w:p w:rsidR="00812C4A" w:rsidRPr="00EF2AAE" w:rsidRDefault="00812C4A" w:rsidP="009B1BDC">
      <w:pPr>
        <w:pStyle w:val="Normal1"/>
        <w:numPr>
          <w:ilvl w:val="0"/>
          <w:numId w:val="1"/>
        </w:numPr>
        <w:ind w:hanging="360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Udruženo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sa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turoperatorima</w:t>
      </w:r>
      <w:proofErr w:type="spellEnd"/>
      <w:r w:rsidRPr="00EF2AAE">
        <w:rPr>
          <w:rFonts w:eastAsia="Calibri"/>
          <w:color w:val="auto"/>
          <w:lang w:val="de-DE"/>
        </w:rPr>
        <w:t xml:space="preserve"> - </w:t>
      </w:r>
      <w:proofErr w:type="spellStart"/>
      <w:r w:rsidRPr="00EF2AAE">
        <w:rPr>
          <w:rFonts w:eastAsia="Calibri"/>
          <w:color w:val="auto"/>
          <w:lang w:val="de-DE"/>
        </w:rPr>
        <w:t>vlastiti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promotivni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kanali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1"/>
        </w:numPr>
        <w:ind w:hanging="360"/>
        <w:jc w:val="both"/>
        <w:rPr>
          <w:color w:val="auto"/>
          <w:lang w:val="de-DE"/>
        </w:rPr>
      </w:pPr>
      <w:proofErr w:type="spellStart"/>
      <w:r w:rsidRPr="00EF2AAE">
        <w:rPr>
          <w:rFonts w:eastAsia="Calibri"/>
          <w:color w:val="auto"/>
          <w:lang w:val="de-DE"/>
        </w:rPr>
        <w:t>Udruženo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proofErr w:type="gramStart"/>
      <w:r w:rsidRPr="00EF2AAE">
        <w:rPr>
          <w:rFonts w:eastAsia="Calibri"/>
          <w:color w:val="auto"/>
          <w:lang w:val="de-DE"/>
        </w:rPr>
        <w:t>oglašavanje</w:t>
      </w:r>
      <w:proofErr w:type="spellEnd"/>
      <w:r w:rsidRPr="00EF2AAE">
        <w:rPr>
          <w:rFonts w:eastAsia="Calibri"/>
          <w:color w:val="auto"/>
          <w:lang w:val="de-DE"/>
        </w:rPr>
        <w:t xml:space="preserve">  </w:t>
      </w:r>
      <w:proofErr w:type="spellStart"/>
      <w:r w:rsidRPr="00EF2AAE">
        <w:rPr>
          <w:rFonts w:eastAsia="Calibri"/>
          <w:color w:val="auto"/>
          <w:lang w:val="de-DE"/>
        </w:rPr>
        <w:t>sa</w:t>
      </w:r>
      <w:proofErr w:type="spellEnd"/>
      <w:proofErr w:type="gram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turoperatorima</w:t>
      </w:r>
      <w:proofErr w:type="spellEnd"/>
      <w:r w:rsidRPr="00EF2AAE">
        <w:rPr>
          <w:rFonts w:eastAsia="Calibri"/>
          <w:color w:val="auto"/>
          <w:lang w:val="de-DE"/>
        </w:rPr>
        <w:t xml:space="preserve"> - </w:t>
      </w:r>
      <w:proofErr w:type="spellStart"/>
      <w:r w:rsidRPr="00EF2AAE">
        <w:rPr>
          <w:rFonts w:eastAsia="Calibri"/>
          <w:color w:val="auto"/>
          <w:lang w:val="de-DE"/>
        </w:rPr>
        <w:t>zakupljeni</w:t>
      </w:r>
      <w:proofErr w:type="spellEnd"/>
      <w:r w:rsidRPr="00EF2AAE">
        <w:rPr>
          <w:rFonts w:eastAsia="Calibri"/>
          <w:color w:val="auto"/>
          <w:lang w:val="de-DE"/>
        </w:rPr>
        <w:t xml:space="preserve"> </w:t>
      </w:r>
      <w:proofErr w:type="spellStart"/>
      <w:r w:rsidRPr="00EF2AAE">
        <w:rPr>
          <w:rFonts w:eastAsia="Calibri"/>
          <w:color w:val="auto"/>
          <w:lang w:val="de-DE"/>
        </w:rPr>
        <w:t>kanali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1"/>
        </w:numPr>
        <w:ind w:hanging="360"/>
        <w:jc w:val="both"/>
        <w:rPr>
          <w:color w:val="auto"/>
        </w:rPr>
      </w:pP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 po </w:t>
      </w:r>
      <w:proofErr w:type="spellStart"/>
      <w:r w:rsidRPr="00EF2AAE">
        <w:rPr>
          <w:rFonts w:eastAsia="Calibri"/>
          <w:color w:val="auto"/>
        </w:rPr>
        <w:t>godinama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Detaljan</w:t>
      </w:r>
      <w:proofErr w:type="spellEnd"/>
      <w:r w:rsidRPr="00EF2AAE">
        <w:rPr>
          <w:rFonts w:eastAsia="Calibri"/>
          <w:color w:val="auto"/>
        </w:rPr>
        <w:t xml:space="preserve"> program za </w:t>
      </w:r>
      <w:proofErr w:type="spellStart"/>
      <w:r w:rsidRPr="00EF2AAE">
        <w:rPr>
          <w:rFonts w:eastAsia="Calibri"/>
          <w:color w:val="auto"/>
        </w:rPr>
        <w:t>Crnu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Goru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koji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kandiduje</w:t>
      </w:r>
      <w:proofErr w:type="spellEnd"/>
      <w:r w:rsidRPr="00EF2AAE">
        <w:rPr>
          <w:rFonts w:eastAsia="Calibri"/>
          <w:color w:val="auto"/>
        </w:rPr>
        <w:t xml:space="preserve"> za </w:t>
      </w:r>
      <w:r w:rsidR="00647BDF" w:rsidRPr="00EF2AAE">
        <w:rPr>
          <w:rFonts w:eastAsia="Calibri"/>
          <w:color w:val="auto"/>
        </w:rPr>
        <w:t>2019</w:t>
      </w:r>
      <w:r w:rsidR="003604A5">
        <w:rPr>
          <w:rFonts w:eastAsia="Calibri"/>
          <w:color w:val="auto"/>
        </w:rPr>
        <w:t xml:space="preserve">. </w:t>
      </w:r>
      <w:proofErr w:type="spellStart"/>
      <w:r w:rsidR="003604A5">
        <w:rPr>
          <w:rFonts w:eastAsia="Calibri"/>
          <w:color w:val="auto"/>
        </w:rPr>
        <w:t>i</w:t>
      </w:r>
      <w:proofErr w:type="spellEnd"/>
      <w:r w:rsidR="003604A5">
        <w:rPr>
          <w:rFonts w:eastAsia="Calibri"/>
          <w:color w:val="auto"/>
        </w:rPr>
        <w:t xml:space="preserve"> </w:t>
      </w:r>
      <w:r w:rsidR="00647BDF" w:rsidRPr="00EF2AAE">
        <w:rPr>
          <w:rFonts w:eastAsia="Calibri"/>
          <w:color w:val="auto"/>
        </w:rPr>
        <w:t xml:space="preserve">2020. </w:t>
      </w:r>
      <w:proofErr w:type="spellStart"/>
      <w:r w:rsidR="003604A5">
        <w:rPr>
          <w:rFonts w:eastAsia="Calibri"/>
          <w:color w:val="auto"/>
        </w:rPr>
        <w:t>g</w:t>
      </w:r>
      <w:r w:rsidR="00647BDF" w:rsidRPr="00EF2AAE">
        <w:rPr>
          <w:rFonts w:eastAsia="Calibri"/>
          <w:color w:val="auto"/>
        </w:rPr>
        <w:t>od</w:t>
      </w:r>
      <w:r w:rsidR="003604A5">
        <w:rPr>
          <w:rFonts w:eastAsia="Calibri"/>
          <w:color w:val="auto"/>
        </w:rPr>
        <w:t>inu</w:t>
      </w:r>
      <w:proofErr w:type="spellEnd"/>
      <w:r w:rsidRPr="00EF2AAE">
        <w:rPr>
          <w:rFonts w:eastAsia="Calibri"/>
          <w:color w:val="auto"/>
        </w:rPr>
        <w:t xml:space="preserve"> (period </w:t>
      </w:r>
      <w:proofErr w:type="spellStart"/>
      <w:r w:rsidRPr="00EF2AAE">
        <w:rPr>
          <w:rFonts w:eastAsia="Calibri"/>
          <w:color w:val="auto"/>
        </w:rPr>
        <w:t>operacija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broj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linija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broj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rotacija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svakom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razdoblju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kapacitet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aviona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gradovi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programi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odnose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slično</w:t>
      </w:r>
      <w:proofErr w:type="spellEnd"/>
      <w:r w:rsidRPr="00EF2AAE">
        <w:rPr>
          <w:rFonts w:eastAsia="Calibri"/>
          <w:color w:val="auto"/>
        </w:rPr>
        <w:t>).</w:t>
      </w:r>
    </w:p>
    <w:p w:rsidR="00812C4A" w:rsidRPr="00EF2AAE" w:rsidRDefault="00812C4A" w:rsidP="009B1BDC">
      <w:pPr>
        <w:pStyle w:val="Normal1"/>
        <w:numPr>
          <w:ilvl w:val="0"/>
          <w:numId w:val="2"/>
        </w:numPr>
        <w:ind w:hanging="360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Turistička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agencija</w:t>
      </w:r>
      <w:proofErr w:type="spellEnd"/>
      <w:r w:rsidRPr="00EF2AAE">
        <w:rPr>
          <w:rFonts w:eastAsia="Calibri"/>
          <w:color w:val="auto"/>
        </w:rPr>
        <w:t xml:space="preserve"> /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dokumentaciju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sprovedenom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udruženom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proofErr w:type="gramStart"/>
      <w:r w:rsidRPr="00EF2AAE">
        <w:rPr>
          <w:rFonts w:eastAsia="Calibri"/>
          <w:color w:val="auto"/>
        </w:rPr>
        <w:t>oglašavanju</w:t>
      </w:r>
      <w:proofErr w:type="spellEnd"/>
      <w:r w:rsidRPr="00EF2AAE">
        <w:rPr>
          <w:rFonts w:eastAsia="Calibri"/>
          <w:color w:val="auto"/>
        </w:rPr>
        <w:t xml:space="preserve">  </w:t>
      </w:r>
      <w:proofErr w:type="spellStart"/>
      <w:r w:rsidRPr="00EF2AAE">
        <w:rPr>
          <w:rFonts w:eastAsia="Calibri"/>
          <w:color w:val="auto"/>
        </w:rPr>
        <w:lastRenderedPageBreak/>
        <w:t>dostaviti</w:t>
      </w:r>
      <w:proofErr w:type="spellEnd"/>
      <w:proofErr w:type="gram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izjavu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ostvarenom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broju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linija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rotacija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gostiju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svakoj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opštini</w:t>
      </w:r>
      <w:proofErr w:type="spellEnd"/>
      <w:r w:rsidRPr="00EF2AAE">
        <w:rPr>
          <w:rFonts w:eastAsia="Calibri"/>
          <w:color w:val="auto"/>
        </w:rPr>
        <w:t xml:space="preserve"> (</w:t>
      </w:r>
      <w:proofErr w:type="spellStart"/>
      <w:r w:rsidRPr="00EF2AAE">
        <w:rPr>
          <w:rFonts w:eastAsia="Calibri"/>
          <w:color w:val="auto"/>
        </w:rPr>
        <w:t>sadržaj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izjave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biti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priložen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uz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ugovor</w:t>
      </w:r>
      <w:proofErr w:type="spellEnd"/>
      <w:r w:rsidRPr="00EF2AAE">
        <w:rPr>
          <w:rFonts w:eastAsia="Calibri"/>
          <w:color w:val="auto"/>
        </w:rPr>
        <w:t xml:space="preserve">). 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Svi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podaci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partneri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svojim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kandidaturama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dostavljaju</w:t>
      </w:r>
      <w:proofErr w:type="spellEnd"/>
      <w:r w:rsidRPr="00EF2AAE">
        <w:rPr>
          <w:rFonts w:eastAsia="Calibri"/>
          <w:color w:val="auto"/>
        </w:rPr>
        <w:t xml:space="preserve"> NTOCG se </w:t>
      </w:r>
      <w:proofErr w:type="spellStart"/>
      <w:r w:rsidRPr="00EF2AAE">
        <w:rPr>
          <w:rFonts w:eastAsia="Calibri"/>
          <w:color w:val="auto"/>
        </w:rPr>
        <w:t>smatraju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strogo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povjerljivim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koriste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isključivo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dokumentacija</w:t>
      </w:r>
      <w:proofErr w:type="spellEnd"/>
      <w:r w:rsidRPr="00EF2AAE">
        <w:rPr>
          <w:rFonts w:eastAsia="Calibri"/>
          <w:color w:val="auto"/>
        </w:rPr>
        <w:t xml:space="preserve"> za </w:t>
      </w:r>
      <w:proofErr w:type="spellStart"/>
      <w:r w:rsidRPr="00EF2AAE">
        <w:rPr>
          <w:rFonts w:eastAsia="Calibri"/>
          <w:color w:val="auto"/>
        </w:rPr>
        <w:t>kandidovanje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promotivnih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kampanja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njihovu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realizaciju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Navedenu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dokumentaciju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realizovanom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programu</w:t>
      </w:r>
      <w:proofErr w:type="spellEnd"/>
      <w:r w:rsidRPr="00EF2AAE">
        <w:rPr>
          <w:rFonts w:eastAsia="Calibri"/>
          <w:color w:val="auto"/>
        </w:rPr>
        <w:t xml:space="preserve"> NTOCG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koristiti</w:t>
      </w:r>
      <w:proofErr w:type="spellEnd"/>
      <w:r w:rsidRPr="00EF2AAE">
        <w:rPr>
          <w:rFonts w:eastAsia="Calibri"/>
          <w:color w:val="auto"/>
        </w:rPr>
        <w:t xml:space="preserve"> u </w:t>
      </w:r>
      <w:proofErr w:type="spellStart"/>
      <w:r w:rsidRPr="00EF2AAE">
        <w:rPr>
          <w:rFonts w:eastAsia="Calibri"/>
          <w:color w:val="auto"/>
        </w:rPr>
        <w:t>cilju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praćenja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učinka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udruženog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oglašavanja</w:t>
      </w:r>
      <w:proofErr w:type="spellEnd"/>
      <w:r w:rsidRPr="00EF2AAE">
        <w:rPr>
          <w:rFonts w:eastAsia="Calibri"/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rFonts w:eastAsia="Calibri"/>
          <w:color w:val="003764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proofErr w:type="spellStart"/>
      <w:r w:rsidRPr="00EF2AAE">
        <w:rPr>
          <w:color w:val="auto"/>
        </w:rPr>
        <w:t>Ukoliko</w:t>
      </w:r>
      <w:proofErr w:type="spellEnd"/>
      <w:r w:rsidRPr="00EF2AAE">
        <w:rPr>
          <w:color w:val="auto"/>
        </w:rPr>
        <w:t xml:space="preserve"> se </w:t>
      </w:r>
      <w:proofErr w:type="spellStart"/>
      <w:r w:rsidRPr="00EF2AAE">
        <w:rPr>
          <w:color w:val="auto"/>
        </w:rPr>
        <w:t>dostavlja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stranom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jeziku</w:t>
      </w:r>
      <w:proofErr w:type="spellEnd"/>
      <w:r w:rsidRPr="00EF2AAE">
        <w:rPr>
          <w:color w:val="auto"/>
        </w:rPr>
        <w:t xml:space="preserve"> mora je </w:t>
      </w:r>
      <w:proofErr w:type="spellStart"/>
      <w:r w:rsidRPr="00EF2AAE">
        <w:rPr>
          <w:color w:val="auto"/>
        </w:rPr>
        <w:t>pratiti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ovjeren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prevod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strane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sudskog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tumača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jezik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službenoj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upotrebi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Crnoj</w:t>
      </w:r>
      <w:proofErr w:type="spellEnd"/>
      <w:r w:rsidRPr="00EF2AAE">
        <w:rPr>
          <w:color w:val="auto"/>
        </w:rPr>
        <w:t xml:space="preserve"> Gori.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proofErr w:type="spellStart"/>
      <w:r w:rsidRPr="00EF2AAE">
        <w:rPr>
          <w:color w:val="auto"/>
        </w:rPr>
        <w:t>Ministarstvo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održivog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razvoja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turizma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NTOCG </w:t>
      </w:r>
      <w:proofErr w:type="spellStart"/>
      <w:r w:rsidRPr="00EF2AAE">
        <w:rPr>
          <w:color w:val="auto"/>
        </w:rPr>
        <w:t>zadržava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pravo</w:t>
      </w:r>
      <w:proofErr w:type="spellEnd"/>
      <w:r w:rsidRPr="00EF2AAE">
        <w:rPr>
          <w:color w:val="auto"/>
        </w:rPr>
        <w:t xml:space="preserve"> da od </w:t>
      </w:r>
      <w:proofErr w:type="spellStart"/>
      <w:r w:rsidRPr="00EF2AAE">
        <w:rPr>
          <w:color w:val="auto"/>
        </w:rPr>
        <w:t>podnosioca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zatraži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dodatna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pojašnjenja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9B1BDC">
      <w:pPr>
        <w:pStyle w:val="ListParagraph"/>
        <w:numPr>
          <w:ilvl w:val="0"/>
          <w:numId w:val="9"/>
        </w:numPr>
        <w:ind w:left="284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Način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podnošenja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zahtjeva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i</w:t>
      </w:r>
      <w:proofErr w:type="spellEnd"/>
      <w:r w:rsidRPr="00EF2A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iCs/>
          <w:sz w:val="24"/>
          <w:szCs w:val="24"/>
        </w:rPr>
        <w:t>dokumentacije</w:t>
      </w:r>
      <w:proofErr w:type="spellEnd"/>
    </w:p>
    <w:p w:rsidR="00812C4A" w:rsidRPr="00EF2AAE" w:rsidRDefault="00812C4A" w:rsidP="00812C4A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proofErr w:type="spellStart"/>
      <w:r w:rsidRPr="00EF2AAE">
        <w:rPr>
          <w:color w:val="auto"/>
        </w:rPr>
        <w:t>Potencijalni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korisnici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prijavljuju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projekte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podnoseći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</w:t>
      </w:r>
      <w:proofErr w:type="spellEnd"/>
      <w:r w:rsidRPr="00EF2AAE">
        <w:rPr>
          <w:color w:val="auto"/>
        </w:rPr>
        <w:t xml:space="preserve"> (</w:t>
      </w:r>
      <w:proofErr w:type="spellStart"/>
      <w:r w:rsidRPr="00EF2AAE">
        <w:rPr>
          <w:color w:val="auto"/>
        </w:rPr>
        <w:t>prijavu</w:t>
      </w:r>
      <w:proofErr w:type="spellEnd"/>
      <w:r w:rsidRPr="00EF2AAE">
        <w:rPr>
          <w:color w:val="auto"/>
        </w:rPr>
        <w:t xml:space="preserve">) za </w:t>
      </w:r>
      <w:proofErr w:type="spellStart"/>
      <w:r w:rsidRPr="00EF2AAE">
        <w:rPr>
          <w:color w:val="auto"/>
        </w:rPr>
        <w:t>dodjelu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sredstava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prilogu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dostavljaju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traženu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dokumentaciju</w:t>
      </w:r>
      <w:proofErr w:type="spellEnd"/>
      <w:r w:rsidRPr="00EF2AAE">
        <w:rPr>
          <w:color w:val="auto"/>
        </w:rPr>
        <w:t xml:space="preserve">. 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tabs>
          <w:tab w:val="left" w:pos="270"/>
        </w:tabs>
        <w:jc w:val="both"/>
        <w:rPr>
          <w:color w:val="auto"/>
        </w:rPr>
      </w:pPr>
      <w:proofErr w:type="spellStart"/>
      <w:r w:rsidRPr="00EF2AAE">
        <w:rPr>
          <w:color w:val="auto"/>
        </w:rPr>
        <w:t>Zahtjev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pratećom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dokumentacijom</w:t>
      </w:r>
      <w:proofErr w:type="spellEnd"/>
      <w:r w:rsidRPr="00EF2AAE">
        <w:rPr>
          <w:color w:val="auto"/>
        </w:rPr>
        <w:t xml:space="preserve"> se </w:t>
      </w:r>
      <w:proofErr w:type="spellStart"/>
      <w:r w:rsidRPr="00EF2AAE">
        <w:rPr>
          <w:color w:val="auto"/>
        </w:rPr>
        <w:t>dostavlja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adresu</w:t>
      </w:r>
      <w:proofErr w:type="spellEnd"/>
      <w:r w:rsidRPr="00EF2AAE">
        <w:rPr>
          <w:color w:val="auto"/>
        </w:rPr>
        <w:t xml:space="preserve">: </w:t>
      </w:r>
      <w:proofErr w:type="spellStart"/>
      <w:r w:rsidRPr="00EF2AAE">
        <w:rPr>
          <w:i/>
          <w:color w:val="auto"/>
          <w:u w:val="single"/>
        </w:rPr>
        <w:t>Nacionalna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turistička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organizacija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Crne</w:t>
      </w:r>
      <w:proofErr w:type="spellEnd"/>
      <w:r w:rsidRPr="00EF2AAE">
        <w:rPr>
          <w:i/>
          <w:color w:val="auto"/>
          <w:u w:val="single"/>
        </w:rPr>
        <w:t xml:space="preserve"> Gore, </w:t>
      </w:r>
      <w:proofErr w:type="spellStart"/>
      <w:r w:rsidRPr="00EF2AAE">
        <w:rPr>
          <w:i/>
          <w:color w:val="auto"/>
          <w:u w:val="single"/>
        </w:rPr>
        <w:t>Marka</w:t>
      </w:r>
      <w:proofErr w:type="spellEnd"/>
      <w:r w:rsidRPr="00EF2AAE">
        <w:rPr>
          <w:i/>
          <w:color w:val="auto"/>
          <w:u w:val="single"/>
        </w:rPr>
        <w:t xml:space="preserve"> </w:t>
      </w:r>
      <w:proofErr w:type="spellStart"/>
      <w:r w:rsidRPr="00EF2AAE">
        <w:rPr>
          <w:i/>
          <w:color w:val="auto"/>
          <w:u w:val="single"/>
        </w:rPr>
        <w:t>Miljanova</w:t>
      </w:r>
      <w:proofErr w:type="spellEnd"/>
      <w:r w:rsidRPr="00EF2AAE">
        <w:rPr>
          <w:i/>
          <w:color w:val="auto"/>
          <w:u w:val="single"/>
        </w:rPr>
        <w:t xml:space="preserve"> 17, Podgorica</w:t>
      </w:r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direktno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arhivu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oznakom</w:t>
      </w:r>
      <w:proofErr w:type="spellEnd"/>
      <w:r w:rsidRPr="00EF2AAE">
        <w:rPr>
          <w:color w:val="auto"/>
        </w:rPr>
        <w:t>:  „</w:t>
      </w:r>
      <w:proofErr w:type="spellStart"/>
      <w:r w:rsidRPr="00EF2AAE">
        <w:rPr>
          <w:color w:val="auto"/>
        </w:rPr>
        <w:t>Prijava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Javni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poziv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podnošenje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zahtjeva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dobijanje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podrške</w:t>
      </w:r>
      <w:proofErr w:type="spellEnd"/>
      <w:r w:rsidRPr="00EF2AAE">
        <w:rPr>
          <w:color w:val="auto"/>
        </w:rPr>
        <w:t xml:space="preserve"> </w:t>
      </w:r>
      <w:r w:rsidR="005B0110" w:rsidRPr="00EF2AAE">
        <w:rPr>
          <w:color w:val="auto"/>
        </w:rPr>
        <w:t xml:space="preserve">za </w:t>
      </w:r>
      <w:proofErr w:type="spellStart"/>
      <w:r w:rsidR="00DF741E" w:rsidRPr="00EF2AAE">
        <w:t>zajedničko</w:t>
      </w:r>
      <w:proofErr w:type="spellEnd"/>
      <w:r w:rsidR="00DF741E" w:rsidRPr="00EF2AAE">
        <w:t xml:space="preserve"> </w:t>
      </w:r>
      <w:proofErr w:type="spellStart"/>
      <w:r w:rsidR="00DF741E" w:rsidRPr="00EF2AAE">
        <w:t>oglašavanje</w:t>
      </w:r>
      <w:proofErr w:type="spellEnd"/>
      <w:r w:rsidR="00DF741E" w:rsidRPr="00EF2AAE">
        <w:t xml:space="preserve"> </w:t>
      </w:r>
      <w:proofErr w:type="spellStart"/>
      <w:r w:rsidR="00DF741E" w:rsidRPr="00EF2AAE">
        <w:t>na</w:t>
      </w:r>
      <w:proofErr w:type="spellEnd"/>
      <w:r w:rsidR="00DF741E" w:rsidRPr="00EF2AAE">
        <w:t xml:space="preserve"> </w:t>
      </w:r>
      <w:proofErr w:type="spellStart"/>
      <w:r w:rsidR="00DF741E" w:rsidRPr="00EF2AAE">
        <w:t>tržištu</w:t>
      </w:r>
      <w:proofErr w:type="spellEnd"/>
      <w:r w:rsidR="00DF741E" w:rsidRPr="00EF2AAE">
        <w:t xml:space="preserve"> </w:t>
      </w:r>
      <w:proofErr w:type="spellStart"/>
      <w:r w:rsidR="00DF741E" w:rsidRPr="00EF2AAE">
        <w:t>Izraela</w:t>
      </w:r>
      <w:proofErr w:type="spellEnd"/>
      <w:r w:rsidR="00DF741E" w:rsidRPr="00EF2AAE">
        <w:t>”</w:t>
      </w:r>
      <w:r w:rsidRPr="00EF2AAE">
        <w:t>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D6755" w:rsidRPr="00EF2AAE" w:rsidRDefault="00812C4A" w:rsidP="00812C4A">
      <w:pPr>
        <w:autoSpaceDE w:val="0"/>
        <w:autoSpaceDN w:val="0"/>
        <w:adjustRightInd w:val="0"/>
        <w:ind w:right="3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jedan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812C4A" w:rsidRPr="00EF2AAE" w:rsidRDefault="00812C4A" w:rsidP="009B1BDC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/>
          <w:b/>
          <w:sz w:val="24"/>
          <w:szCs w:val="24"/>
        </w:rPr>
        <w:t>Zahtjevi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koji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neće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razmatrati</w:t>
      </w:r>
      <w:proofErr w:type="spellEnd"/>
    </w:p>
    <w:p w:rsidR="00812C4A" w:rsidRPr="00EF2AAE" w:rsidRDefault="00812C4A" w:rsidP="00812C4A">
      <w:pPr>
        <w:autoSpaceDE w:val="0"/>
        <w:autoSpaceDN w:val="0"/>
        <w:adjustRightInd w:val="0"/>
        <w:ind w:left="709" w:right="347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812C4A" w:rsidP="009B1BDC">
      <w:pPr>
        <w:pStyle w:val="Normal1"/>
        <w:numPr>
          <w:ilvl w:val="0"/>
          <w:numId w:val="3"/>
        </w:numPr>
        <w:tabs>
          <w:tab w:val="left" w:pos="360"/>
        </w:tabs>
        <w:ind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Zahtjevi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turoperatora</w:t>
      </w:r>
      <w:proofErr w:type="spellEnd"/>
      <w:r w:rsidRPr="00EF2AAE">
        <w:rPr>
          <w:color w:val="auto"/>
        </w:rPr>
        <w:t>/</w:t>
      </w:r>
      <w:proofErr w:type="spellStart"/>
      <w:r w:rsidRPr="00EF2AAE">
        <w:rPr>
          <w:color w:val="auto"/>
        </w:rPr>
        <w:t>turističkih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agencija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koji</w:t>
      </w:r>
      <w:proofErr w:type="spellEnd"/>
      <w:r w:rsidRPr="00EF2AAE">
        <w:rPr>
          <w:color w:val="auto"/>
        </w:rPr>
        <w:t xml:space="preserve"> ne </w:t>
      </w:r>
      <w:proofErr w:type="spellStart"/>
      <w:r w:rsidRPr="00EF2AAE">
        <w:rPr>
          <w:color w:val="auto"/>
        </w:rPr>
        <w:t>ispunjavaju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uslov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shodno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tački</w:t>
      </w:r>
      <w:proofErr w:type="spellEnd"/>
      <w:r w:rsidRPr="00EF2AAE">
        <w:rPr>
          <w:color w:val="auto"/>
        </w:rPr>
        <w:t xml:space="preserve"> 4. </w:t>
      </w:r>
      <w:proofErr w:type="spellStart"/>
      <w:r w:rsidRPr="00EF2AAE">
        <w:rPr>
          <w:color w:val="auto"/>
        </w:rPr>
        <w:t>Programa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Zahtjevi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čija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dokumentacija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nije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kompletna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shodno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tački</w:t>
      </w:r>
      <w:proofErr w:type="spellEnd"/>
      <w:r w:rsidRPr="00EF2AAE">
        <w:rPr>
          <w:color w:val="auto"/>
        </w:rPr>
        <w:t xml:space="preserve"> 8. </w:t>
      </w:r>
      <w:proofErr w:type="spellStart"/>
      <w:r w:rsidRPr="00EF2AAE">
        <w:rPr>
          <w:color w:val="auto"/>
        </w:rPr>
        <w:t>Programa</w:t>
      </w:r>
      <w:proofErr w:type="spellEnd"/>
    </w:p>
    <w:p w:rsidR="00812C4A" w:rsidRPr="00EF2AAE" w:rsidRDefault="00812C4A" w:rsidP="009B1BDC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</w:rPr>
      </w:pPr>
      <w:proofErr w:type="spellStart"/>
      <w:r w:rsidRPr="00EF2AAE">
        <w:rPr>
          <w:color w:val="auto"/>
        </w:rPr>
        <w:t>Neblagovremeno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dostavljeni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zahtjevi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odnosno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dostavljeni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nakon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definisanog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roka</w:t>
      </w:r>
      <w:proofErr w:type="spellEnd"/>
      <w:r w:rsidRPr="00EF2AAE">
        <w:rPr>
          <w:color w:val="auto"/>
        </w:rPr>
        <w:t>;</w:t>
      </w:r>
    </w:p>
    <w:p w:rsidR="00812C4A" w:rsidRPr="00EF2AAE" w:rsidRDefault="00812C4A" w:rsidP="009B1BDC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  <w:lang w:val="de-DE"/>
        </w:rPr>
      </w:pPr>
      <w:proofErr w:type="spellStart"/>
      <w:r w:rsidRPr="00EF2AAE">
        <w:rPr>
          <w:color w:val="auto"/>
          <w:lang w:val="de-DE"/>
        </w:rPr>
        <w:t>Zahtjevi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koji</w:t>
      </w:r>
      <w:proofErr w:type="spellEnd"/>
      <w:r w:rsidRPr="00EF2AAE">
        <w:rPr>
          <w:color w:val="auto"/>
          <w:lang w:val="de-DE"/>
        </w:rPr>
        <w:t xml:space="preserve"> se </w:t>
      </w:r>
      <w:proofErr w:type="spellStart"/>
      <w:r w:rsidRPr="00EF2AAE">
        <w:rPr>
          <w:color w:val="auto"/>
          <w:lang w:val="de-DE"/>
        </w:rPr>
        <w:t>odnose</w:t>
      </w:r>
      <w:proofErr w:type="spellEnd"/>
      <w:r w:rsidRPr="00EF2AAE">
        <w:rPr>
          <w:color w:val="auto"/>
          <w:lang w:val="de-DE"/>
        </w:rPr>
        <w:t xml:space="preserve"> na </w:t>
      </w:r>
      <w:proofErr w:type="spellStart"/>
      <w:r w:rsidRPr="00EF2AAE">
        <w:rPr>
          <w:color w:val="auto"/>
          <w:lang w:val="de-DE"/>
        </w:rPr>
        <w:t>projekte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nijesu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predmet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ovog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Programa</w:t>
      </w:r>
      <w:proofErr w:type="spellEnd"/>
      <w:r w:rsidRPr="00EF2AAE">
        <w:rPr>
          <w:color w:val="auto"/>
          <w:lang w:val="de-DE"/>
        </w:rPr>
        <w:t>;</w:t>
      </w:r>
    </w:p>
    <w:p w:rsidR="00812C4A" w:rsidRDefault="00812C4A" w:rsidP="00D86E22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color w:val="auto"/>
          <w:lang w:val="de-DE"/>
        </w:rPr>
      </w:pPr>
      <w:proofErr w:type="spellStart"/>
      <w:r w:rsidRPr="00EF2AAE">
        <w:rPr>
          <w:color w:val="auto"/>
          <w:lang w:val="de-DE"/>
        </w:rPr>
        <w:t>Zahtjevi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dostave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subjekti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koji</w:t>
      </w:r>
      <w:proofErr w:type="spellEnd"/>
      <w:r w:rsidRPr="00EF2AAE">
        <w:rPr>
          <w:color w:val="auto"/>
          <w:lang w:val="de-DE"/>
        </w:rPr>
        <w:t xml:space="preserve"> ne </w:t>
      </w:r>
      <w:proofErr w:type="spellStart"/>
      <w:r w:rsidRPr="00EF2AAE">
        <w:rPr>
          <w:color w:val="auto"/>
          <w:lang w:val="de-DE"/>
        </w:rPr>
        <w:t>pripadaju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kategorijama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definisanim</w:t>
      </w:r>
      <w:proofErr w:type="spellEnd"/>
      <w:r w:rsidRPr="00EF2AAE">
        <w:rPr>
          <w:color w:val="auto"/>
          <w:lang w:val="de-DE"/>
        </w:rPr>
        <w:t xml:space="preserve"> u </w:t>
      </w:r>
      <w:proofErr w:type="spellStart"/>
      <w:r w:rsidRPr="00EF2AAE">
        <w:rPr>
          <w:color w:val="auto"/>
          <w:lang w:val="de-DE"/>
        </w:rPr>
        <w:t>Programu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za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Mjeru</w:t>
      </w:r>
      <w:proofErr w:type="spellEnd"/>
      <w:r w:rsidRPr="00EF2AAE">
        <w:rPr>
          <w:color w:val="auto"/>
          <w:lang w:val="de-DE"/>
        </w:rPr>
        <w:t xml:space="preserve"> u </w:t>
      </w:r>
      <w:proofErr w:type="spellStart"/>
      <w:r w:rsidRPr="00EF2AAE">
        <w:rPr>
          <w:color w:val="auto"/>
          <w:lang w:val="de-DE"/>
        </w:rPr>
        <w:t>okviru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koje</w:t>
      </w:r>
      <w:proofErr w:type="spellEnd"/>
      <w:r w:rsidRPr="00EF2AAE">
        <w:rPr>
          <w:color w:val="auto"/>
          <w:lang w:val="de-DE"/>
        </w:rPr>
        <w:t xml:space="preserve"> se </w:t>
      </w:r>
      <w:proofErr w:type="spellStart"/>
      <w:r w:rsidRPr="00EF2AAE">
        <w:rPr>
          <w:color w:val="auto"/>
          <w:lang w:val="de-DE"/>
        </w:rPr>
        <w:t>prijavljuju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za</w:t>
      </w:r>
      <w:proofErr w:type="spellEnd"/>
      <w:r w:rsidRPr="00EF2AAE">
        <w:rPr>
          <w:color w:val="auto"/>
          <w:lang w:val="de-DE"/>
        </w:rPr>
        <w:t xml:space="preserve"> </w:t>
      </w:r>
      <w:proofErr w:type="spellStart"/>
      <w:r w:rsidRPr="00EF2AAE">
        <w:rPr>
          <w:color w:val="auto"/>
          <w:lang w:val="de-DE"/>
        </w:rPr>
        <w:t>podršku</w:t>
      </w:r>
      <w:proofErr w:type="spellEnd"/>
      <w:r w:rsidRPr="00EF2AAE">
        <w:rPr>
          <w:color w:val="auto"/>
          <w:lang w:val="de-DE"/>
        </w:rPr>
        <w:t>;</w:t>
      </w:r>
    </w:p>
    <w:p w:rsidR="003604A5" w:rsidRPr="00D86E22" w:rsidRDefault="003604A5" w:rsidP="003604A5">
      <w:pPr>
        <w:pStyle w:val="Normal1"/>
        <w:spacing w:line="276" w:lineRule="auto"/>
        <w:ind w:left="1069" w:right="347"/>
        <w:jc w:val="both"/>
        <w:rPr>
          <w:color w:val="auto"/>
          <w:lang w:val="de-DE"/>
        </w:rPr>
      </w:pPr>
    </w:p>
    <w:p w:rsidR="00812C4A" w:rsidRPr="00EF2AAE" w:rsidRDefault="00812C4A" w:rsidP="009B1BD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347"/>
        <w:jc w:val="both"/>
        <w:rPr>
          <w:rFonts w:ascii="Times New Roman" w:hAnsi="Times New Roman"/>
          <w:b/>
          <w:sz w:val="24"/>
          <w:szCs w:val="24"/>
        </w:rPr>
      </w:pPr>
      <w:r w:rsidRPr="00EF2AA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Rangiranje</w:t>
      </w:r>
      <w:proofErr w:type="spellEnd"/>
    </w:p>
    <w:p w:rsidR="00812C4A" w:rsidRPr="00EF2AAE" w:rsidRDefault="00812C4A" w:rsidP="00812C4A">
      <w:pPr>
        <w:autoSpaceDE w:val="0"/>
        <w:autoSpaceDN w:val="0"/>
        <w:adjustRightInd w:val="0"/>
        <w:ind w:right="347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812C4A" w:rsidP="00812C4A">
      <w:pPr>
        <w:pStyle w:val="Normal1"/>
        <w:jc w:val="both"/>
        <w:rPr>
          <w:rFonts w:eastAsia="Calibri"/>
          <w:color w:val="auto"/>
        </w:rPr>
      </w:pPr>
      <w:proofErr w:type="spellStart"/>
      <w:r w:rsidRPr="00EF2AAE">
        <w:rPr>
          <w:rFonts w:eastAsia="Calibri"/>
          <w:color w:val="auto"/>
        </w:rPr>
        <w:t>Pri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odabiru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posebno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će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razmatrati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predlog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medija</w:t>
      </w:r>
      <w:proofErr w:type="spellEnd"/>
      <w:r w:rsidRPr="00EF2AAE">
        <w:rPr>
          <w:rFonts w:eastAsia="Calibri"/>
          <w:color w:val="auto"/>
        </w:rPr>
        <w:t xml:space="preserve"> plana, </w:t>
      </w:r>
      <w:proofErr w:type="spellStart"/>
      <w:r w:rsidRPr="00EF2AAE">
        <w:rPr>
          <w:rFonts w:eastAsia="Calibri"/>
          <w:color w:val="auto"/>
        </w:rPr>
        <w:t>iznos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sredstava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koja</w:t>
      </w:r>
      <w:proofErr w:type="spellEnd"/>
      <w:r w:rsidRPr="00EF2AAE">
        <w:rPr>
          <w:rFonts w:eastAsia="Calibri"/>
          <w:color w:val="auto"/>
        </w:rPr>
        <w:t xml:space="preserve"> se </w:t>
      </w:r>
      <w:proofErr w:type="spellStart"/>
      <w:r w:rsidRPr="00EF2AAE">
        <w:rPr>
          <w:rFonts w:eastAsia="Calibri"/>
          <w:color w:val="auto"/>
        </w:rPr>
        <w:t>planiraju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uložiti</w:t>
      </w:r>
      <w:proofErr w:type="spellEnd"/>
      <w:r w:rsidRPr="00EF2AAE">
        <w:rPr>
          <w:rFonts w:eastAsia="Calibri"/>
          <w:color w:val="auto"/>
        </w:rPr>
        <w:t xml:space="preserve">, </w:t>
      </w:r>
      <w:proofErr w:type="spellStart"/>
      <w:r w:rsidRPr="00EF2AAE">
        <w:rPr>
          <w:rFonts w:eastAsia="Calibri"/>
          <w:color w:val="auto"/>
        </w:rPr>
        <w:t>odnos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učešća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/ NTO CG, </w:t>
      </w:r>
      <w:proofErr w:type="spellStart"/>
      <w:r w:rsidRPr="00EF2AAE">
        <w:rPr>
          <w:rFonts w:eastAsia="Calibri"/>
          <w:color w:val="auto"/>
        </w:rPr>
        <w:t>podaci</w:t>
      </w:r>
      <w:proofErr w:type="spellEnd"/>
      <w:r w:rsidRPr="00EF2AAE">
        <w:rPr>
          <w:rFonts w:eastAsia="Calibri"/>
          <w:color w:val="auto"/>
        </w:rPr>
        <w:t xml:space="preserve"> o </w:t>
      </w:r>
      <w:proofErr w:type="spellStart"/>
      <w:r w:rsidRPr="00EF2AAE">
        <w:rPr>
          <w:rFonts w:eastAsia="Calibri"/>
          <w:color w:val="auto"/>
        </w:rPr>
        <w:t>broju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gostiju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koje</w:t>
      </w:r>
      <w:proofErr w:type="spellEnd"/>
      <w:r w:rsidRPr="00EF2AAE">
        <w:rPr>
          <w:rFonts w:eastAsia="Calibri"/>
          <w:color w:val="auto"/>
        </w:rPr>
        <w:t xml:space="preserve"> je </w:t>
      </w:r>
      <w:proofErr w:type="spellStart"/>
      <w:r w:rsidRPr="00EF2AAE">
        <w:rPr>
          <w:rFonts w:eastAsia="Calibri"/>
          <w:color w:val="auto"/>
        </w:rPr>
        <w:t>turoperator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sa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svojim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programom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ostvario</w:t>
      </w:r>
      <w:proofErr w:type="spellEnd"/>
      <w:r w:rsidRPr="00EF2AAE">
        <w:rPr>
          <w:rFonts w:eastAsia="Calibri"/>
          <w:color w:val="auto"/>
        </w:rPr>
        <w:t xml:space="preserve"> u 2017.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2018. </w:t>
      </w:r>
      <w:proofErr w:type="spellStart"/>
      <w:r w:rsidRPr="00EF2AAE">
        <w:rPr>
          <w:rFonts w:eastAsia="Calibri"/>
          <w:color w:val="auto"/>
        </w:rPr>
        <w:t>godini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i</w:t>
      </w:r>
      <w:proofErr w:type="spellEnd"/>
      <w:r w:rsidRPr="00EF2AAE">
        <w:rPr>
          <w:rFonts w:eastAsia="Calibri"/>
          <w:color w:val="auto"/>
        </w:rPr>
        <w:t xml:space="preserve"> </w:t>
      </w:r>
      <w:proofErr w:type="spellStart"/>
      <w:r w:rsidRPr="00EF2AAE">
        <w:rPr>
          <w:rFonts w:eastAsia="Calibri"/>
          <w:color w:val="auto"/>
        </w:rPr>
        <w:t>okvirni</w:t>
      </w:r>
      <w:proofErr w:type="spellEnd"/>
      <w:r w:rsidRPr="00EF2AAE">
        <w:rPr>
          <w:rFonts w:eastAsia="Calibri"/>
          <w:color w:val="auto"/>
        </w:rPr>
        <w:t xml:space="preserve"> plan za 2019. </w:t>
      </w:r>
      <w:proofErr w:type="spellStart"/>
      <w:r w:rsidRPr="00EF2AAE">
        <w:rPr>
          <w:rFonts w:eastAsia="Calibri"/>
          <w:color w:val="auto"/>
        </w:rPr>
        <w:t>godinu</w:t>
      </w:r>
      <w:proofErr w:type="spellEnd"/>
      <w:r w:rsidRPr="00EF2AAE">
        <w:rPr>
          <w:rFonts w:eastAsia="Calibri"/>
          <w:color w:val="auto"/>
        </w:rPr>
        <w:t xml:space="preserve">.  </w:t>
      </w:r>
    </w:p>
    <w:p w:rsidR="00812C4A" w:rsidRPr="00EF2AAE" w:rsidRDefault="00812C4A" w:rsidP="00812C4A">
      <w:pPr>
        <w:pStyle w:val="Normal1"/>
        <w:jc w:val="both"/>
        <w:rPr>
          <w:color w:val="FF0000"/>
        </w:rPr>
      </w:pPr>
    </w:p>
    <w:p w:rsidR="00812C4A" w:rsidRPr="00EF2AAE" w:rsidRDefault="00812C4A" w:rsidP="00812C4A">
      <w:pPr>
        <w:pStyle w:val="Normal1"/>
        <w:jc w:val="both"/>
        <w:rPr>
          <w:color w:val="auto"/>
        </w:rPr>
      </w:pPr>
      <w:r w:rsidRPr="00EF2AAE">
        <w:rPr>
          <w:color w:val="auto"/>
        </w:rPr>
        <w:t xml:space="preserve">Rang </w:t>
      </w:r>
      <w:proofErr w:type="spellStart"/>
      <w:r w:rsidRPr="00EF2AAE">
        <w:rPr>
          <w:color w:val="auto"/>
        </w:rPr>
        <w:t>lista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će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biti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objavljena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internet </w:t>
      </w:r>
      <w:proofErr w:type="spellStart"/>
      <w:r w:rsidRPr="00EF2AAE">
        <w:rPr>
          <w:color w:val="auto"/>
        </w:rPr>
        <w:t>s</w:t>
      </w:r>
      <w:bookmarkStart w:id="0" w:name="_GoBack"/>
      <w:bookmarkEnd w:id="0"/>
      <w:r w:rsidRPr="00EF2AAE">
        <w:rPr>
          <w:color w:val="auto"/>
        </w:rPr>
        <w:t>tranicama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Ministarstva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održivog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razvoja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turizma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</w:rPr>
        <w:t xml:space="preserve"> NTOCG.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812C4A" w:rsidRPr="00EF2AAE" w:rsidRDefault="00812C4A" w:rsidP="00812C4A">
      <w:pPr>
        <w:pStyle w:val="Normal1"/>
        <w:ind w:right="347"/>
        <w:jc w:val="both"/>
        <w:rPr>
          <w:color w:val="auto"/>
        </w:rPr>
      </w:pPr>
      <w:proofErr w:type="spellStart"/>
      <w:r w:rsidRPr="00EF2AAE">
        <w:rPr>
          <w:color w:val="auto"/>
        </w:rPr>
        <w:lastRenderedPageBreak/>
        <w:t>Sredstva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će</w:t>
      </w:r>
      <w:proofErr w:type="spellEnd"/>
      <w:r w:rsidRPr="00EF2AAE">
        <w:rPr>
          <w:color w:val="auto"/>
        </w:rPr>
        <w:t xml:space="preserve"> se </w:t>
      </w:r>
      <w:proofErr w:type="spellStart"/>
      <w:r w:rsidRPr="00EF2AAE">
        <w:rPr>
          <w:color w:val="auto"/>
        </w:rPr>
        <w:t>odobravati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projektima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prema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bodovnoj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listi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najvećeg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broja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niže</w:t>
      </w:r>
      <w:proofErr w:type="spellEnd"/>
      <w:r w:rsidRPr="00EF2AAE">
        <w:rPr>
          <w:color w:val="auto"/>
        </w:rPr>
        <w:t xml:space="preserve">, do </w:t>
      </w:r>
      <w:proofErr w:type="spellStart"/>
      <w:r w:rsidRPr="00EF2AAE">
        <w:rPr>
          <w:color w:val="auto"/>
        </w:rPr>
        <w:t>krajnje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raspodjele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ukupnog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iznosa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raspoloživih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sredstava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namijenjenih</w:t>
      </w:r>
      <w:proofErr w:type="spellEnd"/>
      <w:r w:rsidRPr="00EF2AAE">
        <w:rPr>
          <w:color w:val="auto"/>
        </w:rPr>
        <w:t xml:space="preserve"> za </w:t>
      </w:r>
      <w:proofErr w:type="spellStart"/>
      <w:r w:rsidRPr="00EF2AAE">
        <w:rPr>
          <w:color w:val="auto"/>
        </w:rPr>
        <w:t>Mjeru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Programa</w:t>
      </w:r>
      <w:proofErr w:type="spellEnd"/>
      <w:r w:rsidRPr="00EF2AAE">
        <w:rPr>
          <w:color w:val="auto"/>
        </w:rPr>
        <w:t xml:space="preserve">. </w:t>
      </w:r>
    </w:p>
    <w:p w:rsidR="00812C4A" w:rsidRPr="00EF2AAE" w:rsidRDefault="00812C4A" w:rsidP="00812C4A">
      <w:pPr>
        <w:pStyle w:val="Normal1"/>
        <w:jc w:val="both"/>
        <w:rPr>
          <w:color w:val="auto"/>
        </w:rPr>
      </w:pPr>
    </w:p>
    <w:p w:rsidR="00062288" w:rsidRDefault="00812C4A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Ako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posljednji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bodovnoj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listi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prelazi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ukupno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opredijeljeni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iznos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hAnsi="Times New Roman"/>
          <w:sz w:val="24"/>
          <w:szCs w:val="24"/>
        </w:rPr>
        <w:t>ovu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mjeru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dobiti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dio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zahtijevanih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U tom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imati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mogućnost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</w:rPr>
        <w:t>povuče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062288" w:rsidRPr="00EF2AAE" w:rsidRDefault="00062288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:rsidR="00812C4A" w:rsidRPr="00EF2AAE" w:rsidRDefault="00812C4A" w:rsidP="00812C4A">
      <w:pPr>
        <w:pStyle w:val="NoSpacing"/>
        <w:tabs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ind w:left="284"/>
        <w:jc w:val="both"/>
        <w:rPr>
          <w:rFonts w:ascii="Times New Roman" w:eastAsia="Times New Roman" w:hAnsi="Times New Roman"/>
          <w:b/>
          <w:iCs/>
          <w:sz w:val="24"/>
          <w:szCs w:val="24"/>
          <w:lang w:val="sr-Latn-CS"/>
        </w:rPr>
      </w:pPr>
      <w:r w:rsidRPr="00EF2AAE">
        <w:rPr>
          <w:rFonts w:ascii="Times New Roman" w:eastAsia="Times New Roman" w:hAnsi="Times New Roman"/>
          <w:b/>
          <w:iCs/>
          <w:sz w:val="24"/>
          <w:szCs w:val="24"/>
          <w:lang w:val="sr-Latn-CS"/>
        </w:rPr>
        <w:t xml:space="preserve"> Rok za podnošenje prijava</w:t>
      </w:r>
    </w:p>
    <w:p w:rsidR="00812C4A" w:rsidRPr="00EF2AAE" w:rsidRDefault="00812C4A" w:rsidP="00812C4A">
      <w:pPr>
        <w:pStyle w:val="NoSpacing"/>
        <w:ind w:left="284"/>
        <w:jc w:val="both"/>
        <w:rPr>
          <w:rFonts w:ascii="Times New Roman" w:eastAsia="Times New Roman" w:hAnsi="Times New Roman"/>
          <w:b/>
          <w:iCs/>
          <w:sz w:val="24"/>
          <w:szCs w:val="24"/>
          <w:lang w:val="sr-Latn-CS"/>
        </w:rPr>
      </w:pPr>
      <w:r w:rsidRPr="00EF2AAE">
        <w:rPr>
          <w:rFonts w:ascii="Times New Roman" w:eastAsia="Times New Roman" w:hAnsi="Times New Roman"/>
          <w:b/>
          <w:iCs/>
          <w:sz w:val="24"/>
          <w:szCs w:val="24"/>
          <w:lang w:val="sr-Latn-CS"/>
        </w:rPr>
        <w:t xml:space="preserve"> </w:t>
      </w:r>
    </w:p>
    <w:p w:rsidR="00812C4A" w:rsidRPr="00B25362" w:rsidRDefault="001E30F5" w:rsidP="001E30F5">
      <w:pPr>
        <w:widowControl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F2AAE">
        <w:rPr>
          <w:rFonts w:ascii="Times New Roman" w:eastAsia="Times New Roman" w:hAnsi="Times New Roman"/>
          <w:iCs/>
          <w:sz w:val="24"/>
          <w:szCs w:val="24"/>
          <w:lang w:val="sr-Latn-CS"/>
        </w:rPr>
        <w:t>Rok za podnošenje prijava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812C4A" w:rsidRPr="00EF2AAE">
        <w:rPr>
          <w:rFonts w:ascii="Times New Roman" w:hAnsi="Times New Roman"/>
          <w:sz w:val="24"/>
          <w:szCs w:val="24"/>
        </w:rPr>
        <w:t>je</w:t>
      </w:r>
      <w:r w:rsidR="00812C4A" w:rsidRPr="00EF2AAE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DF741E" w:rsidRPr="00EF2AAE">
        <w:rPr>
          <w:rFonts w:ascii="Times New Roman" w:hAnsi="Times New Roman"/>
          <w:sz w:val="24"/>
          <w:szCs w:val="24"/>
          <w:lang w:val="sr-Latn-CS"/>
        </w:rPr>
        <w:t>21 dan od dana objave Javnog poziva.</w:t>
      </w:r>
    </w:p>
    <w:p w:rsidR="00812C4A" w:rsidRPr="00EF2AAE" w:rsidRDefault="00812C4A" w:rsidP="009B1BDC">
      <w:pPr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84" w:right="347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F2AA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Postupak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dono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enja</w:t>
      </w:r>
      <w:proofErr w:type="spellEnd"/>
      <w:r w:rsidRPr="00EF2AAE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b/>
          <w:sz w:val="24"/>
          <w:szCs w:val="24"/>
        </w:rPr>
        <w:t>odluke</w:t>
      </w:r>
      <w:proofErr w:type="spellEnd"/>
    </w:p>
    <w:p w:rsidR="00812C4A" w:rsidRPr="00EF2AAE" w:rsidRDefault="00812C4A" w:rsidP="00812C4A">
      <w:pPr>
        <w:autoSpaceDE w:val="0"/>
        <w:autoSpaceDN w:val="0"/>
        <w:adjustRightInd w:val="0"/>
        <w:ind w:left="720" w:right="347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812C4A" w:rsidRPr="00EF2AAE" w:rsidRDefault="00812C4A" w:rsidP="00812C4A">
      <w:pPr>
        <w:pStyle w:val="Normal1"/>
        <w:ind w:right="347"/>
        <w:jc w:val="both"/>
        <w:rPr>
          <w:color w:val="auto"/>
          <w:lang w:val="sr-Latn-CS"/>
        </w:rPr>
      </w:pPr>
      <w:proofErr w:type="spellStart"/>
      <w:r w:rsidRPr="00EF2AAE">
        <w:rPr>
          <w:color w:val="auto"/>
        </w:rPr>
        <w:t>Inicijalno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procesuiranje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zahtjeva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primljenih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po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ovom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Javnom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pozivu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je</w:t>
      </w:r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u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nadle</w:t>
      </w:r>
      <w:proofErr w:type="spellEnd"/>
      <w:r w:rsidRPr="00EF2AAE">
        <w:rPr>
          <w:color w:val="auto"/>
          <w:lang w:val="sr-Latn-CS"/>
        </w:rPr>
        <w:t>ž</w:t>
      </w:r>
      <w:proofErr w:type="spellStart"/>
      <w:r w:rsidRPr="00EF2AAE">
        <w:rPr>
          <w:color w:val="auto"/>
        </w:rPr>
        <w:t>nosti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radne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grupe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formira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direktor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NTOCG</w:t>
      </w:r>
      <w:r w:rsidRPr="00EF2AAE">
        <w:rPr>
          <w:color w:val="auto"/>
          <w:lang w:val="sr-Latn-CS"/>
        </w:rPr>
        <w:t xml:space="preserve">. </w:t>
      </w:r>
      <w:proofErr w:type="spellStart"/>
      <w:r w:rsidRPr="00EF2AAE">
        <w:rPr>
          <w:color w:val="auto"/>
        </w:rPr>
        <w:t>Radna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grupa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obra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sistematizuje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zahtjeve</w:t>
      </w:r>
      <w:proofErr w:type="spellEnd"/>
      <w:r w:rsidRPr="00EF2AAE">
        <w:rPr>
          <w:color w:val="auto"/>
          <w:lang w:val="sr-Latn-CS"/>
        </w:rPr>
        <w:t xml:space="preserve">, </w:t>
      </w:r>
      <w:proofErr w:type="spellStart"/>
      <w:r w:rsidRPr="00EF2AAE">
        <w:rPr>
          <w:color w:val="auto"/>
        </w:rPr>
        <w:t>pribavlja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dodatne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podatke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utvr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Predlog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rang</w:t>
      </w:r>
      <w:r w:rsidRPr="00EF2AAE">
        <w:rPr>
          <w:color w:val="auto"/>
          <w:lang w:val="sr-Latn-CS"/>
        </w:rPr>
        <w:t>-</w:t>
      </w:r>
      <w:proofErr w:type="spellStart"/>
      <w:r w:rsidRPr="00EF2AAE">
        <w:rPr>
          <w:color w:val="auto"/>
        </w:rPr>
        <w:t>liste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proje</w:t>
      </w:r>
      <w:proofErr w:type="spellEnd"/>
      <w:r w:rsidR="00782F1F" w:rsidRPr="00B25362">
        <w:rPr>
          <w:color w:val="auto"/>
          <w:lang w:val="sr-Latn-CS"/>
        </w:rPr>
        <w:t>+</w:t>
      </w:r>
      <w:r w:rsidRPr="00EF2AAE">
        <w:rPr>
          <w:color w:val="auto"/>
        </w:rPr>
        <w:t>kata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ispunjavaju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zadate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uslove</w:t>
      </w:r>
      <w:proofErr w:type="spellEnd"/>
      <w:r w:rsidRPr="00EF2AAE">
        <w:rPr>
          <w:color w:val="auto"/>
          <w:lang w:val="sr-Latn-CS"/>
        </w:rPr>
        <w:t xml:space="preserve">. </w:t>
      </w:r>
    </w:p>
    <w:p w:rsidR="00812C4A" w:rsidRPr="00EF2AAE" w:rsidRDefault="00812C4A" w:rsidP="00812C4A">
      <w:pPr>
        <w:pStyle w:val="Normal1"/>
        <w:ind w:left="709" w:right="347"/>
        <w:jc w:val="both"/>
        <w:rPr>
          <w:color w:val="auto"/>
          <w:lang w:val="sr-Latn-CS"/>
        </w:rPr>
      </w:pPr>
    </w:p>
    <w:p w:rsidR="00812C4A" w:rsidRPr="00EF2AAE" w:rsidRDefault="00812C4A" w:rsidP="001F3F1F">
      <w:pPr>
        <w:pStyle w:val="Normal1"/>
        <w:ind w:right="347"/>
        <w:jc w:val="both"/>
        <w:rPr>
          <w:color w:val="auto"/>
          <w:lang w:val="sr-Latn-CS"/>
        </w:rPr>
      </w:pPr>
      <w:r w:rsidRPr="00EF2AAE">
        <w:rPr>
          <w:color w:val="auto"/>
        </w:rPr>
        <w:t>Na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osnovu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utvr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enog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Predloga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rang</w:t>
      </w:r>
      <w:r w:rsidRPr="00EF2AAE">
        <w:rPr>
          <w:color w:val="auto"/>
          <w:lang w:val="sr-Latn-CS"/>
        </w:rPr>
        <w:t>-</w:t>
      </w:r>
      <w:proofErr w:type="spellStart"/>
      <w:r w:rsidRPr="00EF2AAE">
        <w:rPr>
          <w:color w:val="auto"/>
        </w:rPr>
        <w:t>liste</w:t>
      </w:r>
      <w:proofErr w:type="spellEnd"/>
      <w:r w:rsidRPr="00EF2AAE">
        <w:rPr>
          <w:color w:val="auto"/>
          <w:lang w:val="sr-Latn-CS"/>
        </w:rPr>
        <w:t xml:space="preserve">, </w:t>
      </w:r>
      <w:proofErr w:type="spellStart"/>
      <w:r w:rsidRPr="00EF2AAE">
        <w:rPr>
          <w:color w:val="auto"/>
        </w:rPr>
        <w:t>Savjet</w:t>
      </w:r>
      <w:proofErr w:type="spellEnd"/>
      <w:r w:rsidRPr="00EF2AAE">
        <w:rPr>
          <w:color w:val="auto"/>
          <w:lang w:val="sr-Latn-CS"/>
        </w:rPr>
        <w:t xml:space="preserve"> (</w:t>
      </w:r>
      <w:proofErr w:type="spellStart"/>
      <w:r w:rsidRPr="00EF2AAE">
        <w:rPr>
          <w:color w:val="auto"/>
        </w:rPr>
        <w:t>Komisija</w:t>
      </w:r>
      <w:proofErr w:type="spellEnd"/>
      <w:r w:rsidRPr="00EF2AAE">
        <w:rPr>
          <w:color w:val="auto"/>
          <w:lang w:val="sr-Latn-CS"/>
        </w:rPr>
        <w:t xml:space="preserve">) </w:t>
      </w:r>
      <w:r w:rsidRPr="00EF2AAE">
        <w:rPr>
          <w:color w:val="auto"/>
        </w:rPr>
        <w:t>za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predlaganje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po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Javnom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pozivu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imenuje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direktor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NTOCG</w:t>
      </w:r>
      <w:r w:rsidRPr="00EF2AAE">
        <w:rPr>
          <w:color w:val="auto"/>
          <w:lang w:val="sr-Latn-CS"/>
        </w:rPr>
        <w:t xml:space="preserve">, </w:t>
      </w:r>
      <w:proofErr w:type="spellStart"/>
      <w:r w:rsidRPr="00EF2AAE">
        <w:rPr>
          <w:color w:val="auto"/>
        </w:rPr>
        <w:t>utvr</w:t>
      </w:r>
      <w:proofErr w:type="spellEnd"/>
      <w:r w:rsidRPr="00EF2AAE">
        <w:rPr>
          <w:color w:val="auto"/>
          <w:lang w:val="sr-Latn-CS"/>
        </w:rPr>
        <w:t>đ</w:t>
      </w:r>
      <w:proofErr w:type="spellStart"/>
      <w:r w:rsidRPr="00EF2AAE">
        <w:rPr>
          <w:color w:val="auto"/>
        </w:rPr>
        <w:t>uje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Predlog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o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odabiru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projekata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koji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su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se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kvalifikovali</w:t>
      </w:r>
      <w:proofErr w:type="spellEnd"/>
      <w:r w:rsidRPr="00EF2AAE">
        <w:rPr>
          <w:color w:val="auto"/>
          <w:lang w:val="sr-Latn-CS"/>
        </w:rPr>
        <w:t xml:space="preserve"> </w:t>
      </w:r>
      <w:r w:rsidRPr="00EF2AAE">
        <w:rPr>
          <w:color w:val="auto"/>
        </w:rPr>
        <w:t>za</w:t>
      </w:r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dobijanje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podr</w:t>
      </w:r>
      <w:proofErr w:type="spellEnd"/>
      <w:r w:rsidRPr="00EF2AAE">
        <w:rPr>
          <w:color w:val="auto"/>
          <w:lang w:val="sr-Latn-CS"/>
        </w:rPr>
        <w:t>š</w:t>
      </w:r>
      <w:proofErr w:type="spellStart"/>
      <w:r w:rsidRPr="00EF2AAE">
        <w:rPr>
          <w:color w:val="auto"/>
        </w:rPr>
        <w:t>ke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i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dodjelu</w:t>
      </w:r>
      <w:proofErr w:type="spellEnd"/>
      <w:r w:rsidRPr="00EF2AAE">
        <w:rPr>
          <w:color w:val="auto"/>
          <w:lang w:val="sr-Latn-CS"/>
        </w:rPr>
        <w:t xml:space="preserve"> </w:t>
      </w:r>
      <w:proofErr w:type="spellStart"/>
      <w:r w:rsidRPr="00EF2AAE">
        <w:rPr>
          <w:color w:val="auto"/>
        </w:rPr>
        <w:t>sredstava</w:t>
      </w:r>
      <w:proofErr w:type="spellEnd"/>
      <w:r w:rsidR="001F3F1F" w:rsidRPr="00EF2AAE">
        <w:rPr>
          <w:color w:val="auto"/>
          <w:lang w:val="sr-Latn-CS"/>
        </w:rPr>
        <w:t xml:space="preserve">. </w:t>
      </w:r>
    </w:p>
    <w:p w:rsidR="00812C4A" w:rsidRPr="00EF2AAE" w:rsidRDefault="00812C4A" w:rsidP="001E30F5">
      <w:pPr>
        <w:spacing w:before="240"/>
        <w:ind w:right="-7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o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odnosno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o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odbijanju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ukoliko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prijave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ne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ispunjavju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uslove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predvi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</w:rPr>
        <w:t>ene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Programom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Javnim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pozivom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NTOCG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Pr="00EF2AAE">
        <w:rPr>
          <w:rFonts w:ascii="Times New Roman" w:hAnsi="Times New Roman"/>
          <w:sz w:val="24"/>
          <w:szCs w:val="24"/>
        </w:rPr>
        <w:t>Sa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podnosiocima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za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odabrane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projekte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EF2AAE">
        <w:rPr>
          <w:rFonts w:ascii="Times New Roman" w:hAnsi="Times New Roman"/>
          <w:sz w:val="24"/>
          <w:szCs w:val="24"/>
        </w:rPr>
        <w:t>NTOCG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zaklju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</w:rPr>
        <w:t>uje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o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me</w:t>
      </w:r>
      <w:r w:rsidRPr="00EF2AAE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</w:rPr>
        <w:t>usobnim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pravima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obavezama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</w:rPr>
        <w:t>u</w:t>
      </w:r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vezi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njihove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realizacije</w:t>
      </w:r>
      <w:proofErr w:type="spellEnd"/>
      <w:r w:rsidRPr="00EF2AAE">
        <w:rPr>
          <w:rFonts w:ascii="Times New Roman" w:hAnsi="Times New Roman"/>
          <w:sz w:val="24"/>
          <w:szCs w:val="24"/>
          <w:lang w:val="sr-Latn-CS"/>
        </w:rPr>
        <w:t>.</w:t>
      </w:r>
    </w:p>
    <w:p w:rsidR="00812C4A" w:rsidRPr="00EF2AAE" w:rsidRDefault="00812C4A" w:rsidP="009B1BDC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spacing w:before="240"/>
        <w:ind w:left="284" w:right="3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AA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odlučivanje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prigovorima</w:t>
      </w:r>
      <w:proofErr w:type="spellEnd"/>
    </w:p>
    <w:p w:rsidR="00812C4A" w:rsidRPr="00EF2AAE" w:rsidRDefault="00812C4A" w:rsidP="001E30F5">
      <w:pPr>
        <w:pStyle w:val="NoSpacing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Odluka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odabiru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dodjeli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odnosno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odbijanju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ukoliko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sve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prijave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ne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ispunjavju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uslove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predviđene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Programom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pozivom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donijeće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najkasnije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od 45 od dana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zatvaranja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poziva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>.</w:t>
      </w:r>
    </w:p>
    <w:p w:rsidR="00812C4A" w:rsidRPr="00EF2AAE" w:rsidRDefault="00812C4A" w:rsidP="001E30F5">
      <w:pPr>
        <w:pStyle w:val="Normal1"/>
        <w:tabs>
          <w:tab w:val="left" w:pos="8640"/>
        </w:tabs>
        <w:spacing w:before="240"/>
        <w:ind w:right="-7"/>
        <w:jc w:val="both"/>
        <w:rPr>
          <w:color w:val="auto"/>
        </w:rPr>
      </w:pPr>
      <w:r w:rsidRPr="00EF2AAE">
        <w:rPr>
          <w:color w:val="auto"/>
        </w:rPr>
        <w:t xml:space="preserve">Na </w:t>
      </w:r>
      <w:proofErr w:type="spellStart"/>
      <w:r w:rsidRPr="00EF2AAE">
        <w:rPr>
          <w:color w:val="auto"/>
        </w:rPr>
        <w:t>donesene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osnovu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Programa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odnosno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Javnog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poziva</w:t>
      </w:r>
      <w:proofErr w:type="spellEnd"/>
      <w:r w:rsidRPr="00EF2AAE">
        <w:rPr>
          <w:color w:val="auto"/>
        </w:rPr>
        <w:t xml:space="preserve">, </w:t>
      </w:r>
      <w:proofErr w:type="spellStart"/>
      <w:r w:rsidRPr="00EF2AAE">
        <w:rPr>
          <w:color w:val="auto"/>
        </w:rPr>
        <w:t>podnosilac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ima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pravo</w:t>
      </w:r>
      <w:proofErr w:type="spellEnd"/>
      <w:r w:rsidRPr="00EF2AAE">
        <w:rPr>
          <w:color w:val="auto"/>
        </w:rPr>
        <w:t xml:space="preserve"> da </w:t>
      </w:r>
      <w:proofErr w:type="spellStart"/>
      <w:r w:rsidRPr="00EF2AAE">
        <w:rPr>
          <w:color w:val="auto"/>
        </w:rPr>
        <w:t>uloži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prigovor</w:t>
      </w:r>
      <w:proofErr w:type="spellEnd"/>
      <w:r w:rsidRPr="00EF2AAE">
        <w:rPr>
          <w:color w:val="auto"/>
        </w:rPr>
        <w:t xml:space="preserve"> u </w:t>
      </w:r>
      <w:proofErr w:type="spellStart"/>
      <w:r w:rsidRPr="00EF2AAE">
        <w:rPr>
          <w:color w:val="auto"/>
        </w:rPr>
        <w:t>roku</w:t>
      </w:r>
      <w:proofErr w:type="spellEnd"/>
      <w:r w:rsidRPr="00EF2AAE">
        <w:rPr>
          <w:color w:val="auto"/>
        </w:rPr>
        <w:t xml:space="preserve"> od 8 dana od dana </w:t>
      </w:r>
      <w:proofErr w:type="spellStart"/>
      <w:r w:rsidRPr="00EF2AAE">
        <w:rPr>
          <w:color w:val="auto"/>
        </w:rPr>
        <w:t>objavljivanja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odluke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na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sajtu</w:t>
      </w:r>
      <w:proofErr w:type="spellEnd"/>
      <w:r w:rsidRPr="00EF2AAE">
        <w:rPr>
          <w:color w:val="auto"/>
        </w:rPr>
        <w:t xml:space="preserve">. O </w:t>
      </w:r>
      <w:proofErr w:type="spellStart"/>
      <w:r w:rsidRPr="00EF2AAE">
        <w:rPr>
          <w:color w:val="auto"/>
        </w:rPr>
        <w:t>primljenim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prigovorima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odlučivaće</w:t>
      </w:r>
      <w:proofErr w:type="spellEnd"/>
      <w:r w:rsidRPr="00EF2AAE">
        <w:rPr>
          <w:color w:val="auto"/>
        </w:rPr>
        <w:t xml:space="preserve"> se u </w:t>
      </w:r>
      <w:proofErr w:type="spellStart"/>
      <w:r w:rsidRPr="00EF2AAE">
        <w:rPr>
          <w:color w:val="auto"/>
        </w:rPr>
        <w:t>roku</w:t>
      </w:r>
      <w:proofErr w:type="spellEnd"/>
      <w:r w:rsidRPr="00EF2AAE">
        <w:rPr>
          <w:color w:val="auto"/>
        </w:rPr>
        <w:t xml:space="preserve"> od 15 </w:t>
      </w:r>
      <w:proofErr w:type="spellStart"/>
      <w:r w:rsidRPr="00EF2AAE">
        <w:rPr>
          <w:color w:val="auto"/>
        </w:rPr>
        <w:t>radnih</w:t>
      </w:r>
      <w:proofErr w:type="spellEnd"/>
      <w:r w:rsidRPr="00EF2AAE">
        <w:rPr>
          <w:color w:val="auto"/>
        </w:rPr>
        <w:t xml:space="preserve"> dana od dana </w:t>
      </w:r>
      <w:proofErr w:type="spellStart"/>
      <w:r w:rsidRPr="00EF2AAE">
        <w:rPr>
          <w:color w:val="auto"/>
        </w:rPr>
        <w:t>prijema</w:t>
      </w:r>
      <w:proofErr w:type="spellEnd"/>
      <w:r w:rsidRPr="00EF2AAE">
        <w:rPr>
          <w:color w:val="auto"/>
        </w:rPr>
        <w:t xml:space="preserve"> </w:t>
      </w:r>
      <w:proofErr w:type="spellStart"/>
      <w:r w:rsidRPr="00EF2AAE">
        <w:rPr>
          <w:color w:val="auto"/>
        </w:rPr>
        <w:t>prigovora</w:t>
      </w:r>
      <w:proofErr w:type="spellEnd"/>
      <w:r w:rsidRPr="00EF2AAE">
        <w:rPr>
          <w:color w:val="auto"/>
        </w:rPr>
        <w:t>.</w:t>
      </w:r>
    </w:p>
    <w:p w:rsidR="00812C4A" w:rsidRPr="00EF2AAE" w:rsidRDefault="00812C4A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ind w:left="284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  <w:lang w:val="de-DE"/>
        </w:rPr>
        <w:t>sredstva</w:t>
      </w:r>
      <w:proofErr w:type="spellEnd"/>
    </w:p>
    <w:p w:rsidR="00812C4A" w:rsidRPr="00EF2AAE" w:rsidRDefault="00812C4A" w:rsidP="00812C4A">
      <w:pPr>
        <w:pStyle w:val="NoSpacing"/>
        <w:ind w:left="284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</w:p>
    <w:p w:rsidR="00812C4A" w:rsidRPr="00EF2AAE" w:rsidRDefault="00812C4A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iznosom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namjenom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dodijeljenih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korisniku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biće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objavljena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internet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stranicama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Ministarstva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razvoja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NTOCG u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donošenja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dodjeli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  <w:lang w:val="de-DE"/>
        </w:rPr>
        <w:t>.</w:t>
      </w:r>
    </w:p>
    <w:p w:rsidR="00062288" w:rsidRPr="00EF2AAE" w:rsidRDefault="00062288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812C4A" w:rsidRPr="00EF2AAE" w:rsidRDefault="00812C4A" w:rsidP="009B1BDC">
      <w:pPr>
        <w:pStyle w:val="NoSpacing"/>
        <w:numPr>
          <w:ilvl w:val="0"/>
          <w:numId w:val="9"/>
        </w:numPr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</w:rPr>
        <w:t>Rok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</w:rPr>
        <w:t xml:space="preserve"> za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</w:rPr>
        <w:t>potpisivanje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b/>
          <w:sz w:val="24"/>
          <w:szCs w:val="24"/>
        </w:rPr>
        <w:t>ugovora</w:t>
      </w:r>
      <w:proofErr w:type="spellEnd"/>
      <w:r w:rsidRPr="00EF2AA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12C4A" w:rsidRPr="00EF2AAE" w:rsidRDefault="00812C4A" w:rsidP="00812C4A">
      <w:pPr>
        <w:pStyle w:val="NoSpacing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12C4A" w:rsidRPr="00EF2AAE" w:rsidRDefault="00812C4A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lastRenderedPageBreak/>
        <w:t>Nacionalna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turistička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organizacija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će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s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odabranim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korisnicima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potpisati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ugovor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najkasnije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15 dana od dana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objave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odabiru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projekata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dodjeli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odnosno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odlučivanja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 xml:space="preserve"> po </w:t>
      </w:r>
      <w:proofErr w:type="spellStart"/>
      <w:r w:rsidRPr="00EF2AAE">
        <w:rPr>
          <w:rFonts w:ascii="Times New Roman" w:eastAsia="Times New Roman" w:hAnsi="Times New Roman"/>
          <w:sz w:val="24"/>
          <w:szCs w:val="24"/>
        </w:rPr>
        <w:t>prigovorima</w:t>
      </w:r>
      <w:proofErr w:type="spellEnd"/>
      <w:r w:rsidRPr="00EF2AAE">
        <w:rPr>
          <w:rFonts w:ascii="Times New Roman" w:eastAsia="Times New Roman" w:hAnsi="Times New Roman"/>
          <w:sz w:val="24"/>
          <w:szCs w:val="24"/>
        </w:rPr>
        <w:t>.</w:t>
      </w:r>
    </w:p>
    <w:p w:rsidR="008D6755" w:rsidRPr="00EF2AAE" w:rsidRDefault="008D6755" w:rsidP="00812C4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:rsidR="00812C4A" w:rsidRPr="00EF2AAE" w:rsidRDefault="00812C4A" w:rsidP="00812C4A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2C4A" w:rsidRDefault="00812C4A" w:rsidP="00812C4A">
      <w:pPr>
        <w:numPr>
          <w:ilvl w:val="0"/>
          <w:numId w:val="9"/>
        </w:numPr>
        <w:tabs>
          <w:tab w:val="left" w:pos="360"/>
          <w:tab w:val="left" w:pos="2160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/>
          <w:b/>
          <w:sz w:val="24"/>
          <w:szCs w:val="24"/>
        </w:rPr>
        <w:t>Nadzor</w:t>
      </w:r>
      <w:proofErr w:type="spellEnd"/>
      <w:r w:rsidRPr="00EF2AAE">
        <w:rPr>
          <w:rFonts w:ascii="Times New Roman" w:hAnsi="Times New Roman"/>
          <w:b/>
          <w:sz w:val="24"/>
          <w:szCs w:val="24"/>
        </w:rPr>
        <w:t xml:space="preserve"> </w:t>
      </w:r>
    </w:p>
    <w:p w:rsidR="00D86E22" w:rsidRPr="00D86E22" w:rsidRDefault="00D86E22" w:rsidP="00D86E22">
      <w:pPr>
        <w:tabs>
          <w:tab w:val="left" w:pos="360"/>
          <w:tab w:val="left" w:pos="2160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Radna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grupa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imenovana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direktora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namjenskim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korišćenjem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pisanog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dokazima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ugovorenom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dostavlja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NTOCG. Po </w:t>
      </w:r>
      <w:proofErr w:type="spellStart"/>
      <w:r w:rsidRPr="00EF2AAE">
        <w:rPr>
          <w:rFonts w:ascii="Times New Roman" w:hAnsi="Times New Roman"/>
          <w:sz w:val="24"/>
          <w:szCs w:val="24"/>
        </w:rPr>
        <w:t>potrebi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dodatni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uvidom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objektivnih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okolnosti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uticale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nemogućnost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ispunjenja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obaveza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proizlaze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ovog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utvrđene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odmah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EF2AAE">
        <w:rPr>
          <w:rFonts w:ascii="Times New Roman" w:hAnsi="Times New Roman"/>
          <w:sz w:val="24"/>
          <w:szCs w:val="24"/>
        </w:rPr>
        <w:t>obavijestiti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pisanim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AAE">
        <w:rPr>
          <w:rFonts w:ascii="Times New Roman" w:hAnsi="Times New Roman"/>
          <w:sz w:val="24"/>
          <w:szCs w:val="24"/>
        </w:rPr>
        <w:t>Nosilac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oglašavanja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</w:rPr>
        <w:t>obavijestiti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</w:rPr>
        <w:t>ukoliko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dođe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F2AAE">
        <w:rPr>
          <w:rFonts w:ascii="Times New Roman" w:hAnsi="Times New Roman"/>
          <w:sz w:val="24"/>
          <w:szCs w:val="24"/>
        </w:rPr>
        <w:t>promjena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odnosu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predloženi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program. U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smanjenja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planiranog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NTOCG </w:t>
      </w:r>
      <w:proofErr w:type="spellStart"/>
      <w:r w:rsidRPr="00EF2AAE">
        <w:rPr>
          <w:rFonts w:ascii="Times New Roman" w:hAnsi="Times New Roman"/>
          <w:sz w:val="24"/>
          <w:szCs w:val="24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smanjiti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obustaviti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dalje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zajedničko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oglašavanje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tom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mogu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biti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priznati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troškovi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realizovani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F2AAE">
        <w:rPr>
          <w:rFonts w:ascii="Times New Roman" w:hAnsi="Times New Roman"/>
          <w:sz w:val="24"/>
          <w:szCs w:val="24"/>
        </w:rPr>
        <w:t>trenutka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smanjenja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predloženog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skladu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F2AAE">
        <w:rPr>
          <w:rFonts w:ascii="Times New Roman" w:hAnsi="Times New Roman"/>
          <w:sz w:val="24"/>
          <w:szCs w:val="24"/>
        </w:rPr>
        <w:t>propisanim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uslovima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. U </w:t>
      </w:r>
      <w:proofErr w:type="spellStart"/>
      <w:r w:rsidRPr="00EF2AAE">
        <w:rPr>
          <w:rFonts w:ascii="Times New Roman" w:hAnsi="Times New Roman"/>
          <w:sz w:val="24"/>
          <w:szCs w:val="24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nepravilnosti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povratu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vratiti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ista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od 15 dana od </w:t>
      </w:r>
      <w:proofErr w:type="spellStart"/>
      <w:r w:rsidRPr="00EF2AAE">
        <w:rPr>
          <w:rFonts w:ascii="Times New Roman" w:hAnsi="Times New Roman"/>
          <w:sz w:val="24"/>
          <w:szCs w:val="24"/>
        </w:rPr>
        <w:t>prijema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812C4A" w:rsidRPr="00EF2AAE" w:rsidRDefault="00812C4A" w:rsidP="009B1BDC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2160"/>
        </w:tabs>
        <w:spacing w:before="24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Obaveze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korisnika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EF2AAE">
        <w:rPr>
          <w:rFonts w:ascii="Times New Roman" w:hAnsi="Times New Roman" w:cs="Times New Roman"/>
          <w:b/>
          <w:sz w:val="24"/>
          <w:szCs w:val="24"/>
        </w:rPr>
        <w:t xml:space="preserve"> da:</w:t>
      </w:r>
    </w:p>
    <w:p w:rsidR="00812C4A" w:rsidRPr="00EF2AAE" w:rsidRDefault="00812C4A" w:rsidP="001E30F5">
      <w:pPr>
        <w:tabs>
          <w:tab w:val="left" w:pos="360"/>
          <w:tab w:val="left" w:pos="216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EF2AAE">
        <w:rPr>
          <w:rFonts w:ascii="Times New Roman" w:hAnsi="Times New Roman"/>
          <w:sz w:val="24"/>
          <w:szCs w:val="24"/>
        </w:rPr>
        <w:t>Potpiše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iskoristi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namjenski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finansijski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svih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utrošenih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uključujući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sredstva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uložena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drugih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partnera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koja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potvrđuje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navode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kopije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računa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F2AAE">
        <w:rPr>
          <w:rFonts w:ascii="Times New Roman" w:hAnsi="Times New Roman"/>
          <w:sz w:val="24"/>
          <w:szCs w:val="24"/>
        </w:rPr>
        <w:t>troškove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fotografije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drugu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shodno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dostavi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izvještaj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realizaciji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</w:rPr>
        <w:t>ostvareni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rezultati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press clipping, </w:t>
      </w:r>
      <w:proofErr w:type="spellStart"/>
      <w:r w:rsidRPr="00EF2AAE">
        <w:rPr>
          <w:rFonts w:ascii="Times New Roman" w:hAnsi="Times New Roman"/>
          <w:sz w:val="24"/>
          <w:szCs w:val="24"/>
        </w:rPr>
        <w:t>fotografije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ciljevi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</w:rPr>
        <w:t>efekti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sl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)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Na </w:t>
      </w:r>
      <w:proofErr w:type="spellStart"/>
      <w:r w:rsidRPr="00EF2AAE">
        <w:rPr>
          <w:rFonts w:ascii="Times New Roman" w:hAnsi="Times New Roman"/>
          <w:sz w:val="24"/>
          <w:szCs w:val="24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NTO CG </w:t>
      </w:r>
      <w:proofErr w:type="spellStart"/>
      <w:r w:rsidRPr="00EF2AAE">
        <w:rPr>
          <w:rFonts w:ascii="Times New Roman" w:hAnsi="Times New Roman"/>
          <w:sz w:val="24"/>
          <w:szCs w:val="24"/>
        </w:rPr>
        <w:t>pruži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uvid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dodatnu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naknadno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traženu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</w:p>
    <w:p w:rsidR="00812C4A" w:rsidRPr="00EF2AAE" w:rsidRDefault="00812C4A" w:rsidP="00812C4A">
      <w:pPr>
        <w:tabs>
          <w:tab w:val="left" w:pos="360"/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 w:rsidRPr="00EF2AA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EF2AAE">
        <w:rPr>
          <w:rFonts w:ascii="Times New Roman" w:hAnsi="Times New Roman"/>
          <w:sz w:val="24"/>
          <w:szCs w:val="24"/>
        </w:rPr>
        <w:t>Realizuje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druge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obaveze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definisane</w:t>
      </w:r>
      <w:proofErr w:type="spellEnd"/>
      <w:r w:rsidRPr="00EF2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</w:rPr>
        <w:t>ugovorom</w:t>
      </w:r>
      <w:proofErr w:type="spellEnd"/>
      <w:r w:rsidRPr="00EF2AAE">
        <w:rPr>
          <w:rFonts w:ascii="Times New Roman" w:hAnsi="Times New Roman"/>
          <w:sz w:val="24"/>
          <w:szCs w:val="24"/>
        </w:rPr>
        <w:t>.</w:t>
      </w:r>
    </w:p>
    <w:p w:rsidR="00FA1528" w:rsidRDefault="00FA1528" w:rsidP="002011CE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highlight w:val="yellow"/>
          <w:lang w:val="sr-Latn-CS"/>
        </w:rPr>
      </w:pPr>
    </w:p>
    <w:p w:rsidR="002011CE" w:rsidRPr="003F14C5" w:rsidRDefault="002011CE" w:rsidP="002011CE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3F14C5">
        <w:rPr>
          <w:rFonts w:ascii="Times" w:hAnsi="Times"/>
          <w:sz w:val="22"/>
          <w:szCs w:val="22"/>
          <w:lang w:val="sr-Latn-CS"/>
        </w:rPr>
        <w:t xml:space="preserve">Napomena: Javni poziv je objavljen dana </w:t>
      </w:r>
      <w:r w:rsidR="00461599" w:rsidRPr="003F14C5">
        <w:rPr>
          <w:rFonts w:ascii="Times" w:hAnsi="Times"/>
          <w:sz w:val="22"/>
          <w:szCs w:val="22"/>
          <w:lang w:val="sr-Latn-CS"/>
        </w:rPr>
        <w:t>19. 06</w:t>
      </w:r>
      <w:r w:rsidRPr="003F14C5">
        <w:rPr>
          <w:rFonts w:ascii="Times" w:hAnsi="Times"/>
          <w:sz w:val="22"/>
          <w:szCs w:val="22"/>
          <w:lang w:val="sr-Latn-CS"/>
        </w:rPr>
        <w:t>. 201</w:t>
      </w:r>
      <w:r w:rsidR="00BD66BA" w:rsidRPr="003F14C5">
        <w:rPr>
          <w:rFonts w:ascii="Times" w:hAnsi="Times"/>
          <w:sz w:val="22"/>
          <w:szCs w:val="22"/>
          <w:lang w:val="sr-Latn-CS"/>
        </w:rPr>
        <w:t>9</w:t>
      </w:r>
      <w:r w:rsidRPr="003F14C5">
        <w:rPr>
          <w:rFonts w:ascii="Times" w:hAnsi="Times"/>
          <w:sz w:val="22"/>
          <w:szCs w:val="22"/>
          <w:lang w:val="sr-Latn-CS"/>
        </w:rPr>
        <w:t>. godine.</w:t>
      </w:r>
    </w:p>
    <w:p w:rsidR="002011CE" w:rsidRPr="003F14C5" w:rsidRDefault="002011CE" w:rsidP="002011CE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2011CE" w:rsidRDefault="002011CE" w:rsidP="002011CE">
      <w:pPr>
        <w:pStyle w:val="Normal1"/>
        <w:spacing w:line="276" w:lineRule="auto"/>
        <w:ind w:right="347"/>
        <w:jc w:val="both"/>
        <w:rPr>
          <w:rFonts w:asciiTheme="minorHAnsi" w:hAnsiTheme="minorHAnsi"/>
          <w:sz w:val="22"/>
          <w:szCs w:val="22"/>
        </w:rPr>
      </w:pPr>
      <w:r w:rsidRPr="003F14C5">
        <w:rPr>
          <w:rFonts w:ascii="Times" w:hAnsi="Times"/>
          <w:sz w:val="22"/>
          <w:szCs w:val="22"/>
          <w:lang w:val="sr-Latn-CS"/>
        </w:rPr>
        <w:t>Kontakt:</w:t>
      </w:r>
      <w:r w:rsidRPr="003F14C5">
        <w:rPr>
          <w:rFonts w:ascii="Times" w:hAnsi="Times"/>
          <w:sz w:val="22"/>
          <w:szCs w:val="22"/>
        </w:rPr>
        <w:t xml:space="preserve"> </w:t>
      </w:r>
      <w:proofErr w:type="spellStart"/>
      <w:r w:rsidRPr="003F14C5">
        <w:rPr>
          <w:rFonts w:ascii="Times" w:hAnsi="Times"/>
          <w:sz w:val="22"/>
          <w:szCs w:val="22"/>
        </w:rPr>
        <w:t>Andri</w:t>
      </w:r>
      <w:proofErr w:type="spellEnd"/>
      <w:r w:rsidRPr="003F14C5">
        <w:rPr>
          <w:rFonts w:ascii="Times" w:hAnsi="Times"/>
          <w:sz w:val="22"/>
          <w:szCs w:val="22"/>
        </w:rPr>
        <w:t xml:space="preserve"> </w:t>
      </w:r>
      <w:proofErr w:type="spellStart"/>
      <w:r w:rsidRPr="003F14C5">
        <w:rPr>
          <w:rFonts w:ascii="Times" w:hAnsi="Times"/>
          <w:sz w:val="22"/>
          <w:szCs w:val="22"/>
        </w:rPr>
        <w:t>Stanović</w:t>
      </w:r>
      <w:proofErr w:type="spellEnd"/>
      <w:r w:rsidRPr="003F14C5">
        <w:rPr>
          <w:rFonts w:ascii="Times" w:hAnsi="Times"/>
          <w:sz w:val="22"/>
          <w:szCs w:val="22"/>
        </w:rPr>
        <w:t>, e mail</w:t>
      </w:r>
      <w:r w:rsidRPr="003F14C5">
        <w:rPr>
          <w:rFonts w:asciiTheme="minorHAnsi" w:hAnsiTheme="minorHAnsi"/>
          <w:sz w:val="22"/>
          <w:szCs w:val="22"/>
          <w:lang w:val="sr-Latn-ME"/>
        </w:rPr>
        <w:t xml:space="preserve">: </w:t>
      </w:r>
      <w:hyperlink r:id="rId9" w:history="1">
        <w:r w:rsidRPr="003F14C5">
          <w:rPr>
            <w:rStyle w:val="Hyperlink"/>
            <w:rFonts w:asciiTheme="minorHAnsi" w:hAnsiTheme="minorHAnsi"/>
            <w:sz w:val="22"/>
            <w:szCs w:val="22"/>
            <w:lang w:val="sr-Latn-ME"/>
          </w:rPr>
          <w:t>andri.stanovic</w:t>
        </w:r>
        <w:r w:rsidRPr="003F14C5">
          <w:rPr>
            <w:rStyle w:val="Hyperlink"/>
            <w:rFonts w:asciiTheme="minorHAnsi" w:hAnsiTheme="minorHAnsi"/>
            <w:sz w:val="22"/>
            <w:szCs w:val="22"/>
          </w:rPr>
          <w:t>@montenegro.travel</w:t>
        </w:r>
      </w:hyperlink>
    </w:p>
    <w:p w:rsidR="002011CE" w:rsidRPr="004A6EFF" w:rsidRDefault="002011CE" w:rsidP="002011CE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D86E22" w:rsidRDefault="00D86E2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D86E22" w:rsidSect="00257F17">
      <w:footerReference w:type="default" r:id="rId10"/>
      <w:pgSz w:w="12240" w:h="15840"/>
      <w:pgMar w:top="1400" w:right="900" w:bottom="0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6DC" w:rsidRDefault="007776DC" w:rsidP="00747BD2">
      <w:pPr>
        <w:spacing w:after="0" w:line="240" w:lineRule="auto"/>
      </w:pPr>
      <w:r>
        <w:separator/>
      </w:r>
    </w:p>
  </w:endnote>
  <w:endnote w:type="continuationSeparator" w:id="0">
    <w:p w:rsidR="007776DC" w:rsidRDefault="007776DC" w:rsidP="0074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927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196" w:rsidRDefault="0021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EA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17196" w:rsidRDefault="0021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6DC" w:rsidRDefault="007776DC" w:rsidP="00747BD2">
      <w:pPr>
        <w:spacing w:after="0" w:line="240" w:lineRule="auto"/>
      </w:pPr>
      <w:r>
        <w:separator/>
      </w:r>
    </w:p>
  </w:footnote>
  <w:footnote w:type="continuationSeparator" w:id="0">
    <w:p w:rsidR="007776DC" w:rsidRDefault="007776DC" w:rsidP="0074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9ED"/>
    <w:multiLevelType w:val="hybridMultilevel"/>
    <w:tmpl w:val="655CFF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27340"/>
    <w:multiLevelType w:val="multilevel"/>
    <w:tmpl w:val="91202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16AB8"/>
    <w:multiLevelType w:val="hybridMultilevel"/>
    <w:tmpl w:val="26F4C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B0B3729"/>
    <w:multiLevelType w:val="hybridMultilevel"/>
    <w:tmpl w:val="8206A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11"/>
  </w:num>
  <w:num w:numId="14">
    <w:abstractNumId w:val="2"/>
  </w:num>
  <w:num w:numId="15">
    <w:abstractNumId w:val="4"/>
  </w:num>
  <w:num w:numId="16">
    <w:abstractNumId w:val="15"/>
  </w:num>
  <w:num w:numId="17">
    <w:abstractNumId w:val="16"/>
  </w:num>
  <w:num w:numId="18">
    <w:abstractNumId w:val="1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8"/>
    <w:rsid w:val="00002AE1"/>
    <w:rsid w:val="00004D57"/>
    <w:rsid w:val="00006385"/>
    <w:rsid w:val="00014109"/>
    <w:rsid w:val="00015B95"/>
    <w:rsid w:val="0006152E"/>
    <w:rsid w:val="00062288"/>
    <w:rsid w:val="00062A7E"/>
    <w:rsid w:val="00074346"/>
    <w:rsid w:val="00082291"/>
    <w:rsid w:val="00086FB6"/>
    <w:rsid w:val="00095E60"/>
    <w:rsid w:val="000A642F"/>
    <w:rsid w:val="000C2955"/>
    <w:rsid w:val="000C5612"/>
    <w:rsid w:val="000F572F"/>
    <w:rsid w:val="00103B0B"/>
    <w:rsid w:val="00123208"/>
    <w:rsid w:val="001301B6"/>
    <w:rsid w:val="001345B8"/>
    <w:rsid w:val="00140612"/>
    <w:rsid w:val="00150E5E"/>
    <w:rsid w:val="001511A5"/>
    <w:rsid w:val="00151870"/>
    <w:rsid w:val="00151978"/>
    <w:rsid w:val="00152046"/>
    <w:rsid w:val="00161A85"/>
    <w:rsid w:val="00161B13"/>
    <w:rsid w:val="00164188"/>
    <w:rsid w:val="001A0BFA"/>
    <w:rsid w:val="001C07A6"/>
    <w:rsid w:val="001C35C4"/>
    <w:rsid w:val="001E30F5"/>
    <w:rsid w:val="001E5C29"/>
    <w:rsid w:val="001F1AA8"/>
    <w:rsid w:val="001F3F1F"/>
    <w:rsid w:val="001F4B8A"/>
    <w:rsid w:val="002011CE"/>
    <w:rsid w:val="00211B8E"/>
    <w:rsid w:val="00217196"/>
    <w:rsid w:val="002209DC"/>
    <w:rsid w:val="00222645"/>
    <w:rsid w:val="00225996"/>
    <w:rsid w:val="00227039"/>
    <w:rsid w:val="00230252"/>
    <w:rsid w:val="0024752B"/>
    <w:rsid w:val="00257F17"/>
    <w:rsid w:val="002646AD"/>
    <w:rsid w:val="00294234"/>
    <w:rsid w:val="0029515F"/>
    <w:rsid w:val="002A5F8A"/>
    <w:rsid w:val="002B2A7B"/>
    <w:rsid w:val="002C6691"/>
    <w:rsid w:val="002C67E8"/>
    <w:rsid w:val="002D52AD"/>
    <w:rsid w:val="00300B7F"/>
    <w:rsid w:val="00302601"/>
    <w:rsid w:val="00315084"/>
    <w:rsid w:val="0032504E"/>
    <w:rsid w:val="00326FE9"/>
    <w:rsid w:val="0032721B"/>
    <w:rsid w:val="00330899"/>
    <w:rsid w:val="003449EF"/>
    <w:rsid w:val="003544E5"/>
    <w:rsid w:val="00357097"/>
    <w:rsid w:val="003604A5"/>
    <w:rsid w:val="00361225"/>
    <w:rsid w:val="00364AA9"/>
    <w:rsid w:val="00375553"/>
    <w:rsid w:val="00375B5F"/>
    <w:rsid w:val="0038666A"/>
    <w:rsid w:val="00387537"/>
    <w:rsid w:val="00391B25"/>
    <w:rsid w:val="003944EE"/>
    <w:rsid w:val="00397BCB"/>
    <w:rsid w:val="003A3A1E"/>
    <w:rsid w:val="003A4D90"/>
    <w:rsid w:val="003A6353"/>
    <w:rsid w:val="003B3034"/>
    <w:rsid w:val="003B6A1D"/>
    <w:rsid w:val="003C3ECD"/>
    <w:rsid w:val="003D4D18"/>
    <w:rsid w:val="003D6317"/>
    <w:rsid w:val="003F14C5"/>
    <w:rsid w:val="003F4726"/>
    <w:rsid w:val="00406676"/>
    <w:rsid w:val="0041026F"/>
    <w:rsid w:val="004165C5"/>
    <w:rsid w:val="004233F7"/>
    <w:rsid w:val="004341B5"/>
    <w:rsid w:val="00436D6F"/>
    <w:rsid w:val="00461599"/>
    <w:rsid w:val="00466DA9"/>
    <w:rsid w:val="00471E8F"/>
    <w:rsid w:val="00491D93"/>
    <w:rsid w:val="004A0378"/>
    <w:rsid w:val="004A64E1"/>
    <w:rsid w:val="004A6DE1"/>
    <w:rsid w:val="004C4338"/>
    <w:rsid w:val="004C56A5"/>
    <w:rsid w:val="004E2B10"/>
    <w:rsid w:val="004F007D"/>
    <w:rsid w:val="004F1688"/>
    <w:rsid w:val="004F4011"/>
    <w:rsid w:val="0050433F"/>
    <w:rsid w:val="00504C68"/>
    <w:rsid w:val="00517244"/>
    <w:rsid w:val="0052475D"/>
    <w:rsid w:val="005544C4"/>
    <w:rsid w:val="00567F91"/>
    <w:rsid w:val="0058158F"/>
    <w:rsid w:val="005827A5"/>
    <w:rsid w:val="005859A9"/>
    <w:rsid w:val="00590879"/>
    <w:rsid w:val="0059488A"/>
    <w:rsid w:val="00596933"/>
    <w:rsid w:val="005A3FCB"/>
    <w:rsid w:val="005B0110"/>
    <w:rsid w:val="005B29F0"/>
    <w:rsid w:val="005B3216"/>
    <w:rsid w:val="005D1014"/>
    <w:rsid w:val="005D589C"/>
    <w:rsid w:val="005E7C62"/>
    <w:rsid w:val="005F1398"/>
    <w:rsid w:val="005F1994"/>
    <w:rsid w:val="005F7B60"/>
    <w:rsid w:val="00615EA4"/>
    <w:rsid w:val="0062055A"/>
    <w:rsid w:val="0062484B"/>
    <w:rsid w:val="00630CAD"/>
    <w:rsid w:val="006310BC"/>
    <w:rsid w:val="00645CD2"/>
    <w:rsid w:val="00647BDF"/>
    <w:rsid w:val="006526FA"/>
    <w:rsid w:val="006536AD"/>
    <w:rsid w:val="00690521"/>
    <w:rsid w:val="006A33D7"/>
    <w:rsid w:val="006C7C78"/>
    <w:rsid w:val="006D2F25"/>
    <w:rsid w:val="006D60A4"/>
    <w:rsid w:val="006E34E3"/>
    <w:rsid w:val="006F47E3"/>
    <w:rsid w:val="006F54BE"/>
    <w:rsid w:val="006F6C09"/>
    <w:rsid w:val="0072628B"/>
    <w:rsid w:val="00741F45"/>
    <w:rsid w:val="00742F4B"/>
    <w:rsid w:val="00747BD2"/>
    <w:rsid w:val="007557A2"/>
    <w:rsid w:val="00761835"/>
    <w:rsid w:val="007705C8"/>
    <w:rsid w:val="007776DC"/>
    <w:rsid w:val="00777DB5"/>
    <w:rsid w:val="00782F1F"/>
    <w:rsid w:val="00784CC3"/>
    <w:rsid w:val="007908D1"/>
    <w:rsid w:val="00791B37"/>
    <w:rsid w:val="00792973"/>
    <w:rsid w:val="00797D79"/>
    <w:rsid w:val="007B06B1"/>
    <w:rsid w:val="007D5AB7"/>
    <w:rsid w:val="007D6D5A"/>
    <w:rsid w:val="007E2C7B"/>
    <w:rsid w:val="007F20DB"/>
    <w:rsid w:val="007F7495"/>
    <w:rsid w:val="007F798A"/>
    <w:rsid w:val="0080550B"/>
    <w:rsid w:val="0081033C"/>
    <w:rsid w:val="00812C4A"/>
    <w:rsid w:val="00823EC6"/>
    <w:rsid w:val="00833ABB"/>
    <w:rsid w:val="00840CFE"/>
    <w:rsid w:val="008615E1"/>
    <w:rsid w:val="0086310A"/>
    <w:rsid w:val="0089610D"/>
    <w:rsid w:val="00897C99"/>
    <w:rsid w:val="008A3369"/>
    <w:rsid w:val="008B6709"/>
    <w:rsid w:val="008D56EE"/>
    <w:rsid w:val="008D6755"/>
    <w:rsid w:val="008D691A"/>
    <w:rsid w:val="008E2A85"/>
    <w:rsid w:val="008F3E65"/>
    <w:rsid w:val="00901212"/>
    <w:rsid w:val="0092647A"/>
    <w:rsid w:val="009302A2"/>
    <w:rsid w:val="00930377"/>
    <w:rsid w:val="00932EFB"/>
    <w:rsid w:val="00941236"/>
    <w:rsid w:val="00950609"/>
    <w:rsid w:val="00955913"/>
    <w:rsid w:val="009631EB"/>
    <w:rsid w:val="00976409"/>
    <w:rsid w:val="009916EA"/>
    <w:rsid w:val="009B07C3"/>
    <w:rsid w:val="009B1BDC"/>
    <w:rsid w:val="009B3414"/>
    <w:rsid w:val="009B426C"/>
    <w:rsid w:val="009B5FA8"/>
    <w:rsid w:val="009D454D"/>
    <w:rsid w:val="009D6656"/>
    <w:rsid w:val="009F48FE"/>
    <w:rsid w:val="009F5414"/>
    <w:rsid w:val="00A05FC6"/>
    <w:rsid w:val="00A068F9"/>
    <w:rsid w:val="00A1587B"/>
    <w:rsid w:val="00A2206F"/>
    <w:rsid w:val="00A30B5B"/>
    <w:rsid w:val="00A44D4A"/>
    <w:rsid w:val="00A45DCA"/>
    <w:rsid w:val="00A845E1"/>
    <w:rsid w:val="00A925B2"/>
    <w:rsid w:val="00A936A1"/>
    <w:rsid w:val="00A93B55"/>
    <w:rsid w:val="00AA4EBE"/>
    <w:rsid w:val="00AA7231"/>
    <w:rsid w:val="00AB474F"/>
    <w:rsid w:val="00AB5E7D"/>
    <w:rsid w:val="00AE03D2"/>
    <w:rsid w:val="00AE2938"/>
    <w:rsid w:val="00AF0503"/>
    <w:rsid w:val="00AF4B60"/>
    <w:rsid w:val="00AF6280"/>
    <w:rsid w:val="00B026E2"/>
    <w:rsid w:val="00B0421C"/>
    <w:rsid w:val="00B14C24"/>
    <w:rsid w:val="00B1704A"/>
    <w:rsid w:val="00B25362"/>
    <w:rsid w:val="00B42865"/>
    <w:rsid w:val="00B50EAB"/>
    <w:rsid w:val="00B536F9"/>
    <w:rsid w:val="00B56889"/>
    <w:rsid w:val="00B57AD6"/>
    <w:rsid w:val="00B65624"/>
    <w:rsid w:val="00B84A32"/>
    <w:rsid w:val="00B91A82"/>
    <w:rsid w:val="00B94585"/>
    <w:rsid w:val="00BA5DDD"/>
    <w:rsid w:val="00BB0D38"/>
    <w:rsid w:val="00BB3388"/>
    <w:rsid w:val="00BB49BE"/>
    <w:rsid w:val="00BC1F78"/>
    <w:rsid w:val="00BD66BA"/>
    <w:rsid w:val="00BE2897"/>
    <w:rsid w:val="00BE4F99"/>
    <w:rsid w:val="00BE65B9"/>
    <w:rsid w:val="00BF0DB3"/>
    <w:rsid w:val="00BF1675"/>
    <w:rsid w:val="00BF418C"/>
    <w:rsid w:val="00BF6D76"/>
    <w:rsid w:val="00BF6FE0"/>
    <w:rsid w:val="00C01DFE"/>
    <w:rsid w:val="00C102B4"/>
    <w:rsid w:val="00C11720"/>
    <w:rsid w:val="00C205F5"/>
    <w:rsid w:val="00C32745"/>
    <w:rsid w:val="00C33C51"/>
    <w:rsid w:val="00C505FB"/>
    <w:rsid w:val="00C6487C"/>
    <w:rsid w:val="00C71BB9"/>
    <w:rsid w:val="00C90282"/>
    <w:rsid w:val="00C93C76"/>
    <w:rsid w:val="00C94C64"/>
    <w:rsid w:val="00CC0008"/>
    <w:rsid w:val="00CC3646"/>
    <w:rsid w:val="00CC61A2"/>
    <w:rsid w:val="00CD3E09"/>
    <w:rsid w:val="00CE3522"/>
    <w:rsid w:val="00D10977"/>
    <w:rsid w:val="00D11CEA"/>
    <w:rsid w:val="00D165FB"/>
    <w:rsid w:val="00D24DA4"/>
    <w:rsid w:val="00D26A41"/>
    <w:rsid w:val="00D26FC6"/>
    <w:rsid w:val="00D344A7"/>
    <w:rsid w:val="00D34541"/>
    <w:rsid w:val="00D44E8E"/>
    <w:rsid w:val="00D500DF"/>
    <w:rsid w:val="00D52EFA"/>
    <w:rsid w:val="00D56554"/>
    <w:rsid w:val="00D64291"/>
    <w:rsid w:val="00D65CF9"/>
    <w:rsid w:val="00D71739"/>
    <w:rsid w:val="00D725C4"/>
    <w:rsid w:val="00D72E58"/>
    <w:rsid w:val="00D7751C"/>
    <w:rsid w:val="00D86E22"/>
    <w:rsid w:val="00D911BE"/>
    <w:rsid w:val="00D94CFE"/>
    <w:rsid w:val="00DC2145"/>
    <w:rsid w:val="00DC6C70"/>
    <w:rsid w:val="00DD0992"/>
    <w:rsid w:val="00DD2AB5"/>
    <w:rsid w:val="00DD54B8"/>
    <w:rsid w:val="00DE080E"/>
    <w:rsid w:val="00DE29A1"/>
    <w:rsid w:val="00DF741E"/>
    <w:rsid w:val="00E12F19"/>
    <w:rsid w:val="00E15DD0"/>
    <w:rsid w:val="00E179A7"/>
    <w:rsid w:val="00E22D94"/>
    <w:rsid w:val="00E24C65"/>
    <w:rsid w:val="00E250D7"/>
    <w:rsid w:val="00E33A01"/>
    <w:rsid w:val="00E442D9"/>
    <w:rsid w:val="00E81B33"/>
    <w:rsid w:val="00E917F0"/>
    <w:rsid w:val="00E91BCF"/>
    <w:rsid w:val="00E96173"/>
    <w:rsid w:val="00EC0EAF"/>
    <w:rsid w:val="00EF2AAE"/>
    <w:rsid w:val="00EF38F9"/>
    <w:rsid w:val="00F04AEF"/>
    <w:rsid w:val="00F1754F"/>
    <w:rsid w:val="00F32C2F"/>
    <w:rsid w:val="00F42CFB"/>
    <w:rsid w:val="00F437DD"/>
    <w:rsid w:val="00F50014"/>
    <w:rsid w:val="00F570B2"/>
    <w:rsid w:val="00F63693"/>
    <w:rsid w:val="00F71EB5"/>
    <w:rsid w:val="00F74023"/>
    <w:rsid w:val="00F905A5"/>
    <w:rsid w:val="00FA1528"/>
    <w:rsid w:val="00FA7FC2"/>
    <w:rsid w:val="00FB2E69"/>
    <w:rsid w:val="00FC34D5"/>
    <w:rsid w:val="00FD3B02"/>
    <w:rsid w:val="00FE5B1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9DB7"/>
  <w15:docId w15:val="{EAF54677-C21F-41B9-A9DD-8420001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7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1"/>
    <w:next w:val="Normal1"/>
    <w:link w:val="Heading1Char"/>
    <w:rsid w:val="00812C4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812C4A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link w:val="Heading3Char"/>
    <w:rsid w:val="00812C4A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link w:val="Heading4Char"/>
    <w:rsid w:val="00812C4A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link w:val="Heading5Char"/>
    <w:rsid w:val="00812C4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812C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05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12C4A"/>
    <w:rPr>
      <w:rFonts w:ascii="Calibri" w:eastAsia="Calibri" w:hAnsi="Calibri" w:cs="Calibri"/>
      <w:b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12C4A"/>
    <w:rPr>
      <w:rFonts w:ascii="Arial" w:eastAsia="Arial" w:hAnsi="Arial" w:cs="Arial"/>
      <w:b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12C4A"/>
    <w:rPr>
      <w:rFonts w:ascii="Calibri" w:eastAsia="Calibri" w:hAnsi="Calibri" w:cs="Calibri"/>
      <w:color w:val="1F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12C4A"/>
    <w:rPr>
      <w:rFonts w:ascii="Arial" w:eastAsia="Arial" w:hAnsi="Arial" w:cs="Arial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rsid w:val="00812C4A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rsid w:val="00812C4A"/>
    <w:rPr>
      <w:rFonts w:ascii="Times New Roman" w:eastAsia="Times New Roman" w:hAnsi="Times New Roman" w:cs="Times New Roman"/>
      <w:b/>
      <w:color w:val="000000"/>
      <w:sz w:val="20"/>
      <w:szCs w:val="20"/>
      <w:lang w:val="en-US"/>
    </w:rPr>
  </w:style>
  <w:style w:type="paragraph" w:customStyle="1" w:styleId="Default">
    <w:name w:val="Default"/>
    <w:rsid w:val="00BB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48F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7D"/>
    <w:rPr>
      <w:rFonts w:ascii="Tahoma" w:eastAsia="Calibri" w:hAnsi="Tahoma" w:cs="Tahoma"/>
      <w:sz w:val="16"/>
      <w:szCs w:val="16"/>
      <w:lang w:val="en-US"/>
    </w:rPr>
  </w:style>
  <w:style w:type="table" w:customStyle="1" w:styleId="GridTable4-Accent21">
    <w:name w:val="Grid Table 4 - Accent 21"/>
    <w:basedOn w:val="TableNormal"/>
    <w:next w:val="TableNormal"/>
    <w:uiPriority w:val="49"/>
    <w:rsid w:val="004F007D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Header">
    <w:name w:val="header"/>
    <w:basedOn w:val="Normal"/>
    <w:link w:val="Head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BD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D2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BF0DB3"/>
    <w:rPr>
      <w:b/>
      <w:bCs/>
    </w:rPr>
  </w:style>
  <w:style w:type="paragraph" w:styleId="ListParagraph">
    <w:name w:val="List Paragraph"/>
    <w:basedOn w:val="Normal"/>
    <w:uiPriority w:val="34"/>
    <w:qFormat/>
    <w:rsid w:val="00BF0DB3"/>
    <w:pPr>
      <w:spacing w:after="0" w:line="240" w:lineRule="auto"/>
      <w:ind w:left="720"/>
      <w:contextualSpacing/>
    </w:pPr>
    <w:rPr>
      <w:rFonts w:ascii="Arial" w:eastAsiaTheme="minorHAnsi" w:hAnsi="Arial" w:cs="Arial"/>
      <w:sz w:val="28"/>
    </w:rPr>
  </w:style>
  <w:style w:type="table" w:styleId="TableGrid">
    <w:name w:val="Table Grid"/>
    <w:basedOn w:val="TableNormal"/>
    <w:uiPriority w:val="59"/>
    <w:rsid w:val="00BE4F99"/>
    <w:pPr>
      <w:spacing w:after="0" w:line="240" w:lineRule="auto"/>
    </w:pPr>
    <w:rPr>
      <w:rFonts w:ascii="Arial" w:hAnsi="Arial" w:cs="Arial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91BC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2C67E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character" w:styleId="SubtleReference">
    <w:name w:val="Subtle Reference"/>
    <w:basedOn w:val="DefaultParagraphFont"/>
    <w:uiPriority w:val="31"/>
    <w:qFormat/>
    <w:rsid w:val="005F1994"/>
    <w:rPr>
      <w:smallCaps/>
      <w:color w:val="5A5A5A" w:themeColor="text1" w:themeTint="A5"/>
    </w:rPr>
  </w:style>
  <w:style w:type="paragraph" w:styleId="Title">
    <w:name w:val="Title"/>
    <w:basedOn w:val="Normal1"/>
    <w:next w:val="Normal1"/>
    <w:link w:val="TitleChar"/>
    <w:uiPriority w:val="10"/>
    <w:qFormat/>
    <w:rsid w:val="00812C4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2C4A"/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paragraph" w:styleId="Subtitle">
    <w:name w:val="Subtitle"/>
    <w:basedOn w:val="Normal1"/>
    <w:next w:val="Normal1"/>
    <w:link w:val="SubtitleChar"/>
    <w:rsid w:val="00812C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12C4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2C4A"/>
    <w:pPr>
      <w:spacing w:after="0" w:line="240" w:lineRule="auto"/>
    </w:pPr>
    <w:rPr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2C4A"/>
    <w:rPr>
      <w:rFonts w:ascii="Calibri" w:eastAsia="Calibri" w:hAnsi="Calibri" w:cs="Times New Roman"/>
      <w:sz w:val="18"/>
      <w:szCs w:val="20"/>
      <w:lang w:eastAsia="x-none"/>
    </w:rPr>
  </w:style>
  <w:style w:type="character" w:styleId="FootnoteReference">
    <w:name w:val="footnote reference"/>
    <w:uiPriority w:val="99"/>
    <w:unhideWhenUsed/>
    <w:rsid w:val="00812C4A"/>
    <w:rPr>
      <w:vertAlign w:val="superscript"/>
    </w:rPr>
  </w:style>
  <w:style w:type="paragraph" w:customStyle="1" w:styleId="N05Y">
    <w:name w:val="N05Y"/>
    <w:basedOn w:val="Normal"/>
    <w:uiPriority w:val="99"/>
    <w:rsid w:val="00812C4A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812C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4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4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4A"/>
    <w:rPr>
      <w:b/>
      <w:bCs/>
    </w:rPr>
  </w:style>
  <w:style w:type="character" w:styleId="Hyperlink">
    <w:name w:val="Hyperlink"/>
    <w:basedOn w:val="DefaultParagraphFont"/>
    <w:uiPriority w:val="99"/>
    <w:unhideWhenUsed/>
    <w:rsid w:val="00201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dri.stanovic@montenegro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Djukic</dc:creator>
  <cp:lastModifiedBy>Dusanka Pavicevic</cp:lastModifiedBy>
  <cp:revision>8</cp:revision>
  <cp:lastPrinted>2019-05-31T11:55:00Z</cp:lastPrinted>
  <dcterms:created xsi:type="dcterms:W3CDTF">2019-06-18T10:00:00Z</dcterms:created>
  <dcterms:modified xsi:type="dcterms:W3CDTF">2019-06-19T06:37:00Z</dcterms:modified>
</cp:coreProperties>
</file>