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D0B23" w14:textId="77777777" w:rsidR="00472CDA" w:rsidRPr="005D6A54" w:rsidRDefault="00472CDA" w:rsidP="00472CDA">
      <w:pPr>
        <w:autoSpaceDE w:val="0"/>
        <w:autoSpaceDN w:val="0"/>
        <w:adjustRightInd w:val="0"/>
        <w:jc w:val="right"/>
        <w:rPr>
          <w:rFonts w:ascii="Arial" w:hAnsi="Arial" w:cs="Arial"/>
          <w:b/>
          <w:sz w:val="22"/>
          <w:lang w:val="sr-Latn-ME"/>
        </w:rPr>
      </w:pPr>
      <w:r w:rsidRPr="005D6A54">
        <w:rPr>
          <w:rFonts w:ascii="Arial" w:hAnsi="Arial" w:cs="Arial"/>
          <w:b/>
          <w:sz w:val="22"/>
          <w:lang w:val="sr-Latn-ME"/>
        </w:rPr>
        <w:t>OBRAZAC</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3886"/>
        <w:gridCol w:w="5454"/>
      </w:tblGrid>
      <w:tr w:rsidR="00472CDA" w:rsidRPr="005D6A54" w14:paraId="6E9AE131" w14:textId="77777777" w:rsidTr="00894A07">
        <w:tc>
          <w:tcPr>
            <w:tcW w:w="9576" w:type="dxa"/>
            <w:gridSpan w:val="2"/>
            <w:tcBorders>
              <w:bottom w:val="single" w:sz="18" w:space="0" w:color="4BACC6"/>
            </w:tcBorders>
          </w:tcPr>
          <w:p w14:paraId="480122A5" w14:textId="77777777" w:rsidR="00472CDA" w:rsidRPr="005D6A54" w:rsidRDefault="00472CDA" w:rsidP="00894A07">
            <w:pPr>
              <w:autoSpaceDE w:val="0"/>
              <w:autoSpaceDN w:val="0"/>
              <w:adjustRightInd w:val="0"/>
              <w:spacing w:before="120" w:after="120"/>
              <w:jc w:val="center"/>
              <w:rPr>
                <w:rFonts w:ascii="Arial" w:hAnsi="Arial" w:cs="Arial"/>
                <w:b/>
                <w:bCs w:val="0"/>
                <w:sz w:val="22"/>
                <w:lang w:val="sr-Latn-ME"/>
              </w:rPr>
            </w:pPr>
            <w:r w:rsidRPr="005D6A54">
              <w:rPr>
                <w:rFonts w:ascii="Arial" w:hAnsi="Arial" w:cs="Arial"/>
                <w:b/>
                <w:bCs w:val="0"/>
                <w:sz w:val="22"/>
                <w:lang w:val="sr-Latn-ME"/>
              </w:rPr>
              <w:t>IZVJEŠTAJ O SPROVEDENOJ ANALIZI PROCJENE UTICAJA PROPISA</w:t>
            </w:r>
          </w:p>
        </w:tc>
      </w:tr>
      <w:tr w:rsidR="00472CDA" w:rsidRPr="005D6A54" w14:paraId="3AC13E2F" w14:textId="77777777" w:rsidTr="00894A07">
        <w:tc>
          <w:tcPr>
            <w:tcW w:w="3978" w:type="dxa"/>
            <w:shd w:val="clear" w:color="auto" w:fill="D2EAF1"/>
          </w:tcPr>
          <w:p w14:paraId="46BDF90E" w14:textId="77777777" w:rsidR="00472CDA" w:rsidRPr="005D6A54" w:rsidRDefault="00472CDA" w:rsidP="00894A07">
            <w:pPr>
              <w:autoSpaceDE w:val="0"/>
              <w:autoSpaceDN w:val="0"/>
              <w:adjustRightInd w:val="0"/>
              <w:spacing w:before="120" w:after="120"/>
              <w:rPr>
                <w:rFonts w:ascii="Arial" w:hAnsi="Arial" w:cs="Arial"/>
                <w:b/>
                <w:bCs w:val="0"/>
                <w:sz w:val="22"/>
                <w:lang w:val="sr-Latn-ME"/>
              </w:rPr>
            </w:pPr>
            <w:r w:rsidRPr="005D6A54">
              <w:rPr>
                <w:rFonts w:ascii="Arial" w:hAnsi="Arial" w:cs="Arial"/>
                <w:b/>
                <w:bCs w:val="0"/>
                <w:sz w:val="22"/>
                <w:lang w:val="sr-Latn-ME"/>
              </w:rPr>
              <w:t>PREDLAGAČ PROPISA</w:t>
            </w:r>
          </w:p>
        </w:tc>
        <w:tc>
          <w:tcPr>
            <w:tcW w:w="5598" w:type="dxa"/>
            <w:shd w:val="clear" w:color="auto" w:fill="D2EAF1"/>
          </w:tcPr>
          <w:p w14:paraId="0108696D" w14:textId="77777777" w:rsidR="00472CDA" w:rsidRPr="005D6A54" w:rsidRDefault="00472CDA" w:rsidP="00894A07">
            <w:pPr>
              <w:autoSpaceDE w:val="0"/>
              <w:autoSpaceDN w:val="0"/>
              <w:adjustRightInd w:val="0"/>
              <w:spacing w:before="120" w:after="120"/>
              <w:rPr>
                <w:rFonts w:ascii="Arial" w:hAnsi="Arial" w:cs="Arial"/>
                <w:b/>
                <w:sz w:val="22"/>
                <w:lang w:val="sr-Latn-ME"/>
              </w:rPr>
            </w:pPr>
            <w:r w:rsidRPr="005D6A54">
              <w:rPr>
                <w:rFonts w:ascii="Arial" w:hAnsi="Arial" w:cs="Arial"/>
                <w:b/>
                <w:sz w:val="22"/>
                <w:lang w:val="sr-Latn-ME"/>
              </w:rPr>
              <w:t>MINISTARSTVO FINANSIJA</w:t>
            </w:r>
          </w:p>
        </w:tc>
      </w:tr>
      <w:tr w:rsidR="00472CDA" w:rsidRPr="005D6A54" w14:paraId="0C6A21C8" w14:textId="77777777" w:rsidTr="00894A07">
        <w:tc>
          <w:tcPr>
            <w:tcW w:w="3978" w:type="dxa"/>
          </w:tcPr>
          <w:p w14:paraId="227B64C6" w14:textId="77777777" w:rsidR="00472CDA" w:rsidRPr="005D6A54" w:rsidRDefault="00472CDA" w:rsidP="00894A07">
            <w:pPr>
              <w:autoSpaceDE w:val="0"/>
              <w:autoSpaceDN w:val="0"/>
              <w:adjustRightInd w:val="0"/>
              <w:spacing w:before="120" w:after="120"/>
              <w:rPr>
                <w:rFonts w:ascii="Arial" w:hAnsi="Arial" w:cs="Arial"/>
                <w:b/>
                <w:bCs w:val="0"/>
                <w:sz w:val="22"/>
                <w:lang w:val="sr-Latn-ME"/>
              </w:rPr>
            </w:pPr>
            <w:r w:rsidRPr="005D6A54">
              <w:rPr>
                <w:rFonts w:ascii="Arial" w:hAnsi="Arial" w:cs="Arial"/>
                <w:b/>
                <w:bCs w:val="0"/>
                <w:sz w:val="22"/>
                <w:lang w:val="sr-Latn-ME"/>
              </w:rPr>
              <w:t>NAZIV PROPISA</w:t>
            </w:r>
          </w:p>
        </w:tc>
        <w:tc>
          <w:tcPr>
            <w:tcW w:w="5598" w:type="dxa"/>
          </w:tcPr>
          <w:p w14:paraId="72D5BABF" w14:textId="5ED86EEA" w:rsidR="00472CDA" w:rsidRPr="005D6A54" w:rsidRDefault="00472CDA" w:rsidP="00894A07">
            <w:pPr>
              <w:autoSpaceDE w:val="0"/>
              <w:autoSpaceDN w:val="0"/>
              <w:adjustRightInd w:val="0"/>
              <w:spacing w:before="120" w:after="120"/>
              <w:rPr>
                <w:rFonts w:ascii="Arial" w:hAnsi="Arial" w:cs="Arial"/>
                <w:b/>
                <w:sz w:val="22"/>
                <w:lang w:val="sr-Latn-ME"/>
              </w:rPr>
            </w:pPr>
            <w:r>
              <w:rPr>
                <w:rFonts w:ascii="Arial" w:hAnsi="Arial" w:cs="Arial"/>
                <w:b/>
                <w:sz w:val="22"/>
                <w:lang w:val="sr-Latn-ME"/>
              </w:rPr>
              <w:t>Nacrt</w:t>
            </w:r>
            <w:r w:rsidRPr="005D6A54">
              <w:rPr>
                <w:rFonts w:ascii="Arial" w:hAnsi="Arial" w:cs="Arial"/>
                <w:b/>
                <w:sz w:val="22"/>
                <w:lang w:val="sr-Latn-ME"/>
              </w:rPr>
              <w:t xml:space="preserve"> zakona o izmjenama i dopunama Zakona o kreditnim institucijama</w:t>
            </w:r>
          </w:p>
        </w:tc>
      </w:tr>
      <w:tr w:rsidR="00472CDA" w:rsidRPr="005D6A54" w14:paraId="40885105" w14:textId="77777777" w:rsidTr="00894A07">
        <w:tc>
          <w:tcPr>
            <w:tcW w:w="9576" w:type="dxa"/>
            <w:gridSpan w:val="2"/>
            <w:shd w:val="clear" w:color="auto" w:fill="D2EAF1"/>
          </w:tcPr>
          <w:p w14:paraId="5E9EBAD0" w14:textId="77777777" w:rsidR="00472CDA" w:rsidRPr="005D6A54" w:rsidRDefault="00472CDA" w:rsidP="00894A07">
            <w:pPr>
              <w:autoSpaceDE w:val="0"/>
              <w:autoSpaceDN w:val="0"/>
              <w:adjustRightInd w:val="0"/>
              <w:spacing w:before="120" w:after="120"/>
              <w:rPr>
                <w:rFonts w:ascii="Arial" w:hAnsi="Arial" w:cs="Arial"/>
                <w:b/>
                <w:bCs w:val="0"/>
                <w:sz w:val="22"/>
                <w:lang w:val="sr-Latn-ME"/>
              </w:rPr>
            </w:pPr>
            <w:r w:rsidRPr="005D6A54">
              <w:rPr>
                <w:rFonts w:ascii="Arial" w:hAnsi="Arial" w:cs="Arial"/>
                <w:b/>
                <w:bCs w:val="0"/>
                <w:sz w:val="22"/>
                <w:lang w:val="sr-Latn-ME"/>
              </w:rPr>
              <w:t>1. Definisanje problema</w:t>
            </w:r>
          </w:p>
          <w:p w14:paraId="0A71B082" w14:textId="77777777" w:rsidR="00472CDA" w:rsidRPr="005D6A54" w:rsidRDefault="00472CDA" w:rsidP="00472CDA">
            <w:pPr>
              <w:pStyle w:val="ListParagraph"/>
              <w:numPr>
                <w:ilvl w:val="0"/>
                <w:numId w:val="1"/>
              </w:numPr>
              <w:autoSpaceDE w:val="0"/>
              <w:autoSpaceDN w:val="0"/>
              <w:adjustRightInd w:val="0"/>
              <w:spacing w:before="120" w:after="120"/>
              <w:contextualSpacing/>
              <w:jc w:val="left"/>
              <w:rPr>
                <w:rFonts w:ascii="Arial" w:hAnsi="Arial" w:cs="Arial"/>
                <w:b/>
                <w:bCs w:val="0"/>
                <w:sz w:val="22"/>
                <w:lang w:val="sr-Latn-ME"/>
              </w:rPr>
            </w:pPr>
            <w:r w:rsidRPr="005D6A54">
              <w:rPr>
                <w:rFonts w:ascii="Arial" w:hAnsi="Arial" w:cs="Arial"/>
                <w:b/>
                <w:bCs w:val="0"/>
                <w:sz w:val="22"/>
                <w:lang w:val="sr-Latn-ME"/>
              </w:rPr>
              <w:t>Koje probleme  treba da riješi predloženi akt?</w:t>
            </w:r>
          </w:p>
          <w:p w14:paraId="468D10C4" w14:textId="77777777" w:rsidR="00472CDA" w:rsidRPr="005D6A54" w:rsidRDefault="00472CDA" w:rsidP="00472CDA">
            <w:pPr>
              <w:pStyle w:val="ListParagraph"/>
              <w:numPr>
                <w:ilvl w:val="0"/>
                <w:numId w:val="1"/>
              </w:numPr>
              <w:autoSpaceDE w:val="0"/>
              <w:autoSpaceDN w:val="0"/>
              <w:adjustRightInd w:val="0"/>
              <w:spacing w:before="120" w:after="120"/>
              <w:contextualSpacing/>
              <w:jc w:val="left"/>
              <w:rPr>
                <w:rFonts w:ascii="Arial" w:hAnsi="Arial" w:cs="Arial"/>
                <w:b/>
                <w:bCs w:val="0"/>
                <w:sz w:val="22"/>
                <w:lang w:val="sr-Latn-ME"/>
              </w:rPr>
            </w:pPr>
            <w:r w:rsidRPr="005D6A54">
              <w:rPr>
                <w:rFonts w:ascii="Arial" w:hAnsi="Arial" w:cs="Arial"/>
                <w:b/>
                <w:bCs w:val="0"/>
                <w:sz w:val="22"/>
                <w:lang w:val="sr-Latn-ME"/>
              </w:rPr>
              <w:t>Koji su uzroci problema?</w:t>
            </w:r>
          </w:p>
          <w:p w14:paraId="2CC9091E" w14:textId="77777777" w:rsidR="00472CDA" w:rsidRPr="005D6A54" w:rsidRDefault="00472CDA" w:rsidP="00472CDA">
            <w:pPr>
              <w:pStyle w:val="ListParagraph"/>
              <w:numPr>
                <w:ilvl w:val="0"/>
                <w:numId w:val="1"/>
              </w:numPr>
              <w:autoSpaceDE w:val="0"/>
              <w:autoSpaceDN w:val="0"/>
              <w:adjustRightInd w:val="0"/>
              <w:spacing w:before="120" w:after="120"/>
              <w:contextualSpacing/>
              <w:jc w:val="left"/>
              <w:rPr>
                <w:rFonts w:ascii="Arial" w:hAnsi="Arial" w:cs="Arial"/>
                <w:b/>
                <w:bCs w:val="0"/>
                <w:sz w:val="22"/>
                <w:lang w:val="sr-Latn-ME"/>
              </w:rPr>
            </w:pPr>
            <w:r w:rsidRPr="005D6A54">
              <w:rPr>
                <w:rFonts w:ascii="Arial" w:hAnsi="Arial" w:cs="Arial"/>
                <w:b/>
                <w:bCs w:val="0"/>
                <w:sz w:val="22"/>
                <w:lang w:val="sr-Latn-ME"/>
              </w:rPr>
              <w:t>Koje su posljedice problema?</w:t>
            </w:r>
          </w:p>
          <w:p w14:paraId="376F9C8A" w14:textId="77777777" w:rsidR="00472CDA" w:rsidRPr="005D6A54" w:rsidRDefault="00472CDA" w:rsidP="00472CDA">
            <w:pPr>
              <w:pStyle w:val="ListParagraph"/>
              <w:numPr>
                <w:ilvl w:val="0"/>
                <w:numId w:val="1"/>
              </w:numPr>
              <w:autoSpaceDE w:val="0"/>
              <w:autoSpaceDN w:val="0"/>
              <w:adjustRightInd w:val="0"/>
              <w:spacing w:before="120" w:after="120"/>
              <w:contextualSpacing/>
              <w:jc w:val="left"/>
              <w:rPr>
                <w:rFonts w:ascii="Arial" w:hAnsi="Arial" w:cs="Arial"/>
                <w:b/>
                <w:bCs w:val="0"/>
                <w:sz w:val="22"/>
                <w:lang w:val="sr-Latn-ME"/>
              </w:rPr>
            </w:pPr>
            <w:r w:rsidRPr="005D6A54">
              <w:rPr>
                <w:rFonts w:ascii="Arial" w:hAnsi="Arial" w:cs="Arial"/>
                <w:b/>
                <w:bCs w:val="0"/>
                <w:sz w:val="22"/>
                <w:lang w:val="sr-Latn-ME"/>
              </w:rPr>
              <w:t>Koji su subjekti oštećeni, na koji način i u kojoj mjeri?</w:t>
            </w:r>
          </w:p>
          <w:p w14:paraId="4FD52F67" w14:textId="77777777" w:rsidR="00472CDA" w:rsidRPr="005D6A54" w:rsidRDefault="00472CDA" w:rsidP="00472CDA">
            <w:pPr>
              <w:pStyle w:val="ListParagraph"/>
              <w:numPr>
                <w:ilvl w:val="0"/>
                <w:numId w:val="1"/>
              </w:numPr>
              <w:autoSpaceDE w:val="0"/>
              <w:autoSpaceDN w:val="0"/>
              <w:adjustRightInd w:val="0"/>
              <w:spacing w:before="120" w:after="120"/>
              <w:contextualSpacing/>
              <w:jc w:val="left"/>
              <w:rPr>
                <w:rFonts w:ascii="Arial" w:hAnsi="Arial" w:cs="Arial"/>
                <w:b/>
                <w:bCs w:val="0"/>
                <w:sz w:val="22"/>
                <w:lang w:val="sr-Latn-ME"/>
              </w:rPr>
            </w:pPr>
            <w:r w:rsidRPr="005D6A54">
              <w:rPr>
                <w:rFonts w:ascii="Arial" w:hAnsi="Arial" w:cs="Arial"/>
                <w:b/>
                <w:bCs w:val="0"/>
                <w:sz w:val="22"/>
                <w:lang w:val="sr-Latn-ME"/>
              </w:rPr>
              <w:t>Kako bi problem evoluirao bez promjene propisa (“status quo” opcija)?</w:t>
            </w:r>
          </w:p>
        </w:tc>
      </w:tr>
      <w:tr w:rsidR="00472CDA" w:rsidRPr="005D6A54" w14:paraId="629C3330" w14:textId="77777777" w:rsidTr="00894A07">
        <w:tc>
          <w:tcPr>
            <w:tcW w:w="9576" w:type="dxa"/>
            <w:gridSpan w:val="2"/>
          </w:tcPr>
          <w:p w14:paraId="6CCBC71D" w14:textId="77777777" w:rsidR="00472CDA" w:rsidRDefault="00472CDA" w:rsidP="00894A07">
            <w:pPr>
              <w:rPr>
                <w:rFonts w:ascii="Arial" w:hAnsi="Arial" w:cs="Arial"/>
                <w:bCs w:val="0"/>
                <w:sz w:val="22"/>
                <w:lang w:val="sr-Latn-ME" w:eastAsia="en-US"/>
              </w:rPr>
            </w:pPr>
          </w:p>
          <w:p w14:paraId="4898F50C" w14:textId="3023E9C4" w:rsidR="00472CDA" w:rsidRPr="00223D16" w:rsidRDefault="00472CDA" w:rsidP="00894A07">
            <w:pPr>
              <w:rPr>
                <w:rFonts w:ascii="Arial" w:hAnsi="Arial" w:cs="Arial"/>
                <w:color w:val="000000"/>
                <w:sz w:val="22"/>
                <w:lang w:val="sr-Latn-ME"/>
              </w:rPr>
            </w:pPr>
            <w:r w:rsidRPr="00223D16">
              <w:rPr>
                <w:rFonts w:ascii="Arial" w:hAnsi="Arial" w:cs="Arial"/>
                <w:bCs w:val="0"/>
                <w:sz w:val="22"/>
                <w:lang w:val="sr-Latn-ME" w:eastAsia="en-US"/>
              </w:rPr>
              <w:t>Važećim</w:t>
            </w:r>
            <w:r w:rsidRPr="00223D16">
              <w:rPr>
                <w:rFonts w:ascii="Arial" w:hAnsi="Arial" w:cs="Arial"/>
                <w:bCs w:val="0"/>
                <w:color w:val="FF0000"/>
                <w:sz w:val="22"/>
                <w:lang w:val="sr-Latn-ME" w:eastAsia="en-US"/>
              </w:rPr>
              <w:t xml:space="preserve"> </w:t>
            </w:r>
            <w:bookmarkStart w:id="0" w:name="_Hlk173880061"/>
            <w:r w:rsidRPr="00223D16">
              <w:rPr>
                <w:rFonts w:ascii="Arial" w:hAnsi="Arial" w:cs="Arial"/>
                <w:color w:val="000000"/>
                <w:sz w:val="22"/>
                <w:lang w:val="sr-Latn-ME"/>
              </w:rPr>
              <w:t>Zakonom o kreditnim institucijama („Službeni list CG“ br. 72/19, 8/21 i 24/25), koji je u pravnom sistemu Crne Gore u primjeni od 1. januara 2022. godine,</w:t>
            </w:r>
            <w:r w:rsidRPr="00223D16">
              <w:rPr>
                <w:rFonts w:ascii="Calibri" w:hAnsi="Calibri"/>
                <w:bCs w:val="0"/>
                <w:sz w:val="22"/>
                <w:lang w:val="sr-Latn-ME" w:eastAsia="en-US"/>
              </w:rPr>
              <w:t xml:space="preserve"> </w:t>
            </w:r>
            <w:r w:rsidRPr="00223D16">
              <w:rPr>
                <w:rFonts w:ascii="Arial" w:hAnsi="Arial" w:cs="Arial"/>
                <w:color w:val="000000"/>
                <w:sz w:val="22"/>
                <w:lang w:val="sr-Latn-ME"/>
              </w:rPr>
              <w:t xml:space="preserve">uređuje se osnivanje, upravljanje, poslovanje i supervizija kreditnih institucija i druga pitanja od značaja za rad kreditnih institucija. Ovim Zakonom je izvršeno usklađivanje bankarske regulative sa relevantnom evropskom Direktivom 2013/36/EU o pristupanju djelatnosti kreditnih institucija i dodatnom nadzoru nad kreditnim institucijama (u tom trenutku aktuelni CRD 4/CRR zahtjevi), na koji način su u crnogorski regulatorni okvir za kreditne institucije implementirani Bazelski standardi kapitala i likvidnosti (tzv. Bazel III), koji su usmjereni na jačanje zahtjeva kapital za kreditne institucije, kao i na uvođenje minimalnih standarda za upravljanje rizikom likvidnosti i minimalnih pokazatelja likvidnosti te dodatni zahtjevi za finansijske institucije od sistemskog značaja. </w:t>
            </w:r>
          </w:p>
          <w:p w14:paraId="2EFDAB19" w14:textId="77777777" w:rsidR="00472CDA" w:rsidRPr="00476FD5" w:rsidRDefault="00472CDA" w:rsidP="00894A07">
            <w:pPr>
              <w:ind w:firstLine="720"/>
              <w:rPr>
                <w:rFonts w:ascii="Arial" w:hAnsi="Arial" w:cs="Arial"/>
                <w:color w:val="000000"/>
                <w:sz w:val="22"/>
                <w:lang w:val="sr-Latn-ME"/>
              </w:rPr>
            </w:pPr>
          </w:p>
          <w:p w14:paraId="54999A79" w14:textId="6510657D" w:rsidR="00472CDA" w:rsidRPr="00476FD5" w:rsidRDefault="00472CDA" w:rsidP="00894A07">
            <w:pPr>
              <w:rPr>
                <w:rFonts w:ascii="Arial" w:hAnsi="Arial" w:cs="Arial"/>
                <w:color w:val="000000"/>
                <w:sz w:val="22"/>
                <w:highlight w:val="green"/>
                <w:lang w:val="sr-Latn-ME"/>
              </w:rPr>
            </w:pPr>
            <w:r w:rsidRPr="00476FD5">
              <w:rPr>
                <w:rFonts w:ascii="Arial" w:hAnsi="Arial" w:cs="Arial"/>
                <w:color w:val="000000"/>
                <w:sz w:val="22"/>
                <w:lang w:val="sr-Latn-ME"/>
              </w:rPr>
              <w:t xml:space="preserve">Zakon je do sada mijenjan dva puta. Posljednje izmjene donesene su u februaru 2025. godine, kada je usvojen Zakon o izmjenama i dopunama Zakona o kreditnim institucijama („Službeni list CG“ broj 24/25), kojim je izvršeno potpuno usklađivanje sa Direktivom (EU) 2019/878 o izmjeni Direktive 2013/36/EU u pogledu izuzetih subjekata, finansijskih holdinga, mješovitih finansijskih holdinga, primanja, nadzornih mjera i ovlašćenja kao i mjera za očuvanje kapitala (CRD </w:t>
            </w:r>
            <w:r w:rsidR="00380A0A">
              <w:rPr>
                <w:rFonts w:ascii="Arial" w:hAnsi="Arial" w:cs="Arial"/>
                <w:color w:val="000000"/>
                <w:sz w:val="22"/>
                <w:lang w:val="sr-Latn-ME"/>
              </w:rPr>
              <w:t>V</w:t>
            </w:r>
            <w:r w:rsidRPr="00476FD5">
              <w:rPr>
                <w:rFonts w:ascii="Arial" w:hAnsi="Arial" w:cs="Arial"/>
                <w:color w:val="000000"/>
                <w:sz w:val="22"/>
                <w:lang w:val="sr-Latn-ME"/>
              </w:rPr>
              <w:t xml:space="preserve">) i Regulativom (EU) 2019/876 o izmjeni Regulative (EU) br. 575/2013 u pogledu odnosa finansijskog leveridža, koeficijenta neto stabilnih izvora finansiranja, zahtjeva za regulatorni kapital i prihvatljive obaveze, kreditnog rizika druge ugovorne strane, tržišnog rizika, izloženosti prema centralnim drugim ugovornim stranama, izloženosti prema subjektima za zajednička ulaganja, velikih izloženosti, zahtjeva za izvještavanje i objavljivanje (CRR 2). Ovim propisima su u Evropskoj uniji u potpunosti implementirani Bazel III standardi, i njihovim prenošenjem u crnogorski zakonodavni okvir ispunjeno je prvo mjerilo iz pregovaračkog Poglavlja 9 - „Finansijske usluge“. </w:t>
            </w:r>
          </w:p>
          <w:p w14:paraId="23C7FD3C" w14:textId="77777777" w:rsidR="00472CDA" w:rsidRPr="00476FD5" w:rsidRDefault="00472CDA" w:rsidP="00894A07">
            <w:pPr>
              <w:rPr>
                <w:rFonts w:ascii="Arial" w:hAnsi="Arial" w:cs="Arial"/>
                <w:color w:val="000000"/>
                <w:sz w:val="22"/>
                <w:highlight w:val="green"/>
                <w:lang w:val="sr-Latn-ME"/>
              </w:rPr>
            </w:pPr>
          </w:p>
          <w:p w14:paraId="4A4AA224" w14:textId="15EE9A29" w:rsidR="00472CDA" w:rsidRPr="00476FD5" w:rsidRDefault="00472CDA" w:rsidP="00894A07">
            <w:pPr>
              <w:rPr>
                <w:rFonts w:ascii="Arial" w:hAnsi="Arial" w:cs="Arial"/>
                <w:color w:val="000000"/>
                <w:sz w:val="22"/>
                <w:lang w:val="sr-Latn-ME"/>
              </w:rPr>
            </w:pPr>
            <w:r w:rsidRPr="00476FD5">
              <w:rPr>
                <w:rFonts w:ascii="Arial" w:hAnsi="Arial" w:cs="Arial"/>
                <w:color w:val="000000"/>
                <w:sz w:val="22"/>
                <w:lang w:val="sr-Latn-ME"/>
              </w:rPr>
              <w:t xml:space="preserve">Kako je u međuvremenu došlo do </w:t>
            </w:r>
            <w:r w:rsidRPr="00223D16">
              <w:rPr>
                <w:rFonts w:ascii="Arial" w:hAnsi="Arial" w:cs="Arial"/>
                <w:color w:val="000000"/>
                <w:sz w:val="22"/>
                <w:lang w:val="sr-Latn-ME"/>
              </w:rPr>
              <w:t xml:space="preserve">nove </w:t>
            </w:r>
            <w:r w:rsidRPr="00476FD5">
              <w:rPr>
                <w:rFonts w:ascii="Arial" w:hAnsi="Arial" w:cs="Arial"/>
                <w:color w:val="000000"/>
                <w:sz w:val="22"/>
                <w:lang w:val="sr-Latn-ME"/>
              </w:rPr>
              <w:t xml:space="preserve">značajne izmjene regulatornog okvira EU u oblasti finansijskih usluga, a u cilju </w:t>
            </w:r>
            <w:r w:rsidRPr="00476FD5">
              <w:rPr>
                <w:rFonts w:ascii="Arial" w:hAnsi="Arial" w:cs="Arial"/>
                <w:sz w:val="22"/>
                <w:lang w:val="sr-Latn-ME"/>
              </w:rPr>
              <w:t>održavanja postignute dinamike usklađivanja crnogorskog regulatornog okvira sa EU standardima</w:t>
            </w:r>
            <w:r w:rsidRPr="00223D16">
              <w:rPr>
                <w:rFonts w:ascii="Arial" w:hAnsi="Arial" w:cs="Arial"/>
                <w:sz w:val="22"/>
                <w:lang w:val="sr-Latn-ME"/>
              </w:rPr>
              <w:t xml:space="preserve"> i ispunjenja obaveza preuzetih u postupku pristupanja Crne Gore Evropskoj uniji, vezanih za pregovaračko Poglavlje 9 - „Finansijske usluge“</w:t>
            </w:r>
            <w:r w:rsidRPr="00476FD5">
              <w:rPr>
                <w:rFonts w:ascii="Arial" w:hAnsi="Arial" w:cs="Arial"/>
                <w:sz w:val="22"/>
                <w:lang w:val="sr-Latn-ME"/>
              </w:rPr>
              <w:t xml:space="preserve">, </w:t>
            </w:r>
            <w:r w:rsidRPr="00476FD5">
              <w:rPr>
                <w:rFonts w:ascii="Arial" w:hAnsi="Arial" w:cs="Arial"/>
                <w:color w:val="000000"/>
                <w:sz w:val="22"/>
                <w:lang w:val="sr-Latn-ME"/>
              </w:rPr>
              <w:t xml:space="preserve">pripremljen je </w:t>
            </w:r>
            <w:r w:rsidR="005743FA">
              <w:rPr>
                <w:rFonts w:ascii="Arial" w:hAnsi="Arial" w:cs="Arial"/>
                <w:color w:val="000000"/>
                <w:sz w:val="22"/>
                <w:lang w:val="sr-Latn-ME"/>
              </w:rPr>
              <w:t>Nacrt</w:t>
            </w:r>
            <w:r w:rsidRPr="00476FD5">
              <w:rPr>
                <w:rFonts w:ascii="Arial" w:hAnsi="Arial" w:cs="Arial"/>
                <w:color w:val="000000"/>
                <w:sz w:val="22"/>
                <w:lang w:val="sr-Latn-ME"/>
              </w:rPr>
              <w:t xml:space="preserve"> </w:t>
            </w:r>
            <w:r w:rsidRPr="00223D16">
              <w:rPr>
                <w:rFonts w:ascii="Arial" w:hAnsi="Arial" w:cs="Arial"/>
                <w:color w:val="000000"/>
                <w:sz w:val="22"/>
                <w:lang w:val="sr-Latn-ME"/>
              </w:rPr>
              <w:t>z</w:t>
            </w:r>
            <w:r w:rsidRPr="00476FD5">
              <w:rPr>
                <w:rFonts w:ascii="Arial" w:hAnsi="Arial" w:cs="Arial"/>
                <w:color w:val="000000"/>
                <w:sz w:val="22"/>
                <w:lang w:val="sr-Latn-ME"/>
              </w:rPr>
              <w:t>akona o izmjenama i dopunama Zakona o kreditnim institucijama</w:t>
            </w:r>
            <w:r w:rsidRPr="00223D16">
              <w:rPr>
                <w:rFonts w:ascii="Arial" w:hAnsi="Arial" w:cs="Arial"/>
                <w:color w:val="000000"/>
                <w:sz w:val="22"/>
                <w:lang w:val="sr-Latn-ME"/>
              </w:rPr>
              <w:t xml:space="preserve">. </w:t>
            </w:r>
            <w:r w:rsidRPr="00476FD5">
              <w:rPr>
                <w:rFonts w:ascii="Arial" w:hAnsi="Arial" w:cs="Arial"/>
                <w:color w:val="000000"/>
                <w:sz w:val="22"/>
                <w:lang w:val="sr-Latn-ME"/>
              </w:rPr>
              <w:t xml:space="preserve">Ovim </w:t>
            </w:r>
            <w:r w:rsidR="005743FA">
              <w:rPr>
                <w:rFonts w:ascii="Arial" w:hAnsi="Arial" w:cs="Arial"/>
                <w:color w:val="000000"/>
                <w:sz w:val="22"/>
                <w:lang w:val="sr-Latn-ME"/>
              </w:rPr>
              <w:t>Nacrtom</w:t>
            </w:r>
            <w:r w:rsidRPr="00223D16">
              <w:rPr>
                <w:rFonts w:ascii="Arial" w:hAnsi="Arial" w:cs="Arial"/>
                <w:color w:val="000000"/>
                <w:sz w:val="22"/>
                <w:lang w:val="sr-Latn-ME"/>
              </w:rPr>
              <w:t xml:space="preserve"> zakona</w:t>
            </w:r>
            <w:r w:rsidRPr="00476FD5">
              <w:rPr>
                <w:rFonts w:ascii="Arial" w:hAnsi="Arial" w:cs="Arial"/>
                <w:color w:val="000000"/>
                <w:sz w:val="22"/>
                <w:lang w:val="sr-Latn-ME"/>
              </w:rPr>
              <w:t xml:space="preserve"> obuhvaćeni su neophodni zahtjevi iz oblasti digitalne operativne otpornosti finansijskog tržišta (Direktiva 2022/2556 i Regulativa 2022/2554 – DORA paket), novog okvira u pogledu regulisanja kriptoimovine (Regulativa 2023/1114 - MiCA), nov</w:t>
            </w:r>
            <w:r w:rsidRPr="00223D16">
              <w:rPr>
                <w:rFonts w:ascii="Arial" w:hAnsi="Arial" w:cs="Arial"/>
                <w:color w:val="000000"/>
                <w:sz w:val="22"/>
                <w:lang w:val="sr-Latn-ME"/>
              </w:rPr>
              <w:t>i</w:t>
            </w:r>
            <w:r w:rsidRPr="00476FD5">
              <w:rPr>
                <w:rFonts w:ascii="Arial" w:hAnsi="Arial" w:cs="Arial"/>
                <w:color w:val="000000"/>
                <w:sz w:val="22"/>
                <w:lang w:val="sr-Latn-ME"/>
              </w:rPr>
              <w:t xml:space="preserve"> tzv. finaln</w:t>
            </w:r>
            <w:r w:rsidRPr="00223D16">
              <w:rPr>
                <w:rFonts w:ascii="Arial" w:hAnsi="Arial" w:cs="Arial"/>
                <w:color w:val="000000"/>
                <w:sz w:val="22"/>
                <w:lang w:val="sr-Latn-ME"/>
              </w:rPr>
              <w:t>i</w:t>
            </w:r>
            <w:r w:rsidRPr="00476FD5">
              <w:rPr>
                <w:rFonts w:ascii="Arial" w:hAnsi="Arial" w:cs="Arial"/>
                <w:color w:val="000000"/>
                <w:sz w:val="22"/>
                <w:lang w:val="sr-Latn-ME"/>
              </w:rPr>
              <w:t xml:space="preserve"> standard</w:t>
            </w:r>
            <w:r w:rsidRPr="00223D16">
              <w:rPr>
                <w:rFonts w:ascii="Arial" w:hAnsi="Arial" w:cs="Arial"/>
                <w:color w:val="000000"/>
                <w:sz w:val="22"/>
                <w:lang w:val="sr-Latn-ME"/>
              </w:rPr>
              <w:t>i</w:t>
            </w:r>
            <w:r w:rsidRPr="00476FD5">
              <w:rPr>
                <w:rFonts w:ascii="Arial" w:hAnsi="Arial" w:cs="Arial"/>
                <w:color w:val="000000"/>
                <w:sz w:val="22"/>
                <w:lang w:val="sr-Latn-ME"/>
              </w:rPr>
              <w:t xml:space="preserve"> </w:t>
            </w:r>
            <w:r w:rsidRPr="00476FD5">
              <w:rPr>
                <w:rFonts w:ascii="Arial" w:hAnsi="Arial" w:cs="Arial"/>
                <w:color w:val="000000"/>
                <w:sz w:val="22"/>
                <w:lang w:val="sr-Latn-ME"/>
              </w:rPr>
              <w:lastRenderedPageBreak/>
              <w:t xml:space="preserve">u vezi sa zahtjevima za kapital za kreditne institucije (CRD </w:t>
            </w:r>
            <w:r>
              <w:rPr>
                <w:rFonts w:ascii="Arial" w:hAnsi="Arial" w:cs="Arial"/>
                <w:color w:val="000000"/>
                <w:sz w:val="22"/>
                <w:lang w:val="sr-Latn-ME"/>
              </w:rPr>
              <w:t>VI</w:t>
            </w:r>
            <w:r w:rsidRPr="00476FD5">
              <w:rPr>
                <w:rFonts w:ascii="Arial" w:hAnsi="Arial" w:cs="Arial"/>
                <w:color w:val="000000"/>
                <w:sz w:val="22"/>
                <w:lang w:val="sr-Latn-ME"/>
              </w:rPr>
              <w:t xml:space="preserve">/CRR </w:t>
            </w:r>
            <w:r>
              <w:rPr>
                <w:rFonts w:ascii="Arial" w:hAnsi="Arial" w:cs="Arial"/>
                <w:color w:val="000000"/>
                <w:sz w:val="22"/>
                <w:lang w:val="sr-Latn-ME"/>
              </w:rPr>
              <w:t>III</w:t>
            </w:r>
            <w:r w:rsidRPr="00476FD5">
              <w:rPr>
                <w:rFonts w:ascii="Arial" w:hAnsi="Arial" w:cs="Arial"/>
                <w:color w:val="000000"/>
                <w:sz w:val="22"/>
                <w:lang w:val="sr-Latn-ME"/>
              </w:rPr>
              <w:t xml:space="preserve"> paket), </w:t>
            </w:r>
            <w:r w:rsidRPr="00223D16">
              <w:rPr>
                <w:rFonts w:ascii="Arial" w:hAnsi="Arial" w:cs="Arial"/>
                <w:color w:val="000000"/>
                <w:sz w:val="22"/>
                <w:lang w:val="sr-Latn-ME"/>
              </w:rPr>
              <w:t>uključujući i</w:t>
            </w:r>
            <w:r w:rsidRPr="00476FD5">
              <w:rPr>
                <w:rFonts w:ascii="Arial" w:hAnsi="Arial" w:cs="Arial"/>
                <w:color w:val="000000"/>
                <w:sz w:val="22"/>
                <w:lang w:val="sr-Latn-ME"/>
              </w:rPr>
              <w:t xml:space="preserve"> posljednje izmjene koje donosi reforma EMIR 3 (tržište derivata i CCP – a u vezi sa rizikom koncentracije). </w:t>
            </w:r>
          </w:p>
          <w:bookmarkEnd w:id="0"/>
          <w:p w14:paraId="2C3B1386" w14:textId="77777777" w:rsidR="00472CDA" w:rsidRPr="001C067B" w:rsidRDefault="00472CDA" w:rsidP="00894A07">
            <w:pPr>
              <w:ind w:firstLine="720"/>
              <w:rPr>
                <w:rFonts w:ascii="Arial" w:eastAsia="Calibri" w:hAnsi="Arial" w:cs="Arial"/>
                <w:bCs w:val="0"/>
                <w:sz w:val="22"/>
                <w:lang w:val="sr-Latn-ME" w:eastAsia="en-US"/>
              </w:rPr>
            </w:pPr>
          </w:p>
          <w:p w14:paraId="7168CA5A" w14:textId="49C02490" w:rsidR="00472CDA" w:rsidRPr="001C067B" w:rsidRDefault="00472CDA" w:rsidP="00894A07">
            <w:pPr>
              <w:rPr>
                <w:rFonts w:ascii="Arial" w:hAnsi="Arial" w:cs="Arial"/>
                <w:bCs w:val="0"/>
                <w:sz w:val="22"/>
                <w:lang w:val="sr-Latn-ME" w:eastAsia="en-US"/>
              </w:rPr>
            </w:pPr>
            <w:r w:rsidRPr="00854576">
              <w:rPr>
                <w:rFonts w:ascii="Arial" w:hAnsi="Arial" w:cs="Arial"/>
                <w:bCs w:val="0"/>
                <w:sz w:val="22"/>
                <w:lang w:val="sr-Latn-ME" w:eastAsia="en-US"/>
              </w:rPr>
              <w:t xml:space="preserve">Usvajanjem ovog zakona stvoriće se uslovi za primjenu </w:t>
            </w:r>
            <w:r w:rsidRPr="001C067B">
              <w:rPr>
                <w:rFonts w:ascii="Arial" w:hAnsi="Arial" w:cs="Arial"/>
                <w:bCs w:val="0"/>
                <w:sz w:val="22"/>
                <w:lang w:val="sr-Latn-ME" w:eastAsia="en-US"/>
              </w:rPr>
              <w:t>novih</w:t>
            </w:r>
            <w:r w:rsidRPr="00854576">
              <w:rPr>
                <w:rFonts w:ascii="Arial" w:hAnsi="Arial" w:cs="Arial"/>
                <w:bCs w:val="0"/>
                <w:sz w:val="22"/>
                <w:lang w:val="sr-Latn-ME" w:eastAsia="en-US"/>
              </w:rPr>
              <w:t xml:space="preserve"> zahtjeva</w:t>
            </w:r>
            <w:r w:rsidRPr="001C067B">
              <w:rPr>
                <w:rFonts w:ascii="Arial" w:hAnsi="Arial" w:cs="Arial"/>
                <w:bCs w:val="0"/>
                <w:sz w:val="22"/>
                <w:lang w:val="sr-Latn-ME" w:eastAsia="en-US"/>
              </w:rPr>
              <w:t xml:space="preserve"> odnosno </w:t>
            </w:r>
            <w:r w:rsidRPr="00854576">
              <w:rPr>
                <w:rFonts w:ascii="Arial" w:hAnsi="Arial" w:cs="Arial"/>
                <w:bCs w:val="0"/>
                <w:sz w:val="22"/>
                <w:lang w:val="sr-Latn-ME" w:eastAsia="en-US"/>
              </w:rPr>
              <w:t xml:space="preserve">jačanje postojećih zahtjeva, koji su propisani </w:t>
            </w:r>
            <w:r w:rsidRPr="001C067B">
              <w:rPr>
                <w:rFonts w:ascii="Arial" w:hAnsi="Arial" w:cs="Arial"/>
                <w:noProof/>
                <w:sz w:val="22"/>
                <w:lang w:val="sr-Latn-ME"/>
              </w:rPr>
              <w:t xml:space="preserve">finalnim standardima CRD (CRD </w:t>
            </w:r>
            <w:r>
              <w:rPr>
                <w:rFonts w:ascii="Arial" w:hAnsi="Arial" w:cs="Arial"/>
                <w:noProof/>
                <w:sz w:val="22"/>
                <w:lang w:val="sr-Latn-ME"/>
              </w:rPr>
              <w:t>VI</w:t>
            </w:r>
            <w:r w:rsidRPr="001C067B">
              <w:rPr>
                <w:rFonts w:ascii="Arial" w:hAnsi="Arial" w:cs="Arial"/>
                <w:noProof/>
                <w:sz w:val="22"/>
                <w:lang w:val="sr-Latn-ME"/>
              </w:rPr>
              <w:t>), kao i zahtjevima EU propisa koji se odnose na digitalnu operativnu otpornost za finansijski sektor (DORA), kriptoimovinu (MiCA) i rizik koncentracije,</w:t>
            </w:r>
            <w:r w:rsidRPr="00854576">
              <w:rPr>
                <w:rFonts w:ascii="Arial" w:hAnsi="Arial" w:cs="Arial"/>
                <w:bCs w:val="0"/>
                <w:sz w:val="22"/>
                <w:lang w:val="sr-Latn-ME" w:eastAsia="en-US"/>
              </w:rPr>
              <w:t xml:space="preserve"> i time značajno unaprijediti regulatorni okvir za poslovanje kreditnih institucija, što će </w:t>
            </w:r>
            <w:r w:rsidRPr="001C067B">
              <w:rPr>
                <w:rFonts w:ascii="Arial" w:hAnsi="Arial" w:cs="Arial"/>
                <w:bCs w:val="0"/>
                <w:sz w:val="22"/>
                <w:lang w:val="sr-Latn-ME" w:eastAsia="en-US"/>
              </w:rPr>
              <w:t>dodatno doprinijeti</w:t>
            </w:r>
            <w:r w:rsidRPr="00854576">
              <w:rPr>
                <w:rFonts w:ascii="Arial" w:hAnsi="Arial" w:cs="Arial"/>
                <w:bCs w:val="0"/>
                <w:sz w:val="22"/>
                <w:lang w:val="sr-Latn-ME" w:eastAsia="en-US"/>
              </w:rPr>
              <w:t xml:space="preserve"> dalje</w:t>
            </w:r>
            <w:r w:rsidRPr="001C067B">
              <w:rPr>
                <w:rFonts w:ascii="Arial" w:hAnsi="Arial" w:cs="Arial"/>
                <w:bCs w:val="0"/>
                <w:sz w:val="22"/>
                <w:lang w:val="sr-Latn-ME" w:eastAsia="en-US"/>
              </w:rPr>
              <w:t>m</w:t>
            </w:r>
            <w:r w:rsidRPr="00854576">
              <w:rPr>
                <w:rFonts w:ascii="Arial" w:hAnsi="Arial" w:cs="Arial"/>
                <w:bCs w:val="0"/>
                <w:sz w:val="22"/>
                <w:lang w:val="sr-Latn-ME" w:eastAsia="en-US"/>
              </w:rPr>
              <w:t xml:space="preserve"> prudentno</w:t>
            </w:r>
            <w:r w:rsidRPr="001C067B">
              <w:rPr>
                <w:rFonts w:ascii="Arial" w:hAnsi="Arial" w:cs="Arial"/>
                <w:bCs w:val="0"/>
                <w:sz w:val="22"/>
                <w:lang w:val="sr-Latn-ME" w:eastAsia="en-US"/>
              </w:rPr>
              <w:t>m</w:t>
            </w:r>
            <w:r w:rsidRPr="00854576">
              <w:rPr>
                <w:rFonts w:ascii="Arial" w:hAnsi="Arial" w:cs="Arial"/>
                <w:bCs w:val="0"/>
                <w:sz w:val="22"/>
                <w:lang w:val="sr-Latn-ME" w:eastAsia="en-US"/>
              </w:rPr>
              <w:t xml:space="preserve"> ponašanj</w:t>
            </w:r>
            <w:r w:rsidRPr="001C067B">
              <w:rPr>
                <w:rFonts w:ascii="Arial" w:hAnsi="Arial" w:cs="Arial"/>
                <w:bCs w:val="0"/>
                <w:sz w:val="22"/>
                <w:lang w:val="sr-Latn-ME" w:eastAsia="en-US"/>
              </w:rPr>
              <w:t>u</w:t>
            </w:r>
            <w:r w:rsidRPr="00854576">
              <w:rPr>
                <w:rFonts w:ascii="Arial" w:hAnsi="Arial" w:cs="Arial"/>
                <w:bCs w:val="0"/>
                <w:sz w:val="22"/>
                <w:lang w:val="sr-Latn-ME" w:eastAsia="en-US"/>
              </w:rPr>
              <w:t xml:space="preserve"> i efikasno</w:t>
            </w:r>
            <w:r w:rsidRPr="001C067B">
              <w:rPr>
                <w:rFonts w:ascii="Arial" w:hAnsi="Arial" w:cs="Arial"/>
                <w:bCs w:val="0"/>
                <w:sz w:val="22"/>
                <w:lang w:val="sr-Latn-ME" w:eastAsia="en-US"/>
              </w:rPr>
              <w:t>m</w:t>
            </w:r>
            <w:r w:rsidRPr="00854576">
              <w:rPr>
                <w:rFonts w:ascii="Arial" w:hAnsi="Arial" w:cs="Arial"/>
                <w:bCs w:val="0"/>
                <w:sz w:val="22"/>
                <w:lang w:val="sr-Latn-ME" w:eastAsia="en-US"/>
              </w:rPr>
              <w:t xml:space="preserve"> poslovanj</w:t>
            </w:r>
            <w:r w:rsidRPr="001C067B">
              <w:rPr>
                <w:rFonts w:ascii="Arial" w:hAnsi="Arial" w:cs="Arial"/>
                <w:bCs w:val="0"/>
                <w:sz w:val="22"/>
                <w:lang w:val="sr-Latn-ME" w:eastAsia="en-US"/>
              </w:rPr>
              <w:t>u</w:t>
            </w:r>
            <w:r w:rsidRPr="00854576">
              <w:rPr>
                <w:rFonts w:ascii="Arial" w:hAnsi="Arial" w:cs="Arial"/>
                <w:bCs w:val="0"/>
                <w:sz w:val="22"/>
                <w:lang w:val="sr-Latn-ME" w:eastAsia="en-US"/>
              </w:rPr>
              <w:t xml:space="preserve"> kreditnih institucija </w:t>
            </w:r>
            <w:r w:rsidRPr="001C067B">
              <w:rPr>
                <w:rFonts w:ascii="Arial" w:hAnsi="Arial" w:cs="Arial"/>
                <w:bCs w:val="0"/>
                <w:sz w:val="22"/>
                <w:lang w:val="sr-Latn-ME" w:eastAsia="en-US"/>
              </w:rPr>
              <w:t>i na taj način imati</w:t>
            </w:r>
            <w:r w:rsidRPr="00854576">
              <w:rPr>
                <w:rFonts w:ascii="Arial" w:hAnsi="Arial" w:cs="Arial"/>
                <w:bCs w:val="0"/>
                <w:sz w:val="22"/>
                <w:lang w:val="sr-Latn-ME" w:eastAsia="en-US"/>
              </w:rPr>
              <w:t xml:space="preserve"> </w:t>
            </w:r>
            <w:r w:rsidRPr="001C067B">
              <w:rPr>
                <w:rFonts w:ascii="Arial" w:hAnsi="Arial" w:cs="Arial"/>
                <w:bCs w:val="0"/>
                <w:sz w:val="22"/>
                <w:lang w:val="sr-Latn-ME" w:eastAsia="en-US"/>
              </w:rPr>
              <w:t xml:space="preserve">pozitivan uticaj </w:t>
            </w:r>
            <w:r w:rsidRPr="00854576">
              <w:rPr>
                <w:rFonts w:ascii="Arial" w:hAnsi="Arial" w:cs="Arial"/>
                <w:bCs w:val="0"/>
                <w:sz w:val="22"/>
                <w:lang w:val="sr-Latn-ME" w:eastAsia="en-US"/>
              </w:rPr>
              <w:t>i na zdrav i stabilan bankarski sistem odnosno finansijski sistem u cjelini.</w:t>
            </w:r>
          </w:p>
          <w:p w14:paraId="5C27D442" w14:textId="77777777" w:rsidR="00472CDA" w:rsidRPr="00854576" w:rsidRDefault="00472CDA" w:rsidP="00894A07">
            <w:pPr>
              <w:rPr>
                <w:rFonts w:ascii="Arial" w:hAnsi="Arial" w:cs="Arial"/>
                <w:bCs w:val="0"/>
                <w:sz w:val="22"/>
                <w:lang w:val="sr-Latn-ME" w:eastAsia="en-US"/>
              </w:rPr>
            </w:pPr>
          </w:p>
          <w:p w14:paraId="7F06C1AA" w14:textId="3119A6B0" w:rsidR="00472CDA" w:rsidRPr="0059634B" w:rsidRDefault="00472CDA" w:rsidP="00894A07">
            <w:pPr>
              <w:rPr>
                <w:rFonts w:ascii="Arial" w:hAnsi="Arial" w:cs="Arial"/>
                <w:color w:val="FF0000"/>
                <w:sz w:val="22"/>
                <w:lang w:val="sr-Latn-ME" w:eastAsia="en-US"/>
              </w:rPr>
            </w:pPr>
            <w:r w:rsidRPr="00854576">
              <w:rPr>
                <w:rFonts w:ascii="Arial" w:hAnsi="Arial" w:cs="Arial"/>
                <w:bCs w:val="0"/>
                <w:sz w:val="22"/>
                <w:lang w:val="sr-Latn-ME" w:eastAsia="x-none"/>
              </w:rPr>
              <w:t xml:space="preserve">U opciji ,,status quo'', </w:t>
            </w:r>
            <w:r w:rsidRPr="001C067B">
              <w:rPr>
                <w:rFonts w:ascii="Arial" w:hAnsi="Arial" w:cs="Arial"/>
                <w:bCs w:val="0"/>
                <w:sz w:val="22"/>
                <w:lang w:val="sr-Latn-ME" w:eastAsia="x-none"/>
              </w:rPr>
              <w:t>onemogućilo</w:t>
            </w:r>
            <w:r w:rsidRPr="00854576">
              <w:rPr>
                <w:rFonts w:ascii="Arial" w:hAnsi="Arial" w:cs="Arial"/>
                <w:bCs w:val="0"/>
                <w:sz w:val="22"/>
                <w:lang w:val="sr-Latn-ME" w:eastAsia="x-none"/>
              </w:rPr>
              <w:t xml:space="preserve"> bi se dalje unaprjeđenje regulatornog okvira za kreditne institucije, </w:t>
            </w:r>
            <w:r>
              <w:rPr>
                <w:rFonts w:ascii="Arial" w:hAnsi="Arial" w:cs="Arial"/>
                <w:bCs w:val="0"/>
                <w:sz w:val="22"/>
                <w:lang w:val="sr-Latn-ME" w:eastAsia="x-none"/>
              </w:rPr>
              <w:t>što bi dovelo do</w:t>
            </w:r>
            <w:r w:rsidRPr="001C067B">
              <w:rPr>
                <w:rFonts w:ascii="Arial" w:hAnsi="Arial" w:cs="Arial"/>
                <w:bCs w:val="0"/>
                <w:sz w:val="22"/>
                <w:lang w:val="sr-Latn-ME" w:eastAsia="x-none"/>
              </w:rPr>
              <w:t xml:space="preserve"> </w:t>
            </w:r>
            <w:r>
              <w:rPr>
                <w:rFonts w:ascii="Arial" w:hAnsi="Arial" w:cs="Arial"/>
                <w:bCs w:val="0"/>
                <w:sz w:val="22"/>
                <w:lang w:val="sr-Latn-ME" w:eastAsia="x-none"/>
              </w:rPr>
              <w:t>ne</w:t>
            </w:r>
            <w:r w:rsidRPr="00854576">
              <w:rPr>
                <w:rFonts w:ascii="Arial" w:hAnsi="Arial" w:cs="Arial"/>
                <w:bCs w:val="0"/>
                <w:sz w:val="22"/>
                <w:lang w:val="sr-Latn-ME" w:eastAsia="x-none"/>
              </w:rPr>
              <w:t>usklađ</w:t>
            </w:r>
            <w:r>
              <w:rPr>
                <w:rFonts w:ascii="Arial" w:hAnsi="Arial" w:cs="Arial"/>
                <w:bCs w:val="0"/>
                <w:sz w:val="22"/>
                <w:lang w:val="sr-Latn-ME" w:eastAsia="x-none"/>
              </w:rPr>
              <w:t>enosti</w:t>
            </w:r>
            <w:r w:rsidRPr="00854576">
              <w:rPr>
                <w:rFonts w:ascii="Arial" w:hAnsi="Arial" w:cs="Arial"/>
                <w:bCs w:val="0"/>
                <w:sz w:val="22"/>
                <w:lang w:val="sr-Latn-ME" w:eastAsia="x-none"/>
              </w:rPr>
              <w:t xml:space="preserve"> postojećeg nacionalnog regulatornog okvira sa </w:t>
            </w:r>
            <w:r w:rsidRPr="001C067B">
              <w:rPr>
                <w:rFonts w:ascii="Arial" w:hAnsi="Arial" w:cs="Arial"/>
                <w:bCs w:val="0"/>
                <w:sz w:val="22"/>
                <w:lang w:val="sr-Latn-ME" w:eastAsia="x-none"/>
              </w:rPr>
              <w:t>najnovijim</w:t>
            </w:r>
            <w:r w:rsidRPr="00854576">
              <w:rPr>
                <w:rFonts w:ascii="Arial" w:hAnsi="Arial" w:cs="Arial"/>
                <w:bCs w:val="0"/>
                <w:sz w:val="22"/>
                <w:lang w:val="sr-Latn-ME" w:eastAsia="x-none"/>
              </w:rPr>
              <w:t xml:space="preserve"> evropskim propisima</w:t>
            </w:r>
            <w:r w:rsidRPr="001C067B">
              <w:rPr>
                <w:rFonts w:ascii="Arial" w:hAnsi="Arial" w:cs="Arial"/>
                <w:bCs w:val="0"/>
                <w:sz w:val="22"/>
                <w:lang w:val="sr-Latn-ME" w:eastAsia="x-none"/>
              </w:rPr>
              <w:t xml:space="preserve"> </w:t>
            </w:r>
            <w:r w:rsidRPr="00854576">
              <w:rPr>
                <w:rFonts w:ascii="Arial" w:hAnsi="Arial" w:cs="Arial"/>
                <w:bCs w:val="0"/>
                <w:sz w:val="22"/>
                <w:lang w:val="sr-Latn-ME" w:eastAsia="x-none"/>
              </w:rPr>
              <w:t>što bi u krajnjem zaustavilo put Crne Gore u Evropsku uniju</w:t>
            </w:r>
            <w:r w:rsidRPr="00854576">
              <w:rPr>
                <w:rFonts w:ascii="Arial" w:hAnsi="Arial" w:cs="Arial"/>
                <w:bCs w:val="0"/>
                <w:color w:val="FF0000"/>
                <w:sz w:val="22"/>
                <w:lang w:val="sr-Latn-ME" w:eastAsia="x-none"/>
              </w:rPr>
              <w:t>.</w:t>
            </w:r>
          </w:p>
          <w:p w14:paraId="414080DB" w14:textId="77777777" w:rsidR="00472CDA" w:rsidRPr="0059634B" w:rsidRDefault="00472CDA" w:rsidP="00894A07">
            <w:pPr>
              <w:pStyle w:val="BodyText2"/>
              <w:spacing w:after="0" w:line="240" w:lineRule="auto"/>
              <w:jc w:val="both"/>
              <w:rPr>
                <w:rFonts w:ascii="Arial" w:hAnsi="Arial" w:cs="Arial"/>
                <w:color w:val="FF0000"/>
                <w:sz w:val="22"/>
                <w:szCs w:val="22"/>
                <w:lang w:val="sr-Latn-ME" w:eastAsia="en-US"/>
              </w:rPr>
            </w:pPr>
          </w:p>
        </w:tc>
      </w:tr>
      <w:tr w:rsidR="00472CDA" w:rsidRPr="005D6A54" w14:paraId="58614558" w14:textId="77777777" w:rsidTr="00894A07">
        <w:tc>
          <w:tcPr>
            <w:tcW w:w="9576" w:type="dxa"/>
            <w:gridSpan w:val="2"/>
            <w:shd w:val="clear" w:color="auto" w:fill="D2EAF1"/>
          </w:tcPr>
          <w:p w14:paraId="1D64AC47" w14:textId="77777777" w:rsidR="00472CDA" w:rsidRPr="005D6A54" w:rsidRDefault="00472CDA" w:rsidP="00894A07">
            <w:pPr>
              <w:autoSpaceDE w:val="0"/>
              <w:autoSpaceDN w:val="0"/>
              <w:adjustRightInd w:val="0"/>
              <w:spacing w:before="120" w:after="120"/>
              <w:rPr>
                <w:rFonts w:ascii="Arial" w:hAnsi="Arial" w:cs="Arial"/>
                <w:b/>
                <w:bCs w:val="0"/>
                <w:sz w:val="22"/>
                <w:lang w:val="sr-Latn-ME"/>
              </w:rPr>
            </w:pPr>
            <w:r w:rsidRPr="005D6A54">
              <w:rPr>
                <w:rFonts w:ascii="Arial" w:hAnsi="Arial" w:cs="Arial"/>
                <w:b/>
                <w:bCs w:val="0"/>
                <w:sz w:val="22"/>
                <w:lang w:val="sr-Latn-ME"/>
              </w:rPr>
              <w:lastRenderedPageBreak/>
              <w:t>2. Ciljevi</w:t>
            </w:r>
          </w:p>
          <w:p w14:paraId="3A31F297" w14:textId="77777777" w:rsidR="00472CDA" w:rsidRPr="005D6A54" w:rsidRDefault="00472CDA" w:rsidP="00472CDA">
            <w:pPr>
              <w:pStyle w:val="ListParagraph"/>
              <w:numPr>
                <w:ilvl w:val="0"/>
                <w:numId w:val="1"/>
              </w:numPr>
              <w:autoSpaceDE w:val="0"/>
              <w:autoSpaceDN w:val="0"/>
              <w:adjustRightInd w:val="0"/>
              <w:spacing w:before="120" w:after="120"/>
              <w:ind w:left="450" w:hanging="180"/>
              <w:contextualSpacing/>
              <w:jc w:val="left"/>
              <w:rPr>
                <w:rFonts w:ascii="Arial" w:hAnsi="Arial" w:cs="Arial"/>
                <w:b/>
                <w:bCs w:val="0"/>
                <w:sz w:val="22"/>
                <w:lang w:val="sr-Latn-ME"/>
              </w:rPr>
            </w:pPr>
            <w:r w:rsidRPr="005D6A54">
              <w:rPr>
                <w:rFonts w:ascii="Arial" w:hAnsi="Arial" w:cs="Arial"/>
                <w:b/>
                <w:bCs w:val="0"/>
                <w:sz w:val="22"/>
                <w:lang w:val="sr-Latn-ME"/>
              </w:rPr>
              <w:t>Koji ciljevi se postižu predloženim propisom?</w:t>
            </w:r>
          </w:p>
          <w:p w14:paraId="293459AF" w14:textId="77777777" w:rsidR="00472CDA" w:rsidRPr="005D6A54" w:rsidRDefault="00472CDA" w:rsidP="00472CDA">
            <w:pPr>
              <w:pStyle w:val="ListParagraph"/>
              <w:numPr>
                <w:ilvl w:val="0"/>
                <w:numId w:val="1"/>
              </w:numPr>
              <w:autoSpaceDE w:val="0"/>
              <w:autoSpaceDN w:val="0"/>
              <w:adjustRightInd w:val="0"/>
              <w:spacing w:before="120" w:after="120"/>
              <w:ind w:left="450" w:hanging="180"/>
              <w:contextualSpacing/>
              <w:jc w:val="left"/>
              <w:rPr>
                <w:rFonts w:ascii="Arial" w:hAnsi="Arial" w:cs="Arial"/>
                <w:b/>
                <w:bCs w:val="0"/>
                <w:sz w:val="22"/>
                <w:lang w:val="sr-Latn-ME"/>
              </w:rPr>
            </w:pPr>
            <w:r w:rsidRPr="005D6A54">
              <w:rPr>
                <w:rFonts w:ascii="Arial" w:hAnsi="Arial" w:cs="Arial"/>
                <w:b/>
                <w:bCs w:val="0"/>
                <w:sz w:val="22"/>
                <w:lang w:val="sr-Latn-ME"/>
              </w:rPr>
              <w:t>Navesti usklađenost ovih ciljeva sa postojećim strategijama ili programima Vlade, ako je primjenljivo.</w:t>
            </w:r>
          </w:p>
        </w:tc>
      </w:tr>
      <w:tr w:rsidR="00472CDA" w:rsidRPr="005D6A54" w14:paraId="03E971F2" w14:textId="77777777" w:rsidTr="00894A07">
        <w:tc>
          <w:tcPr>
            <w:tcW w:w="9576" w:type="dxa"/>
            <w:gridSpan w:val="2"/>
          </w:tcPr>
          <w:p w14:paraId="26AE38B5" w14:textId="77777777" w:rsidR="00472CDA" w:rsidRPr="005D6A54" w:rsidRDefault="00472CDA" w:rsidP="00894A07">
            <w:pPr>
              <w:pStyle w:val="NoSpacing"/>
              <w:jc w:val="both"/>
              <w:rPr>
                <w:rFonts w:ascii="Arial" w:hAnsi="Arial" w:cs="Arial"/>
                <w:noProof/>
                <w:lang w:val="sr-Latn-ME"/>
              </w:rPr>
            </w:pPr>
          </w:p>
          <w:p w14:paraId="04C23546" w14:textId="171D4CB7" w:rsidR="00472CDA" w:rsidRPr="00316C30" w:rsidRDefault="00472CDA" w:rsidP="00894A07">
            <w:pPr>
              <w:pStyle w:val="NoSpacing"/>
              <w:jc w:val="both"/>
              <w:rPr>
                <w:rFonts w:ascii="Arial" w:hAnsi="Arial" w:cs="Arial"/>
                <w:noProof/>
                <w:lang w:val="sr-Latn-ME"/>
              </w:rPr>
            </w:pPr>
            <w:r w:rsidRPr="00316C30">
              <w:rPr>
                <w:rFonts w:ascii="Arial" w:hAnsi="Arial" w:cs="Arial"/>
                <w:noProof/>
                <w:lang w:val="sr-Latn-ME"/>
              </w:rPr>
              <w:t xml:space="preserve">Usvajanje navedenog </w:t>
            </w:r>
            <w:r w:rsidR="005743FA">
              <w:rPr>
                <w:rFonts w:ascii="Arial" w:hAnsi="Arial" w:cs="Arial"/>
                <w:noProof/>
                <w:lang w:val="sr-Latn-ME"/>
              </w:rPr>
              <w:t xml:space="preserve">Nacrta </w:t>
            </w:r>
            <w:r w:rsidRPr="00316C30">
              <w:rPr>
                <w:rFonts w:ascii="Arial" w:hAnsi="Arial" w:cs="Arial"/>
                <w:noProof/>
                <w:lang w:val="sr-Latn-ME"/>
              </w:rPr>
              <w:t>zakona predstavlja neophodan osnov za realizaciju sljedećih ciljeva:</w:t>
            </w:r>
          </w:p>
          <w:p w14:paraId="298276C7" w14:textId="77777777" w:rsidR="00472CDA" w:rsidRPr="00316C30" w:rsidRDefault="00472CDA" w:rsidP="00472CDA">
            <w:pPr>
              <w:pStyle w:val="NoSpacing"/>
              <w:numPr>
                <w:ilvl w:val="0"/>
                <w:numId w:val="2"/>
              </w:numPr>
              <w:jc w:val="both"/>
              <w:rPr>
                <w:rFonts w:ascii="Arial" w:hAnsi="Arial" w:cs="Arial"/>
                <w:noProof/>
                <w:lang w:val="sr-Latn-ME"/>
              </w:rPr>
            </w:pPr>
            <w:r w:rsidRPr="00316C30">
              <w:rPr>
                <w:rFonts w:ascii="Arial" w:hAnsi="Arial" w:cs="Arial"/>
                <w:noProof/>
                <w:lang w:val="sr-Latn-ME"/>
              </w:rPr>
              <w:t xml:space="preserve">dodatno unaprjeđenje postojećeg regulatornog okvira iz oblasti poslovanja kreditnih institucija radi potpune harmonizacije nacionalne bankarske regulative sa najnovijim relevantnim EU standardima i propisima; </w:t>
            </w:r>
          </w:p>
          <w:p w14:paraId="0D137A8D" w14:textId="77777777" w:rsidR="00472CDA" w:rsidRPr="00316C30" w:rsidRDefault="00472CDA" w:rsidP="00472CDA">
            <w:pPr>
              <w:pStyle w:val="NoSpacing"/>
              <w:numPr>
                <w:ilvl w:val="0"/>
                <w:numId w:val="2"/>
              </w:numPr>
              <w:jc w:val="both"/>
              <w:rPr>
                <w:rFonts w:ascii="Arial" w:hAnsi="Arial" w:cs="Arial"/>
                <w:noProof/>
                <w:lang w:val="sr-Latn-ME"/>
              </w:rPr>
            </w:pPr>
            <w:r w:rsidRPr="00316C30">
              <w:rPr>
                <w:rFonts w:ascii="Arial" w:hAnsi="Arial" w:cs="Arial"/>
                <w:noProof/>
                <w:lang w:val="sr-Latn-ME"/>
              </w:rPr>
              <w:t xml:space="preserve">razvojem regulatornog okvira kreira se snažan stimulans za jačanje bankarskog sistema i stabilnost finansijskog sistema u državi.   </w:t>
            </w:r>
          </w:p>
          <w:p w14:paraId="3F5126EC" w14:textId="77777777" w:rsidR="00472CDA" w:rsidRDefault="00472CDA" w:rsidP="00894A07">
            <w:pPr>
              <w:pStyle w:val="NoSpacing"/>
              <w:jc w:val="both"/>
              <w:rPr>
                <w:rFonts w:ascii="Arial" w:hAnsi="Arial" w:cs="Arial"/>
                <w:noProof/>
                <w:color w:val="FF0000"/>
                <w:lang w:val="sr-Latn-ME"/>
              </w:rPr>
            </w:pPr>
          </w:p>
          <w:p w14:paraId="274F1250" w14:textId="335FEF5B" w:rsidR="00472CDA" w:rsidRPr="00D02906" w:rsidRDefault="00472CDA" w:rsidP="00894A07">
            <w:pPr>
              <w:pStyle w:val="NoSpacing"/>
              <w:jc w:val="both"/>
              <w:rPr>
                <w:rFonts w:ascii="Arial" w:hAnsi="Arial" w:cs="Arial"/>
                <w:noProof/>
                <w:lang w:val="sr-Latn-ME"/>
              </w:rPr>
            </w:pPr>
            <w:r w:rsidRPr="00D02906">
              <w:rPr>
                <w:rFonts w:ascii="Arial" w:hAnsi="Arial" w:cs="Arial"/>
                <w:noProof/>
                <w:lang w:val="sr-Latn-ME"/>
              </w:rPr>
              <w:t xml:space="preserve">Usvajanje navedenog </w:t>
            </w:r>
            <w:r w:rsidR="005743FA">
              <w:rPr>
                <w:rFonts w:ascii="Arial" w:hAnsi="Arial" w:cs="Arial"/>
                <w:noProof/>
                <w:lang w:val="sr-Latn-ME"/>
              </w:rPr>
              <w:t xml:space="preserve">Nacrta </w:t>
            </w:r>
            <w:r w:rsidRPr="00D02906">
              <w:rPr>
                <w:rFonts w:ascii="Arial" w:hAnsi="Arial" w:cs="Arial"/>
                <w:noProof/>
                <w:lang w:val="sr-Latn-ME"/>
              </w:rPr>
              <w:t xml:space="preserve">zakona predstavlja </w:t>
            </w:r>
            <w:r w:rsidR="005743FA">
              <w:rPr>
                <w:rFonts w:ascii="Arial" w:hAnsi="Arial" w:cs="Arial"/>
                <w:noProof/>
                <w:lang w:val="sr-Latn-ME"/>
              </w:rPr>
              <w:t>dodatni doprinos aktivnostima preduzetim</w:t>
            </w:r>
            <w:r w:rsidRPr="00D02906">
              <w:rPr>
                <w:rFonts w:ascii="Arial" w:hAnsi="Arial" w:cs="Arial"/>
                <w:noProof/>
                <w:lang w:val="sr-Latn-ME"/>
              </w:rPr>
              <w:t xml:space="preserve"> </w:t>
            </w:r>
            <w:r w:rsidRPr="00D02906">
              <w:rPr>
                <w:rFonts w:ascii="Arial" w:hAnsi="Arial" w:cs="Arial"/>
                <w:lang w:val="sr-Latn-ME"/>
              </w:rPr>
              <w:t xml:space="preserve">u postupku pristupanja Crne Gore Evropskoj uniji, </w:t>
            </w:r>
            <w:r w:rsidRPr="00D02906">
              <w:rPr>
                <w:rFonts w:ascii="Arial" w:hAnsi="Arial" w:cs="Arial"/>
                <w:bCs/>
                <w:lang w:val="sr-Latn-ME"/>
              </w:rPr>
              <w:t xml:space="preserve">u </w:t>
            </w:r>
            <w:r w:rsidR="005743FA">
              <w:rPr>
                <w:rFonts w:ascii="Arial" w:hAnsi="Arial" w:cs="Arial"/>
                <w:bCs/>
                <w:lang w:val="sr-Latn-ME"/>
              </w:rPr>
              <w:t xml:space="preserve">okviru </w:t>
            </w:r>
            <w:r w:rsidRPr="00D02906">
              <w:rPr>
                <w:rFonts w:ascii="Arial" w:hAnsi="Arial" w:cs="Arial"/>
                <w:bCs/>
                <w:lang w:val="sr-Latn-ME"/>
              </w:rPr>
              <w:t>pregovaračko</w:t>
            </w:r>
            <w:r w:rsidR="005743FA">
              <w:rPr>
                <w:rFonts w:ascii="Arial" w:hAnsi="Arial" w:cs="Arial"/>
                <w:bCs/>
                <w:lang w:val="sr-Latn-ME"/>
              </w:rPr>
              <w:t>g</w:t>
            </w:r>
            <w:r w:rsidRPr="00D02906">
              <w:rPr>
                <w:rFonts w:ascii="Arial" w:hAnsi="Arial" w:cs="Arial"/>
                <w:bCs/>
                <w:lang w:val="sr-Latn-ME"/>
              </w:rPr>
              <w:t xml:space="preserve"> Poglavlj</w:t>
            </w:r>
            <w:r w:rsidR="005743FA">
              <w:rPr>
                <w:rFonts w:ascii="Arial" w:hAnsi="Arial" w:cs="Arial"/>
                <w:bCs/>
                <w:lang w:val="sr-Latn-ME"/>
              </w:rPr>
              <w:t>a</w:t>
            </w:r>
            <w:r w:rsidRPr="00D02906">
              <w:rPr>
                <w:rFonts w:ascii="Arial" w:hAnsi="Arial" w:cs="Arial"/>
                <w:bCs/>
                <w:lang w:val="sr-Latn-ME"/>
              </w:rPr>
              <w:t xml:space="preserve"> 9 - </w:t>
            </w:r>
            <w:r w:rsidRPr="00D02906">
              <w:rPr>
                <w:rFonts w:ascii="Arial" w:hAnsi="Arial" w:cs="Arial"/>
                <w:lang w:val="sr-Latn-ME"/>
              </w:rPr>
              <w:t>„Finansijske usluge“.</w:t>
            </w:r>
          </w:p>
          <w:p w14:paraId="1F7E5417" w14:textId="77777777" w:rsidR="00472CDA" w:rsidRPr="0059634B" w:rsidRDefault="00472CDA" w:rsidP="00894A07">
            <w:pPr>
              <w:pStyle w:val="NoSpacing"/>
              <w:ind w:left="360"/>
              <w:jc w:val="both"/>
              <w:rPr>
                <w:rFonts w:ascii="Arial" w:hAnsi="Arial" w:cs="Arial"/>
                <w:noProof/>
                <w:color w:val="FF0000"/>
                <w:lang w:val="sr-Latn-ME"/>
              </w:rPr>
            </w:pPr>
          </w:p>
          <w:p w14:paraId="4C6CC5B4" w14:textId="77777777" w:rsidR="00472CDA" w:rsidRPr="005D6A54" w:rsidRDefault="00472CDA" w:rsidP="00894A07">
            <w:pPr>
              <w:pStyle w:val="NoSpacing"/>
              <w:ind w:left="360"/>
              <w:jc w:val="both"/>
              <w:rPr>
                <w:rFonts w:ascii="Arial" w:hAnsi="Arial" w:cs="Arial"/>
                <w:noProof/>
                <w:lang w:val="sr-Latn-ME"/>
              </w:rPr>
            </w:pPr>
          </w:p>
        </w:tc>
      </w:tr>
      <w:tr w:rsidR="00472CDA" w:rsidRPr="005D6A54" w14:paraId="230CD478" w14:textId="77777777" w:rsidTr="00894A07">
        <w:tc>
          <w:tcPr>
            <w:tcW w:w="9576" w:type="dxa"/>
            <w:gridSpan w:val="2"/>
            <w:shd w:val="clear" w:color="auto" w:fill="D2EAF1"/>
          </w:tcPr>
          <w:p w14:paraId="2DC50571" w14:textId="77777777" w:rsidR="00472CDA" w:rsidRPr="005D6A54" w:rsidRDefault="00472CDA" w:rsidP="00894A07">
            <w:pPr>
              <w:autoSpaceDE w:val="0"/>
              <w:autoSpaceDN w:val="0"/>
              <w:adjustRightInd w:val="0"/>
              <w:spacing w:before="120" w:after="120"/>
              <w:rPr>
                <w:rFonts w:ascii="Arial" w:hAnsi="Arial" w:cs="Arial"/>
                <w:b/>
                <w:bCs w:val="0"/>
                <w:sz w:val="22"/>
                <w:lang w:val="sr-Latn-ME"/>
              </w:rPr>
            </w:pPr>
            <w:r w:rsidRPr="005D6A54">
              <w:rPr>
                <w:rFonts w:ascii="Arial" w:hAnsi="Arial" w:cs="Arial"/>
                <w:b/>
                <w:bCs w:val="0"/>
                <w:sz w:val="22"/>
                <w:lang w:val="sr-Latn-ME"/>
              </w:rPr>
              <w:t>3. Opcije</w:t>
            </w:r>
          </w:p>
          <w:p w14:paraId="7A6E8030" w14:textId="77777777" w:rsidR="00472CDA" w:rsidRPr="005D6A54"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5D6A54">
              <w:rPr>
                <w:rFonts w:ascii="Arial" w:hAnsi="Arial" w:cs="Arial"/>
                <w:b/>
                <w:bCs w:val="0"/>
                <w:sz w:val="22"/>
                <w:lang w:val="sr-Latn-ME"/>
              </w:rPr>
              <w:t>Koje su moguće opcije za ispunjavanje ciljeva i rješavanje problema? (uvijek treba razmatrati “status quo” opciju i preporučljivo je uključiti i neregulatornu opciju, osim ako postoji obaveza donošenja predloženog propisa).</w:t>
            </w:r>
          </w:p>
          <w:p w14:paraId="7C389DDB" w14:textId="77777777" w:rsidR="00472CDA" w:rsidRPr="005D6A54"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5D6A54">
              <w:rPr>
                <w:rFonts w:ascii="Arial" w:hAnsi="Arial" w:cs="Arial"/>
                <w:b/>
                <w:bCs w:val="0"/>
                <w:sz w:val="22"/>
                <w:lang w:val="sr-Latn-ME"/>
              </w:rPr>
              <w:t>Obrazložiti preferiranu opciju?</w:t>
            </w:r>
          </w:p>
        </w:tc>
      </w:tr>
      <w:tr w:rsidR="00472CDA" w:rsidRPr="005D6A54" w14:paraId="0892036F" w14:textId="77777777" w:rsidTr="00894A07">
        <w:tc>
          <w:tcPr>
            <w:tcW w:w="9576" w:type="dxa"/>
            <w:gridSpan w:val="2"/>
          </w:tcPr>
          <w:p w14:paraId="3E3FC773" w14:textId="77777777" w:rsidR="00472CDA" w:rsidRPr="00B67383" w:rsidRDefault="00472CDA" w:rsidP="00894A07">
            <w:pPr>
              <w:autoSpaceDE w:val="0"/>
              <w:autoSpaceDN w:val="0"/>
              <w:adjustRightInd w:val="0"/>
              <w:rPr>
                <w:rFonts w:ascii="Arial" w:hAnsi="Arial" w:cs="Arial"/>
                <w:sz w:val="22"/>
                <w:lang w:val="sr-Latn-ME"/>
              </w:rPr>
            </w:pPr>
          </w:p>
          <w:p w14:paraId="2FD36809" w14:textId="466B0505" w:rsidR="00472CDA" w:rsidRPr="00B67383" w:rsidRDefault="00472CDA" w:rsidP="00894A07">
            <w:pPr>
              <w:rPr>
                <w:rFonts w:ascii="Arial" w:hAnsi="Arial" w:cs="Arial"/>
                <w:bCs w:val="0"/>
                <w:sz w:val="22"/>
                <w:lang w:val="sr-Latn-ME" w:eastAsia="en-US"/>
              </w:rPr>
            </w:pPr>
            <w:r w:rsidRPr="00B67383">
              <w:rPr>
                <w:rFonts w:ascii="Arial" w:hAnsi="Arial" w:cs="Arial"/>
                <w:sz w:val="22"/>
                <w:lang w:val="sr-Latn-ME"/>
              </w:rPr>
              <w:t xml:space="preserve">Usvajanjem </w:t>
            </w:r>
            <w:r w:rsidR="005743FA">
              <w:rPr>
                <w:rFonts w:ascii="Arial" w:hAnsi="Arial" w:cs="Arial"/>
                <w:sz w:val="22"/>
                <w:lang w:val="sr-Latn-ME"/>
              </w:rPr>
              <w:t xml:space="preserve">Nacrta </w:t>
            </w:r>
            <w:r>
              <w:rPr>
                <w:rFonts w:ascii="Arial" w:hAnsi="Arial" w:cs="Arial"/>
                <w:sz w:val="22"/>
                <w:lang w:val="sr-Latn-ME"/>
              </w:rPr>
              <w:t xml:space="preserve">zakona vrši se potpuno </w:t>
            </w:r>
            <w:r w:rsidRPr="00476FD5">
              <w:rPr>
                <w:rFonts w:ascii="Arial" w:hAnsi="Arial" w:cs="Arial"/>
                <w:sz w:val="22"/>
                <w:lang w:val="sr-Latn-ME"/>
              </w:rPr>
              <w:t>usklađivanj</w:t>
            </w:r>
            <w:r>
              <w:rPr>
                <w:rFonts w:ascii="Arial" w:hAnsi="Arial" w:cs="Arial"/>
                <w:sz w:val="22"/>
                <w:lang w:val="sr-Latn-ME"/>
              </w:rPr>
              <w:t>e</w:t>
            </w:r>
            <w:r w:rsidRPr="00476FD5">
              <w:rPr>
                <w:rFonts w:ascii="Arial" w:hAnsi="Arial" w:cs="Arial"/>
                <w:sz w:val="22"/>
                <w:lang w:val="sr-Latn-ME"/>
              </w:rPr>
              <w:t xml:space="preserve"> crnogorskog </w:t>
            </w:r>
            <w:r>
              <w:rPr>
                <w:rFonts w:ascii="Arial" w:hAnsi="Arial" w:cs="Arial"/>
                <w:sz w:val="22"/>
                <w:lang w:val="sr-Latn-ME"/>
              </w:rPr>
              <w:t xml:space="preserve">bankarskog pravnog </w:t>
            </w:r>
            <w:r w:rsidRPr="00476FD5">
              <w:rPr>
                <w:rFonts w:ascii="Arial" w:hAnsi="Arial" w:cs="Arial"/>
                <w:sz w:val="22"/>
                <w:lang w:val="sr-Latn-ME"/>
              </w:rPr>
              <w:t xml:space="preserve">okvira sa </w:t>
            </w:r>
            <w:r w:rsidR="005743FA">
              <w:rPr>
                <w:rFonts w:ascii="Arial" w:hAnsi="Arial" w:cs="Arial"/>
                <w:sz w:val="22"/>
                <w:lang w:val="sr-Latn-ME"/>
              </w:rPr>
              <w:t xml:space="preserve">finalnim </w:t>
            </w:r>
            <w:r w:rsidRPr="00476FD5">
              <w:rPr>
                <w:rFonts w:ascii="Arial" w:hAnsi="Arial" w:cs="Arial"/>
                <w:sz w:val="22"/>
                <w:lang w:val="sr-Latn-ME"/>
              </w:rPr>
              <w:t>EU standardima</w:t>
            </w:r>
            <w:r w:rsidRPr="00223D16">
              <w:rPr>
                <w:rFonts w:ascii="Arial" w:hAnsi="Arial" w:cs="Arial"/>
                <w:sz w:val="22"/>
                <w:lang w:val="sr-Latn-ME"/>
              </w:rPr>
              <w:t xml:space="preserve"> i </w:t>
            </w:r>
            <w:r>
              <w:rPr>
                <w:rFonts w:ascii="Arial" w:hAnsi="Arial" w:cs="Arial"/>
                <w:sz w:val="22"/>
                <w:lang w:val="sr-Latn-ME"/>
              </w:rPr>
              <w:t xml:space="preserve">propisima iz oblasti bankarstva, čime se </w:t>
            </w:r>
            <w:r w:rsidR="005743FA">
              <w:rPr>
                <w:rFonts w:ascii="Arial" w:hAnsi="Arial" w:cs="Arial"/>
                <w:sz w:val="22"/>
                <w:lang w:val="sr-Latn-ME"/>
              </w:rPr>
              <w:t xml:space="preserve">potvrđuje </w:t>
            </w:r>
            <w:r>
              <w:rPr>
                <w:rFonts w:ascii="Arial" w:hAnsi="Arial" w:cs="Arial"/>
                <w:sz w:val="22"/>
                <w:lang w:val="sr-Latn-ME"/>
              </w:rPr>
              <w:t>uspješno ostvar</w:t>
            </w:r>
            <w:r w:rsidR="005743FA">
              <w:rPr>
                <w:rFonts w:ascii="Arial" w:hAnsi="Arial" w:cs="Arial"/>
                <w:sz w:val="22"/>
                <w:lang w:val="sr-Latn-ME"/>
              </w:rPr>
              <w:t>ivanje</w:t>
            </w:r>
            <w:r w:rsidRPr="00223D16">
              <w:rPr>
                <w:rFonts w:ascii="Arial" w:hAnsi="Arial" w:cs="Arial"/>
                <w:sz w:val="22"/>
                <w:lang w:val="sr-Latn-ME"/>
              </w:rPr>
              <w:t xml:space="preserve"> obaveza preuzet</w:t>
            </w:r>
            <w:r w:rsidR="005743FA">
              <w:rPr>
                <w:rFonts w:ascii="Arial" w:hAnsi="Arial" w:cs="Arial"/>
                <w:sz w:val="22"/>
                <w:lang w:val="sr-Latn-ME"/>
              </w:rPr>
              <w:t>ih</w:t>
            </w:r>
            <w:r w:rsidRPr="00223D16">
              <w:rPr>
                <w:rFonts w:ascii="Arial" w:hAnsi="Arial" w:cs="Arial"/>
                <w:sz w:val="22"/>
                <w:lang w:val="sr-Latn-ME"/>
              </w:rPr>
              <w:t xml:space="preserve"> u postupku pristupanja Crne Gore Evropskoj uniji, </w:t>
            </w:r>
            <w:r>
              <w:rPr>
                <w:rFonts w:ascii="Arial" w:hAnsi="Arial" w:cs="Arial"/>
                <w:sz w:val="22"/>
                <w:lang w:val="sr-Latn-ME"/>
              </w:rPr>
              <w:t xml:space="preserve">u vezi sa </w:t>
            </w:r>
            <w:r w:rsidRPr="00223D16">
              <w:rPr>
                <w:rFonts w:ascii="Arial" w:hAnsi="Arial" w:cs="Arial"/>
                <w:sz w:val="22"/>
                <w:lang w:val="sr-Latn-ME"/>
              </w:rPr>
              <w:t>pregovaračk</w:t>
            </w:r>
            <w:r>
              <w:rPr>
                <w:rFonts w:ascii="Arial" w:hAnsi="Arial" w:cs="Arial"/>
                <w:sz w:val="22"/>
                <w:lang w:val="sr-Latn-ME"/>
              </w:rPr>
              <w:t>im</w:t>
            </w:r>
            <w:r w:rsidRPr="00223D16">
              <w:rPr>
                <w:rFonts w:ascii="Arial" w:hAnsi="Arial" w:cs="Arial"/>
                <w:sz w:val="22"/>
                <w:lang w:val="sr-Latn-ME"/>
              </w:rPr>
              <w:t xml:space="preserve"> Poglavlje</w:t>
            </w:r>
            <w:r>
              <w:rPr>
                <w:rFonts w:ascii="Arial" w:hAnsi="Arial" w:cs="Arial"/>
                <w:sz w:val="22"/>
                <w:lang w:val="sr-Latn-ME"/>
              </w:rPr>
              <w:t>m</w:t>
            </w:r>
            <w:r w:rsidRPr="00223D16">
              <w:rPr>
                <w:rFonts w:ascii="Arial" w:hAnsi="Arial" w:cs="Arial"/>
                <w:sz w:val="22"/>
                <w:lang w:val="sr-Latn-ME"/>
              </w:rPr>
              <w:t xml:space="preserve"> 9 - „Finansijske usluge“</w:t>
            </w:r>
          </w:p>
          <w:p w14:paraId="5C4AF244" w14:textId="77777777" w:rsidR="00472CDA" w:rsidRPr="0059634B" w:rsidRDefault="00472CDA" w:rsidP="00894A07">
            <w:pPr>
              <w:autoSpaceDE w:val="0"/>
              <w:autoSpaceDN w:val="0"/>
              <w:adjustRightInd w:val="0"/>
              <w:rPr>
                <w:rFonts w:ascii="Arial" w:hAnsi="Arial" w:cs="Arial"/>
                <w:color w:val="FF0000"/>
                <w:sz w:val="22"/>
                <w:lang w:val="sr-Latn-ME"/>
              </w:rPr>
            </w:pPr>
            <w:r w:rsidRPr="0059634B">
              <w:rPr>
                <w:rFonts w:ascii="Arial" w:hAnsi="Arial" w:cs="Arial"/>
                <w:color w:val="FF0000"/>
                <w:sz w:val="22"/>
                <w:lang w:val="sr-Latn-ME"/>
              </w:rPr>
              <w:t xml:space="preserve"> </w:t>
            </w:r>
          </w:p>
          <w:p w14:paraId="423D021B" w14:textId="7E56003D" w:rsidR="00472CDA" w:rsidRPr="006C6160" w:rsidRDefault="00472CDA" w:rsidP="00894A07">
            <w:pPr>
              <w:autoSpaceDE w:val="0"/>
              <w:autoSpaceDN w:val="0"/>
              <w:adjustRightInd w:val="0"/>
              <w:rPr>
                <w:rFonts w:ascii="Arial" w:hAnsi="Arial" w:cs="Arial"/>
                <w:sz w:val="22"/>
                <w:lang w:val="sr-Latn-ME"/>
              </w:rPr>
            </w:pPr>
            <w:r w:rsidRPr="006C6160">
              <w:rPr>
                <w:rFonts w:ascii="Arial" w:hAnsi="Arial" w:cs="Arial"/>
                <w:sz w:val="22"/>
                <w:lang w:val="sr-Latn-ME"/>
              </w:rPr>
              <w:t xml:space="preserve">Opcija “status quo” predstavljala bi prepreku potpunom usklađivanju domaćeg bankarskog okvira sa nedavno donesenim EU propisima relevantnim za bankarsko poslovanje. </w:t>
            </w:r>
          </w:p>
          <w:p w14:paraId="398692C3" w14:textId="77777777" w:rsidR="00472CDA" w:rsidRPr="0059634B" w:rsidRDefault="00472CDA" w:rsidP="00894A07">
            <w:pPr>
              <w:autoSpaceDE w:val="0"/>
              <w:autoSpaceDN w:val="0"/>
              <w:adjustRightInd w:val="0"/>
              <w:rPr>
                <w:rFonts w:ascii="Arial" w:hAnsi="Arial" w:cs="Arial"/>
                <w:color w:val="FF0000"/>
                <w:sz w:val="22"/>
                <w:lang w:val="sr-Latn-ME"/>
              </w:rPr>
            </w:pPr>
          </w:p>
          <w:p w14:paraId="7AB90B38" w14:textId="53E01072" w:rsidR="00472CDA" w:rsidRPr="006C6160" w:rsidRDefault="00472CDA" w:rsidP="00894A07">
            <w:pPr>
              <w:autoSpaceDE w:val="0"/>
              <w:autoSpaceDN w:val="0"/>
              <w:adjustRightInd w:val="0"/>
              <w:rPr>
                <w:rFonts w:ascii="Arial" w:hAnsi="Arial" w:cs="Arial"/>
                <w:sz w:val="22"/>
                <w:lang w:val="sr-Latn-ME"/>
              </w:rPr>
            </w:pPr>
            <w:r w:rsidRPr="006C6160">
              <w:rPr>
                <w:rFonts w:ascii="Arial" w:hAnsi="Arial" w:cs="Arial"/>
                <w:sz w:val="22"/>
                <w:lang w:val="sr-Latn-ME"/>
              </w:rPr>
              <w:lastRenderedPageBreak/>
              <w:t xml:space="preserve">Stoga, neželjena opcija “status quo” konkretno bi značila nemogućnost implementacije, između ostalog, sljedećih zahtjeva sadržanih u EU propisima koji se prenose ovim </w:t>
            </w:r>
            <w:r w:rsidR="005743FA">
              <w:rPr>
                <w:rFonts w:ascii="Arial" w:hAnsi="Arial" w:cs="Arial"/>
                <w:sz w:val="22"/>
                <w:lang w:val="sr-Latn-ME"/>
              </w:rPr>
              <w:t>Nacrtom</w:t>
            </w:r>
            <w:r w:rsidRPr="006C6160">
              <w:rPr>
                <w:rFonts w:ascii="Arial" w:hAnsi="Arial" w:cs="Arial"/>
                <w:sz w:val="22"/>
                <w:lang w:val="sr-Latn-ME"/>
              </w:rPr>
              <w:t xml:space="preserve"> zakona:</w:t>
            </w:r>
          </w:p>
          <w:p w14:paraId="27F04F04" w14:textId="77777777" w:rsidR="00472CDA" w:rsidRPr="008F46CC" w:rsidRDefault="00472CDA" w:rsidP="00472CDA">
            <w:pPr>
              <w:numPr>
                <w:ilvl w:val="0"/>
                <w:numId w:val="1"/>
              </w:numPr>
              <w:rPr>
                <w:rFonts w:ascii="Arial" w:hAnsi="Arial" w:cs="Arial"/>
                <w:bCs w:val="0"/>
                <w:sz w:val="22"/>
                <w:lang w:val="sr-Latn-ME" w:eastAsia="en-US"/>
              </w:rPr>
            </w:pPr>
            <w:r w:rsidRPr="008F46CC">
              <w:rPr>
                <w:rFonts w:ascii="Arial" w:hAnsi="Arial" w:cs="Arial"/>
                <w:bCs w:val="0"/>
                <w:sz w:val="22"/>
                <w:lang w:val="sr-Latn-ME" w:eastAsia="en-US"/>
              </w:rPr>
              <w:t>z</w:t>
            </w:r>
            <w:r w:rsidRPr="00712002">
              <w:rPr>
                <w:rFonts w:ascii="Arial" w:hAnsi="Arial" w:cs="Arial"/>
                <w:bCs w:val="0"/>
                <w:sz w:val="22"/>
                <w:lang w:val="sr-Latn-ME" w:eastAsia="en-US"/>
              </w:rPr>
              <w:t>a sve aktivnosti u vezi sa elektronskim novcem, kriptovalutama i tokenima vezanim za imovinu, omogućava se vršenje nadzora Centralne banke već od postupka licenciranja</w:t>
            </w:r>
            <w:r>
              <w:rPr>
                <w:rFonts w:ascii="Arial" w:hAnsi="Arial" w:cs="Arial"/>
                <w:bCs w:val="0"/>
                <w:sz w:val="22"/>
                <w:lang w:val="sr-Latn-ME" w:eastAsia="en-US"/>
              </w:rPr>
              <w:t>;</w:t>
            </w:r>
            <w:r w:rsidRPr="00712002">
              <w:rPr>
                <w:rFonts w:ascii="Arial" w:hAnsi="Arial" w:cs="Arial"/>
                <w:bCs w:val="0"/>
                <w:sz w:val="22"/>
                <w:lang w:val="sr-Latn-ME" w:eastAsia="en-US"/>
              </w:rPr>
              <w:t xml:space="preserve"> </w:t>
            </w:r>
          </w:p>
          <w:p w14:paraId="4914270B" w14:textId="77777777" w:rsidR="00472CDA" w:rsidRPr="008F46CC" w:rsidRDefault="00472CDA" w:rsidP="00472CDA">
            <w:pPr>
              <w:pStyle w:val="ListParagraph"/>
              <w:numPr>
                <w:ilvl w:val="0"/>
                <w:numId w:val="1"/>
              </w:numPr>
              <w:contextualSpacing/>
              <w:rPr>
                <w:rFonts w:ascii="Arial" w:eastAsia="Calibri" w:hAnsi="Arial"/>
                <w:bCs w:val="0"/>
                <w:sz w:val="22"/>
                <w:lang w:val="sr-Latn-ME"/>
              </w:rPr>
            </w:pPr>
            <w:r w:rsidRPr="008F46CC">
              <w:rPr>
                <w:rFonts w:ascii="Arial" w:eastAsia="Calibri" w:hAnsi="Arial"/>
                <w:sz w:val="22"/>
                <w:lang w:val="sr-Latn-ME"/>
              </w:rPr>
              <w:t>odbijanje zahtjeva za izdavanje odobrenja za sticanje kvalifikovanog učešća ukoliko nijesu ispunjeni uslovi podobnosti predloženog sticaoca kvalifikovanog učešća u skladu sa propisima kojima se uređuje sprečavanje pranja novca i finansiranja terorizma;</w:t>
            </w:r>
          </w:p>
          <w:p w14:paraId="252A9BA0" w14:textId="77777777" w:rsidR="00472CDA" w:rsidRPr="008F46CC" w:rsidRDefault="00472CDA" w:rsidP="00472CDA">
            <w:pPr>
              <w:pStyle w:val="ListParagraph"/>
              <w:numPr>
                <w:ilvl w:val="0"/>
                <w:numId w:val="1"/>
              </w:numPr>
              <w:contextualSpacing/>
              <w:rPr>
                <w:rFonts w:ascii="Arial" w:eastAsia="Calibri" w:hAnsi="Arial"/>
                <w:bCs w:val="0"/>
                <w:sz w:val="22"/>
                <w:lang w:val="sr-Latn-ME"/>
              </w:rPr>
            </w:pPr>
            <w:r w:rsidRPr="008F46CC">
              <w:rPr>
                <w:rFonts w:ascii="Arial" w:eastAsia="Calibri" w:hAnsi="Arial"/>
                <w:sz w:val="22"/>
                <w:lang w:val="sr-Latn-ME"/>
              </w:rPr>
              <w:t>u vezi sa sticanjem ili prodajom značajnog materijalnog učešća, postavljen je zahtjev prema kreditnim institucijama, finansijskim holdinzima i mješovitim finansijskim holdinzima da obavijeste Centralnu banku o svakoj statusnoj promjeni, što podrazumijeva sticanje materijalnog učešća u subjektima finansijskog ili nefinansijskog sektora, odnosno prenos imovine i obaveza na te subjekte i postupke spajanja odnosno pripajanja i podjele u koje su uključeni</w:t>
            </w:r>
            <w:r>
              <w:rPr>
                <w:rFonts w:ascii="Arial" w:eastAsia="Calibri" w:hAnsi="Arial"/>
                <w:sz w:val="22"/>
                <w:lang w:val="sr-Latn-ME"/>
              </w:rPr>
              <w:t>, imajući u vidu da se</w:t>
            </w:r>
            <w:r w:rsidRPr="008F46CC">
              <w:rPr>
                <w:rFonts w:ascii="Arial" w:eastAsia="Calibri" w:hAnsi="Arial"/>
                <w:sz w:val="22"/>
                <w:lang w:val="sr-Latn-ME"/>
              </w:rPr>
              <w:t xml:space="preserve"> </w:t>
            </w:r>
            <w:r>
              <w:rPr>
                <w:rFonts w:ascii="Arial" w:eastAsia="Calibri" w:hAnsi="Arial"/>
                <w:sz w:val="22"/>
                <w:lang w:val="sr-Latn-ME"/>
              </w:rPr>
              <w:t>n</w:t>
            </w:r>
            <w:r w:rsidRPr="008F46CC">
              <w:rPr>
                <w:rFonts w:ascii="Arial" w:eastAsia="Calibri" w:hAnsi="Arial"/>
                <w:sz w:val="22"/>
                <w:lang w:val="sr-Latn-ME"/>
              </w:rPr>
              <w:t xml:space="preserve">avedene statusne promjene smatraju </w:t>
            </w:r>
            <w:r>
              <w:rPr>
                <w:rFonts w:ascii="Arial" w:eastAsia="Calibri" w:hAnsi="Arial"/>
                <w:sz w:val="22"/>
                <w:lang w:val="sr-Latn-ME"/>
              </w:rPr>
              <w:t xml:space="preserve"> </w:t>
            </w:r>
            <w:r w:rsidRPr="008F46CC">
              <w:rPr>
                <w:rFonts w:ascii="Arial" w:eastAsia="Calibri" w:hAnsi="Arial"/>
                <w:sz w:val="22"/>
                <w:lang w:val="sr-Latn-ME"/>
              </w:rPr>
              <w:t>značajnim jer bi mogle pobuditi sumnju u aktivnosti pranja novca ili finansiranja terorizma</w:t>
            </w:r>
            <w:r>
              <w:rPr>
                <w:rFonts w:ascii="Arial" w:eastAsia="Calibri" w:hAnsi="Arial"/>
                <w:sz w:val="22"/>
                <w:lang w:val="sr-Latn-ME"/>
              </w:rPr>
              <w:t xml:space="preserve">; </w:t>
            </w:r>
          </w:p>
          <w:p w14:paraId="6EA11FAA" w14:textId="77777777" w:rsidR="00472CDA" w:rsidRPr="008F46CC" w:rsidRDefault="00472CDA" w:rsidP="00472CDA">
            <w:pPr>
              <w:pStyle w:val="ListParagraph"/>
              <w:numPr>
                <w:ilvl w:val="0"/>
                <w:numId w:val="1"/>
              </w:numPr>
              <w:contextualSpacing/>
              <w:rPr>
                <w:rFonts w:ascii="Arial" w:eastAsia="Calibri" w:hAnsi="Arial"/>
                <w:bCs w:val="0"/>
                <w:sz w:val="22"/>
                <w:lang w:val="sr-Latn-ME"/>
              </w:rPr>
            </w:pPr>
            <w:r w:rsidRPr="008F46CC">
              <w:rPr>
                <w:rFonts w:ascii="Arial" w:eastAsia="Calibri" w:hAnsi="Arial"/>
                <w:sz w:val="22"/>
                <w:lang w:val="sr-Latn-ME"/>
              </w:rPr>
              <w:t>procjen</w:t>
            </w:r>
            <w:r>
              <w:rPr>
                <w:rFonts w:ascii="Arial" w:eastAsia="Calibri" w:hAnsi="Arial"/>
                <w:sz w:val="22"/>
                <w:lang w:val="sr-Latn-ME"/>
              </w:rPr>
              <w:t>a</w:t>
            </w:r>
            <w:r w:rsidRPr="008F46CC">
              <w:rPr>
                <w:rFonts w:ascii="Arial" w:eastAsia="Calibri" w:hAnsi="Arial"/>
                <w:sz w:val="22"/>
                <w:lang w:val="sr-Latn-ME"/>
              </w:rPr>
              <w:t xml:space="preserve"> primjerenosti svakog člana upravnog odbora, kojom će kreditne institucije morati da sprovedu početnu procjenu njihove primjerenosti</w:t>
            </w:r>
            <w:r>
              <w:rPr>
                <w:rFonts w:ascii="Arial" w:eastAsia="Calibri" w:hAnsi="Arial"/>
                <w:sz w:val="22"/>
                <w:lang w:val="sr-Latn-ME"/>
              </w:rPr>
              <w:t xml:space="preserve"> i dodatno,</w:t>
            </w:r>
            <w:r w:rsidRPr="008F46CC">
              <w:rPr>
                <w:rFonts w:ascii="Arial" w:eastAsia="Calibri" w:hAnsi="Arial"/>
                <w:sz w:val="22"/>
                <w:lang w:val="sr-Latn-ME"/>
              </w:rPr>
              <w:t xml:space="preserve"> procjena primjerenosti lica odgovornih za rad funkcija internih kontrola i glavnog finansijskog direktora u subjektu – ovaj zahtjev podrazumijeva da je Centralna banka dužna da procjenjuje da li lica odgovorna za rad funkcija internih kontrola i glavni finansijski direktor, prilikom izbora i za vrijeme vršenja te funkcije ispunjavaju uslove primjerenosti iz zakona;</w:t>
            </w:r>
          </w:p>
          <w:p w14:paraId="3648B518" w14:textId="77777777" w:rsidR="00472CDA" w:rsidRPr="008F46CC" w:rsidRDefault="00472CDA" w:rsidP="00472CDA">
            <w:pPr>
              <w:pStyle w:val="ListParagraph"/>
              <w:numPr>
                <w:ilvl w:val="0"/>
                <w:numId w:val="1"/>
              </w:numPr>
              <w:contextualSpacing/>
              <w:rPr>
                <w:rFonts w:ascii="Arial" w:eastAsia="Calibri" w:hAnsi="Arial"/>
                <w:bCs w:val="0"/>
                <w:sz w:val="22"/>
                <w:lang w:val="sr-Latn-ME"/>
              </w:rPr>
            </w:pPr>
            <w:r w:rsidRPr="008F46CC">
              <w:rPr>
                <w:rFonts w:ascii="Arial" w:eastAsia="Calibri" w:hAnsi="Arial"/>
                <w:sz w:val="22"/>
                <w:lang w:val="sr-Latn-ME"/>
              </w:rPr>
              <w:t>da subjekti iz trećih država, koji žele pružati osnovne bankarske usluge, moraju uspostaviti i registrovati filijalu</w:t>
            </w:r>
            <w:r>
              <w:rPr>
                <w:rFonts w:ascii="Arial" w:eastAsia="Calibri" w:hAnsi="Arial"/>
                <w:sz w:val="22"/>
                <w:lang w:val="sr-Latn-ME"/>
              </w:rPr>
              <w:t xml:space="preserve"> i u tom smislu,</w:t>
            </w:r>
            <w:r w:rsidRPr="008F46CC">
              <w:rPr>
                <w:rFonts w:ascii="Arial" w:hAnsi="Arial" w:cs="Arial"/>
                <w:sz w:val="22"/>
                <w:lang w:val="sr-Latn-ME"/>
              </w:rPr>
              <w:t xml:space="preserve"> Centralna banka</w:t>
            </w:r>
            <w:r w:rsidRPr="008F46CC">
              <w:rPr>
                <w:sz w:val="22"/>
                <w:lang w:val="sr-Latn-ME"/>
              </w:rPr>
              <w:t xml:space="preserve"> </w:t>
            </w:r>
            <w:r w:rsidRPr="008F46CC">
              <w:rPr>
                <w:rFonts w:ascii="Arial" w:hAnsi="Arial" w:cs="Arial"/>
                <w:sz w:val="22"/>
                <w:lang w:val="sr-Latn-ME"/>
              </w:rPr>
              <w:t>ima ovlašćenje da</w:t>
            </w:r>
            <w:r w:rsidRPr="008F46CC">
              <w:rPr>
                <w:sz w:val="22"/>
                <w:lang w:val="sr-Latn-ME"/>
              </w:rPr>
              <w:t xml:space="preserve"> </w:t>
            </w:r>
            <w:r w:rsidRPr="008F46CC">
              <w:rPr>
                <w:rFonts w:ascii="Arial" w:eastAsia="Calibri" w:hAnsi="Arial"/>
                <w:sz w:val="22"/>
                <w:lang w:val="sr-Latn-ME"/>
              </w:rPr>
              <w:t>zahtijeva od filijala iz trećih država da podnesu zahtjev za autorizaciju (gdje je to opravdano), naročito ako njihova aktivnost ima značajan uticaj izvan jedne države članice, ako predstavlja rizik za stabilnost;</w:t>
            </w:r>
          </w:p>
          <w:p w14:paraId="1E5828C5" w14:textId="77777777" w:rsidR="00472CDA" w:rsidRPr="008F46CC" w:rsidRDefault="00472CDA" w:rsidP="00472CDA">
            <w:pPr>
              <w:pStyle w:val="ListParagraph"/>
              <w:numPr>
                <w:ilvl w:val="0"/>
                <w:numId w:val="1"/>
              </w:numPr>
              <w:contextualSpacing/>
              <w:rPr>
                <w:rFonts w:ascii="Arial" w:eastAsia="Calibri" w:hAnsi="Arial"/>
                <w:bCs w:val="0"/>
                <w:sz w:val="22"/>
                <w:lang w:val="sr-Latn-ME"/>
              </w:rPr>
            </w:pPr>
            <w:r w:rsidRPr="008F46CC">
              <w:rPr>
                <w:rFonts w:ascii="Arial" w:eastAsia="Calibri" w:hAnsi="Arial"/>
                <w:sz w:val="22"/>
                <w:lang w:val="sr-Latn-ME"/>
              </w:rPr>
              <w:t>oduzimanje dozvole za rad kreditne institucije u slučaju da se utvrdi da institucija “propada ili će vjerovatno propasti”, ako ne postoji realan plan da se situacija popravi, uz pažljivo razmatranje nacionalnih pravnih okvira likvidacije ili stečaja;</w:t>
            </w:r>
          </w:p>
          <w:p w14:paraId="3720D93F" w14:textId="77777777" w:rsidR="00472CDA" w:rsidRPr="008F46CC" w:rsidRDefault="00472CDA" w:rsidP="00472CDA">
            <w:pPr>
              <w:pStyle w:val="ListParagraph"/>
              <w:numPr>
                <w:ilvl w:val="0"/>
                <w:numId w:val="1"/>
              </w:numPr>
              <w:contextualSpacing/>
              <w:rPr>
                <w:rFonts w:ascii="Arial" w:eastAsia="Calibri" w:hAnsi="Arial"/>
                <w:bCs w:val="0"/>
                <w:sz w:val="22"/>
                <w:lang w:val="sr-Latn-ME"/>
              </w:rPr>
            </w:pPr>
            <w:r w:rsidRPr="008F46CC">
              <w:rPr>
                <w:rFonts w:ascii="Arial" w:eastAsia="Calibri" w:hAnsi="Arial"/>
                <w:sz w:val="22"/>
                <w:lang w:val="sr-Latn-ME"/>
              </w:rPr>
              <w:t>uvode se odgovarajuće mjere za utvrđivanje, upravljanje i praćenje rizika koncentracije koji proizlazi iz izloženosti prema centralnim drugim ugovornim stranama;</w:t>
            </w:r>
          </w:p>
          <w:p w14:paraId="023B0AE6" w14:textId="77777777" w:rsidR="00472CDA" w:rsidRPr="008F46CC" w:rsidRDefault="00472CDA" w:rsidP="00472CDA">
            <w:pPr>
              <w:pStyle w:val="ListParagraph"/>
              <w:numPr>
                <w:ilvl w:val="0"/>
                <w:numId w:val="1"/>
              </w:numPr>
              <w:contextualSpacing/>
              <w:rPr>
                <w:rFonts w:ascii="Arial" w:eastAsia="Calibri" w:hAnsi="Arial"/>
                <w:bCs w:val="0"/>
                <w:sz w:val="22"/>
                <w:lang w:val="sr-Latn-ME"/>
              </w:rPr>
            </w:pPr>
            <w:r>
              <w:rPr>
                <w:rFonts w:ascii="Arial" w:eastAsia="Calibri" w:hAnsi="Arial"/>
                <w:sz w:val="22"/>
                <w:lang w:val="sr-Latn-ME"/>
              </w:rPr>
              <w:t>zahtjev za</w:t>
            </w:r>
            <w:r w:rsidRPr="008F46CC">
              <w:rPr>
                <w:rFonts w:ascii="Arial" w:eastAsia="Calibri" w:hAnsi="Arial"/>
                <w:sz w:val="22"/>
                <w:lang w:val="sr-Latn-ME"/>
              </w:rPr>
              <w:t xml:space="preserve"> kreditn</w:t>
            </w:r>
            <w:r>
              <w:rPr>
                <w:rFonts w:ascii="Arial" w:eastAsia="Calibri" w:hAnsi="Arial"/>
                <w:sz w:val="22"/>
                <w:lang w:val="sr-Latn-ME"/>
              </w:rPr>
              <w:t>e</w:t>
            </w:r>
            <w:r w:rsidRPr="008F46CC">
              <w:rPr>
                <w:rFonts w:ascii="Arial" w:eastAsia="Calibri" w:hAnsi="Arial"/>
                <w:sz w:val="22"/>
                <w:lang w:val="sr-Latn-ME"/>
              </w:rPr>
              <w:t xml:space="preserve"> instituci</w:t>
            </w:r>
            <w:r>
              <w:rPr>
                <w:rFonts w:ascii="Arial" w:eastAsia="Calibri" w:hAnsi="Arial"/>
                <w:sz w:val="22"/>
                <w:lang w:val="sr-Latn-ME"/>
              </w:rPr>
              <w:t>je</w:t>
            </w:r>
            <w:r w:rsidRPr="008F46CC">
              <w:rPr>
                <w:rFonts w:ascii="Arial" w:eastAsia="Calibri" w:hAnsi="Arial"/>
                <w:sz w:val="22"/>
                <w:lang w:val="sr-Latn-ME"/>
              </w:rPr>
              <w:t xml:space="preserve"> da izrad</w:t>
            </w:r>
            <w:r>
              <w:rPr>
                <w:rFonts w:ascii="Arial" w:eastAsia="Calibri" w:hAnsi="Arial"/>
                <w:sz w:val="22"/>
                <w:lang w:val="sr-Latn-ME"/>
              </w:rPr>
              <w:t>e</w:t>
            </w:r>
            <w:r w:rsidRPr="008F46CC">
              <w:rPr>
                <w:rFonts w:ascii="Arial" w:eastAsia="Calibri" w:hAnsi="Arial"/>
                <w:sz w:val="22"/>
                <w:lang w:val="sr-Latn-ME"/>
              </w:rPr>
              <w:t xml:space="preserve"> adekvatne politike i planove za postupanje u nepredviđenim okolnostima i politike i planove kontinuiteta poslovanja, uključujući politike i planove za kontinuitet poslovanja u oblasti informaciono-komunikacione tehnologije (IKT) i planove za odgovor i oporavak u oblasti IKT</w:t>
            </w:r>
            <w:r>
              <w:rPr>
                <w:rFonts w:ascii="Arial" w:eastAsia="Calibri" w:hAnsi="Arial"/>
                <w:sz w:val="22"/>
                <w:lang w:val="sr-Latn-ME"/>
              </w:rPr>
              <w:t>;</w:t>
            </w:r>
            <w:r w:rsidRPr="008F46CC">
              <w:rPr>
                <w:rFonts w:ascii="Arial" w:eastAsia="Calibri" w:hAnsi="Arial"/>
                <w:sz w:val="22"/>
                <w:lang w:val="sr-Latn-ME"/>
              </w:rPr>
              <w:t xml:space="preserve"> </w:t>
            </w:r>
          </w:p>
          <w:p w14:paraId="2E1DD832" w14:textId="3EBB7A98" w:rsidR="00472CDA" w:rsidRPr="008F46CC" w:rsidRDefault="00472CDA" w:rsidP="00472CDA">
            <w:pPr>
              <w:pStyle w:val="ListParagraph"/>
              <w:numPr>
                <w:ilvl w:val="0"/>
                <w:numId w:val="1"/>
              </w:numPr>
              <w:contextualSpacing/>
              <w:rPr>
                <w:rFonts w:ascii="Arial" w:eastAsia="Calibri" w:hAnsi="Arial"/>
                <w:bCs w:val="0"/>
                <w:sz w:val="22"/>
                <w:lang w:val="sr-Latn-ME"/>
              </w:rPr>
            </w:pPr>
            <w:r w:rsidRPr="008F46CC">
              <w:rPr>
                <w:rFonts w:ascii="Arial" w:eastAsia="Calibri" w:hAnsi="Arial"/>
                <w:sz w:val="22"/>
                <w:lang w:val="sr-Latn-ME"/>
              </w:rPr>
              <w:t xml:space="preserve">predloženim izmjena i dopunama Zakona vrši se usklađivanje sa Direktivom 2013/36/EU kojom se propisuje izricanje administrativnih kazni, periodičnih </w:t>
            </w:r>
            <w:r w:rsidR="00BC3408">
              <w:rPr>
                <w:rFonts w:ascii="Arial" w:eastAsia="Calibri" w:hAnsi="Arial"/>
                <w:sz w:val="22"/>
                <w:lang w:val="sr-Latn-ME"/>
              </w:rPr>
              <w:t>kazni</w:t>
            </w:r>
            <w:r w:rsidRPr="008F46CC">
              <w:rPr>
                <w:rFonts w:ascii="Arial" w:eastAsia="Calibri" w:hAnsi="Arial"/>
                <w:sz w:val="22"/>
                <w:lang w:val="sr-Latn-ME"/>
              </w:rPr>
              <w:t xml:space="preserve"> i drugih administrativnih mjera za određena kršenja odredbi Direktive 2013/36/EU. Tako se predloženim Zakonom utvrđuje koja kršenja odredbi Direktive 2013/36/EU koje su implementirane u ovaj Zakon predstavljaju kršenja i propisuje se ovlašćenje Centralne banke Crne Gore da kreditnim institucijama i odgovornim fizičkim licima u kreditnim institucijama za navedena kršenja izriče upozorenje, novčane kazne, periodične </w:t>
            </w:r>
            <w:r w:rsidR="00BC3408">
              <w:rPr>
                <w:rFonts w:ascii="Arial" w:eastAsia="Calibri" w:hAnsi="Arial"/>
                <w:sz w:val="22"/>
                <w:lang w:val="sr-Latn-ME"/>
              </w:rPr>
              <w:t>kazne</w:t>
            </w:r>
            <w:r w:rsidRPr="008F46CC">
              <w:rPr>
                <w:rFonts w:ascii="Arial" w:eastAsia="Calibri" w:hAnsi="Arial"/>
                <w:sz w:val="22"/>
                <w:lang w:val="sr-Latn-ME"/>
              </w:rPr>
              <w:t xml:space="preserve"> i upravne mjere. Dalje, propisuju se maksimalni iznos novčane kazne i periodičnih </w:t>
            </w:r>
            <w:r w:rsidR="00BC3408">
              <w:rPr>
                <w:rFonts w:ascii="Arial" w:eastAsia="Calibri" w:hAnsi="Arial"/>
                <w:sz w:val="22"/>
                <w:lang w:val="sr-Latn-ME"/>
              </w:rPr>
              <w:t>kazni</w:t>
            </w:r>
            <w:r w:rsidRPr="008F46CC">
              <w:rPr>
                <w:rFonts w:ascii="Arial" w:eastAsia="Calibri" w:hAnsi="Arial"/>
                <w:sz w:val="22"/>
                <w:lang w:val="sr-Latn-ME"/>
              </w:rPr>
              <w:t xml:space="preserve"> koje Centralna banka može izreći kreditnim institucijama i odgovornim fizičkim licima u kreditnim institucijama, kriterijumi koje Centralna banka uzima u obzir pri izricanju sankcija odnosno utvrđivanju okolnosti kršenja i zahtjevi za objavljivanje. Administrativne kazne i druge administrativne mjere treba da budu efikasne, proporcionalne i da imaju odvraćajući efekat kako bi se u budućnosti spriječilo slično ili isto kršenje propisa</w:t>
            </w:r>
            <w:r>
              <w:rPr>
                <w:rFonts w:ascii="Arial" w:eastAsia="Calibri" w:hAnsi="Arial"/>
                <w:sz w:val="22"/>
                <w:lang w:val="sr-Latn-ME"/>
              </w:rPr>
              <w:t>;</w:t>
            </w:r>
          </w:p>
          <w:p w14:paraId="49FBCA50" w14:textId="2A5B6A1B" w:rsidR="00472CDA" w:rsidRPr="008F46CC" w:rsidRDefault="00472CDA" w:rsidP="00472CDA">
            <w:pPr>
              <w:pStyle w:val="ListParagraph"/>
              <w:numPr>
                <w:ilvl w:val="0"/>
                <w:numId w:val="1"/>
              </w:numPr>
              <w:contextualSpacing/>
              <w:rPr>
                <w:rFonts w:ascii="Arial" w:eastAsia="Calibri" w:hAnsi="Arial"/>
                <w:bCs w:val="0"/>
                <w:sz w:val="22"/>
                <w:lang w:val="sr-Latn-ME"/>
              </w:rPr>
            </w:pPr>
            <w:r w:rsidRPr="008F46CC">
              <w:rPr>
                <w:rFonts w:ascii="Arial" w:eastAsia="Calibri" w:hAnsi="Arial"/>
                <w:sz w:val="22"/>
                <w:lang w:val="sr-Latn-ME"/>
              </w:rPr>
              <w:t xml:space="preserve">osim administrativnih novčanih kazni, u  skladu sa navedenom Direktivom,  Centralna banaka će imati ovlašćenje za izricanje periodičnih </w:t>
            </w:r>
            <w:r w:rsidR="00BC3408">
              <w:rPr>
                <w:rFonts w:ascii="Arial" w:eastAsia="Calibri" w:hAnsi="Arial"/>
                <w:sz w:val="22"/>
                <w:lang w:val="sr-Latn-ME"/>
              </w:rPr>
              <w:t>kazni</w:t>
            </w:r>
            <w:r w:rsidRPr="008F46CC">
              <w:rPr>
                <w:rFonts w:ascii="Arial" w:eastAsia="Calibri" w:hAnsi="Arial"/>
                <w:sz w:val="22"/>
                <w:lang w:val="sr-Latn-ME"/>
              </w:rPr>
              <w:t xml:space="preserve"> kreditnim institucijama i </w:t>
            </w:r>
            <w:r w:rsidRPr="008F46CC">
              <w:rPr>
                <w:rFonts w:ascii="Arial" w:eastAsia="Calibri" w:hAnsi="Arial"/>
                <w:sz w:val="22"/>
                <w:lang w:val="sr-Latn-ME"/>
              </w:rPr>
              <w:lastRenderedPageBreak/>
              <w:t xml:space="preserve">odgovornim fizičkim licima u kreditnoj instituciji za koje se utvrdi da su odgovorni za kršenje </w:t>
            </w:r>
            <w:r>
              <w:rPr>
                <w:rFonts w:ascii="Arial" w:eastAsia="Calibri" w:hAnsi="Arial"/>
                <w:sz w:val="22"/>
                <w:lang w:val="sr-Latn-ME"/>
              </w:rPr>
              <w:t>propisa.</w:t>
            </w:r>
            <w:r w:rsidRPr="008F46CC">
              <w:rPr>
                <w:rFonts w:ascii="Arial" w:eastAsia="Calibri" w:hAnsi="Arial"/>
                <w:sz w:val="22"/>
                <w:lang w:val="sr-Latn-ME"/>
              </w:rPr>
              <w:t xml:space="preserve"> Periodičn</w:t>
            </w:r>
            <w:r w:rsidR="00BC3408">
              <w:rPr>
                <w:rFonts w:ascii="Arial" w:eastAsia="Calibri" w:hAnsi="Arial"/>
                <w:sz w:val="22"/>
                <w:lang w:val="sr-Latn-ME"/>
              </w:rPr>
              <w:t>e kazne</w:t>
            </w:r>
            <w:r w:rsidRPr="008F46CC">
              <w:rPr>
                <w:rFonts w:ascii="Arial" w:eastAsia="Calibri" w:hAnsi="Arial"/>
                <w:sz w:val="22"/>
                <w:lang w:val="sr-Latn-ME"/>
              </w:rPr>
              <w:t xml:space="preserve"> se kao mjera izriču u slučaju kontinuiranog kršenja propisa. Imajući u vidu da je svrha periodičnih </w:t>
            </w:r>
            <w:r w:rsidR="00BC3408">
              <w:rPr>
                <w:rFonts w:ascii="Arial" w:eastAsia="Calibri" w:hAnsi="Arial"/>
                <w:sz w:val="22"/>
                <w:lang w:val="sr-Latn-ME"/>
              </w:rPr>
              <w:t>kazni</w:t>
            </w:r>
            <w:r w:rsidRPr="008F46CC">
              <w:rPr>
                <w:rFonts w:ascii="Arial" w:eastAsia="Calibri" w:hAnsi="Arial"/>
                <w:sz w:val="22"/>
                <w:lang w:val="sr-Latn-ME"/>
              </w:rPr>
              <w:t xml:space="preserve"> da se okonča kršenje propisa koje je u toku, njihova primjena ne sprječava regulatora u izricanju drugih administrativnih kazni za isto kršenje. Navedene izmjene i dopune Zakona treba da omoguće izricanje periodičnih </w:t>
            </w:r>
            <w:r w:rsidR="00BC3408">
              <w:rPr>
                <w:rFonts w:ascii="Arial" w:eastAsia="Calibri" w:hAnsi="Arial"/>
                <w:sz w:val="22"/>
                <w:lang w:val="sr-Latn-ME"/>
              </w:rPr>
              <w:t>kazni</w:t>
            </w:r>
            <w:r w:rsidRPr="008F46CC">
              <w:rPr>
                <w:rFonts w:ascii="Arial" w:eastAsia="Calibri" w:hAnsi="Arial"/>
                <w:sz w:val="22"/>
                <w:lang w:val="sr-Latn-ME"/>
              </w:rPr>
              <w:t xml:space="preserve"> na određeni datum i sa početkom primjene od kasnijeg datuma, te  izračunavanje periodičn</w:t>
            </w:r>
            <w:r w:rsidR="00BD5119">
              <w:rPr>
                <w:rFonts w:ascii="Arial" w:eastAsia="Calibri" w:hAnsi="Arial"/>
                <w:sz w:val="22"/>
                <w:lang w:val="sr-Latn-ME"/>
              </w:rPr>
              <w:t>e kazne</w:t>
            </w:r>
            <w:r w:rsidRPr="008F46CC">
              <w:rPr>
                <w:rFonts w:ascii="Arial" w:eastAsia="Calibri" w:hAnsi="Arial"/>
                <w:sz w:val="22"/>
                <w:lang w:val="sr-Latn-ME"/>
              </w:rPr>
              <w:t xml:space="preserve"> na dnevnoj osnovi</w:t>
            </w:r>
            <w:r>
              <w:rPr>
                <w:rFonts w:ascii="Arial" w:eastAsia="Calibri" w:hAnsi="Arial"/>
                <w:sz w:val="22"/>
                <w:lang w:val="sr-Latn-ME"/>
              </w:rPr>
              <w:t>;</w:t>
            </w:r>
          </w:p>
          <w:p w14:paraId="5B8D28DE" w14:textId="77777777" w:rsidR="00472CDA" w:rsidRPr="00D26188" w:rsidRDefault="00472CDA" w:rsidP="00472CDA">
            <w:pPr>
              <w:pStyle w:val="ListParagraph"/>
              <w:numPr>
                <w:ilvl w:val="0"/>
                <w:numId w:val="1"/>
              </w:numPr>
              <w:contextualSpacing/>
              <w:rPr>
                <w:rFonts w:ascii="Arial" w:eastAsia="Calibri" w:hAnsi="Arial"/>
                <w:bCs w:val="0"/>
                <w:sz w:val="22"/>
                <w:lang w:val="sr-Latn-ME"/>
              </w:rPr>
            </w:pPr>
            <w:r>
              <w:rPr>
                <w:rFonts w:ascii="Arial" w:eastAsia="Calibri" w:hAnsi="Arial"/>
                <w:sz w:val="22"/>
                <w:lang w:val="sr-Latn-ME"/>
              </w:rPr>
              <w:t>unapređenje</w:t>
            </w:r>
            <w:r w:rsidRPr="008F46CC">
              <w:rPr>
                <w:rFonts w:ascii="Arial" w:eastAsia="Calibri" w:hAnsi="Arial"/>
                <w:sz w:val="22"/>
                <w:lang w:val="sr-Latn-ME"/>
              </w:rPr>
              <w:t xml:space="preserve"> regulatornog prudencijalnog okvira kojim se bolje integrišu ESG rizici, uvažavajući  specifičnost ovih rizika koje naročito zahtijevaju upravljanje navedenim rizicima tokom dugoročnog perioda od najmanje deset godina.</w:t>
            </w:r>
          </w:p>
          <w:p w14:paraId="5165A344" w14:textId="4DE1533A" w:rsidR="00472CDA" w:rsidRPr="008F46CC" w:rsidRDefault="005743FA" w:rsidP="00472CDA">
            <w:pPr>
              <w:pStyle w:val="ListParagraph"/>
              <w:numPr>
                <w:ilvl w:val="0"/>
                <w:numId w:val="1"/>
              </w:numPr>
              <w:contextualSpacing/>
              <w:rPr>
                <w:rFonts w:ascii="Arial" w:eastAsia="Calibri" w:hAnsi="Arial"/>
                <w:bCs w:val="0"/>
                <w:sz w:val="22"/>
                <w:lang w:val="sr-Latn-ME"/>
              </w:rPr>
            </w:pPr>
            <w:r>
              <w:rPr>
                <w:rFonts w:ascii="Arial" w:eastAsia="Calibri" w:hAnsi="Arial"/>
                <w:sz w:val="22"/>
                <w:lang w:val="sr-Latn-ME"/>
              </w:rPr>
              <w:t>Nacrtom</w:t>
            </w:r>
            <w:r w:rsidR="00472CDA" w:rsidRPr="008F46CC">
              <w:rPr>
                <w:rFonts w:ascii="Arial" w:eastAsia="Calibri" w:hAnsi="Arial"/>
                <w:sz w:val="22"/>
                <w:lang w:val="sr-Latn-ME"/>
              </w:rPr>
              <w:t xml:space="preserve"> zakona se propisuje da Centralna banka, prilikom obavljanja postupka supervizorske provjere i ocjene, procjenjuje upravljanje i izloženost kreditnih institucija različitim vrstama rizika, uključujući i ESG rizik. Takođe, Centralna banka procjenjuje obim u kojem je kreditna institucija uspostavila odgovarajuće politike i operativne mjere u vezi sa mjerljivim ciljevima i rokovima koji su utvrđeni u planovima koje je dužna da pripremi u cilju upravljanja rizicima koji proizilaze iz ESG faktora. Dalje, sklonost kreditnih institucija ka preuzimanju rizika u odnosu na ESG rizike je sastavni dio politika i praksi primanja</w:t>
            </w:r>
            <w:r w:rsidR="00472CDA">
              <w:rPr>
                <w:rFonts w:ascii="Arial" w:eastAsia="Calibri" w:hAnsi="Arial"/>
                <w:sz w:val="22"/>
                <w:lang w:val="sr-Latn-ME"/>
              </w:rPr>
              <w:t>;</w:t>
            </w:r>
          </w:p>
          <w:p w14:paraId="433540A5" w14:textId="77777777" w:rsidR="00472CDA" w:rsidRPr="00D26188" w:rsidRDefault="00472CDA" w:rsidP="00472CDA">
            <w:pPr>
              <w:pStyle w:val="ListParagraph"/>
              <w:numPr>
                <w:ilvl w:val="0"/>
                <w:numId w:val="1"/>
              </w:numPr>
              <w:contextualSpacing/>
              <w:rPr>
                <w:rFonts w:ascii="Arial" w:eastAsia="Calibri" w:hAnsi="Arial"/>
                <w:bCs w:val="0"/>
                <w:sz w:val="22"/>
                <w:lang w:val="sr-Latn-ME"/>
              </w:rPr>
            </w:pPr>
            <w:r w:rsidRPr="008F46CC">
              <w:rPr>
                <w:rFonts w:ascii="Arial" w:eastAsia="Calibri" w:hAnsi="Arial"/>
                <w:sz w:val="22"/>
                <w:lang w:val="sr-Latn-ME"/>
              </w:rPr>
              <w:t>rokovi i dužnosti članova organa upravljanja u vezi sa uspostavljanjem i preispitivanjem strateških ciljeva, strategija i politika upravljanja rizicima. Naime, članovi organa upravljanja su dužni da posvete dovoljno vremena razmatranju pitanja rizika, da su aktivno uključeni, odnosno nadziru upravljanje značajnim rizicima, usvajaju i nadziru primjenu posebnih planova kreditnih institucija, mjerljivih ciljeva i procesa za praćenje i upravljanje finansijskim rizicima koji proizlaze iz kratkoročnih, srednjoročnih i dugoročnih ESG faktora</w:t>
            </w:r>
            <w:r>
              <w:rPr>
                <w:rFonts w:ascii="Arial" w:eastAsia="Calibri" w:hAnsi="Arial"/>
                <w:sz w:val="22"/>
                <w:lang w:val="sr-Latn-ME"/>
              </w:rPr>
              <w:t>;</w:t>
            </w:r>
          </w:p>
          <w:p w14:paraId="6CFDC4B8" w14:textId="77777777" w:rsidR="00472CDA" w:rsidRPr="008F46CC" w:rsidRDefault="00472CDA" w:rsidP="00472CDA">
            <w:pPr>
              <w:pStyle w:val="ListParagraph"/>
              <w:numPr>
                <w:ilvl w:val="0"/>
                <w:numId w:val="1"/>
              </w:numPr>
              <w:contextualSpacing/>
              <w:rPr>
                <w:rFonts w:ascii="Arial" w:eastAsia="Calibri" w:hAnsi="Arial"/>
                <w:bCs w:val="0"/>
                <w:sz w:val="22"/>
                <w:lang w:val="sr-Latn-ME"/>
              </w:rPr>
            </w:pPr>
            <w:r w:rsidRPr="008F46CC">
              <w:rPr>
                <w:rFonts w:ascii="Arial" w:eastAsia="Calibri" w:hAnsi="Arial"/>
                <w:sz w:val="22"/>
                <w:lang w:val="sr-Latn-ME"/>
              </w:rPr>
              <w:t>obaveza kreditne institucije da sprovodi testiranje otpornosti na stres na dugoročne negativne efekte ESG faktora, kako u osnovnim, tako i u nepovoljnim scenarijima, počevši od klimatskih faktora, i u vremenskim intervalima koje odredi Centralna banka</w:t>
            </w:r>
            <w:r>
              <w:rPr>
                <w:rFonts w:ascii="Arial" w:eastAsia="Calibri" w:hAnsi="Arial"/>
                <w:sz w:val="22"/>
                <w:lang w:val="sr-Latn-ME"/>
              </w:rPr>
              <w:t>;</w:t>
            </w:r>
          </w:p>
          <w:p w14:paraId="5E70AB52" w14:textId="45393CEB" w:rsidR="00472CDA" w:rsidRPr="008F46CC" w:rsidRDefault="00472CDA" w:rsidP="00472CDA">
            <w:pPr>
              <w:pStyle w:val="ListParagraph"/>
              <w:numPr>
                <w:ilvl w:val="0"/>
                <w:numId w:val="1"/>
              </w:numPr>
              <w:contextualSpacing/>
              <w:rPr>
                <w:rFonts w:ascii="Arial" w:eastAsia="Calibri" w:hAnsi="Arial"/>
                <w:bCs w:val="0"/>
                <w:sz w:val="22"/>
                <w:lang w:val="sr-Latn-ME"/>
              </w:rPr>
            </w:pPr>
            <w:r w:rsidRPr="008F46CC">
              <w:rPr>
                <w:rFonts w:ascii="Arial" w:eastAsia="Calibri" w:hAnsi="Arial"/>
                <w:sz w:val="22"/>
                <w:lang w:val="sr-Latn-ME"/>
              </w:rPr>
              <w:t xml:space="preserve">polazeći od činjenice da su tržišta kriptoimovine posljednjih godina brzo rasla te da bi se pravovremeno odgovorilo na moguće rizike za kreditne institucije uzrokovane njihovom izloženosti kriptoimovini koja nije u dovoljnoj mjeri obuhvaćena postojećim prudencijalnim okvirom, a u skladu sa odredbama Direktive, </w:t>
            </w:r>
            <w:r w:rsidR="005743FA">
              <w:rPr>
                <w:rFonts w:ascii="Arial" w:eastAsia="Calibri" w:hAnsi="Arial"/>
                <w:sz w:val="22"/>
                <w:lang w:val="sr-Latn-ME"/>
              </w:rPr>
              <w:t>Nacrtom</w:t>
            </w:r>
            <w:r>
              <w:rPr>
                <w:rFonts w:ascii="Arial" w:eastAsia="Calibri" w:hAnsi="Arial"/>
                <w:sz w:val="22"/>
                <w:lang w:val="sr-Latn-ME"/>
              </w:rPr>
              <w:t xml:space="preserve"> </w:t>
            </w:r>
            <w:r w:rsidRPr="008F46CC">
              <w:rPr>
                <w:rFonts w:ascii="Arial" w:eastAsia="Calibri" w:hAnsi="Arial"/>
                <w:sz w:val="22"/>
                <w:lang w:val="sr-Latn-ME"/>
              </w:rPr>
              <w:t>zakona se utvrđuje da su kreditne institucije dužne da u okviru aktivnosti upravljanja rizicima uzimaju u obzir rizike povezane s tehnologijom kriptoimovine, opšte rizike povezane s informacionom i komunikacionom tehnologijom (IKT), pravne rizike, rizike od pranja novca i finansiranja terorizma</w:t>
            </w:r>
            <w:r>
              <w:rPr>
                <w:rFonts w:ascii="Arial" w:eastAsia="Calibri" w:hAnsi="Arial"/>
                <w:sz w:val="22"/>
                <w:lang w:val="sr-Latn-ME"/>
              </w:rPr>
              <w:t>;</w:t>
            </w:r>
          </w:p>
          <w:p w14:paraId="236958F5" w14:textId="77777777" w:rsidR="00472CDA" w:rsidRPr="008F46CC" w:rsidRDefault="00472CDA" w:rsidP="00472CDA">
            <w:pPr>
              <w:pStyle w:val="ListParagraph"/>
              <w:numPr>
                <w:ilvl w:val="0"/>
                <w:numId w:val="1"/>
              </w:numPr>
              <w:contextualSpacing/>
              <w:rPr>
                <w:rFonts w:ascii="Arial" w:eastAsia="Calibri" w:hAnsi="Arial"/>
                <w:bCs w:val="0"/>
                <w:sz w:val="22"/>
                <w:lang w:val="sr-Latn-ME"/>
              </w:rPr>
            </w:pPr>
            <w:r w:rsidRPr="008F46CC">
              <w:rPr>
                <w:rFonts w:ascii="Arial" w:eastAsia="Calibri" w:hAnsi="Arial"/>
                <w:sz w:val="22"/>
                <w:lang w:val="sr-Latn-ME"/>
              </w:rPr>
              <w:t>zahtjev za kreditne institucije da pri izboru članova organa upravljanja obezbijede da ukupan sastav tih organa bude dovoljno raznovrstan i odražava adekvatan spektar iskustava, kao i da podstiče raznovrsnost i rodnu ravnotežu u tim organima i da u tu svrhu donese odgovarajuću politiku</w:t>
            </w:r>
            <w:r>
              <w:rPr>
                <w:rFonts w:ascii="Arial" w:eastAsia="Calibri" w:hAnsi="Arial"/>
                <w:sz w:val="22"/>
                <w:lang w:val="sr-Latn-ME"/>
              </w:rPr>
              <w:t>;</w:t>
            </w:r>
            <w:r w:rsidRPr="008F46CC">
              <w:rPr>
                <w:rFonts w:ascii="Arial" w:eastAsia="Calibri" w:hAnsi="Arial"/>
                <w:sz w:val="22"/>
                <w:lang w:val="sr-Latn-ME"/>
              </w:rPr>
              <w:t xml:space="preserve">  </w:t>
            </w:r>
          </w:p>
          <w:p w14:paraId="1B8685A0" w14:textId="77777777" w:rsidR="00472CDA" w:rsidRPr="008F46CC" w:rsidRDefault="00472CDA" w:rsidP="00472CDA">
            <w:pPr>
              <w:pStyle w:val="ListParagraph"/>
              <w:numPr>
                <w:ilvl w:val="0"/>
                <w:numId w:val="1"/>
              </w:numPr>
              <w:contextualSpacing/>
              <w:rPr>
                <w:rFonts w:ascii="Arial" w:eastAsia="Calibri" w:hAnsi="Arial"/>
                <w:bCs w:val="0"/>
                <w:sz w:val="22"/>
                <w:lang w:val="sr-Latn-ME"/>
              </w:rPr>
            </w:pPr>
            <w:r w:rsidRPr="008F46CC">
              <w:rPr>
                <w:rFonts w:ascii="Arial" w:eastAsia="Calibri" w:hAnsi="Arial"/>
                <w:sz w:val="22"/>
                <w:lang w:val="sr-Latn-ME"/>
              </w:rPr>
              <w:t>kada postanu poznate nove činjenice ili druge okolnosti koje mogu da utiču na primjerenost članova organa upravljanja i nosilaca ključnih funkcija, subjekti propisani Zakonom bez odlaganja su dužni da obavijeste Centralnu banku i da  preduzmu potrebne mjere ukoliko procijene da član ili potencijalni član organa upravljanja ne ispunjava zahtjeve u pogledu primjerenosti. Centralna banka ponovo procjenjuje primjerenost člana organa upravljanja ako su se promijenile relevantne informacije koje se odnose na njegovu primjerenost</w:t>
            </w:r>
            <w:r>
              <w:rPr>
                <w:rFonts w:ascii="Arial" w:eastAsia="Calibri" w:hAnsi="Arial"/>
                <w:sz w:val="22"/>
                <w:lang w:val="sr-Latn-ME"/>
              </w:rPr>
              <w:t>;</w:t>
            </w:r>
          </w:p>
          <w:p w14:paraId="12C0FDB4" w14:textId="77777777" w:rsidR="00472CDA" w:rsidRPr="00712002" w:rsidRDefault="00472CDA" w:rsidP="00472CDA">
            <w:pPr>
              <w:numPr>
                <w:ilvl w:val="0"/>
                <w:numId w:val="1"/>
              </w:numPr>
              <w:rPr>
                <w:rFonts w:ascii="Arial" w:hAnsi="Arial" w:cs="Arial"/>
                <w:bCs w:val="0"/>
                <w:sz w:val="22"/>
                <w:lang w:val="sr-Latn-ME" w:eastAsia="en-US"/>
              </w:rPr>
            </w:pPr>
            <w:r w:rsidRPr="008F46CC">
              <w:rPr>
                <w:rFonts w:ascii="Arial" w:eastAsia="Calibri" w:hAnsi="Arial" w:cs="Arial"/>
                <w:sz w:val="22"/>
                <w:lang w:val="sr-Latn-ME"/>
              </w:rPr>
              <w:t>u postupak supervizorskog procesa pregleda i ocjene (SREP) uvode se konkretni zahtjevi za kreditne institucije u vezi unutrašnje organizacije i procedura za upravljanje IKT  rizicima</w:t>
            </w:r>
            <w:r>
              <w:rPr>
                <w:rFonts w:ascii="Arial" w:eastAsia="Calibri" w:hAnsi="Arial" w:cs="Arial"/>
                <w:sz w:val="22"/>
                <w:lang w:val="sr-Latn-ME"/>
              </w:rPr>
              <w:t>;</w:t>
            </w:r>
          </w:p>
          <w:p w14:paraId="10D1AD2C" w14:textId="77777777" w:rsidR="00472CDA" w:rsidRPr="008F46CC" w:rsidRDefault="00472CDA" w:rsidP="00472CDA">
            <w:pPr>
              <w:numPr>
                <w:ilvl w:val="0"/>
                <w:numId w:val="1"/>
              </w:numPr>
              <w:rPr>
                <w:rFonts w:ascii="Arial" w:eastAsia="Calibri" w:hAnsi="Arial" w:cs="Arial"/>
                <w:sz w:val="22"/>
                <w:lang w:val="sr-Latn-ME"/>
              </w:rPr>
            </w:pPr>
            <w:r w:rsidRPr="008F46CC">
              <w:rPr>
                <w:rFonts w:ascii="Arial" w:eastAsia="Calibri" w:hAnsi="Arial" w:cs="Arial"/>
                <w:sz w:val="22"/>
                <w:lang w:val="sr-Latn-ME"/>
              </w:rPr>
              <w:lastRenderedPageBreak/>
              <w:t>odgovarajuće mjere za utvrđivanje, upravljanje i praćenje rizika koncentracije koji proizilazi iz izloženosti prema centralnim drugim ugovornim stranama, sa ciljem da se kreditne institucije podstaknu da preduzmu potrebne korake u prilagođavanju svojih poslovnih modela i unaprijedile svoje prakse upravljanja rizicima, vodeći računa i o prirodi, obimu i složenosti svojih tržišnih aktivnosti.</w:t>
            </w:r>
          </w:p>
          <w:p w14:paraId="56ED2F19" w14:textId="77777777" w:rsidR="00472CDA" w:rsidRDefault="00472CDA" w:rsidP="00894A07">
            <w:pPr>
              <w:autoSpaceDE w:val="0"/>
              <w:autoSpaceDN w:val="0"/>
              <w:adjustRightInd w:val="0"/>
              <w:rPr>
                <w:rFonts w:ascii="Arial" w:hAnsi="Arial" w:cs="Arial"/>
                <w:color w:val="FF0000"/>
                <w:sz w:val="22"/>
                <w:lang w:val="sr-Latn-ME"/>
              </w:rPr>
            </w:pPr>
          </w:p>
          <w:p w14:paraId="570A07FF" w14:textId="77777777" w:rsidR="00472CDA" w:rsidRPr="00CB59CD" w:rsidRDefault="00472CDA" w:rsidP="00894A07">
            <w:pPr>
              <w:autoSpaceDE w:val="0"/>
              <w:autoSpaceDN w:val="0"/>
              <w:adjustRightInd w:val="0"/>
              <w:rPr>
                <w:rFonts w:ascii="Arial" w:hAnsi="Arial" w:cs="Arial"/>
                <w:sz w:val="22"/>
                <w:lang w:val="sr-Latn-ME"/>
              </w:rPr>
            </w:pPr>
            <w:r>
              <w:rPr>
                <w:rFonts w:ascii="Arial" w:hAnsi="Arial" w:cs="Arial"/>
                <w:sz w:val="22"/>
                <w:lang w:val="sr-Latn-ME"/>
              </w:rPr>
              <w:t xml:space="preserve">Navedenim zahtjevima nastavlja </w:t>
            </w:r>
            <w:r w:rsidRPr="00467133">
              <w:rPr>
                <w:rFonts w:ascii="Arial" w:hAnsi="Arial" w:cs="Arial"/>
                <w:sz w:val="22"/>
                <w:lang w:val="sr-Latn-ME"/>
              </w:rPr>
              <w:t>se kontinuirano jačanje efikasnog</w:t>
            </w:r>
            <w:r w:rsidRPr="00CB59CD">
              <w:rPr>
                <w:rFonts w:ascii="Arial" w:hAnsi="Arial" w:cs="Arial"/>
                <w:sz w:val="22"/>
                <w:lang w:val="sr-Latn-ME"/>
              </w:rPr>
              <w:t xml:space="preserve"> i stabilno</w:t>
            </w:r>
            <w:r>
              <w:rPr>
                <w:rFonts w:ascii="Arial" w:hAnsi="Arial" w:cs="Arial"/>
                <w:sz w:val="22"/>
                <w:lang w:val="sr-Latn-ME"/>
              </w:rPr>
              <w:t>g</w:t>
            </w:r>
            <w:r w:rsidRPr="00CB59CD">
              <w:rPr>
                <w:rFonts w:ascii="Arial" w:hAnsi="Arial" w:cs="Arial"/>
                <w:sz w:val="22"/>
                <w:lang w:val="sr-Latn-ME"/>
              </w:rPr>
              <w:t xml:space="preserve"> poslovanj</w:t>
            </w:r>
            <w:r>
              <w:rPr>
                <w:rFonts w:ascii="Arial" w:hAnsi="Arial" w:cs="Arial"/>
                <w:sz w:val="22"/>
                <w:lang w:val="sr-Latn-ME"/>
              </w:rPr>
              <w:t>a</w:t>
            </w:r>
            <w:r w:rsidRPr="00CB59CD">
              <w:rPr>
                <w:rFonts w:ascii="Arial" w:hAnsi="Arial" w:cs="Arial"/>
                <w:sz w:val="22"/>
                <w:lang w:val="sr-Latn-ME"/>
              </w:rPr>
              <w:t xml:space="preserve"> </w:t>
            </w:r>
            <w:r w:rsidRPr="00CB59CD">
              <w:rPr>
                <w:rFonts w:ascii="Arial" w:hAnsi="Arial" w:cs="Arial"/>
                <w:bCs w:val="0"/>
                <w:sz w:val="22"/>
                <w:lang w:val="sr-Latn-ME"/>
              </w:rPr>
              <w:t>kreditnih institucija</w:t>
            </w:r>
            <w:r w:rsidRPr="00CB59CD">
              <w:rPr>
                <w:rFonts w:ascii="Arial" w:hAnsi="Arial" w:cs="Arial"/>
                <w:sz w:val="22"/>
                <w:lang w:val="sr-Latn-ME"/>
              </w:rPr>
              <w:t xml:space="preserve"> </w:t>
            </w:r>
            <w:r>
              <w:rPr>
                <w:rFonts w:ascii="Arial" w:hAnsi="Arial" w:cs="Arial"/>
                <w:sz w:val="22"/>
                <w:lang w:val="sr-Latn-ME"/>
              </w:rPr>
              <w:t>i vrši</w:t>
            </w:r>
            <w:r w:rsidRPr="00CB59CD">
              <w:rPr>
                <w:rFonts w:ascii="Arial" w:hAnsi="Arial" w:cs="Arial"/>
                <w:sz w:val="22"/>
                <w:lang w:val="sr-Latn-ME"/>
              </w:rPr>
              <w:t xml:space="preserve"> unaprjeđ</w:t>
            </w:r>
            <w:r>
              <w:rPr>
                <w:rFonts w:ascii="Arial" w:hAnsi="Arial" w:cs="Arial"/>
                <w:sz w:val="22"/>
                <w:lang w:val="sr-Latn-ME"/>
              </w:rPr>
              <w:t xml:space="preserve">enje </w:t>
            </w:r>
            <w:r w:rsidRPr="00CB59CD">
              <w:rPr>
                <w:rFonts w:ascii="Arial" w:hAnsi="Arial" w:cs="Arial"/>
                <w:sz w:val="22"/>
                <w:lang w:val="sr-Latn-ME"/>
              </w:rPr>
              <w:t xml:space="preserve">Ustavom i Zakonom regulisanih ovlašćenja i nadležnosti </w:t>
            </w:r>
            <w:r>
              <w:rPr>
                <w:rFonts w:ascii="Arial" w:hAnsi="Arial" w:cs="Arial"/>
                <w:sz w:val="22"/>
                <w:lang w:val="sr-Latn-ME"/>
              </w:rPr>
              <w:t>C</w:t>
            </w:r>
            <w:r w:rsidRPr="00CB59CD">
              <w:rPr>
                <w:rFonts w:ascii="Arial" w:hAnsi="Arial" w:cs="Arial"/>
                <w:sz w:val="22"/>
                <w:lang w:val="sr-Latn-ME"/>
              </w:rPr>
              <w:t>entralne banke</w:t>
            </w:r>
            <w:r>
              <w:rPr>
                <w:rFonts w:ascii="Arial" w:hAnsi="Arial" w:cs="Arial"/>
                <w:sz w:val="22"/>
                <w:lang w:val="sr-Latn-ME"/>
              </w:rPr>
              <w:t xml:space="preserve">, </w:t>
            </w:r>
            <w:r w:rsidRPr="005D6A54">
              <w:rPr>
                <w:rFonts w:ascii="Arial" w:hAnsi="Arial" w:cs="Arial"/>
                <w:bCs w:val="0"/>
                <w:sz w:val="22"/>
                <w:lang w:val="sr-Latn-ME"/>
              </w:rPr>
              <w:t xml:space="preserve">kao Ustavom </w:t>
            </w:r>
            <w:r>
              <w:rPr>
                <w:rFonts w:ascii="Arial" w:hAnsi="Arial" w:cs="Arial"/>
                <w:bCs w:val="0"/>
                <w:sz w:val="22"/>
                <w:lang w:val="sr-Latn-ME"/>
              </w:rPr>
              <w:t>utvrđene</w:t>
            </w:r>
            <w:r w:rsidRPr="005D6A54">
              <w:rPr>
                <w:rFonts w:ascii="Arial" w:hAnsi="Arial" w:cs="Arial"/>
                <w:sz w:val="22"/>
                <w:lang w:val="sr-Latn-ME"/>
              </w:rPr>
              <w:t> samostaln</w:t>
            </w:r>
            <w:r>
              <w:rPr>
                <w:rFonts w:ascii="Arial" w:hAnsi="Arial" w:cs="Arial"/>
                <w:sz w:val="22"/>
                <w:lang w:val="sr-Latn-ME"/>
              </w:rPr>
              <w:t>e</w:t>
            </w:r>
            <w:r w:rsidRPr="005D6A54">
              <w:rPr>
                <w:rFonts w:ascii="Arial" w:hAnsi="Arial" w:cs="Arial"/>
                <w:sz w:val="22"/>
                <w:lang w:val="sr-Latn-ME"/>
              </w:rPr>
              <w:t xml:space="preserve"> organizacij</w:t>
            </w:r>
            <w:r>
              <w:rPr>
                <w:rFonts w:ascii="Arial" w:hAnsi="Arial" w:cs="Arial"/>
                <w:sz w:val="22"/>
                <w:lang w:val="sr-Latn-ME"/>
              </w:rPr>
              <w:t>e</w:t>
            </w:r>
            <w:r w:rsidRPr="005D6A54">
              <w:rPr>
                <w:rFonts w:ascii="Arial" w:hAnsi="Arial" w:cs="Arial"/>
                <w:sz w:val="22"/>
                <w:lang w:val="sr-Latn-ME"/>
              </w:rPr>
              <w:t>, odgovorn</w:t>
            </w:r>
            <w:r>
              <w:rPr>
                <w:rFonts w:ascii="Arial" w:hAnsi="Arial" w:cs="Arial"/>
                <w:sz w:val="22"/>
                <w:lang w:val="sr-Latn-ME"/>
              </w:rPr>
              <w:t>e</w:t>
            </w:r>
            <w:r w:rsidRPr="005D6A54">
              <w:rPr>
                <w:rFonts w:ascii="Arial" w:hAnsi="Arial" w:cs="Arial"/>
                <w:sz w:val="22"/>
                <w:lang w:val="sr-Latn-ME"/>
              </w:rPr>
              <w:t xml:space="preserve"> za monetarnu i finansijsku stabilnost i funkcionisanje bankarskog sistema</w:t>
            </w:r>
            <w:r>
              <w:rPr>
                <w:rFonts w:ascii="Arial" w:hAnsi="Arial" w:cs="Arial"/>
                <w:sz w:val="22"/>
                <w:lang w:val="sr-Latn-ME"/>
              </w:rPr>
              <w:t>.</w:t>
            </w:r>
          </w:p>
          <w:p w14:paraId="36E19EB3" w14:textId="77777777" w:rsidR="00472CDA" w:rsidRPr="0059634B" w:rsidRDefault="00472CDA" w:rsidP="00894A07">
            <w:pPr>
              <w:autoSpaceDE w:val="0"/>
              <w:autoSpaceDN w:val="0"/>
              <w:adjustRightInd w:val="0"/>
              <w:rPr>
                <w:rFonts w:ascii="Arial" w:hAnsi="Arial" w:cs="Arial"/>
                <w:color w:val="FF0000"/>
                <w:sz w:val="22"/>
                <w:lang w:val="sr-Latn-ME"/>
              </w:rPr>
            </w:pPr>
          </w:p>
        </w:tc>
      </w:tr>
      <w:tr w:rsidR="00472CDA" w:rsidRPr="005D6A54" w14:paraId="6B8D635A" w14:textId="77777777" w:rsidTr="00894A07">
        <w:tc>
          <w:tcPr>
            <w:tcW w:w="9576" w:type="dxa"/>
            <w:gridSpan w:val="2"/>
            <w:shd w:val="clear" w:color="auto" w:fill="D2EAF1"/>
          </w:tcPr>
          <w:p w14:paraId="649A7AF6" w14:textId="77777777" w:rsidR="00472CDA" w:rsidRPr="005D6A54" w:rsidRDefault="00472CDA" w:rsidP="00894A07">
            <w:pPr>
              <w:autoSpaceDE w:val="0"/>
              <w:autoSpaceDN w:val="0"/>
              <w:adjustRightInd w:val="0"/>
              <w:rPr>
                <w:rFonts w:ascii="Arial" w:hAnsi="Arial" w:cs="Arial"/>
                <w:b/>
                <w:bCs w:val="0"/>
                <w:sz w:val="22"/>
                <w:lang w:val="sr-Latn-ME"/>
              </w:rPr>
            </w:pPr>
            <w:r w:rsidRPr="005D6A54">
              <w:rPr>
                <w:rFonts w:ascii="Arial" w:hAnsi="Arial" w:cs="Arial"/>
                <w:b/>
                <w:bCs w:val="0"/>
                <w:sz w:val="22"/>
                <w:lang w:val="sr-Latn-ME"/>
              </w:rPr>
              <w:lastRenderedPageBreak/>
              <w:t>4. Analiza uticaja</w:t>
            </w:r>
          </w:p>
          <w:p w14:paraId="156C0DB4" w14:textId="77777777" w:rsidR="00472CDA" w:rsidRPr="005D6A54"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5D6A54">
              <w:rPr>
                <w:rFonts w:ascii="Arial" w:hAnsi="Arial" w:cs="Arial"/>
                <w:b/>
                <w:bCs w:val="0"/>
                <w:sz w:val="22"/>
                <w:lang w:val="sr-Latn-ME"/>
              </w:rPr>
              <w:t>Na koga će i kako će najvjerovatnije uticati rješenja u propisu - nabrojati pozitivne i negativne uticaje, direktne i indirektne.</w:t>
            </w:r>
          </w:p>
          <w:p w14:paraId="6D56802A" w14:textId="77777777" w:rsidR="00472CDA" w:rsidRPr="005D6A54"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5D6A54">
              <w:rPr>
                <w:rFonts w:ascii="Arial" w:hAnsi="Arial" w:cs="Arial"/>
                <w:b/>
                <w:bCs w:val="0"/>
                <w:sz w:val="22"/>
                <w:lang w:val="sr-Latn-ME"/>
              </w:rPr>
              <w:t>Koje troškove će primjena propisa izazvati građanima i privredi (naročito malim i srednjim preduzećima).</w:t>
            </w:r>
          </w:p>
          <w:p w14:paraId="2A7FB9EE" w14:textId="77777777" w:rsidR="00472CDA" w:rsidRPr="005D6A54"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5D6A54">
              <w:rPr>
                <w:rFonts w:ascii="Arial" w:hAnsi="Arial" w:cs="Arial"/>
                <w:b/>
                <w:bCs w:val="0"/>
                <w:sz w:val="22"/>
                <w:lang w:val="sr-Latn-ME"/>
              </w:rPr>
              <w:t>Da li pozitivne posljedice donošenja propisa opravdavaju troškove koje će on stvoriti.</w:t>
            </w:r>
          </w:p>
          <w:p w14:paraId="010C9DE1" w14:textId="77777777" w:rsidR="00472CDA" w:rsidRPr="005D6A54"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5D6A54">
              <w:rPr>
                <w:rFonts w:ascii="Arial" w:hAnsi="Arial" w:cs="Arial"/>
                <w:b/>
                <w:bCs w:val="0"/>
                <w:sz w:val="22"/>
                <w:lang w:val="sr-Latn-ME"/>
              </w:rPr>
              <w:t>Da li se propisom podržava stvaranje novih privrednih subjekata na tržištu i tržišna konkurencija.</w:t>
            </w:r>
          </w:p>
          <w:p w14:paraId="5C117FFA" w14:textId="77777777" w:rsidR="00472CDA" w:rsidRPr="005D6A54"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5D6A54">
              <w:rPr>
                <w:rFonts w:ascii="Arial" w:hAnsi="Arial" w:cs="Arial"/>
                <w:b/>
                <w:bCs w:val="0"/>
                <w:sz w:val="22"/>
                <w:lang w:val="sr-Latn-ME"/>
              </w:rPr>
              <w:t>Uključiti procjenu administrativnih opterećenja i biznis barijera.</w:t>
            </w:r>
          </w:p>
          <w:p w14:paraId="26677F5A" w14:textId="77777777" w:rsidR="00472CDA" w:rsidRPr="005D6A54" w:rsidRDefault="00472CDA" w:rsidP="00894A07">
            <w:pPr>
              <w:pStyle w:val="ListParagraph"/>
              <w:autoSpaceDE w:val="0"/>
              <w:autoSpaceDN w:val="0"/>
              <w:adjustRightInd w:val="0"/>
              <w:contextualSpacing/>
              <w:rPr>
                <w:rFonts w:ascii="Arial" w:hAnsi="Arial" w:cs="Arial"/>
                <w:b/>
                <w:bCs w:val="0"/>
                <w:sz w:val="22"/>
                <w:lang w:val="sr-Latn-ME"/>
              </w:rPr>
            </w:pPr>
          </w:p>
        </w:tc>
      </w:tr>
      <w:tr w:rsidR="00472CDA" w:rsidRPr="005D6A54" w14:paraId="7EA41DD1" w14:textId="77777777" w:rsidTr="00894A07">
        <w:tc>
          <w:tcPr>
            <w:tcW w:w="9576" w:type="dxa"/>
            <w:gridSpan w:val="2"/>
          </w:tcPr>
          <w:p w14:paraId="2A2974B9" w14:textId="7E3218F8" w:rsidR="00472CDA" w:rsidRPr="00106274" w:rsidRDefault="00472CDA" w:rsidP="00894A07">
            <w:pPr>
              <w:rPr>
                <w:rFonts w:ascii="Arial" w:hAnsi="Arial" w:cs="Arial"/>
                <w:b/>
                <w:bCs w:val="0"/>
                <w:sz w:val="22"/>
                <w:lang w:val="sr-Latn-ME" w:eastAsia="en-US"/>
              </w:rPr>
            </w:pPr>
            <w:r w:rsidRPr="00106274">
              <w:rPr>
                <w:rFonts w:ascii="Arial" w:hAnsi="Arial" w:cs="Arial"/>
                <w:sz w:val="22"/>
                <w:lang w:val="sr-Latn-ME"/>
              </w:rPr>
              <w:t xml:space="preserve">Rješenja odnosno zahtjevi iz </w:t>
            </w:r>
            <w:r w:rsidR="005743FA">
              <w:rPr>
                <w:rFonts w:ascii="Arial" w:hAnsi="Arial" w:cs="Arial"/>
                <w:sz w:val="22"/>
                <w:lang w:val="sr-Latn-ME"/>
              </w:rPr>
              <w:t>Nacrt</w:t>
            </w:r>
            <w:r w:rsidRPr="00106274">
              <w:rPr>
                <w:rFonts w:ascii="Arial" w:hAnsi="Arial" w:cs="Arial"/>
                <w:sz w:val="22"/>
                <w:lang w:val="sr-Latn-ME"/>
              </w:rPr>
              <w:t xml:space="preserve">a zakona će prvenstveno imati uticaja na poslovanje kreditnih institucija i drugih subjekata u skladu sa ovim zakonom, </w:t>
            </w:r>
            <w:r w:rsidRPr="00106274">
              <w:rPr>
                <w:rFonts w:ascii="Arial" w:eastAsia="Calibri" w:hAnsi="Arial" w:cs="Arial"/>
                <w:bCs w:val="0"/>
                <w:sz w:val="22"/>
                <w:lang w:val="sr-Latn-ME" w:eastAsia="en-US"/>
              </w:rPr>
              <w:t xml:space="preserve">koji će biti obavezni da usklade svoje poslovanje sa njegovim odredbama </w:t>
            </w:r>
            <w:r w:rsidR="003865C9">
              <w:rPr>
                <w:rFonts w:ascii="Arial" w:eastAsia="Calibri" w:hAnsi="Arial" w:cs="Arial"/>
                <w:bCs w:val="0"/>
                <w:sz w:val="22"/>
                <w:lang w:val="sr-Latn-ME" w:eastAsia="en-US"/>
              </w:rPr>
              <w:t>u roku od</w:t>
            </w:r>
            <w:r w:rsidRPr="00106274">
              <w:rPr>
                <w:rFonts w:ascii="Arial" w:eastAsia="Calibri" w:hAnsi="Arial" w:cs="Arial"/>
                <w:bCs w:val="0"/>
                <w:sz w:val="22"/>
                <w:lang w:val="sr-Latn-ME" w:eastAsia="en-US"/>
              </w:rPr>
              <w:t xml:space="preserve"> godin</w:t>
            </w:r>
            <w:r w:rsidR="003865C9">
              <w:rPr>
                <w:rFonts w:ascii="Arial" w:eastAsia="Calibri" w:hAnsi="Arial" w:cs="Arial"/>
                <w:bCs w:val="0"/>
                <w:sz w:val="22"/>
                <w:lang w:val="sr-Latn-ME" w:eastAsia="en-US"/>
              </w:rPr>
              <w:t>u dana od dana stupanja na snagu Nacrta zakona</w:t>
            </w:r>
            <w:r w:rsidRPr="00106274">
              <w:rPr>
                <w:rFonts w:ascii="Arial" w:eastAsia="Calibri" w:hAnsi="Arial" w:cs="Arial"/>
                <w:bCs w:val="0"/>
                <w:sz w:val="22"/>
                <w:lang w:val="sr-Latn-ME" w:eastAsia="en-US"/>
              </w:rPr>
              <w:t>, dok će podzakonski propis</w:t>
            </w:r>
            <w:r w:rsidR="003865C9">
              <w:rPr>
                <w:rFonts w:ascii="Arial" w:eastAsia="Calibri" w:hAnsi="Arial" w:cs="Arial"/>
                <w:bCs w:val="0"/>
                <w:sz w:val="22"/>
                <w:lang w:val="sr-Latn-ME" w:eastAsia="en-US"/>
              </w:rPr>
              <w:t>i</w:t>
            </w:r>
            <w:r w:rsidRPr="00106274">
              <w:rPr>
                <w:rFonts w:ascii="Arial" w:eastAsia="Calibri" w:hAnsi="Arial" w:cs="Arial"/>
                <w:bCs w:val="0"/>
                <w:sz w:val="22"/>
                <w:lang w:val="sr-Latn-ME" w:eastAsia="en-US"/>
              </w:rPr>
              <w:t xml:space="preserve"> </w:t>
            </w:r>
            <w:r w:rsidR="003865C9">
              <w:rPr>
                <w:rFonts w:ascii="Arial" w:eastAsia="Calibri" w:hAnsi="Arial" w:cs="Arial"/>
                <w:bCs w:val="0"/>
                <w:sz w:val="22"/>
                <w:lang w:val="sr-Latn-ME" w:eastAsia="en-US"/>
              </w:rPr>
              <w:t xml:space="preserve">biti usklađeni u roku od devet mjeseci od </w:t>
            </w:r>
            <w:r w:rsidR="003865C9" w:rsidRPr="003865C9">
              <w:rPr>
                <w:rFonts w:ascii="Arial" w:eastAsia="Calibri" w:hAnsi="Arial" w:cs="Arial"/>
                <w:bCs w:val="0"/>
                <w:sz w:val="22"/>
                <w:lang w:val="sr-Latn-ME" w:eastAsia="en-US"/>
              </w:rPr>
              <w:t>dana stupanja na snagu Nacrta zakona</w:t>
            </w:r>
            <w:r w:rsidRPr="00106274">
              <w:rPr>
                <w:rFonts w:ascii="Arial" w:eastAsia="Calibri" w:hAnsi="Arial" w:cs="Arial"/>
                <w:bCs w:val="0"/>
                <w:sz w:val="22"/>
                <w:lang w:val="sr-Latn-ME" w:eastAsia="en-US"/>
              </w:rPr>
              <w:t xml:space="preserve">. </w:t>
            </w:r>
          </w:p>
          <w:p w14:paraId="136FAEF5" w14:textId="1679A222" w:rsidR="00472CDA" w:rsidRPr="0080752B" w:rsidRDefault="00472CDA" w:rsidP="00894A07">
            <w:pPr>
              <w:pStyle w:val="N01X"/>
              <w:jc w:val="both"/>
              <w:rPr>
                <w:rFonts w:ascii="Arial" w:hAnsi="Arial" w:cs="Arial"/>
                <w:b w:val="0"/>
                <w:bCs w:val="0"/>
                <w:sz w:val="22"/>
                <w:szCs w:val="22"/>
                <w:lang w:val="sr-Latn-ME"/>
              </w:rPr>
            </w:pPr>
            <w:r w:rsidRPr="0080752B">
              <w:rPr>
                <w:rFonts w:ascii="Arial" w:hAnsi="Arial" w:cs="Arial"/>
                <w:b w:val="0"/>
                <w:bCs w:val="0"/>
                <w:color w:val="auto"/>
                <w:sz w:val="22"/>
                <w:szCs w:val="22"/>
                <w:lang w:val="sr-Latn-ME"/>
              </w:rPr>
              <w:t xml:space="preserve">Navedeno prije svega uključuje prilagođavanje </w:t>
            </w:r>
            <w:r w:rsidRPr="0080752B">
              <w:rPr>
                <w:rFonts w:ascii="Arial" w:hAnsi="Arial" w:cs="Arial"/>
                <w:b w:val="0"/>
                <w:bCs w:val="0"/>
                <w:sz w:val="22"/>
                <w:szCs w:val="22"/>
                <w:lang w:val="sr-Latn-ME"/>
              </w:rPr>
              <w:t>kreditnih institucija</w:t>
            </w:r>
            <w:r w:rsidRPr="0080752B">
              <w:rPr>
                <w:rFonts w:ascii="Arial" w:hAnsi="Arial" w:cs="Arial"/>
                <w:b w:val="0"/>
                <w:bCs w:val="0"/>
                <w:color w:val="auto"/>
                <w:sz w:val="22"/>
                <w:szCs w:val="22"/>
                <w:lang w:val="sr-Latn-ME"/>
              </w:rPr>
              <w:t xml:space="preserve"> novim zahtjevima u pogledu situacije </w:t>
            </w:r>
            <w:r w:rsidRPr="0080752B">
              <w:rPr>
                <w:rFonts w:ascii="Arial" w:hAnsi="Arial" w:cs="Arial"/>
                <w:b w:val="0"/>
                <w:bCs w:val="0"/>
                <w:sz w:val="22"/>
                <w:szCs w:val="22"/>
                <w:lang w:val="sr-Latn-ME"/>
              </w:rPr>
              <w:t xml:space="preserve">kada dođe do </w:t>
            </w:r>
            <w:r w:rsidRPr="0080752B">
              <w:rPr>
                <w:rFonts w:ascii="Arial" w:hAnsi="Arial" w:cs="Arial"/>
                <w:b w:val="0"/>
                <w:bCs w:val="0"/>
                <w:color w:val="auto"/>
                <w:sz w:val="22"/>
                <w:szCs w:val="22"/>
                <w:lang w:val="sr-Latn-ME"/>
              </w:rPr>
              <w:t xml:space="preserve">kršenja propisa </w:t>
            </w:r>
            <w:r w:rsidRPr="0080752B">
              <w:rPr>
                <w:rFonts w:ascii="Arial" w:hAnsi="Arial" w:cs="Arial"/>
                <w:b w:val="0"/>
                <w:bCs w:val="0"/>
                <w:sz w:val="22"/>
                <w:szCs w:val="22"/>
                <w:lang w:val="sr-Latn-ME"/>
              </w:rPr>
              <w:t>koje može imati za posljedicu</w:t>
            </w:r>
            <w:r w:rsidRPr="0080752B">
              <w:rPr>
                <w:rFonts w:ascii="Arial" w:hAnsi="Arial" w:cs="Arial"/>
                <w:b w:val="0"/>
                <w:bCs w:val="0"/>
                <w:color w:val="auto"/>
                <w:sz w:val="22"/>
                <w:szCs w:val="22"/>
                <w:lang w:val="sr-Latn-ME"/>
              </w:rPr>
              <w:t xml:space="preserve"> izricanje novčanih kaznih i periodičnih </w:t>
            </w:r>
            <w:r w:rsidR="00BD5119">
              <w:rPr>
                <w:rFonts w:ascii="Arial" w:hAnsi="Arial" w:cs="Arial"/>
                <w:b w:val="0"/>
                <w:bCs w:val="0"/>
                <w:color w:val="auto"/>
                <w:sz w:val="22"/>
                <w:szCs w:val="22"/>
                <w:lang w:val="sr-Latn-ME"/>
              </w:rPr>
              <w:t>kazni</w:t>
            </w:r>
            <w:r w:rsidRPr="0080752B">
              <w:rPr>
                <w:rFonts w:ascii="Arial" w:hAnsi="Arial" w:cs="Arial"/>
                <w:b w:val="0"/>
                <w:bCs w:val="0"/>
                <w:color w:val="auto"/>
                <w:sz w:val="22"/>
                <w:szCs w:val="22"/>
                <w:lang w:val="sr-Latn-ME"/>
              </w:rPr>
              <w:t>,</w:t>
            </w:r>
            <w:r>
              <w:rPr>
                <w:rFonts w:ascii="Arial" w:hAnsi="Arial" w:cs="Arial"/>
                <w:b w:val="0"/>
                <w:bCs w:val="0"/>
                <w:color w:val="auto"/>
                <w:sz w:val="22"/>
                <w:szCs w:val="22"/>
                <w:lang w:val="sr-Latn-ME"/>
              </w:rPr>
              <w:t xml:space="preserve"> novi pojačani zahtjevi u pogledu primj</w:t>
            </w:r>
            <w:r w:rsidR="003865C9">
              <w:rPr>
                <w:rFonts w:ascii="Arial" w:hAnsi="Arial" w:cs="Arial"/>
                <w:b w:val="0"/>
                <w:bCs w:val="0"/>
                <w:color w:val="auto"/>
                <w:sz w:val="22"/>
                <w:szCs w:val="22"/>
                <w:lang w:val="sr-Latn-ME"/>
              </w:rPr>
              <w:t>e</w:t>
            </w:r>
            <w:r>
              <w:rPr>
                <w:rFonts w:ascii="Arial" w:hAnsi="Arial" w:cs="Arial"/>
                <w:b w:val="0"/>
                <w:bCs w:val="0"/>
                <w:color w:val="auto"/>
                <w:sz w:val="22"/>
                <w:szCs w:val="22"/>
                <w:lang w:val="sr-Latn-ME"/>
              </w:rPr>
              <w:t>renosti članova organa upravljanja,</w:t>
            </w:r>
            <w:r w:rsidRPr="0080752B">
              <w:rPr>
                <w:rFonts w:ascii="Arial" w:hAnsi="Arial" w:cs="Arial"/>
                <w:b w:val="0"/>
                <w:bCs w:val="0"/>
                <w:color w:val="auto"/>
                <w:sz w:val="22"/>
                <w:szCs w:val="22"/>
                <w:lang w:val="sr-Latn-ME"/>
              </w:rPr>
              <w:t xml:space="preserve"> </w:t>
            </w:r>
            <w:r w:rsidRPr="0080752B">
              <w:rPr>
                <w:rFonts w:ascii="Arial" w:hAnsi="Arial" w:cs="Arial"/>
                <w:b w:val="0"/>
                <w:bCs w:val="0"/>
                <w:sz w:val="22"/>
                <w:szCs w:val="22"/>
                <w:lang w:val="sr-Latn-ME"/>
              </w:rPr>
              <w:t xml:space="preserve">zatim </w:t>
            </w:r>
            <w:r w:rsidRPr="0080752B">
              <w:rPr>
                <w:rFonts w:ascii="Arial" w:hAnsi="Arial" w:cs="Arial"/>
                <w:b w:val="0"/>
                <w:bCs w:val="0"/>
                <w:color w:val="auto"/>
                <w:sz w:val="22"/>
                <w:szCs w:val="22"/>
                <w:lang w:val="sr-Latn-ME"/>
              </w:rPr>
              <w:t>obavez</w:t>
            </w:r>
            <w:r w:rsidRPr="0080752B">
              <w:rPr>
                <w:rFonts w:ascii="Arial" w:hAnsi="Arial" w:cs="Arial"/>
                <w:b w:val="0"/>
                <w:bCs w:val="0"/>
                <w:sz w:val="22"/>
                <w:szCs w:val="22"/>
                <w:lang w:val="sr-Latn-ME"/>
              </w:rPr>
              <w:t>e kreditne institucije</w:t>
            </w:r>
            <w:r w:rsidRPr="0080752B">
              <w:rPr>
                <w:rFonts w:ascii="Arial" w:hAnsi="Arial" w:cs="Arial"/>
                <w:b w:val="0"/>
                <w:bCs w:val="0"/>
                <w:color w:val="auto"/>
                <w:sz w:val="22"/>
                <w:szCs w:val="22"/>
                <w:lang w:val="sr-Latn-ME"/>
              </w:rPr>
              <w:t xml:space="preserve"> u pogledu </w:t>
            </w:r>
            <w:r w:rsidRPr="0080752B">
              <w:rPr>
                <w:rFonts w:ascii="Arial" w:eastAsia="Calibri" w:hAnsi="Arial"/>
                <w:b w:val="0"/>
                <w:bCs w:val="0"/>
                <w:color w:val="auto"/>
                <w:sz w:val="22"/>
                <w:szCs w:val="22"/>
                <w:lang w:val="sr-Latn-ME"/>
              </w:rPr>
              <w:t>upravljanja i izloženosti kreditnih institucija ESG rizicima, uspostavljanje odgovarajuće politike i operativne mjere u vezi sa mjerljivim ciljevima i rokovima koji su utvrđeni u planovima koje je kreditna inst</w:t>
            </w:r>
            <w:r w:rsidR="003865C9">
              <w:rPr>
                <w:rFonts w:ascii="Arial" w:eastAsia="Calibri" w:hAnsi="Arial"/>
                <w:b w:val="0"/>
                <w:bCs w:val="0"/>
                <w:color w:val="auto"/>
                <w:sz w:val="22"/>
                <w:szCs w:val="22"/>
                <w:lang w:val="sr-Latn-ME"/>
              </w:rPr>
              <w:t>it</w:t>
            </w:r>
            <w:r w:rsidRPr="0080752B">
              <w:rPr>
                <w:rFonts w:ascii="Arial" w:eastAsia="Calibri" w:hAnsi="Arial"/>
                <w:b w:val="0"/>
                <w:bCs w:val="0"/>
                <w:color w:val="auto"/>
                <w:sz w:val="22"/>
                <w:szCs w:val="22"/>
                <w:lang w:val="sr-Latn-ME"/>
              </w:rPr>
              <w:t>ucija dužna da pripremi u cilju upravljanja rizicima koji proizilaze iz ESG faktora, kao i zahtj</w:t>
            </w:r>
            <w:r w:rsidRPr="0080752B">
              <w:rPr>
                <w:rFonts w:ascii="Arial" w:eastAsia="Calibri" w:hAnsi="Arial"/>
                <w:b w:val="0"/>
                <w:bCs w:val="0"/>
                <w:sz w:val="22"/>
                <w:szCs w:val="22"/>
                <w:lang w:val="sr-Latn-ME"/>
              </w:rPr>
              <w:t>e</w:t>
            </w:r>
            <w:r w:rsidRPr="0080752B">
              <w:rPr>
                <w:rFonts w:ascii="Arial" w:eastAsia="Calibri" w:hAnsi="Arial"/>
                <w:b w:val="0"/>
                <w:bCs w:val="0"/>
                <w:color w:val="auto"/>
                <w:sz w:val="22"/>
                <w:szCs w:val="22"/>
                <w:lang w:val="sr-Latn-ME"/>
              </w:rPr>
              <w:t>v da sklonost kreditnih institucija ka preuzimanju rizika u odnosu na ESG rizike bude sastavni dio politika i praksi primanja.</w:t>
            </w:r>
            <w:r w:rsidRPr="0080752B">
              <w:rPr>
                <w:rFonts w:ascii="Arial" w:eastAsia="Calibri" w:hAnsi="Arial"/>
                <w:b w:val="0"/>
                <w:bCs w:val="0"/>
                <w:sz w:val="22"/>
                <w:szCs w:val="22"/>
                <w:lang w:val="sr-Latn-ME"/>
              </w:rPr>
              <w:t xml:space="preserve"> U vezi sa tim, proširuju se i obaveze organa upravljanja kreditne institucije u vezi sa upravljanjem ESG rizicima što povlači za sobom i obavezu članova organa upravljanja  da </w:t>
            </w:r>
            <w:r w:rsidRPr="0080752B">
              <w:rPr>
                <w:rFonts w:ascii="Arial" w:hAnsi="Arial" w:cs="Arial"/>
                <w:b w:val="0"/>
                <w:bCs w:val="0"/>
                <w:sz w:val="22"/>
                <w:szCs w:val="22"/>
                <w:lang w:val="sr-Latn-ME"/>
              </w:rPr>
              <w:t xml:space="preserve">razumiju uticaje koje mogu imati ESG rizici u kratkom, srednjem i dugom roku. </w:t>
            </w:r>
            <w:r w:rsidRPr="0080752B">
              <w:rPr>
                <w:rFonts w:ascii="Arial" w:eastAsia="Calibri" w:hAnsi="Arial"/>
                <w:b w:val="0"/>
                <w:bCs w:val="0"/>
                <w:sz w:val="22"/>
                <w:szCs w:val="22"/>
                <w:lang w:val="sr-Latn-ME"/>
              </w:rPr>
              <w:t>Da</w:t>
            </w:r>
            <w:r w:rsidRPr="0080752B">
              <w:rPr>
                <w:rFonts w:ascii="Arial" w:eastAsia="Calibri" w:hAnsi="Arial"/>
                <w:b w:val="0"/>
                <w:bCs w:val="0"/>
                <w:sz w:val="22"/>
                <w:lang w:val="sr-Latn-ME"/>
              </w:rPr>
              <w:t>l</w:t>
            </w:r>
            <w:r w:rsidRPr="0080752B">
              <w:rPr>
                <w:rFonts w:ascii="Arial" w:eastAsia="Calibri" w:hAnsi="Arial"/>
                <w:b w:val="0"/>
                <w:bCs w:val="0"/>
                <w:sz w:val="22"/>
                <w:szCs w:val="22"/>
                <w:lang w:val="sr-Latn-ME"/>
              </w:rPr>
              <w:t xml:space="preserve">je, </w:t>
            </w:r>
            <w:r w:rsidR="00380A0A">
              <w:rPr>
                <w:rFonts w:ascii="Arial" w:eastAsia="Calibri" w:hAnsi="Arial"/>
                <w:b w:val="0"/>
                <w:bCs w:val="0"/>
                <w:sz w:val="22"/>
                <w:szCs w:val="22"/>
                <w:lang w:val="sr-Latn-ME"/>
              </w:rPr>
              <w:t xml:space="preserve">uvode se nove </w:t>
            </w:r>
            <w:r w:rsidRPr="0080752B">
              <w:rPr>
                <w:rFonts w:ascii="Arial" w:eastAsia="Calibri" w:hAnsi="Arial"/>
                <w:b w:val="0"/>
                <w:bCs w:val="0"/>
                <w:sz w:val="22"/>
                <w:szCs w:val="22"/>
                <w:lang w:val="sr-Latn-ME"/>
              </w:rPr>
              <w:t>obaveze u vezi sa</w:t>
            </w:r>
            <w:r w:rsidRPr="00376025">
              <w:rPr>
                <w:rFonts w:ascii="Arial" w:eastAsia="Calibri" w:hAnsi="Arial"/>
                <w:b w:val="0"/>
                <w:bCs w:val="0"/>
                <w:sz w:val="22"/>
                <w:szCs w:val="22"/>
                <w:lang w:val="sr-Latn-ME"/>
              </w:rPr>
              <w:t xml:space="preserve"> upravljanje</w:t>
            </w:r>
            <w:r w:rsidRPr="0080752B">
              <w:rPr>
                <w:rFonts w:ascii="Arial" w:eastAsia="Calibri" w:hAnsi="Arial"/>
                <w:b w:val="0"/>
                <w:bCs w:val="0"/>
                <w:sz w:val="22"/>
                <w:szCs w:val="22"/>
                <w:lang w:val="sr-Latn-ME"/>
              </w:rPr>
              <w:t>m</w:t>
            </w:r>
            <w:r w:rsidRPr="00376025">
              <w:rPr>
                <w:rFonts w:ascii="Arial" w:eastAsia="Calibri" w:hAnsi="Arial"/>
                <w:b w:val="0"/>
                <w:bCs w:val="0"/>
                <w:sz w:val="22"/>
                <w:szCs w:val="22"/>
                <w:lang w:val="sr-Latn-ME"/>
              </w:rPr>
              <w:t xml:space="preserve"> i praćenje</w:t>
            </w:r>
            <w:r w:rsidRPr="0080752B">
              <w:rPr>
                <w:rFonts w:ascii="Arial" w:eastAsia="Calibri" w:hAnsi="Arial"/>
                <w:b w:val="0"/>
                <w:bCs w:val="0"/>
                <w:sz w:val="22"/>
                <w:szCs w:val="22"/>
                <w:lang w:val="sr-Latn-ME"/>
              </w:rPr>
              <w:t>m</w:t>
            </w:r>
            <w:r w:rsidRPr="00376025">
              <w:rPr>
                <w:rFonts w:ascii="Arial" w:eastAsia="Calibri" w:hAnsi="Arial"/>
                <w:b w:val="0"/>
                <w:bCs w:val="0"/>
                <w:sz w:val="22"/>
                <w:szCs w:val="22"/>
                <w:lang w:val="sr-Latn-ME"/>
              </w:rPr>
              <w:t xml:space="preserve"> rizika koncentracije koji proizlazi iz izloženosti prema centralnim drugim ugovornim stranama</w:t>
            </w:r>
            <w:r w:rsidRPr="0080752B">
              <w:rPr>
                <w:rFonts w:ascii="Arial" w:eastAsia="Calibri" w:hAnsi="Arial"/>
                <w:b w:val="0"/>
                <w:bCs w:val="0"/>
                <w:sz w:val="22"/>
                <w:szCs w:val="22"/>
                <w:lang w:val="sr-Latn-ME"/>
              </w:rPr>
              <w:t>, obaveza izrade politike i planova za kontinuitet poslovanja u oblasti informaciono-komunikacione tehnologije (IKT) i planove za odgovor i oporavak u oblasti IKT</w:t>
            </w:r>
            <w:r w:rsidRPr="0080752B">
              <w:rPr>
                <w:rFonts w:ascii="Arial" w:eastAsia="Calibri" w:hAnsi="Arial"/>
                <w:b w:val="0"/>
                <w:bCs w:val="0"/>
                <w:sz w:val="22"/>
                <w:lang w:val="sr-Latn-ME"/>
              </w:rPr>
              <w:t xml:space="preserve">, obaveze u pogledu sticanja i otuđenja materijalnog učešća i </w:t>
            </w:r>
            <w:r w:rsidR="00BD5119">
              <w:rPr>
                <w:rFonts w:ascii="Arial" w:eastAsia="Calibri" w:hAnsi="Arial"/>
                <w:b w:val="0"/>
                <w:bCs w:val="0"/>
                <w:sz w:val="22"/>
                <w:lang w:val="sr-Latn-ME"/>
              </w:rPr>
              <w:t>o</w:t>
            </w:r>
            <w:r w:rsidRPr="0080752B">
              <w:rPr>
                <w:rFonts w:ascii="Arial" w:hAnsi="Arial" w:cs="Arial"/>
                <w:b w:val="0"/>
                <w:bCs w:val="0"/>
                <w:sz w:val="22"/>
                <w:szCs w:val="22"/>
                <w:lang w:val="sr-Latn-ME"/>
              </w:rPr>
              <w:t>bavještavanje o</w:t>
            </w:r>
            <w:r w:rsidR="00380A0A">
              <w:rPr>
                <w:rFonts w:ascii="Arial" w:hAnsi="Arial" w:cs="Arial"/>
                <w:b w:val="0"/>
                <w:bCs w:val="0"/>
                <w:sz w:val="22"/>
                <w:szCs w:val="22"/>
                <w:lang w:val="sr-Latn-ME"/>
              </w:rPr>
              <w:t xml:space="preserve"> </w:t>
            </w:r>
            <w:r w:rsidRPr="0080752B">
              <w:rPr>
                <w:rFonts w:ascii="Arial" w:hAnsi="Arial" w:cs="Arial"/>
                <w:b w:val="0"/>
                <w:bCs w:val="0"/>
                <w:sz w:val="22"/>
                <w:szCs w:val="22"/>
                <w:lang w:val="sr-Latn-ME"/>
              </w:rPr>
              <w:t xml:space="preserve"> namjeravanim materijalnim prenosima imovine i obaveza.</w:t>
            </w:r>
          </w:p>
          <w:p w14:paraId="51390138" w14:textId="24733BA3" w:rsidR="00472CDA" w:rsidRPr="006139CD" w:rsidRDefault="003865C9" w:rsidP="00894A07">
            <w:pPr>
              <w:tabs>
                <w:tab w:val="left" w:pos="9639"/>
              </w:tabs>
              <w:spacing w:line="276" w:lineRule="auto"/>
              <w:rPr>
                <w:rFonts w:ascii="Arial" w:hAnsi="Arial" w:cs="Arial"/>
                <w:sz w:val="22"/>
                <w:lang w:val="sr-Latn-ME"/>
              </w:rPr>
            </w:pPr>
            <w:r w:rsidRPr="003865C9">
              <w:rPr>
                <w:rFonts w:ascii="Arial" w:hAnsi="Arial" w:cs="Arial"/>
                <w:sz w:val="22"/>
                <w:lang w:val="sr-Latn-ME"/>
              </w:rPr>
              <w:t>Procjenjuje se da ne postoje</w:t>
            </w:r>
            <w:r w:rsidR="00472CDA" w:rsidRPr="003865C9">
              <w:rPr>
                <w:rFonts w:ascii="Arial" w:hAnsi="Arial" w:cs="Arial"/>
                <w:sz w:val="22"/>
                <w:lang w:val="sr-Latn-ME"/>
              </w:rPr>
              <w:t xml:space="preserve"> troškovi koji bi proizilazili iz drugih regulatornih zahtjeva utvrđenih ovim zakonom</w:t>
            </w:r>
            <w:r>
              <w:rPr>
                <w:rFonts w:ascii="Arial" w:hAnsi="Arial" w:cs="Arial"/>
                <w:sz w:val="22"/>
                <w:lang w:val="sr-Latn-ME"/>
              </w:rPr>
              <w:t xml:space="preserve"> koji bi u</w:t>
            </w:r>
            <w:r w:rsidRPr="003865C9">
              <w:rPr>
                <w:rFonts w:ascii="Arial" w:hAnsi="Arial" w:cs="Arial"/>
                <w:sz w:val="22"/>
                <w:lang w:val="sr-Latn-ME"/>
              </w:rPr>
              <w:t xml:space="preserve"> značajnoj mjeri optereti</w:t>
            </w:r>
            <w:r>
              <w:rPr>
                <w:rFonts w:ascii="Arial" w:hAnsi="Arial" w:cs="Arial"/>
                <w:sz w:val="22"/>
                <w:lang w:val="sr-Latn-ME"/>
              </w:rPr>
              <w:t>li</w:t>
            </w:r>
            <w:r w:rsidRPr="003865C9">
              <w:rPr>
                <w:rFonts w:ascii="Arial" w:hAnsi="Arial" w:cs="Arial"/>
                <w:sz w:val="22"/>
                <w:lang w:val="sr-Latn-ME"/>
              </w:rPr>
              <w:t xml:space="preserve"> kreditne institucije</w:t>
            </w:r>
            <w:r w:rsidR="00472CDA" w:rsidRPr="003865C9">
              <w:rPr>
                <w:rFonts w:ascii="Arial" w:hAnsi="Arial" w:cs="Arial"/>
                <w:sz w:val="22"/>
                <w:lang w:val="sr-Latn-ME"/>
              </w:rPr>
              <w:t>.</w:t>
            </w:r>
            <w:r w:rsidR="00472CDA" w:rsidRPr="006139CD">
              <w:rPr>
                <w:rFonts w:ascii="Arial" w:hAnsi="Arial" w:cs="Arial"/>
                <w:sz w:val="22"/>
                <w:lang w:val="sr-Latn-ME"/>
              </w:rPr>
              <w:t xml:space="preserve"> </w:t>
            </w:r>
          </w:p>
          <w:p w14:paraId="12F097BD" w14:textId="77777777" w:rsidR="00472CDA" w:rsidRPr="0084037C" w:rsidRDefault="00472CDA" w:rsidP="00894A07">
            <w:pPr>
              <w:pStyle w:val="ListParagraph"/>
              <w:autoSpaceDE w:val="0"/>
              <w:autoSpaceDN w:val="0"/>
              <w:adjustRightInd w:val="0"/>
              <w:ind w:left="0"/>
              <w:contextualSpacing/>
              <w:rPr>
                <w:rFonts w:ascii="Arial" w:eastAsia="MS Mincho" w:hAnsi="Arial" w:cs="Arial"/>
                <w:bCs w:val="0"/>
                <w:noProof/>
                <w:sz w:val="22"/>
                <w:lang w:val="sr-Latn-ME" w:eastAsia="en-US"/>
              </w:rPr>
            </w:pPr>
          </w:p>
          <w:p w14:paraId="32F9F1B2" w14:textId="77777777" w:rsidR="00472CDA" w:rsidRPr="003865C9" w:rsidRDefault="00472CDA" w:rsidP="00894A07">
            <w:pPr>
              <w:rPr>
                <w:rFonts w:ascii="Arial" w:hAnsi="Arial" w:cs="Arial"/>
                <w:sz w:val="22"/>
                <w:lang w:val="sr-Latn-ME"/>
              </w:rPr>
            </w:pPr>
            <w:r w:rsidRPr="003865C9">
              <w:rPr>
                <w:rFonts w:ascii="Arial" w:hAnsi="Arial" w:cs="Arial"/>
                <w:sz w:val="22"/>
                <w:lang w:val="sr-Latn-ME"/>
              </w:rPr>
              <w:t>Propis ne podržava stvaranje novih privrednih subjekata, niti utiče na tržišnu konkurenciju.</w:t>
            </w:r>
          </w:p>
          <w:p w14:paraId="39BA10CE" w14:textId="77777777" w:rsidR="00472CDA" w:rsidRPr="00B7499F" w:rsidRDefault="00472CDA" w:rsidP="00894A07">
            <w:pPr>
              <w:rPr>
                <w:rFonts w:ascii="Arial" w:hAnsi="Arial" w:cs="Arial"/>
                <w:color w:val="FF0000"/>
                <w:sz w:val="22"/>
                <w:highlight w:val="red"/>
                <w:lang w:val="sr-Latn-ME"/>
              </w:rPr>
            </w:pPr>
          </w:p>
          <w:p w14:paraId="32239231" w14:textId="0B96C2EB" w:rsidR="00472CDA" w:rsidRPr="0084037C" w:rsidRDefault="003865C9" w:rsidP="00894A07">
            <w:pPr>
              <w:pStyle w:val="ListParagraph"/>
              <w:autoSpaceDE w:val="0"/>
              <w:autoSpaceDN w:val="0"/>
              <w:adjustRightInd w:val="0"/>
              <w:ind w:left="0"/>
              <w:contextualSpacing/>
              <w:rPr>
                <w:rFonts w:ascii="Arial" w:hAnsi="Arial" w:cs="Arial"/>
                <w:sz w:val="22"/>
                <w:lang w:val="sr-Latn-ME"/>
              </w:rPr>
            </w:pPr>
            <w:r w:rsidRPr="003865C9">
              <w:rPr>
                <w:rFonts w:ascii="Arial" w:eastAsia="MS Mincho" w:hAnsi="Arial" w:cs="Arial"/>
                <w:bCs w:val="0"/>
                <w:noProof/>
                <w:sz w:val="22"/>
                <w:lang w:val="sr-Latn-ME" w:eastAsia="en-US"/>
              </w:rPr>
              <w:lastRenderedPageBreak/>
              <w:t>Nacrt</w:t>
            </w:r>
            <w:r w:rsidR="00472CDA" w:rsidRPr="003865C9">
              <w:rPr>
                <w:rFonts w:ascii="Arial" w:eastAsia="MS Mincho" w:hAnsi="Arial" w:cs="Arial"/>
                <w:bCs w:val="0"/>
                <w:noProof/>
                <w:sz w:val="22"/>
                <w:lang w:val="sr-Latn-ME" w:eastAsia="en-US"/>
              </w:rPr>
              <w:t xml:space="preserve"> zakona o izmjenama i dopunama Zakona o kreditnim institucija neće dovesti do stvaranja administrativnih opterećenja i biznis barijera niti stvoriti </w:t>
            </w:r>
            <w:r w:rsidR="00472CDA" w:rsidRPr="003865C9">
              <w:rPr>
                <w:rFonts w:ascii="Arial" w:hAnsi="Arial" w:cs="Arial"/>
                <w:sz w:val="22"/>
                <w:lang w:val="sr-Latn-ME"/>
              </w:rPr>
              <w:t>nove troškove za građane i privredu, odnosno neće biti negativnih efekata za korisnike bankarskih usluga kroz povećanje cijene usluga.</w:t>
            </w:r>
          </w:p>
          <w:p w14:paraId="19AC3619" w14:textId="77777777" w:rsidR="00472CDA" w:rsidRPr="0059634B" w:rsidRDefault="00472CDA" w:rsidP="00894A07">
            <w:pPr>
              <w:pStyle w:val="ListParagraph"/>
              <w:autoSpaceDE w:val="0"/>
              <w:autoSpaceDN w:val="0"/>
              <w:adjustRightInd w:val="0"/>
              <w:ind w:left="0"/>
              <w:contextualSpacing/>
              <w:rPr>
                <w:rFonts w:ascii="Arial" w:hAnsi="Arial" w:cs="Arial"/>
                <w:color w:val="FF0000"/>
                <w:sz w:val="22"/>
                <w:highlight w:val="yellow"/>
                <w:lang w:val="sr-Latn-ME"/>
              </w:rPr>
            </w:pPr>
          </w:p>
        </w:tc>
      </w:tr>
      <w:tr w:rsidR="00472CDA" w:rsidRPr="005D6A54" w14:paraId="7CF2DD72" w14:textId="77777777" w:rsidTr="00894A07">
        <w:tc>
          <w:tcPr>
            <w:tcW w:w="9576" w:type="dxa"/>
            <w:gridSpan w:val="2"/>
            <w:shd w:val="clear" w:color="auto" w:fill="D2EAF1"/>
          </w:tcPr>
          <w:p w14:paraId="7918D8BA" w14:textId="77777777" w:rsidR="00472CDA" w:rsidRPr="005D6A54" w:rsidRDefault="00472CDA" w:rsidP="00894A07">
            <w:pPr>
              <w:autoSpaceDE w:val="0"/>
              <w:autoSpaceDN w:val="0"/>
              <w:adjustRightInd w:val="0"/>
              <w:rPr>
                <w:rFonts w:ascii="Arial" w:hAnsi="Arial" w:cs="Arial"/>
                <w:b/>
                <w:bCs w:val="0"/>
                <w:sz w:val="22"/>
                <w:lang w:val="sr-Latn-ME"/>
              </w:rPr>
            </w:pPr>
            <w:r w:rsidRPr="005D6A54">
              <w:rPr>
                <w:rFonts w:ascii="Arial" w:hAnsi="Arial" w:cs="Arial"/>
                <w:b/>
                <w:bCs w:val="0"/>
                <w:sz w:val="22"/>
                <w:lang w:val="sr-Latn-ME"/>
              </w:rPr>
              <w:lastRenderedPageBreak/>
              <w:t>5. Procjena fiskalnog uticaja</w:t>
            </w:r>
          </w:p>
          <w:p w14:paraId="493F56E0" w14:textId="77777777" w:rsidR="00472CDA" w:rsidRPr="005D6A54" w:rsidRDefault="00472CDA" w:rsidP="00472CDA">
            <w:pPr>
              <w:pStyle w:val="ListParagraph"/>
              <w:numPr>
                <w:ilvl w:val="0"/>
                <w:numId w:val="1"/>
              </w:numPr>
              <w:autoSpaceDE w:val="0"/>
              <w:autoSpaceDN w:val="0"/>
              <w:adjustRightInd w:val="0"/>
              <w:contextualSpacing/>
              <w:jc w:val="left"/>
              <w:rPr>
                <w:rFonts w:ascii="Arial" w:hAnsi="Arial" w:cs="Arial"/>
                <w:b/>
                <w:bCs w:val="0"/>
                <w:sz w:val="22"/>
                <w:lang w:val="sr-Latn-ME"/>
              </w:rPr>
            </w:pPr>
            <w:r w:rsidRPr="005D6A54">
              <w:rPr>
                <w:rFonts w:ascii="Arial" w:hAnsi="Arial" w:cs="Arial"/>
                <w:b/>
                <w:bCs w:val="0"/>
                <w:sz w:val="22"/>
                <w:lang w:val="sr-Latn-ME"/>
              </w:rPr>
              <w:t>Da li je potrebno obezbjeđenje finansijskih sredstava iz budžeta Crne Gore za implementaciju propisa i u kom iznosu?</w:t>
            </w:r>
          </w:p>
          <w:p w14:paraId="1DF49A3B" w14:textId="77777777" w:rsidR="00472CDA" w:rsidRPr="005D6A54" w:rsidRDefault="00472CDA" w:rsidP="00472CDA">
            <w:pPr>
              <w:pStyle w:val="ListParagraph"/>
              <w:numPr>
                <w:ilvl w:val="0"/>
                <w:numId w:val="1"/>
              </w:numPr>
              <w:rPr>
                <w:rFonts w:ascii="Arial" w:hAnsi="Arial" w:cs="Arial"/>
                <w:b/>
                <w:bCs w:val="0"/>
                <w:sz w:val="22"/>
                <w:lang w:val="sr-Latn-ME"/>
              </w:rPr>
            </w:pPr>
            <w:r w:rsidRPr="005D6A54">
              <w:rPr>
                <w:rFonts w:ascii="Arial" w:hAnsi="Arial" w:cs="Arial"/>
                <w:b/>
                <w:bCs w:val="0"/>
                <w:sz w:val="22"/>
                <w:lang w:val="sr-Latn-ME"/>
              </w:rPr>
              <w:t>Da li je obezbjeđenje finansijskih sredstava jednokratno, ili tokom određenog vremenskog perioda?  Obrazložiti.</w:t>
            </w:r>
          </w:p>
          <w:p w14:paraId="4BCD8E84" w14:textId="77777777" w:rsidR="00472CDA" w:rsidRPr="005D6A54" w:rsidRDefault="00472CDA" w:rsidP="00472CDA">
            <w:pPr>
              <w:pStyle w:val="ListParagraph"/>
              <w:numPr>
                <w:ilvl w:val="0"/>
                <w:numId w:val="1"/>
              </w:numPr>
              <w:rPr>
                <w:rFonts w:ascii="Arial" w:hAnsi="Arial" w:cs="Arial"/>
                <w:b/>
                <w:bCs w:val="0"/>
                <w:sz w:val="22"/>
                <w:lang w:val="sr-Latn-ME"/>
              </w:rPr>
            </w:pPr>
            <w:r w:rsidRPr="005D6A54">
              <w:rPr>
                <w:rFonts w:ascii="Arial" w:hAnsi="Arial" w:cs="Arial"/>
                <w:b/>
                <w:bCs w:val="0"/>
                <w:sz w:val="22"/>
                <w:lang w:val="sr-Latn-ME"/>
              </w:rPr>
              <w:t>Da li implementacijom propisa proizilaze međunarodne finansijske obaveze? Obrazložiti.</w:t>
            </w:r>
          </w:p>
          <w:p w14:paraId="27E149ED" w14:textId="77777777" w:rsidR="00472CDA" w:rsidRPr="005D6A54" w:rsidRDefault="00472CDA" w:rsidP="00472CDA">
            <w:pPr>
              <w:pStyle w:val="ListParagraph"/>
              <w:numPr>
                <w:ilvl w:val="0"/>
                <w:numId w:val="1"/>
              </w:numPr>
              <w:rPr>
                <w:rFonts w:ascii="Arial" w:hAnsi="Arial" w:cs="Arial"/>
                <w:b/>
                <w:bCs w:val="0"/>
                <w:sz w:val="22"/>
                <w:lang w:val="sr-Latn-ME"/>
              </w:rPr>
            </w:pPr>
            <w:r w:rsidRPr="005D6A54">
              <w:rPr>
                <w:rFonts w:ascii="Arial" w:hAnsi="Arial" w:cs="Arial"/>
                <w:b/>
                <w:bCs w:val="0"/>
                <w:sz w:val="22"/>
                <w:lang w:val="sr-Latn-ME"/>
              </w:rPr>
              <w:t>Da li su neophodna finansijska sredstva obezbijeđena u budžetu za tekuću fiskalnu godinu, odnosno da li su planirana u budžetu za narednu fiskanu godinu?</w:t>
            </w:r>
          </w:p>
          <w:p w14:paraId="08DDD920" w14:textId="77777777" w:rsidR="00472CDA" w:rsidRPr="005D6A54" w:rsidRDefault="00472CDA" w:rsidP="00472CDA">
            <w:pPr>
              <w:pStyle w:val="ListParagraph"/>
              <w:numPr>
                <w:ilvl w:val="0"/>
                <w:numId w:val="1"/>
              </w:numPr>
              <w:rPr>
                <w:rFonts w:ascii="Arial" w:hAnsi="Arial" w:cs="Arial"/>
                <w:b/>
                <w:bCs w:val="0"/>
                <w:sz w:val="22"/>
                <w:lang w:val="sr-Latn-ME"/>
              </w:rPr>
            </w:pPr>
            <w:r w:rsidRPr="005D6A54">
              <w:rPr>
                <w:rFonts w:ascii="Arial" w:hAnsi="Arial" w:cs="Arial"/>
                <w:b/>
                <w:bCs w:val="0"/>
                <w:sz w:val="22"/>
                <w:lang w:val="sr-Latn-ME"/>
              </w:rPr>
              <w:t>Da li je usvajanjem propisa predviđeno donošenje podzakonskih akata iz kojih će proisteći finansijske obaveze?</w:t>
            </w:r>
          </w:p>
          <w:p w14:paraId="41DF53CD" w14:textId="77777777" w:rsidR="00472CDA" w:rsidRPr="005D6A54" w:rsidRDefault="00472CDA" w:rsidP="00472CDA">
            <w:pPr>
              <w:pStyle w:val="ListParagraph"/>
              <w:numPr>
                <w:ilvl w:val="0"/>
                <w:numId w:val="1"/>
              </w:numPr>
              <w:rPr>
                <w:rFonts w:ascii="Arial" w:hAnsi="Arial" w:cs="Arial"/>
                <w:b/>
                <w:bCs w:val="0"/>
                <w:sz w:val="22"/>
                <w:lang w:val="sr-Latn-ME"/>
              </w:rPr>
            </w:pPr>
            <w:r w:rsidRPr="005D6A54">
              <w:rPr>
                <w:rFonts w:ascii="Arial" w:hAnsi="Arial" w:cs="Arial"/>
                <w:b/>
                <w:bCs w:val="0"/>
                <w:sz w:val="22"/>
                <w:lang w:val="sr-Latn-ME"/>
              </w:rPr>
              <w:t>Da li će se implementacijom propisa ostvariti prihod za budžet Crne Gore?</w:t>
            </w:r>
          </w:p>
          <w:p w14:paraId="2F9EBBA3" w14:textId="77777777" w:rsidR="00472CDA" w:rsidRPr="005D6A54" w:rsidRDefault="00472CDA" w:rsidP="00472CDA">
            <w:pPr>
              <w:pStyle w:val="ListParagraph"/>
              <w:numPr>
                <w:ilvl w:val="0"/>
                <w:numId w:val="1"/>
              </w:numPr>
              <w:rPr>
                <w:rFonts w:ascii="Arial" w:hAnsi="Arial" w:cs="Arial"/>
                <w:b/>
                <w:bCs w:val="0"/>
                <w:sz w:val="22"/>
                <w:lang w:val="sr-Latn-ME"/>
              </w:rPr>
            </w:pPr>
            <w:r w:rsidRPr="005D6A54">
              <w:rPr>
                <w:rFonts w:ascii="Arial" w:hAnsi="Arial" w:cs="Arial"/>
                <w:b/>
                <w:bCs w:val="0"/>
                <w:sz w:val="22"/>
                <w:lang w:val="sr-Latn-ME"/>
              </w:rPr>
              <w:t>Obrazložiti metodologiju koja je korišćenja prilikom obračuna finansijskih izdataka/prihoda.</w:t>
            </w:r>
          </w:p>
          <w:p w14:paraId="77911FB9" w14:textId="77777777" w:rsidR="00472CDA" w:rsidRPr="005D6A54" w:rsidRDefault="00472CDA" w:rsidP="00472CDA">
            <w:pPr>
              <w:pStyle w:val="ListParagraph"/>
              <w:numPr>
                <w:ilvl w:val="0"/>
                <w:numId w:val="1"/>
              </w:numPr>
              <w:rPr>
                <w:rFonts w:ascii="Arial" w:hAnsi="Arial" w:cs="Arial"/>
                <w:b/>
                <w:bCs w:val="0"/>
                <w:sz w:val="22"/>
                <w:lang w:val="sr-Latn-ME"/>
              </w:rPr>
            </w:pPr>
            <w:r w:rsidRPr="005D6A54">
              <w:rPr>
                <w:rFonts w:ascii="Arial" w:hAnsi="Arial" w:cs="Arial"/>
                <w:b/>
                <w:bCs w:val="0"/>
                <w:sz w:val="22"/>
                <w:lang w:val="sr-Latn-ME"/>
              </w:rPr>
              <w:t>Da li su postojali problemi u preciznom obračunu finansijskih izdataka/prihoda? Obrazložiti.</w:t>
            </w:r>
          </w:p>
          <w:p w14:paraId="157AEF4D" w14:textId="77777777" w:rsidR="00472CDA" w:rsidRPr="005D6A54" w:rsidRDefault="00472CDA" w:rsidP="00472CDA">
            <w:pPr>
              <w:pStyle w:val="ListParagraph"/>
              <w:numPr>
                <w:ilvl w:val="0"/>
                <w:numId w:val="1"/>
              </w:numPr>
              <w:rPr>
                <w:rFonts w:ascii="Arial" w:hAnsi="Arial" w:cs="Arial"/>
                <w:b/>
                <w:bCs w:val="0"/>
                <w:sz w:val="22"/>
                <w:lang w:val="sr-Latn-ME"/>
              </w:rPr>
            </w:pPr>
            <w:r w:rsidRPr="005D6A54">
              <w:rPr>
                <w:rFonts w:ascii="Arial" w:hAnsi="Arial" w:cs="Arial"/>
                <w:b/>
                <w:bCs w:val="0"/>
                <w:sz w:val="22"/>
                <w:lang w:val="sr-Latn-ME"/>
              </w:rPr>
              <w:t>Da li su postojale sugestije Ministarstva finansija na nacrt/predlog propisa?</w:t>
            </w:r>
          </w:p>
          <w:p w14:paraId="283B1073" w14:textId="77777777" w:rsidR="00472CDA" w:rsidRPr="005D6A54" w:rsidRDefault="00472CDA" w:rsidP="00472CDA">
            <w:pPr>
              <w:pStyle w:val="ListParagraph"/>
              <w:numPr>
                <w:ilvl w:val="0"/>
                <w:numId w:val="1"/>
              </w:numPr>
              <w:rPr>
                <w:rFonts w:ascii="Arial" w:hAnsi="Arial" w:cs="Arial"/>
                <w:b/>
                <w:bCs w:val="0"/>
                <w:sz w:val="22"/>
                <w:lang w:val="sr-Latn-ME"/>
              </w:rPr>
            </w:pPr>
            <w:r w:rsidRPr="005D6A54">
              <w:rPr>
                <w:rFonts w:ascii="Arial" w:hAnsi="Arial" w:cs="Arial"/>
                <w:b/>
                <w:bCs w:val="0"/>
                <w:sz w:val="22"/>
                <w:lang w:val="sr-Latn-ME"/>
              </w:rPr>
              <w:t>Da li su dobijene primjedbe uključene u tekst propisa? Obrazložiti.</w:t>
            </w:r>
          </w:p>
        </w:tc>
      </w:tr>
      <w:tr w:rsidR="00472CDA" w:rsidRPr="005D6A54" w14:paraId="05FF64FD" w14:textId="77777777" w:rsidTr="00894A07">
        <w:tc>
          <w:tcPr>
            <w:tcW w:w="9576" w:type="dxa"/>
            <w:gridSpan w:val="2"/>
          </w:tcPr>
          <w:p w14:paraId="0C265E2C" w14:textId="77777777" w:rsidR="00472CDA" w:rsidRPr="005D6A54" w:rsidRDefault="00472CDA" w:rsidP="00894A07">
            <w:pPr>
              <w:autoSpaceDE w:val="0"/>
              <w:autoSpaceDN w:val="0"/>
              <w:adjustRightInd w:val="0"/>
              <w:rPr>
                <w:rFonts w:ascii="Arial" w:hAnsi="Arial" w:cs="Arial"/>
                <w:b/>
                <w:bCs w:val="0"/>
                <w:sz w:val="22"/>
                <w:lang w:val="sr-Latn-ME"/>
              </w:rPr>
            </w:pPr>
          </w:p>
          <w:p w14:paraId="36F765EC" w14:textId="77777777" w:rsidR="00472CDA" w:rsidRPr="005D6A54" w:rsidRDefault="00472CDA" w:rsidP="00894A07">
            <w:pPr>
              <w:rPr>
                <w:rFonts w:ascii="Arial" w:hAnsi="Arial" w:cs="Arial"/>
                <w:sz w:val="22"/>
                <w:lang w:val="sr-Latn-ME"/>
              </w:rPr>
            </w:pPr>
            <w:r w:rsidRPr="005D6A54">
              <w:rPr>
                <w:rFonts w:ascii="Arial" w:hAnsi="Arial" w:cs="Arial"/>
                <w:sz w:val="22"/>
                <w:lang w:val="sr-Latn-ME"/>
              </w:rPr>
              <w:t xml:space="preserve">Za </w:t>
            </w:r>
            <w:r>
              <w:rPr>
                <w:rFonts w:ascii="Arial" w:hAnsi="Arial" w:cs="Arial"/>
                <w:sz w:val="22"/>
                <w:lang w:val="sr-Latn-ME"/>
              </w:rPr>
              <w:t>sprovođenje</w:t>
            </w:r>
            <w:r w:rsidRPr="005D6A54">
              <w:rPr>
                <w:rFonts w:ascii="Arial" w:hAnsi="Arial" w:cs="Arial"/>
                <w:sz w:val="22"/>
                <w:lang w:val="sr-Latn-ME"/>
              </w:rPr>
              <w:t xml:space="preserve"> ovog zakona i </w:t>
            </w:r>
            <w:r>
              <w:rPr>
                <w:rFonts w:ascii="Arial" w:hAnsi="Arial" w:cs="Arial"/>
                <w:sz w:val="22"/>
                <w:lang w:val="sr-Latn-ME"/>
              </w:rPr>
              <w:t>propisa</w:t>
            </w:r>
            <w:r w:rsidRPr="005D6A54">
              <w:rPr>
                <w:rFonts w:ascii="Arial" w:hAnsi="Arial" w:cs="Arial"/>
                <w:sz w:val="22"/>
                <w:lang w:val="sr-Latn-ME"/>
              </w:rPr>
              <w:t xml:space="preserve"> koji će biti donijeti na osnovu ovog zakona nije potrebno obezb</w:t>
            </w:r>
            <w:r>
              <w:rPr>
                <w:rFonts w:ascii="Arial" w:hAnsi="Arial" w:cs="Arial"/>
                <w:sz w:val="22"/>
                <w:lang w:val="sr-Latn-ME"/>
              </w:rPr>
              <w:t>i</w:t>
            </w:r>
            <w:r w:rsidRPr="005D6A54">
              <w:rPr>
                <w:rFonts w:ascii="Arial" w:hAnsi="Arial" w:cs="Arial"/>
                <w:sz w:val="22"/>
                <w:lang w:val="sr-Latn-ME"/>
              </w:rPr>
              <w:t>je</w:t>
            </w:r>
            <w:r>
              <w:rPr>
                <w:rFonts w:ascii="Arial" w:hAnsi="Arial" w:cs="Arial"/>
                <w:sz w:val="22"/>
                <w:lang w:val="sr-Latn-ME"/>
              </w:rPr>
              <w:t>diti</w:t>
            </w:r>
            <w:r w:rsidRPr="005D6A54">
              <w:rPr>
                <w:rFonts w:ascii="Arial" w:hAnsi="Arial" w:cs="Arial"/>
                <w:sz w:val="22"/>
                <w:lang w:val="sr-Latn-ME"/>
              </w:rPr>
              <w:t xml:space="preserve"> finansijsk</w:t>
            </w:r>
            <w:r>
              <w:rPr>
                <w:rFonts w:ascii="Arial" w:hAnsi="Arial" w:cs="Arial"/>
                <w:sz w:val="22"/>
                <w:lang w:val="sr-Latn-ME"/>
              </w:rPr>
              <w:t>a</w:t>
            </w:r>
            <w:r w:rsidRPr="005D6A54">
              <w:rPr>
                <w:rFonts w:ascii="Arial" w:hAnsi="Arial" w:cs="Arial"/>
                <w:sz w:val="22"/>
                <w:lang w:val="sr-Latn-ME"/>
              </w:rPr>
              <w:t xml:space="preserve"> sredstava iz budžeta Crne Gore.</w:t>
            </w:r>
          </w:p>
          <w:p w14:paraId="4C0DE174" w14:textId="77777777" w:rsidR="00472CDA" w:rsidRPr="005D6A54" w:rsidRDefault="00472CDA" w:rsidP="00894A07">
            <w:pPr>
              <w:rPr>
                <w:rFonts w:ascii="Arial" w:hAnsi="Arial" w:cs="Arial"/>
                <w:sz w:val="22"/>
                <w:lang w:val="sr-Latn-ME"/>
              </w:rPr>
            </w:pPr>
          </w:p>
          <w:p w14:paraId="4B8F0D5C" w14:textId="410E174D" w:rsidR="00472CDA" w:rsidRPr="005D6A54" w:rsidRDefault="00472CDA" w:rsidP="00894A07">
            <w:pPr>
              <w:rPr>
                <w:rFonts w:ascii="Arial" w:hAnsi="Arial" w:cs="Arial"/>
                <w:sz w:val="22"/>
                <w:lang w:val="sr-Latn-ME"/>
              </w:rPr>
            </w:pPr>
            <w:r>
              <w:rPr>
                <w:rFonts w:ascii="Arial" w:hAnsi="Arial" w:cs="Arial"/>
                <w:sz w:val="22"/>
                <w:lang w:val="sr-Latn-ME"/>
              </w:rPr>
              <w:t>Neće</w:t>
            </w:r>
            <w:r w:rsidRPr="005D6A54">
              <w:rPr>
                <w:rFonts w:ascii="Arial" w:hAnsi="Arial" w:cs="Arial"/>
                <w:sz w:val="22"/>
                <w:lang w:val="sr-Latn-ME"/>
              </w:rPr>
              <w:t xml:space="preserve"> proizi</w:t>
            </w:r>
            <w:r>
              <w:rPr>
                <w:rFonts w:ascii="Arial" w:hAnsi="Arial" w:cs="Arial"/>
                <w:sz w:val="22"/>
                <w:lang w:val="sr-Latn-ME"/>
              </w:rPr>
              <w:t>ći</w:t>
            </w:r>
            <w:r w:rsidRPr="005D6A54">
              <w:rPr>
                <w:rFonts w:ascii="Arial" w:hAnsi="Arial" w:cs="Arial"/>
                <w:sz w:val="22"/>
                <w:lang w:val="sr-Latn-ME"/>
              </w:rPr>
              <w:t xml:space="preserve"> međunarodne finansijske obaveze </w:t>
            </w:r>
            <w:r>
              <w:rPr>
                <w:rFonts w:ascii="Arial" w:hAnsi="Arial" w:cs="Arial"/>
                <w:sz w:val="22"/>
                <w:lang w:val="sr-Latn-ME"/>
              </w:rPr>
              <w:t>implementacijom</w:t>
            </w:r>
            <w:r w:rsidRPr="005D6A54">
              <w:rPr>
                <w:rFonts w:ascii="Arial" w:hAnsi="Arial" w:cs="Arial"/>
                <w:sz w:val="22"/>
                <w:lang w:val="sr-Latn-ME"/>
              </w:rPr>
              <w:t xml:space="preserve"> </w:t>
            </w:r>
            <w:r w:rsidR="00817491">
              <w:rPr>
                <w:rFonts w:ascii="Arial" w:hAnsi="Arial" w:cs="Arial"/>
                <w:sz w:val="22"/>
                <w:lang w:val="sr-Latn-ME"/>
              </w:rPr>
              <w:t>Nacrta</w:t>
            </w:r>
            <w:r w:rsidRPr="005D6A54">
              <w:rPr>
                <w:rFonts w:ascii="Arial" w:hAnsi="Arial" w:cs="Arial"/>
                <w:sz w:val="22"/>
                <w:lang w:val="sr-Latn-ME"/>
              </w:rPr>
              <w:t xml:space="preserve"> zakona.</w:t>
            </w:r>
          </w:p>
          <w:p w14:paraId="4A0063AE" w14:textId="77777777" w:rsidR="00472CDA" w:rsidRPr="005D6A54" w:rsidRDefault="00472CDA" w:rsidP="00894A07">
            <w:pPr>
              <w:rPr>
                <w:rFonts w:ascii="Arial" w:hAnsi="Arial" w:cs="Arial"/>
                <w:sz w:val="22"/>
                <w:lang w:val="sr-Latn-ME"/>
              </w:rPr>
            </w:pPr>
          </w:p>
          <w:p w14:paraId="0BFCDB36" w14:textId="77777777" w:rsidR="00472CDA" w:rsidRPr="00817491" w:rsidRDefault="00472CDA" w:rsidP="00894A07">
            <w:pPr>
              <w:rPr>
                <w:rFonts w:ascii="Arial" w:hAnsi="Arial" w:cs="Arial"/>
                <w:sz w:val="22"/>
                <w:lang w:val="sr-Latn-ME"/>
              </w:rPr>
            </w:pPr>
            <w:r w:rsidRPr="00817491">
              <w:rPr>
                <w:rFonts w:ascii="Arial" w:hAnsi="Arial" w:cs="Arial"/>
                <w:sz w:val="22"/>
                <w:lang w:val="sr-Latn-ME"/>
              </w:rPr>
              <w:t>Implementacijom propisa neće se direktno ostvariti prihodi za budžet Crne Gore.</w:t>
            </w:r>
          </w:p>
          <w:p w14:paraId="7E7267A7" w14:textId="77777777" w:rsidR="00472CDA" w:rsidRPr="005D6A54" w:rsidRDefault="00472CDA" w:rsidP="00894A07">
            <w:pPr>
              <w:rPr>
                <w:rFonts w:ascii="Arial" w:hAnsi="Arial" w:cs="Arial"/>
                <w:b/>
                <w:bCs w:val="0"/>
                <w:sz w:val="22"/>
                <w:lang w:val="sr-Latn-ME"/>
              </w:rPr>
            </w:pPr>
          </w:p>
        </w:tc>
      </w:tr>
      <w:tr w:rsidR="00472CDA" w:rsidRPr="005D6A54" w14:paraId="68F607EA" w14:textId="77777777" w:rsidTr="00894A07">
        <w:tc>
          <w:tcPr>
            <w:tcW w:w="9576" w:type="dxa"/>
            <w:gridSpan w:val="2"/>
            <w:shd w:val="clear" w:color="auto" w:fill="D2EAF1"/>
          </w:tcPr>
          <w:p w14:paraId="31D1E001" w14:textId="77777777" w:rsidR="00472CDA" w:rsidRPr="005D6A54" w:rsidRDefault="00472CDA" w:rsidP="00894A07">
            <w:pPr>
              <w:autoSpaceDE w:val="0"/>
              <w:autoSpaceDN w:val="0"/>
              <w:adjustRightInd w:val="0"/>
              <w:rPr>
                <w:rFonts w:ascii="Arial" w:hAnsi="Arial" w:cs="Arial"/>
                <w:b/>
                <w:bCs w:val="0"/>
                <w:sz w:val="22"/>
                <w:lang w:val="sr-Latn-ME"/>
              </w:rPr>
            </w:pPr>
            <w:r w:rsidRPr="005D6A54">
              <w:rPr>
                <w:rFonts w:ascii="Arial" w:hAnsi="Arial" w:cs="Arial"/>
                <w:b/>
                <w:bCs w:val="0"/>
                <w:sz w:val="22"/>
                <w:lang w:val="sr-Latn-ME"/>
              </w:rPr>
              <w:t xml:space="preserve">6. </w:t>
            </w:r>
            <w:r w:rsidRPr="005D6A54">
              <w:rPr>
                <w:rFonts w:ascii="Arial" w:hAnsi="Arial" w:cs="Arial"/>
                <w:bCs w:val="0"/>
                <w:sz w:val="22"/>
                <w:lang w:val="sr-Latn-ME"/>
              </w:rPr>
              <w:t>K</w:t>
            </w:r>
            <w:r w:rsidRPr="005D6A54">
              <w:rPr>
                <w:rFonts w:ascii="Arial" w:hAnsi="Arial" w:cs="Arial"/>
                <w:b/>
                <w:bCs w:val="0"/>
                <w:sz w:val="22"/>
                <w:lang w:val="sr-Latn-ME"/>
              </w:rPr>
              <w:t>onsultacije zainteresovanih strana</w:t>
            </w:r>
          </w:p>
          <w:p w14:paraId="5B8B52A4" w14:textId="77777777" w:rsidR="00472CDA" w:rsidRPr="005D6A54"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5D6A54">
              <w:rPr>
                <w:rFonts w:ascii="Arial" w:hAnsi="Arial" w:cs="Arial"/>
                <w:b/>
                <w:bCs w:val="0"/>
                <w:sz w:val="22"/>
                <w:lang w:val="sr-Latn-ME"/>
              </w:rPr>
              <w:t>Naznačiti da li je korišćena eksterna ekspertska podrška i ako da, kako.</w:t>
            </w:r>
          </w:p>
          <w:p w14:paraId="0AEE33F9" w14:textId="77777777" w:rsidR="00472CDA" w:rsidRPr="005D6A54"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5D6A54">
              <w:rPr>
                <w:rFonts w:ascii="Arial" w:hAnsi="Arial" w:cs="Arial"/>
                <w:b/>
                <w:bCs w:val="0"/>
                <w:sz w:val="22"/>
                <w:lang w:val="sr-Latn-ME"/>
              </w:rPr>
              <w:t>Naznačiti koje su grupe zainteresovanih strana konsultovane, u kojoj fazi RIA procesa i kako (javne ili ciljane konsultacije).</w:t>
            </w:r>
          </w:p>
          <w:p w14:paraId="6F4C9B7D" w14:textId="77777777" w:rsidR="00472CDA" w:rsidRPr="005D6A54"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5D6A54">
              <w:rPr>
                <w:rFonts w:ascii="Arial" w:hAnsi="Arial" w:cs="Arial"/>
                <w:b/>
                <w:bCs w:val="0"/>
                <w:sz w:val="22"/>
                <w:lang w:val="sr-Latn-ME"/>
              </w:rPr>
              <w:t>Naznačiti glavne rezultate konsultacija, i koji su predlozi i sugestije zainteresovanih strana prihvaćeni odnosno nijesu prihvaćeni. Obrazložiti.</w:t>
            </w:r>
          </w:p>
        </w:tc>
      </w:tr>
      <w:tr w:rsidR="00472CDA" w:rsidRPr="005D6A54" w14:paraId="43C5EE35" w14:textId="77777777" w:rsidTr="00894A07">
        <w:tc>
          <w:tcPr>
            <w:tcW w:w="9576" w:type="dxa"/>
            <w:gridSpan w:val="2"/>
          </w:tcPr>
          <w:p w14:paraId="419A7F70" w14:textId="77777777" w:rsidR="00472CDA" w:rsidRPr="005D6A54" w:rsidRDefault="00472CDA" w:rsidP="00894A07">
            <w:pPr>
              <w:autoSpaceDE w:val="0"/>
              <w:autoSpaceDN w:val="0"/>
              <w:adjustRightInd w:val="0"/>
              <w:rPr>
                <w:rFonts w:ascii="Arial" w:hAnsi="Arial" w:cs="Arial"/>
                <w:sz w:val="22"/>
                <w:lang w:val="sr-Latn-ME"/>
              </w:rPr>
            </w:pPr>
          </w:p>
          <w:p w14:paraId="5F17C6F3" w14:textId="281194F9" w:rsidR="00472CDA" w:rsidRDefault="00472CDA" w:rsidP="00894A07">
            <w:pPr>
              <w:autoSpaceDE w:val="0"/>
              <w:autoSpaceDN w:val="0"/>
              <w:adjustRightInd w:val="0"/>
              <w:rPr>
                <w:rFonts w:ascii="Arial" w:hAnsi="Arial" w:cs="Arial"/>
                <w:sz w:val="22"/>
                <w:lang w:val="sr-Latn-ME"/>
              </w:rPr>
            </w:pPr>
            <w:r w:rsidRPr="00817491">
              <w:rPr>
                <w:rFonts w:ascii="Arial" w:hAnsi="Arial" w:cs="Arial"/>
                <w:sz w:val="22"/>
                <w:lang w:val="sr-Latn-ME"/>
              </w:rPr>
              <w:t xml:space="preserve">Prilikom izrade </w:t>
            </w:r>
            <w:r w:rsidR="00817491" w:rsidRPr="00817491">
              <w:rPr>
                <w:rFonts w:ascii="Arial" w:hAnsi="Arial" w:cs="Arial"/>
                <w:sz w:val="22"/>
                <w:lang w:val="sr-Latn-ME"/>
              </w:rPr>
              <w:t xml:space="preserve">Nacrta </w:t>
            </w:r>
            <w:r w:rsidRPr="00817491">
              <w:rPr>
                <w:rFonts w:ascii="Arial" w:hAnsi="Arial" w:cs="Arial"/>
                <w:sz w:val="22"/>
                <w:lang w:val="sr-Latn-ME"/>
              </w:rPr>
              <w:t>zakona o izmjenama i dopunama Zakona o kreditnim institucijama nije korišćena ekspertska podrška.</w:t>
            </w:r>
          </w:p>
          <w:p w14:paraId="2E383B42" w14:textId="77777777" w:rsidR="00472CDA" w:rsidRDefault="00472CDA" w:rsidP="00894A07">
            <w:pPr>
              <w:autoSpaceDE w:val="0"/>
              <w:autoSpaceDN w:val="0"/>
              <w:adjustRightInd w:val="0"/>
              <w:rPr>
                <w:rFonts w:ascii="Arial" w:hAnsi="Arial" w:cs="Arial"/>
                <w:sz w:val="22"/>
                <w:lang w:val="sr-Latn-ME"/>
              </w:rPr>
            </w:pPr>
          </w:p>
          <w:p w14:paraId="3E462ACB" w14:textId="3D4A856A" w:rsidR="00472CDA" w:rsidRPr="005D6A54" w:rsidRDefault="00472CDA" w:rsidP="00894A07">
            <w:pPr>
              <w:autoSpaceDE w:val="0"/>
              <w:autoSpaceDN w:val="0"/>
              <w:adjustRightInd w:val="0"/>
              <w:rPr>
                <w:rFonts w:ascii="Arial" w:hAnsi="Arial" w:cs="Arial"/>
                <w:sz w:val="22"/>
                <w:lang w:val="sr-Latn-ME"/>
              </w:rPr>
            </w:pPr>
            <w:r>
              <w:rPr>
                <w:rFonts w:ascii="Arial" w:hAnsi="Arial" w:cs="Arial"/>
                <w:sz w:val="22"/>
                <w:lang w:val="sr-Latn-ME"/>
              </w:rPr>
              <w:t xml:space="preserve">U narednoj fazi razmatranja, </w:t>
            </w:r>
            <w:r w:rsidR="00817491">
              <w:rPr>
                <w:rFonts w:ascii="Arial" w:hAnsi="Arial" w:cs="Arial"/>
                <w:sz w:val="22"/>
                <w:lang w:val="sr-Latn-ME"/>
              </w:rPr>
              <w:t xml:space="preserve">Nacrt </w:t>
            </w:r>
            <w:r>
              <w:rPr>
                <w:rFonts w:ascii="Arial" w:hAnsi="Arial" w:cs="Arial"/>
                <w:sz w:val="22"/>
                <w:lang w:val="sr-Latn-ME"/>
              </w:rPr>
              <w:t>zakona će biti dostavljen relevantnim ministarstvima/sektorima na međuresorno usaglašavanje, kao i na javnu raspravu nakon koje će se sagledati svi pristigli komentari zainteresovanih strana.</w:t>
            </w:r>
          </w:p>
          <w:p w14:paraId="6D85DEEC" w14:textId="77777777" w:rsidR="00472CDA" w:rsidRPr="005D6A54" w:rsidRDefault="00472CDA" w:rsidP="00894A07">
            <w:pPr>
              <w:autoSpaceDE w:val="0"/>
              <w:autoSpaceDN w:val="0"/>
              <w:adjustRightInd w:val="0"/>
              <w:rPr>
                <w:rFonts w:ascii="Arial" w:hAnsi="Arial" w:cs="Arial"/>
                <w:b/>
                <w:bCs w:val="0"/>
                <w:sz w:val="22"/>
                <w:lang w:val="sr-Latn-ME"/>
              </w:rPr>
            </w:pPr>
          </w:p>
        </w:tc>
      </w:tr>
      <w:tr w:rsidR="00472CDA" w:rsidRPr="005D6A54" w14:paraId="42376AB0" w14:textId="77777777" w:rsidTr="00894A07">
        <w:tc>
          <w:tcPr>
            <w:tcW w:w="9576" w:type="dxa"/>
            <w:gridSpan w:val="2"/>
            <w:shd w:val="clear" w:color="auto" w:fill="D2EAF1"/>
          </w:tcPr>
          <w:p w14:paraId="1B504571" w14:textId="77777777" w:rsidR="00472CDA" w:rsidRPr="005D6A54" w:rsidRDefault="00472CDA" w:rsidP="00894A07">
            <w:pPr>
              <w:autoSpaceDE w:val="0"/>
              <w:autoSpaceDN w:val="0"/>
              <w:adjustRightInd w:val="0"/>
              <w:rPr>
                <w:rFonts w:ascii="Arial" w:hAnsi="Arial" w:cs="Arial"/>
                <w:b/>
                <w:bCs w:val="0"/>
                <w:sz w:val="22"/>
                <w:lang w:val="sr-Latn-ME"/>
              </w:rPr>
            </w:pPr>
            <w:r w:rsidRPr="005D6A54">
              <w:rPr>
                <w:rFonts w:ascii="Arial" w:hAnsi="Arial" w:cs="Arial"/>
                <w:b/>
                <w:bCs w:val="0"/>
                <w:sz w:val="22"/>
                <w:lang w:val="sr-Latn-ME"/>
              </w:rPr>
              <w:t>7. Monitoring i evaluacija</w:t>
            </w:r>
          </w:p>
          <w:p w14:paraId="7184BFE3" w14:textId="77777777" w:rsidR="00472CDA" w:rsidRPr="005D6A54" w:rsidRDefault="00472CDA" w:rsidP="00472CDA">
            <w:pPr>
              <w:pStyle w:val="ListParagraph"/>
              <w:numPr>
                <w:ilvl w:val="0"/>
                <w:numId w:val="1"/>
              </w:numPr>
              <w:autoSpaceDE w:val="0"/>
              <w:autoSpaceDN w:val="0"/>
              <w:adjustRightInd w:val="0"/>
              <w:contextualSpacing/>
              <w:jc w:val="left"/>
              <w:rPr>
                <w:rFonts w:ascii="Arial" w:hAnsi="Arial" w:cs="Arial"/>
                <w:b/>
                <w:bCs w:val="0"/>
                <w:sz w:val="22"/>
                <w:lang w:val="sr-Latn-ME"/>
              </w:rPr>
            </w:pPr>
            <w:r w:rsidRPr="005D6A54">
              <w:rPr>
                <w:rFonts w:ascii="Arial" w:hAnsi="Arial" w:cs="Arial"/>
                <w:b/>
                <w:bCs w:val="0"/>
                <w:sz w:val="22"/>
                <w:lang w:val="sr-Latn-ME"/>
              </w:rPr>
              <w:t xml:space="preserve">Koje su potencijalne prepreke za implementaciju propisa? </w:t>
            </w:r>
          </w:p>
          <w:p w14:paraId="0CC25E61" w14:textId="77777777" w:rsidR="00472CDA" w:rsidRPr="005D6A54" w:rsidRDefault="00472CDA" w:rsidP="00472CDA">
            <w:pPr>
              <w:pStyle w:val="ListParagraph"/>
              <w:numPr>
                <w:ilvl w:val="0"/>
                <w:numId w:val="1"/>
              </w:numPr>
              <w:autoSpaceDE w:val="0"/>
              <w:autoSpaceDN w:val="0"/>
              <w:adjustRightInd w:val="0"/>
              <w:contextualSpacing/>
              <w:jc w:val="left"/>
              <w:rPr>
                <w:rFonts w:ascii="Arial" w:hAnsi="Arial" w:cs="Arial"/>
                <w:b/>
                <w:bCs w:val="0"/>
                <w:sz w:val="22"/>
                <w:lang w:val="sr-Latn-ME"/>
              </w:rPr>
            </w:pPr>
            <w:r w:rsidRPr="005D6A54">
              <w:rPr>
                <w:rFonts w:ascii="Arial" w:hAnsi="Arial" w:cs="Arial"/>
                <w:b/>
                <w:bCs w:val="0"/>
                <w:sz w:val="22"/>
                <w:lang w:val="sr-Latn-ME"/>
              </w:rPr>
              <w:t>Koje će mjere biti preduzete tokom primjene propisa da bi se ispunili ciljevi?</w:t>
            </w:r>
          </w:p>
          <w:p w14:paraId="17AB6CE8" w14:textId="77777777" w:rsidR="00472CDA" w:rsidRPr="005D6A54" w:rsidRDefault="00472CDA" w:rsidP="00472CDA">
            <w:pPr>
              <w:pStyle w:val="ListParagraph"/>
              <w:numPr>
                <w:ilvl w:val="0"/>
                <w:numId w:val="1"/>
              </w:numPr>
              <w:autoSpaceDE w:val="0"/>
              <w:autoSpaceDN w:val="0"/>
              <w:adjustRightInd w:val="0"/>
              <w:contextualSpacing/>
              <w:jc w:val="left"/>
              <w:rPr>
                <w:rFonts w:ascii="Arial" w:hAnsi="Arial" w:cs="Arial"/>
                <w:b/>
                <w:bCs w:val="0"/>
                <w:sz w:val="22"/>
                <w:lang w:val="sr-Latn-ME"/>
              </w:rPr>
            </w:pPr>
            <w:r w:rsidRPr="005D6A54">
              <w:rPr>
                <w:rFonts w:ascii="Arial" w:hAnsi="Arial" w:cs="Arial"/>
                <w:b/>
                <w:bCs w:val="0"/>
                <w:sz w:val="22"/>
                <w:lang w:val="sr-Latn-ME"/>
              </w:rPr>
              <w:t>Koji su glavni indikatori prema kojima će se mjeriti ispunjenje ciljeva?</w:t>
            </w:r>
          </w:p>
          <w:p w14:paraId="267DC691" w14:textId="77777777" w:rsidR="00472CDA" w:rsidRPr="005D6A54" w:rsidRDefault="00472CDA" w:rsidP="00472CDA">
            <w:pPr>
              <w:pStyle w:val="ListParagraph"/>
              <w:numPr>
                <w:ilvl w:val="0"/>
                <w:numId w:val="1"/>
              </w:numPr>
              <w:autoSpaceDE w:val="0"/>
              <w:autoSpaceDN w:val="0"/>
              <w:adjustRightInd w:val="0"/>
              <w:contextualSpacing/>
              <w:jc w:val="left"/>
              <w:rPr>
                <w:rFonts w:ascii="Arial" w:hAnsi="Arial" w:cs="Arial"/>
                <w:b/>
                <w:bCs w:val="0"/>
                <w:sz w:val="22"/>
                <w:lang w:val="sr-Latn-ME"/>
              </w:rPr>
            </w:pPr>
            <w:r w:rsidRPr="005D6A54">
              <w:rPr>
                <w:rFonts w:ascii="Arial" w:hAnsi="Arial" w:cs="Arial"/>
                <w:b/>
                <w:bCs w:val="0"/>
                <w:sz w:val="22"/>
                <w:lang w:val="sr-Latn-ME"/>
              </w:rPr>
              <w:t>Ko će biti zadužen za sprovođenje monitoringa i evaluacije primjene propisa?</w:t>
            </w:r>
          </w:p>
        </w:tc>
      </w:tr>
      <w:tr w:rsidR="00472CDA" w:rsidRPr="005D6A54" w14:paraId="505B6FF3" w14:textId="77777777" w:rsidTr="00894A07">
        <w:tc>
          <w:tcPr>
            <w:tcW w:w="9576" w:type="dxa"/>
            <w:gridSpan w:val="2"/>
          </w:tcPr>
          <w:p w14:paraId="6304BCC0" w14:textId="77777777" w:rsidR="00472CDA" w:rsidRPr="005D6A54" w:rsidRDefault="00472CDA" w:rsidP="00894A07">
            <w:pPr>
              <w:autoSpaceDE w:val="0"/>
              <w:autoSpaceDN w:val="0"/>
              <w:adjustRightInd w:val="0"/>
              <w:rPr>
                <w:rFonts w:ascii="Arial" w:hAnsi="Arial" w:cs="Arial"/>
                <w:bCs w:val="0"/>
                <w:sz w:val="22"/>
                <w:lang w:val="sr-Latn-ME"/>
              </w:rPr>
            </w:pPr>
          </w:p>
          <w:p w14:paraId="47C9F149" w14:textId="77777777" w:rsidR="00472CDA" w:rsidRPr="005D6A54" w:rsidRDefault="00472CDA" w:rsidP="00894A07">
            <w:pPr>
              <w:autoSpaceDE w:val="0"/>
              <w:autoSpaceDN w:val="0"/>
              <w:adjustRightInd w:val="0"/>
              <w:rPr>
                <w:rFonts w:ascii="Arial" w:hAnsi="Arial" w:cs="Arial"/>
                <w:bCs w:val="0"/>
                <w:sz w:val="22"/>
                <w:lang w:val="sr-Latn-ME"/>
              </w:rPr>
            </w:pPr>
            <w:r>
              <w:rPr>
                <w:rFonts w:ascii="Arial" w:hAnsi="Arial" w:cs="Arial"/>
                <w:bCs w:val="0"/>
                <w:sz w:val="22"/>
                <w:lang w:val="sr-Latn-ME"/>
              </w:rPr>
              <w:t>P</w:t>
            </w:r>
            <w:r w:rsidRPr="005D6A54">
              <w:rPr>
                <w:rFonts w:ascii="Arial" w:hAnsi="Arial" w:cs="Arial"/>
                <w:bCs w:val="0"/>
                <w:sz w:val="22"/>
                <w:lang w:val="sr-Latn-ME"/>
              </w:rPr>
              <w:t>otencijalne prepreke za implementaciju ovog zakona</w:t>
            </w:r>
            <w:r>
              <w:rPr>
                <w:rFonts w:ascii="Arial" w:hAnsi="Arial" w:cs="Arial"/>
                <w:bCs w:val="0"/>
                <w:sz w:val="22"/>
                <w:lang w:val="sr-Latn-ME"/>
              </w:rPr>
              <w:t xml:space="preserve"> ne postoje</w:t>
            </w:r>
            <w:r w:rsidRPr="005D6A54">
              <w:rPr>
                <w:rFonts w:ascii="Arial" w:hAnsi="Arial" w:cs="Arial"/>
                <w:bCs w:val="0"/>
                <w:sz w:val="22"/>
                <w:lang w:val="sr-Latn-ME"/>
              </w:rPr>
              <w:t xml:space="preserve">. </w:t>
            </w:r>
          </w:p>
          <w:p w14:paraId="293A47B3" w14:textId="77777777" w:rsidR="00472CDA" w:rsidRPr="005D6A54" w:rsidRDefault="00472CDA" w:rsidP="00894A07">
            <w:pPr>
              <w:autoSpaceDE w:val="0"/>
              <w:autoSpaceDN w:val="0"/>
              <w:adjustRightInd w:val="0"/>
              <w:rPr>
                <w:rFonts w:ascii="Arial" w:hAnsi="Arial" w:cs="Arial"/>
                <w:bCs w:val="0"/>
                <w:sz w:val="22"/>
                <w:lang w:val="sr-Latn-ME"/>
              </w:rPr>
            </w:pPr>
          </w:p>
          <w:p w14:paraId="3BDD7120" w14:textId="31C07209" w:rsidR="00472CDA" w:rsidRDefault="00472CDA" w:rsidP="00894A07">
            <w:pPr>
              <w:autoSpaceDE w:val="0"/>
              <w:autoSpaceDN w:val="0"/>
              <w:adjustRightInd w:val="0"/>
              <w:rPr>
                <w:rFonts w:ascii="Arial" w:hAnsi="Arial" w:cs="Arial"/>
                <w:bCs w:val="0"/>
                <w:sz w:val="22"/>
                <w:lang w:val="sr-Latn-ME"/>
              </w:rPr>
            </w:pPr>
            <w:r>
              <w:rPr>
                <w:rFonts w:ascii="Arial" w:hAnsi="Arial" w:cs="Arial"/>
                <w:bCs w:val="0"/>
                <w:sz w:val="22"/>
                <w:lang w:val="sr-Latn-ME"/>
              </w:rPr>
              <w:t>Glavne</w:t>
            </w:r>
            <w:r w:rsidRPr="005D6A54">
              <w:rPr>
                <w:rFonts w:ascii="Arial" w:hAnsi="Arial" w:cs="Arial"/>
                <w:bCs w:val="0"/>
                <w:sz w:val="22"/>
                <w:lang w:val="sr-Latn-ME"/>
              </w:rPr>
              <w:t xml:space="preserve"> indikator</w:t>
            </w:r>
            <w:r>
              <w:rPr>
                <w:rFonts w:ascii="Arial" w:hAnsi="Arial" w:cs="Arial"/>
                <w:bCs w:val="0"/>
                <w:sz w:val="22"/>
                <w:lang w:val="sr-Latn-ME"/>
              </w:rPr>
              <w:t>e</w:t>
            </w:r>
            <w:r w:rsidRPr="005D6A54">
              <w:rPr>
                <w:rFonts w:ascii="Arial" w:hAnsi="Arial" w:cs="Arial"/>
                <w:bCs w:val="0"/>
                <w:sz w:val="22"/>
                <w:lang w:val="sr-Latn-ME"/>
              </w:rPr>
              <w:t xml:space="preserve"> za mjerenje ispunjenja ciljeva predloženog zakona</w:t>
            </w:r>
            <w:r>
              <w:rPr>
                <w:rFonts w:ascii="Arial" w:hAnsi="Arial" w:cs="Arial"/>
                <w:bCs w:val="0"/>
                <w:sz w:val="22"/>
                <w:lang w:val="sr-Latn-ME"/>
              </w:rPr>
              <w:t xml:space="preserve"> predstavljaće</w:t>
            </w:r>
            <w:r w:rsidRPr="005D6A54">
              <w:rPr>
                <w:rFonts w:ascii="Arial" w:hAnsi="Arial" w:cs="Arial"/>
                <w:bCs w:val="0"/>
                <w:sz w:val="22"/>
                <w:lang w:val="sr-Latn-ME"/>
              </w:rPr>
              <w:t xml:space="preserve"> usklađivanje</w:t>
            </w:r>
            <w:r>
              <w:rPr>
                <w:rFonts w:ascii="Arial" w:hAnsi="Arial" w:cs="Arial"/>
                <w:bCs w:val="0"/>
                <w:sz w:val="22"/>
                <w:lang w:val="sr-Latn-ME"/>
              </w:rPr>
              <w:t xml:space="preserve"> kreditnih institucija</w:t>
            </w:r>
            <w:r w:rsidRPr="005D6A54">
              <w:rPr>
                <w:rFonts w:ascii="Arial" w:hAnsi="Arial" w:cs="Arial"/>
                <w:bCs w:val="0"/>
                <w:sz w:val="22"/>
                <w:lang w:val="sr-Latn-ME"/>
              </w:rPr>
              <w:t xml:space="preserve"> sa zahtjevima utvrđenim navedenim </w:t>
            </w:r>
            <w:r w:rsidR="00817491">
              <w:rPr>
                <w:rFonts w:ascii="Arial" w:hAnsi="Arial" w:cs="Arial"/>
                <w:bCs w:val="0"/>
                <w:sz w:val="22"/>
                <w:lang w:val="sr-Latn-ME"/>
              </w:rPr>
              <w:t>Nacrtom</w:t>
            </w:r>
            <w:r w:rsidRPr="005D6A54">
              <w:rPr>
                <w:rFonts w:ascii="Arial" w:hAnsi="Arial" w:cs="Arial"/>
                <w:bCs w:val="0"/>
                <w:sz w:val="22"/>
                <w:lang w:val="sr-Latn-ME"/>
              </w:rPr>
              <w:t xml:space="preserve"> zakona</w:t>
            </w:r>
            <w:r w:rsidR="00A74D25">
              <w:rPr>
                <w:rFonts w:ascii="Arial" w:hAnsi="Arial" w:cs="Arial"/>
                <w:bCs w:val="0"/>
                <w:sz w:val="22"/>
                <w:lang w:val="sr-Latn-ME"/>
              </w:rPr>
              <w:t xml:space="preserve"> kao i nalazi supervizija sprovedenih nad kreditnim institucijama</w:t>
            </w:r>
            <w:r>
              <w:rPr>
                <w:rFonts w:ascii="Arial" w:hAnsi="Arial" w:cs="Arial"/>
                <w:bCs w:val="0"/>
                <w:sz w:val="22"/>
                <w:lang w:val="sr-Latn-ME"/>
              </w:rPr>
              <w:t>.</w:t>
            </w:r>
          </w:p>
          <w:p w14:paraId="3EE393BE" w14:textId="77777777" w:rsidR="00593B00" w:rsidRPr="005D6A54" w:rsidRDefault="00593B00" w:rsidP="00894A07">
            <w:pPr>
              <w:autoSpaceDE w:val="0"/>
              <w:autoSpaceDN w:val="0"/>
              <w:adjustRightInd w:val="0"/>
              <w:rPr>
                <w:rFonts w:ascii="Arial" w:hAnsi="Arial" w:cs="Arial"/>
                <w:bCs w:val="0"/>
                <w:color w:val="FF0000"/>
                <w:sz w:val="22"/>
                <w:lang w:val="sr-Latn-ME"/>
              </w:rPr>
            </w:pPr>
          </w:p>
          <w:p w14:paraId="58175605" w14:textId="2FD54331" w:rsidR="00472CDA" w:rsidRPr="005D6A54" w:rsidRDefault="00472CDA" w:rsidP="00817491">
            <w:pPr>
              <w:pStyle w:val="Normal1"/>
              <w:shd w:val="clear" w:color="auto" w:fill="FFFFFF"/>
              <w:spacing w:before="0" w:beforeAutospacing="0" w:after="150" w:afterAutospacing="0"/>
              <w:jc w:val="both"/>
              <w:rPr>
                <w:rFonts w:ascii="Arial" w:hAnsi="Arial" w:cs="Arial"/>
                <w:color w:val="666666"/>
                <w:sz w:val="21"/>
                <w:szCs w:val="21"/>
                <w:lang w:val="sr-Latn-ME"/>
              </w:rPr>
            </w:pPr>
            <w:r w:rsidRPr="005D6A54">
              <w:rPr>
                <w:rFonts w:ascii="Arial" w:hAnsi="Arial" w:cs="Arial"/>
                <w:bCs/>
                <w:sz w:val="22"/>
                <w:szCs w:val="22"/>
                <w:lang w:val="sr-Latn-ME"/>
              </w:rPr>
              <w:t xml:space="preserve">Za sprovođenje monitoringa primjene ovog zakona biće zadužena Centralna banka Crne Gore kao Ustavom određena </w:t>
            </w:r>
            <w:r w:rsidRPr="005D6A54">
              <w:rPr>
                <w:rFonts w:ascii="Arial" w:hAnsi="Arial" w:cs="Arial"/>
                <w:sz w:val="22"/>
                <w:szCs w:val="22"/>
                <w:lang w:val="sr-Latn-ME"/>
              </w:rPr>
              <w:t> samostalna organizacija, odgovorna za monetarnu i finansijsku stabilnost i funkcionisanje bankarskog sistema koja u skladu sa svojim zakonom utvrđenim funkcijama uređuje poslovanje kreditnih institucija, izdaje dozvole i odobrenja za rad kreditnih institucija i vrši kontrolu kreditnih institucija, u skladu sa zakonom.</w:t>
            </w:r>
            <w:r w:rsidRPr="005D6A54">
              <w:rPr>
                <w:rFonts w:ascii="Arial" w:hAnsi="Arial" w:cs="Arial"/>
                <w:color w:val="666666"/>
                <w:sz w:val="21"/>
                <w:szCs w:val="21"/>
                <w:lang w:val="sr-Latn-ME"/>
              </w:rPr>
              <w:t xml:space="preserve"> </w:t>
            </w:r>
          </w:p>
          <w:p w14:paraId="124BD0B1" w14:textId="77777777" w:rsidR="00472CDA" w:rsidRPr="005D6A54" w:rsidRDefault="00472CDA" w:rsidP="00894A07">
            <w:pPr>
              <w:autoSpaceDE w:val="0"/>
              <w:autoSpaceDN w:val="0"/>
              <w:adjustRightInd w:val="0"/>
              <w:rPr>
                <w:rFonts w:ascii="Arial" w:hAnsi="Arial" w:cs="Arial"/>
                <w:bCs w:val="0"/>
                <w:sz w:val="22"/>
                <w:lang w:val="sr-Latn-ME"/>
              </w:rPr>
            </w:pPr>
          </w:p>
          <w:p w14:paraId="0191C5BC" w14:textId="77777777" w:rsidR="00472CDA" w:rsidRPr="005D6A54" w:rsidRDefault="00472CDA" w:rsidP="00894A07">
            <w:pPr>
              <w:autoSpaceDE w:val="0"/>
              <w:autoSpaceDN w:val="0"/>
              <w:adjustRightInd w:val="0"/>
              <w:rPr>
                <w:rFonts w:ascii="Arial" w:hAnsi="Arial" w:cs="Arial"/>
                <w:bCs w:val="0"/>
                <w:sz w:val="22"/>
                <w:lang w:val="sr-Latn-ME"/>
              </w:rPr>
            </w:pPr>
          </w:p>
        </w:tc>
      </w:tr>
    </w:tbl>
    <w:p w14:paraId="5EE28F06" w14:textId="77777777" w:rsidR="00472CDA" w:rsidRPr="005D6A54" w:rsidRDefault="00472CDA" w:rsidP="00472CDA">
      <w:pPr>
        <w:autoSpaceDE w:val="0"/>
        <w:autoSpaceDN w:val="0"/>
        <w:adjustRightInd w:val="0"/>
        <w:rPr>
          <w:rFonts w:ascii="Arial" w:hAnsi="Arial" w:cs="Arial"/>
          <w:b/>
          <w:bCs w:val="0"/>
          <w:sz w:val="22"/>
          <w:lang w:val="sr-Latn-ME"/>
        </w:rPr>
      </w:pPr>
    </w:p>
    <w:p w14:paraId="3495C501" w14:textId="77777777" w:rsidR="00472CDA" w:rsidRPr="005D6A54" w:rsidRDefault="00472CDA" w:rsidP="00472CDA">
      <w:pPr>
        <w:autoSpaceDE w:val="0"/>
        <w:autoSpaceDN w:val="0"/>
        <w:adjustRightInd w:val="0"/>
        <w:rPr>
          <w:rFonts w:ascii="Arial" w:hAnsi="Arial" w:cs="Arial"/>
          <w:b/>
          <w:bCs w:val="0"/>
          <w:sz w:val="22"/>
          <w:lang w:val="sr-Latn-ME"/>
        </w:rPr>
      </w:pPr>
    </w:p>
    <w:p w14:paraId="70B37973" w14:textId="77777777" w:rsidR="00472CDA" w:rsidRPr="005D6A54" w:rsidRDefault="00472CDA" w:rsidP="00472CDA">
      <w:pPr>
        <w:rPr>
          <w:rFonts w:ascii="Arial" w:hAnsi="Arial" w:cs="Arial"/>
          <w:b/>
          <w:sz w:val="22"/>
          <w:lang w:val="sr-Latn-ME"/>
        </w:rPr>
      </w:pPr>
      <w:r w:rsidRPr="005D6A54">
        <w:rPr>
          <w:rFonts w:ascii="Arial" w:hAnsi="Arial" w:cs="Arial"/>
          <w:b/>
          <w:sz w:val="22"/>
          <w:lang w:val="sr-Latn-ME"/>
        </w:rPr>
        <w:t xml:space="preserve">    Datum i mjesto</w:t>
      </w:r>
      <w:r w:rsidRPr="005D6A54">
        <w:rPr>
          <w:rFonts w:ascii="Arial" w:hAnsi="Arial" w:cs="Arial"/>
          <w:b/>
          <w:sz w:val="22"/>
          <w:lang w:val="sr-Latn-ME"/>
        </w:rPr>
        <w:tab/>
      </w:r>
      <w:r w:rsidRPr="005D6A54">
        <w:rPr>
          <w:rFonts w:ascii="Arial" w:hAnsi="Arial" w:cs="Arial"/>
          <w:b/>
          <w:sz w:val="22"/>
          <w:lang w:val="sr-Latn-ME"/>
        </w:rPr>
        <w:tab/>
      </w:r>
      <w:r w:rsidRPr="005D6A54">
        <w:rPr>
          <w:rFonts w:ascii="Arial" w:hAnsi="Arial" w:cs="Arial"/>
          <w:b/>
          <w:sz w:val="22"/>
          <w:lang w:val="sr-Latn-ME"/>
        </w:rPr>
        <w:tab/>
      </w:r>
      <w:r w:rsidRPr="005D6A54">
        <w:rPr>
          <w:rFonts w:ascii="Arial" w:hAnsi="Arial" w:cs="Arial"/>
          <w:b/>
          <w:sz w:val="22"/>
          <w:lang w:val="sr-Latn-ME"/>
        </w:rPr>
        <w:tab/>
      </w:r>
      <w:r w:rsidRPr="005D6A54">
        <w:rPr>
          <w:rFonts w:ascii="Arial" w:hAnsi="Arial" w:cs="Arial"/>
          <w:b/>
          <w:sz w:val="22"/>
          <w:lang w:val="sr-Latn-ME"/>
        </w:rPr>
        <w:tab/>
      </w:r>
      <w:r w:rsidRPr="005D6A54">
        <w:rPr>
          <w:rFonts w:ascii="Arial" w:hAnsi="Arial" w:cs="Arial"/>
          <w:b/>
          <w:sz w:val="22"/>
          <w:lang w:val="sr-Latn-ME"/>
        </w:rPr>
        <w:tab/>
        <w:t xml:space="preserve">              Starješina </w:t>
      </w:r>
    </w:p>
    <w:p w14:paraId="3047128F" w14:textId="77777777" w:rsidR="00472CDA" w:rsidRPr="005D6A54" w:rsidRDefault="00472CDA" w:rsidP="00472CDA">
      <w:pPr>
        <w:rPr>
          <w:rFonts w:ascii="Arial" w:hAnsi="Arial" w:cs="Arial"/>
          <w:sz w:val="22"/>
          <w:lang w:val="sr-Latn-ME"/>
        </w:rPr>
      </w:pPr>
    </w:p>
    <w:p w14:paraId="319FD370" w14:textId="69A232E9" w:rsidR="00472CDA" w:rsidRPr="005D6A54" w:rsidRDefault="00472CDA" w:rsidP="00472CDA">
      <w:pPr>
        <w:rPr>
          <w:rFonts w:ascii="Arial" w:hAnsi="Arial" w:cs="Arial"/>
          <w:sz w:val="22"/>
          <w:lang w:val="sr-Latn-ME"/>
        </w:rPr>
      </w:pPr>
      <w:r w:rsidRPr="005D6A54">
        <w:rPr>
          <w:rFonts w:ascii="Arial" w:hAnsi="Arial" w:cs="Arial"/>
          <w:sz w:val="22"/>
          <w:lang w:val="sr-Latn-ME"/>
        </w:rPr>
        <w:t>___</w:t>
      </w:r>
      <w:bookmarkStart w:id="1" w:name="_GoBack"/>
      <w:r w:rsidR="00EC3F95" w:rsidRPr="00EC3F95">
        <w:rPr>
          <w:rFonts w:ascii="Arial" w:hAnsi="Arial" w:cs="Arial"/>
          <w:sz w:val="22"/>
          <w:u w:val="single"/>
          <w:lang w:val="sr-Latn-ME"/>
        </w:rPr>
        <w:t>14.10.2025</w:t>
      </w:r>
      <w:bookmarkEnd w:id="1"/>
      <w:r w:rsidRPr="005D6A54">
        <w:rPr>
          <w:rFonts w:ascii="Arial" w:hAnsi="Arial" w:cs="Arial"/>
          <w:sz w:val="22"/>
          <w:lang w:val="sr-Latn-ME"/>
        </w:rPr>
        <w:t>________</w:t>
      </w:r>
      <w:r w:rsidRPr="005D6A54">
        <w:rPr>
          <w:rFonts w:ascii="Arial" w:hAnsi="Arial" w:cs="Arial"/>
          <w:sz w:val="22"/>
          <w:lang w:val="sr-Latn-ME"/>
        </w:rPr>
        <w:tab/>
      </w:r>
      <w:r w:rsidRPr="005D6A54">
        <w:rPr>
          <w:rFonts w:ascii="Arial" w:hAnsi="Arial" w:cs="Arial"/>
          <w:sz w:val="22"/>
          <w:lang w:val="sr-Latn-ME"/>
        </w:rPr>
        <w:tab/>
      </w:r>
      <w:r w:rsidRPr="005D6A54">
        <w:rPr>
          <w:rFonts w:ascii="Arial" w:hAnsi="Arial" w:cs="Arial"/>
          <w:sz w:val="22"/>
          <w:lang w:val="sr-Latn-ME"/>
        </w:rPr>
        <w:tab/>
      </w:r>
      <w:r w:rsidRPr="005D6A54">
        <w:rPr>
          <w:rFonts w:ascii="Arial" w:hAnsi="Arial" w:cs="Arial"/>
          <w:sz w:val="22"/>
          <w:lang w:val="sr-Latn-ME"/>
        </w:rPr>
        <w:tab/>
      </w:r>
      <w:r w:rsidRPr="005D6A54">
        <w:rPr>
          <w:rFonts w:ascii="Arial" w:hAnsi="Arial" w:cs="Arial"/>
          <w:sz w:val="22"/>
          <w:lang w:val="sr-Latn-ME"/>
        </w:rPr>
        <w:tab/>
        <w:t>__________________________</w:t>
      </w:r>
    </w:p>
    <w:p w14:paraId="12660DC5" w14:textId="77777777" w:rsidR="00A718E3" w:rsidRDefault="00A718E3"/>
    <w:sectPr w:rsidR="00A718E3" w:rsidSect="00D372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97AF9" w14:textId="77777777" w:rsidR="00617A73" w:rsidRDefault="00617A73" w:rsidP="00472CDA">
      <w:r>
        <w:separator/>
      </w:r>
    </w:p>
  </w:endnote>
  <w:endnote w:type="continuationSeparator" w:id="0">
    <w:p w14:paraId="191B9FA9" w14:textId="77777777" w:rsidR="00617A73" w:rsidRDefault="00617A73" w:rsidP="0047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14A49" w14:textId="77777777" w:rsidR="00DC6289" w:rsidRDefault="00617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F3EB" w14:textId="77777777" w:rsidR="00D372A1" w:rsidRDefault="00561972">
    <w:pPr>
      <w:pStyle w:val="Footer"/>
      <w:jc w:val="right"/>
    </w:pPr>
    <w:r>
      <w:fldChar w:fldCharType="begin"/>
    </w:r>
    <w:r>
      <w:instrText xml:space="preserve"> PAGE   \* MERGEFORMAT </w:instrText>
    </w:r>
    <w:r>
      <w:fldChar w:fldCharType="separate"/>
    </w:r>
    <w:r>
      <w:rPr>
        <w:noProof/>
      </w:rPr>
      <w:t>2</w:t>
    </w:r>
    <w:r>
      <w:rPr>
        <w:noProof/>
      </w:rPr>
      <w:fldChar w:fldCharType="end"/>
    </w:r>
  </w:p>
  <w:p w14:paraId="27434F5F" w14:textId="77777777" w:rsidR="00D372A1" w:rsidRDefault="00617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C764" w14:textId="77777777" w:rsidR="00DC6289" w:rsidRDefault="00617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30176" w14:textId="77777777" w:rsidR="00617A73" w:rsidRDefault="00617A73" w:rsidP="00472CDA">
      <w:r>
        <w:separator/>
      </w:r>
    </w:p>
  </w:footnote>
  <w:footnote w:type="continuationSeparator" w:id="0">
    <w:p w14:paraId="368FE87D" w14:textId="77777777" w:rsidR="00617A73" w:rsidRDefault="00617A73" w:rsidP="00472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29548" w14:textId="77777777" w:rsidR="00DC6289" w:rsidRDefault="00617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46D8" w14:textId="3CE30C05" w:rsidR="003A74FA" w:rsidRDefault="00472CDA">
    <w:pPr>
      <w:pStyle w:val="Header"/>
    </w:pPr>
    <w:r>
      <w:rPr>
        <w:noProof/>
        <w:lang w:val="en-US" w:eastAsia="en-US"/>
      </w:rPr>
      <mc:AlternateContent>
        <mc:Choice Requires="wps">
          <w:drawing>
            <wp:anchor distT="0" distB="0" distL="114300" distR="114300" simplePos="0" relativeHeight="251659264" behindDoc="0" locked="1" layoutInCell="0" allowOverlap="1" wp14:anchorId="5B7F4135" wp14:editId="218D181E">
              <wp:simplePos x="0" y="0"/>
              <wp:positionH relativeFrom="margin">
                <wp:align>right</wp:align>
              </wp:positionH>
              <wp:positionV relativeFrom="page">
                <wp:posOffset>228600</wp:posOffset>
              </wp:positionV>
              <wp:extent cx="755015" cy="23749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F0901" w14:textId="77777777" w:rsidR="003A74FA" w:rsidRPr="00CF5D49" w:rsidRDefault="00561972" w:rsidP="00CF5D49">
                          <w:pPr>
                            <w:jc w:val="center"/>
                            <w:rPr>
                              <w:rFonts w:ascii="Arial" w:hAnsi="Arial" w:cs="Arial"/>
                              <w:b/>
                              <w:color w:val="000000"/>
                              <w:sz w:val="20"/>
                            </w:rPr>
                          </w:pPr>
                          <w:r>
                            <w:rPr>
                              <w:rFonts w:ascii="Arial" w:hAnsi="Arial" w:cs="Arial"/>
                              <w:b/>
                              <w:color w:val="000000"/>
                              <w:sz w:val="20"/>
                            </w:rPr>
                            <w:fldChar w:fldCharType="begin"/>
                          </w:r>
                          <w:r>
                            <w:rPr>
                              <w:rFonts w:ascii="Arial" w:hAnsi="Arial" w:cs="Arial"/>
                              <w:b/>
                              <w:color w:val="000000"/>
                              <w:sz w:val="20"/>
                            </w:rPr>
                            <w:instrText xml:space="preserve"> DOCPROPERTY PM_ProtectiveMarkingValue_Header \* MERGEFORMAT </w:instrText>
                          </w:r>
                          <w:r>
                            <w:rPr>
                              <w:rFonts w:ascii="Arial" w:hAnsi="Arial" w:cs="Arial"/>
                              <w:b/>
                              <w:color w:val="000000"/>
                              <w:sz w:val="20"/>
                            </w:rPr>
                            <w:fldChar w:fldCharType="separate"/>
                          </w:r>
                          <w:r>
                            <w:rPr>
                              <w:rFonts w:ascii="Arial" w:hAnsi="Arial" w:cs="Arial"/>
                              <w:b/>
                              <w:color w:val="000000"/>
                              <w:sz w:val="20"/>
                            </w:rPr>
                            <w:t>INTERNO</w:t>
                          </w:r>
                          <w:r>
                            <w:rPr>
                              <w:rFonts w:ascii="Arial" w:hAnsi="Arial" w:cs="Arial"/>
                              <w:b/>
                              <w:color w:val="000000"/>
                              <w:sz w:val="20"/>
                            </w:rP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7F4135" id="_x0000_t202" coordsize="21600,21600" o:spt="202" path="m,l,21600r21600,l21600,xe">
              <v:stroke joinstyle="miter"/>
              <v:path gradientshapeok="t" o:connecttype="rect"/>
            </v:shapetype>
            <v:shape id="Text Box 2" o:spid="_x0000_s1026" type="#_x0000_t202" style="position:absolute;left:0;text-align:left;margin-left:8.25pt;margin-top:18pt;width:59.45pt;height:18.7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" o:allowincell="f" stroked="f">
              <v:textbox style="mso-fit-shape-to-text:t">
                <w:txbxContent>
                  <w:p w14:paraId="543F0901" w14:textId="77777777" w:rsidR="003A74FA" w:rsidRPr="00CF5D49" w:rsidRDefault="00561972" w:rsidP="00CF5D49">
                    <w:pPr>
                      <w:jc w:val="center"/>
                      <w:rPr>
                        <w:rFonts w:ascii="Arial" w:hAnsi="Arial" w:cs="Arial"/>
                        <w:b/>
                        <w:color w:val="000000"/>
                        <w:sz w:val="20"/>
                      </w:rPr>
                    </w:pPr>
                    <w:r>
                      <w:rPr>
                        <w:rFonts w:ascii="Arial" w:hAnsi="Arial" w:cs="Arial"/>
                        <w:b/>
                        <w:color w:val="000000"/>
                        <w:sz w:val="20"/>
                      </w:rPr>
                      <w:fldChar w:fldCharType="begin"/>
                    </w:r>
                    <w:r>
                      <w:rPr>
                        <w:rFonts w:ascii="Arial" w:hAnsi="Arial" w:cs="Arial"/>
                        <w:b/>
                        <w:color w:val="000000"/>
                        <w:sz w:val="20"/>
                      </w:rPr>
                      <w:instrText xml:space="preserve"> DOCPROPERTY PM_ProtectiveMarkingValue_Header \* MERGEFORMAT </w:instrText>
                    </w:r>
                    <w:r>
                      <w:rPr>
                        <w:rFonts w:ascii="Arial" w:hAnsi="Arial" w:cs="Arial"/>
                        <w:b/>
                        <w:color w:val="000000"/>
                        <w:sz w:val="20"/>
                      </w:rPr>
                      <w:fldChar w:fldCharType="separate"/>
                    </w:r>
                    <w:r>
                      <w:rPr>
                        <w:rFonts w:ascii="Arial" w:hAnsi="Arial" w:cs="Arial"/>
                        <w:b/>
                        <w:color w:val="000000"/>
                        <w:sz w:val="20"/>
                      </w:rPr>
                      <w:t>INTERNO</w:t>
                    </w:r>
                    <w:r>
                      <w:rPr>
                        <w:rFonts w:ascii="Arial" w:hAnsi="Arial" w:cs="Arial"/>
                        <w:b/>
                        <w:color w:val="000000"/>
                        <w:sz w:val="20"/>
                      </w:rPr>
                      <w:fldChar w:fldCharType="end"/>
                    </w:r>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DE2C" w14:textId="301832D4" w:rsidR="003A74FA" w:rsidRDefault="00472CDA">
    <w:pPr>
      <w:pStyle w:val="Header"/>
    </w:pPr>
    <w:r>
      <w:rPr>
        <w:noProof/>
        <w:lang w:val="en-US" w:eastAsia="en-US"/>
      </w:rPr>
      <mc:AlternateContent>
        <mc:Choice Requires="wps">
          <w:drawing>
            <wp:anchor distT="0" distB="0" distL="114300" distR="114300" simplePos="0" relativeHeight="251660288" behindDoc="0" locked="1" layoutInCell="0" allowOverlap="1" wp14:anchorId="3BF58012" wp14:editId="5FD9582A">
              <wp:simplePos x="0" y="0"/>
              <wp:positionH relativeFrom="margin">
                <wp:align>right</wp:align>
              </wp:positionH>
              <wp:positionV relativeFrom="page">
                <wp:posOffset>228600</wp:posOffset>
              </wp:positionV>
              <wp:extent cx="755015" cy="237490"/>
              <wp:effectExtent l="0" t="0" r="6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744F4" w14:textId="77777777" w:rsidR="003A74FA" w:rsidRPr="00CF5D49" w:rsidRDefault="00561972" w:rsidP="00CF5D49">
                          <w:pPr>
                            <w:jc w:val="center"/>
                            <w:rPr>
                              <w:rFonts w:ascii="Arial" w:hAnsi="Arial" w:cs="Arial"/>
                              <w:b/>
                              <w:color w:val="000000"/>
                              <w:sz w:val="20"/>
                            </w:rPr>
                          </w:pPr>
                          <w:r>
                            <w:rPr>
                              <w:rFonts w:ascii="Arial" w:hAnsi="Arial" w:cs="Arial"/>
                              <w:b/>
                              <w:color w:val="000000"/>
                              <w:sz w:val="20"/>
                            </w:rPr>
                            <w:fldChar w:fldCharType="begin"/>
                          </w:r>
                          <w:r>
                            <w:rPr>
                              <w:rFonts w:ascii="Arial" w:hAnsi="Arial" w:cs="Arial"/>
                              <w:b/>
                              <w:color w:val="000000"/>
                              <w:sz w:val="20"/>
                            </w:rPr>
                            <w:instrText xml:space="preserve"> DOCPROPERTY PM_ProtectiveMarkingValue_Header \* MERGEFORMAT </w:instrText>
                          </w:r>
                          <w:r>
                            <w:rPr>
                              <w:rFonts w:ascii="Arial" w:hAnsi="Arial" w:cs="Arial"/>
                              <w:b/>
                              <w:color w:val="000000"/>
                              <w:sz w:val="20"/>
                            </w:rPr>
                            <w:fldChar w:fldCharType="separate"/>
                          </w:r>
                          <w:r>
                            <w:rPr>
                              <w:rFonts w:ascii="Arial" w:hAnsi="Arial" w:cs="Arial"/>
                              <w:b/>
                              <w:color w:val="000000"/>
                              <w:sz w:val="20"/>
                            </w:rPr>
                            <w:t>INTERNO</w:t>
                          </w:r>
                          <w:r>
                            <w:rPr>
                              <w:rFonts w:ascii="Arial" w:hAnsi="Arial" w:cs="Arial"/>
                              <w:b/>
                              <w:color w:val="000000"/>
                              <w:sz w:val="20"/>
                            </w:rP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F58012" id="_x0000_t202" coordsize="21600,21600" o:spt="202" path="m,l,21600r21600,l21600,xe">
              <v:stroke joinstyle="miter"/>
              <v:path gradientshapeok="t" o:connecttype="rect"/>
            </v:shapetype>
            <v:shape id="Text Box 1" o:spid="_x0000_s1027" type="#_x0000_t202" style="position:absolute;left:0;text-align:left;margin-left:8.25pt;margin-top:18pt;width:59.45pt;height:18.7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" o:allowincell="f" stroked="f">
              <v:textbox style="mso-fit-shape-to-text:t">
                <w:txbxContent>
                  <w:p w14:paraId="467744F4" w14:textId="77777777" w:rsidR="003A74FA" w:rsidRPr="00CF5D49" w:rsidRDefault="00561972" w:rsidP="00CF5D49">
                    <w:pPr>
                      <w:jc w:val="center"/>
                      <w:rPr>
                        <w:rFonts w:ascii="Arial" w:hAnsi="Arial" w:cs="Arial"/>
                        <w:b/>
                        <w:color w:val="000000"/>
                        <w:sz w:val="20"/>
                      </w:rPr>
                    </w:pPr>
                    <w:r>
                      <w:rPr>
                        <w:rFonts w:ascii="Arial" w:hAnsi="Arial" w:cs="Arial"/>
                        <w:b/>
                        <w:color w:val="000000"/>
                        <w:sz w:val="20"/>
                      </w:rPr>
                      <w:fldChar w:fldCharType="begin"/>
                    </w:r>
                    <w:r>
                      <w:rPr>
                        <w:rFonts w:ascii="Arial" w:hAnsi="Arial" w:cs="Arial"/>
                        <w:b/>
                        <w:color w:val="000000"/>
                        <w:sz w:val="20"/>
                      </w:rPr>
                      <w:instrText xml:space="preserve"> DOCPROPERTY PM_ProtectiveMarkingValue_Header \* MERGEFORMAT </w:instrText>
                    </w:r>
                    <w:r>
                      <w:rPr>
                        <w:rFonts w:ascii="Arial" w:hAnsi="Arial" w:cs="Arial"/>
                        <w:b/>
                        <w:color w:val="000000"/>
                        <w:sz w:val="20"/>
                      </w:rPr>
                      <w:fldChar w:fldCharType="separate"/>
                    </w:r>
                    <w:r>
                      <w:rPr>
                        <w:rFonts w:ascii="Arial" w:hAnsi="Arial" w:cs="Arial"/>
                        <w:b/>
                        <w:color w:val="000000"/>
                        <w:sz w:val="20"/>
                      </w:rPr>
                      <w:t>INTERNO</w:t>
                    </w:r>
                    <w:r>
                      <w:rPr>
                        <w:rFonts w:ascii="Arial" w:hAnsi="Arial" w:cs="Arial"/>
                        <w:b/>
                        <w:color w:val="000000"/>
                        <w:sz w:val="20"/>
                      </w:rPr>
                      <w:fldChar w:fldCharType="end"/>
                    </w: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F264A"/>
    <w:multiLevelType w:val="hybridMultilevel"/>
    <w:tmpl w:val="33B8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991EE8"/>
    <w:multiLevelType w:val="hybridMultilevel"/>
    <w:tmpl w:val="9DA8B118"/>
    <w:lvl w:ilvl="0" w:tplc="54546BEC">
      <w:numFmt w:val="bullet"/>
      <w:lvlText w:val="-"/>
      <w:lvlJc w:val="left"/>
      <w:pPr>
        <w:ind w:left="630" w:hanging="360"/>
      </w:pPr>
      <w:rPr>
        <w:rFonts w:ascii="Arial" w:eastAsia="Times New Roman" w:hAnsi="Arial" w:hint="default"/>
        <w:b w:val="0"/>
        <w:bCs/>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F5"/>
    <w:rsid w:val="002A3BF5"/>
    <w:rsid w:val="002C54BC"/>
    <w:rsid w:val="00380A0A"/>
    <w:rsid w:val="003865C9"/>
    <w:rsid w:val="00472CDA"/>
    <w:rsid w:val="00561972"/>
    <w:rsid w:val="005743FA"/>
    <w:rsid w:val="00593B00"/>
    <w:rsid w:val="00617A73"/>
    <w:rsid w:val="006B498D"/>
    <w:rsid w:val="00817491"/>
    <w:rsid w:val="00A718E3"/>
    <w:rsid w:val="00A74D25"/>
    <w:rsid w:val="00B41FF6"/>
    <w:rsid w:val="00BC3408"/>
    <w:rsid w:val="00BD5119"/>
    <w:rsid w:val="00EB6B8A"/>
    <w:rsid w:val="00EC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4565"/>
  <w15:chartTrackingRefBased/>
  <w15:docId w15:val="{E269A436-307C-4D36-92FB-C4CF8A00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472CDA"/>
    <w:pPr>
      <w:spacing w:after="0" w:line="240" w:lineRule="auto"/>
      <w:jc w:val="both"/>
    </w:pPr>
    <w:rPr>
      <w:rFonts w:ascii="Garamond" w:eastAsia="Times New Roman" w:hAnsi="Garamond" w:cs="Times New Roman"/>
      <w:b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DA"/>
    <w:pPr>
      <w:ind w:left="720"/>
    </w:pPr>
  </w:style>
  <w:style w:type="paragraph" w:styleId="BodyText2">
    <w:name w:val="Body Text 2"/>
    <w:basedOn w:val="Normal"/>
    <w:link w:val="BodyText2Char"/>
    <w:rsid w:val="00472CDA"/>
    <w:pPr>
      <w:spacing w:after="120" w:line="480" w:lineRule="auto"/>
      <w:jc w:val="left"/>
    </w:pPr>
    <w:rPr>
      <w:rFonts w:ascii="Times New Roman" w:hAnsi="Times New Roman"/>
      <w:bCs w:val="0"/>
      <w:szCs w:val="24"/>
      <w:lang w:val="x-none" w:eastAsia="x-none"/>
    </w:rPr>
  </w:style>
  <w:style w:type="character" w:customStyle="1" w:styleId="BodyText2Char">
    <w:name w:val="Body Text 2 Char"/>
    <w:basedOn w:val="DefaultParagraphFont"/>
    <w:link w:val="BodyText2"/>
    <w:rsid w:val="00472CDA"/>
    <w:rPr>
      <w:rFonts w:ascii="Times New Roman" w:eastAsia="Times New Roman" w:hAnsi="Times New Roman" w:cs="Times New Roman"/>
      <w:sz w:val="24"/>
      <w:szCs w:val="24"/>
      <w:lang w:val="x-none" w:eastAsia="x-none"/>
    </w:rPr>
  </w:style>
  <w:style w:type="paragraph" w:styleId="NoSpacing">
    <w:name w:val="No Spacing"/>
    <w:uiPriority w:val="1"/>
    <w:qFormat/>
    <w:rsid w:val="00472CDA"/>
    <w:pPr>
      <w:spacing w:after="0" w:line="240" w:lineRule="auto"/>
    </w:pPr>
    <w:rPr>
      <w:rFonts w:ascii="Calibri" w:eastAsia="MS Mincho" w:hAnsi="Calibri" w:cs="Times New Roman"/>
    </w:rPr>
  </w:style>
  <w:style w:type="paragraph" w:styleId="Header">
    <w:name w:val="header"/>
    <w:basedOn w:val="Normal"/>
    <w:link w:val="HeaderChar"/>
    <w:uiPriority w:val="99"/>
    <w:unhideWhenUsed/>
    <w:rsid w:val="00472CDA"/>
    <w:pPr>
      <w:tabs>
        <w:tab w:val="center" w:pos="4680"/>
        <w:tab w:val="right" w:pos="9360"/>
      </w:tabs>
    </w:pPr>
  </w:style>
  <w:style w:type="character" w:customStyle="1" w:styleId="HeaderChar">
    <w:name w:val="Header Char"/>
    <w:basedOn w:val="DefaultParagraphFont"/>
    <w:link w:val="Header"/>
    <w:uiPriority w:val="99"/>
    <w:rsid w:val="00472CDA"/>
    <w:rPr>
      <w:rFonts w:ascii="Garamond" w:eastAsia="Times New Roman" w:hAnsi="Garamond" w:cs="Times New Roman"/>
      <w:bCs/>
      <w:sz w:val="24"/>
      <w:lang w:val="en-GB" w:eastAsia="en-GB"/>
    </w:rPr>
  </w:style>
  <w:style w:type="paragraph" w:styleId="Footer">
    <w:name w:val="footer"/>
    <w:basedOn w:val="Normal"/>
    <w:link w:val="FooterChar"/>
    <w:uiPriority w:val="99"/>
    <w:unhideWhenUsed/>
    <w:rsid w:val="00472CDA"/>
    <w:pPr>
      <w:tabs>
        <w:tab w:val="center" w:pos="4680"/>
        <w:tab w:val="right" w:pos="9360"/>
      </w:tabs>
    </w:pPr>
  </w:style>
  <w:style w:type="character" w:customStyle="1" w:styleId="FooterChar">
    <w:name w:val="Footer Char"/>
    <w:basedOn w:val="DefaultParagraphFont"/>
    <w:link w:val="Footer"/>
    <w:uiPriority w:val="99"/>
    <w:rsid w:val="00472CDA"/>
    <w:rPr>
      <w:rFonts w:ascii="Garamond" w:eastAsia="Times New Roman" w:hAnsi="Garamond" w:cs="Times New Roman"/>
      <w:bCs/>
      <w:sz w:val="24"/>
      <w:lang w:val="en-GB" w:eastAsia="en-GB"/>
    </w:rPr>
  </w:style>
  <w:style w:type="paragraph" w:customStyle="1" w:styleId="Normal1">
    <w:name w:val="Normal1"/>
    <w:basedOn w:val="Normal"/>
    <w:rsid w:val="00472CDA"/>
    <w:pPr>
      <w:spacing w:before="100" w:beforeAutospacing="1" w:after="100" w:afterAutospacing="1"/>
      <w:jc w:val="left"/>
    </w:pPr>
    <w:rPr>
      <w:rFonts w:ascii="Times New Roman" w:hAnsi="Times New Roman"/>
      <w:bCs w:val="0"/>
      <w:szCs w:val="24"/>
      <w:lang w:val="en-US" w:eastAsia="en-US"/>
    </w:rPr>
  </w:style>
  <w:style w:type="paragraph" w:customStyle="1" w:styleId="N01X">
    <w:name w:val="N01X"/>
    <w:basedOn w:val="Normal"/>
    <w:uiPriority w:val="99"/>
    <w:rsid w:val="00472CDA"/>
    <w:pPr>
      <w:autoSpaceDE w:val="0"/>
      <w:autoSpaceDN w:val="0"/>
      <w:adjustRightInd w:val="0"/>
      <w:spacing w:before="200" w:after="200"/>
      <w:jc w:val="center"/>
    </w:pPr>
    <w:rPr>
      <w:rFonts w:ascii="Times New Roman" w:hAnsi="Times New Roman"/>
      <w:b/>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3100</Words>
  <Characters>17672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 REG</dc:creator>
  <cp:keywords>[SEC=BEZ OZNAKE TAJNOSTI]</cp:keywords>
  <dc:description/>
  <cp:lastModifiedBy>User </cp:lastModifiedBy>
  <cp:revision>4</cp:revision>
  <dcterms:created xsi:type="dcterms:W3CDTF">2025-10-10T08:11:00Z</dcterms:created>
  <dcterms:modified xsi:type="dcterms:W3CDTF">2025-10-14T06:45:00Z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3FCAA741F2D8486DA98917CF38467607</vt:lpwstr>
  </property>
  <property fmtid="{D5CDD505-2E9C-101B-9397-08002B2CF9AE}" pid="9" name="PM_ProtectiveMarkingValue_Footer">
    <vt:lpwstr>BEZ OZNAKE TAJNOSTI</vt:lpwstr>
  </property>
  <property fmtid="{D5CDD505-2E9C-101B-9397-08002B2CF9AE}" pid="10" name="PM_Originator_Hash_SHA1">
    <vt:lpwstr>264D692C5C539B2845631D148B7934B08CAA5903</vt:lpwstr>
  </property>
  <property fmtid="{D5CDD505-2E9C-101B-9397-08002B2CF9AE}" pid="11" name="PM_OriginationTimeStamp">
    <vt:lpwstr>2025-10-10T08:07:08Z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9D6491BC4DB07E2BC7A77A77BC2FD13A</vt:lpwstr>
  </property>
  <property fmtid="{D5CDD505-2E9C-101B-9397-08002B2CF9AE}" pid="20" name="PM_Hash_Salt">
    <vt:lpwstr>36AF1D534E91960E81073D1A7B587544</vt:lpwstr>
  </property>
  <property fmtid="{D5CDD505-2E9C-101B-9397-08002B2CF9AE}" pid="21" name="PM_Hash_SHA1">
    <vt:lpwstr>8F93ABA17A51A7BB851CC23A79A3F58C47216074</vt:lpwstr>
  </property>
  <property fmtid="{D5CDD505-2E9C-101B-9397-08002B2CF9AE}" pid="22" name="PM_SecurityClassification_Prev">
    <vt:lpwstr>BEZ OZNAKE TAJNOSTI</vt:lpwstr>
  </property>
  <property fmtid="{D5CDD505-2E9C-101B-9397-08002B2CF9AE}" pid="23" name="PM_Qualifier_Prev">
    <vt:lpwstr/>
  </property>
</Properties>
</file>