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FD560" w14:textId="53BB4971" w:rsidR="002A59F9" w:rsidRPr="0048001E" w:rsidRDefault="00A41BF1" w:rsidP="00564C58">
      <w:pPr>
        <w:ind w:left="720" w:hanging="360"/>
        <w:rPr>
          <w:color w:val="2F5496" w:themeColor="accent1" w:themeShade="BF"/>
        </w:rPr>
      </w:pPr>
      <w:r>
        <w:rPr>
          <w:noProof/>
        </w:rPr>
        <w:drawing>
          <wp:inline distT="0" distB="0" distL="0" distR="0" wp14:anchorId="4FB589BE" wp14:editId="02721B77">
            <wp:extent cx="1230283" cy="452600"/>
            <wp:effectExtent l="0" t="0" r="8255"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34" t="14289" r="12207" b="16311"/>
                    <a:stretch/>
                  </pic:blipFill>
                  <pic:spPr bwMode="auto">
                    <a:xfrm>
                      <a:off x="0" y="0"/>
                      <a:ext cx="1258654" cy="463037"/>
                    </a:xfrm>
                    <a:prstGeom prst="rect">
                      <a:avLst/>
                    </a:prstGeom>
                    <a:noFill/>
                    <a:ln>
                      <a:noFill/>
                    </a:ln>
                    <a:extLst>
                      <a:ext uri="{53640926-AAD7-44D8-BBD7-CCE9431645EC}">
                        <a14:shadowObscured xmlns:a14="http://schemas.microsoft.com/office/drawing/2010/main"/>
                      </a:ext>
                    </a:extLst>
                  </pic:spPr>
                </pic:pic>
              </a:graphicData>
            </a:graphic>
          </wp:inline>
        </w:drawing>
      </w:r>
    </w:p>
    <w:p w14:paraId="5208BD3D" w14:textId="77777777" w:rsidR="00A41BF1" w:rsidRDefault="00A41BF1" w:rsidP="002A59F9">
      <w:pPr>
        <w:ind w:left="720" w:hanging="360"/>
        <w:jc w:val="center"/>
        <w:rPr>
          <w:color w:val="2F5496" w:themeColor="accent1" w:themeShade="BF"/>
        </w:rPr>
      </w:pPr>
    </w:p>
    <w:p w14:paraId="18C9B2A5" w14:textId="77777777" w:rsidR="00A41BF1" w:rsidRDefault="00A41BF1" w:rsidP="002A59F9">
      <w:pPr>
        <w:ind w:left="720" w:hanging="360"/>
        <w:jc w:val="center"/>
        <w:rPr>
          <w:color w:val="2F5496" w:themeColor="accent1" w:themeShade="BF"/>
        </w:rPr>
      </w:pPr>
    </w:p>
    <w:p w14:paraId="331A5080" w14:textId="77777777" w:rsidR="00A41BF1" w:rsidRDefault="00A41BF1" w:rsidP="002A59F9">
      <w:pPr>
        <w:ind w:left="720" w:hanging="360"/>
        <w:jc w:val="center"/>
        <w:rPr>
          <w:color w:val="2F5496" w:themeColor="accent1" w:themeShade="BF"/>
        </w:rPr>
      </w:pPr>
    </w:p>
    <w:p w14:paraId="3A3D8BC7" w14:textId="77777777" w:rsidR="00A41BF1" w:rsidRDefault="00A41BF1" w:rsidP="002A59F9">
      <w:pPr>
        <w:ind w:left="720" w:hanging="360"/>
        <w:jc w:val="center"/>
        <w:rPr>
          <w:color w:val="2F5496" w:themeColor="accent1" w:themeShade="BF"/>
        </w:rPr>
      </w:pPr>
    </w:p>
    <w:p w14:paraId="2B8D65BC" w14:textId="77777777" w:rsidR="00A41BF1" w:rsidRDefault="00A41BF1" w:rsidP="002A59F9">
      <w:pPr>
        <w:ind w:left="720" w:hanging="360"/>
        <w:jc w:val="center"/>
        <w:rPr>
          <w:color w:val="44546A" w:themeColor="text2"/>
        </w:rPr>
      </w:pPr>
    </w:p>
    <w:p w14:paraId="4A41E210" w14:textId="77777777" w:rsidR="00092DF7" w:rsidRDefault="00092DF7" w:rsidP="002A59F9">
      <w:pPr>
        <w:ind w:left="720" w:hanging="360"/>
        <w:jc w:val="center"/>
        <w:rPr>
          <w:color w:val="44546A" w:themeColor="text2"/>
        </w:rPr>
      </w:pPr>
    </w:p>
    <w:p w14:paraId="45A36A8D" w14:textId="77777777" w:rsidR="00092DF7" w:rsidRDefault="00092DF7" w:rsidP="002A59F9">
      <w:pPr>
        <w:ind w:left="720" w:hanging="360"/>
        <w:jc w:val="center"/>
        <w:rPr>
          <w:color w:val="44546A" w:themeColor="text2"/>
        </w:rPr>
      </w:pPr>
    </w:p>
    <w:p w14:paraId="6AC0BA67" w14:textId="77777777" w:rsidR="00092DF7" w:rsidRDefault="00092DF7" w:rsidP="002A59F9">
      <w:pPr>
        <w:ind w:left="720" w:hanging="360"/>
        <w:jc w:val="center"/>
        <w:rPr>
          <w:color w:val="44546A" w:themeColor="text2"/>
        </w:rPr>
      </w:pPr>
    </w:p>
    <w:p w14:paraId="0D3DE672" w14:textId="77777777" w:rsidR="00092DF7" w:rsidRPr="00BF5D96" w:rsidRDefault="00092DF7" w:rsidP="002A59F9">
      <w:pPr>
        <w:ind w:left="720" w:hanging="360"/>
        <w:jc w:val="center"/>
        <w:rPr>
          <w:color w:val="44546A" w:themeColor="text2"/>
        </w:rPr>
      </w:pPr>
    </w:p>
    <w:p w14:paraId="7F81163F" w14:textId="77777777" w:rsidR="00A41BF1" w:rsidRPr="00F27E6E" w:rsidRDefault="00A41BF1" w:rsidP="002A59F9">
      <w:pPr>
        <w:ind w:left="720" w:hanging="360"/>
        <w:jc w:val="center"/>
        <w:rPr>
          <w:color w:val="1F3864" w:themeColor="accent1" w:themeShade="80"/>
        </w:rPr>
      </w:pPr>
    </w:p>
    <w:p w14:paraId="727D8098" w14:textId="77777777" w:rsidR="00A41BF1" w:rsidRPr="00F27E6E" w:rsidRDefault="00A41BF1" w:rsidP="002A59F9">
      <w:pPr>
        <w:ind w:left="720" w:hanging="360"/>
        <w:jc w:val="center"/>
        <w:rPr>
          <w:color w:val="1F3864" w:themeColor="accent1" w:themeShade="80"/>
        </w:rPr>
      </w:pPr>
    </w:p>
    <w:p w14:paraId="6AD0B4FD" w14:textId="1762FE9B" w:rsidR="002A59F9" w:rsidRPr="006F03C5" w:rsidRDefault="00BF5D96" w:rsidP="002A59F9">
      <w:pPr>
        <w:ind w:left="720" w:hanging="360"/>
        <w:jc w:val="center"/>
        <w:rPr>
          <w:b/>
          <w:bCs/>
          <w:color w:val="1F3864" w:themeColor="accent1" w:themeShade="80"/>
          <w:sz w:val="32"/>
          <w:szCs w:val="32"/>
          <w:lang w:val="sr-Latn-ME"/>
        </w:rPr>
      </w:pPr>
      <w:r w:rsidRPr="00021CDC">
        <w:rPr>
          <w:b/>
          <w:bCs/>
          <w:color w:val="1F3864" w:themeColor="accent1" w:themeShade="80"/>
          <w:sz w:val="32"/>
          <w:szCs w:val="32"/>
          <w:lang w:val="pl-PL"/>
        </w:rPr>
        <w:t>PROGRAM SUZBIJANJA NEFORMALNE EKONOMIJE ZA CRNU GORU</w:t>
      </w:r>
    </w:p>
    <w:p w14:paraId="08B08348" w14:textId="2CC4F2C5" w:rsidR="00BF5D96" w:rsidRPr="00F27E6E" w:rsidRDefault="00BF5D96" w:rsidP="002A59F9">
      <w:pPr>
        <w:ind w:left="720" w:hanging="360"/>
        <w:jc w:val="center"/>
        <w:rPr>
          <w:b/>
          <w:bCs/>
          <w:color w:val="1F3864" w:themeColor="accent1" w:themeShade="80"/>
          <w:sz w:val="32"/>
          <w:szCs w:val="32"/>
        </w:rPr>
      </w:pPr>
      <w:r w:rsidRPr="00F27E6E">
        <w:rPr>
          <w:b/>
          <w:bCs/>
          <w:color w:val="1F3864" w:themeColor="accent1" w:themeShade="80"/>
          <w:sz w:val="32"/>
          <w:szCs w:val="32"/>
        </w:rPr>
        <w:t>2024-2026.</w:t>
      </w:r>
    </w:p>
    <w:p w14:paraId="436D9E3B" w14:textId="397476F6" w:rsidR="002A59F9" w:rsidRPr="00F27E6E" w:rsidRDefault="002A59F9" w:rsidP="002A59F9">
      <w:pPr>
        <w:ind w:left="720" w:hanging="360"/>
        <w:jc w:val="center"/>
        <w:rPr>
          <w:b/>
          <w:bCs/>
          <w:color w:val="1F3864" w:themeColor="accent1" w:themeShade="80"/>
          <w:sz w:val="32"/>
          <w:szCs w:val="32"/>
        </w:rPr>
      </w:pPr>
      <w:r w:rsidRPr="00F27E6E">
        <w:rPr>
          <w:b/>
          <w:bCs/>
          <w:color w:val="1F3864" w:themeColor="accent1" w:themeShade="80"/>
          <w:sz w:val="32"/>
          <w:szCs w:val="32"/>
        </w:rPr>
        <w:t>-</w:t>
      </w:r>
      <w:proofErr w:type="spellStart"/>
      <w:r w:rsidR="00BE2113">
        <w:rPr>
          <w:b/>
          <w:bCs/>
          <w:color w:val="1F3864" w:themeColor="accent1" w:themeShade="80"/>
          <w:sz w:val="32"/>
          <w:szCs w:val="32"/>
        </w:rPr>
        <w:t>nacrt</w:t>
      </w:r>
      <w:proofErr w:type="spellEnd"/>
      <w:r w:rsidR="00BE2113">
        <w:rPr>
          <w:b/>
          <w:bCs/>
          <w:color w:val="1F3864" w:themeColor="accent1" w:themeShade="80"/>
          <w:sz w:val="32"/>
          <w:szCs w:val="32"/>
        </w:rPr>
        <w:t xml:space="preserve"> za </w:t>
      </w:r>
      <w:proofErr w:type="spellStart"/>
      <w:r w:rsidR="00BE2113">
        <w:rPr>
          <w:b/>
          <w:bCs/>
          <w:color w:val="1F3864" w:themeColor="accent1" w:themeShade="80"/>
          <w:sz w:val="32"/>
          <w:szCs w:val="32"/>
        </w:rPr>
        <w:t>javnu</w:t>
      </w:r>
      <w:proofErr w:type="spellEnd"/>
      <w:r w:rsidR="00BE2113">
        <w:rPr>
          <w:b/>
          <w:bCs/>
          <w:color w:val="1F3864" w:themeColor="accent1" w:themeShade="80"/>
          <w:sz w:val="32"/>
          <w:szCs w:val="32"/>
        </w:rPr>
        <w:t xml:space="preserve"> </w:t>
      </w:r>
      <w:proofErr w:type="spellStart"/>
      <w:r w:rsidR="00BE2113">
        <w:rPr>
          <w:b/>
          <w:bCs/>
          <w:color w:val="1F3864" w:themeColor="accent1" w:themeShade="80"/>
          <w:sz w:val="32"/>
          <w:szCs w:val="32"/>
        </w:rPr>
        <w:t>raspravu</w:t>
      </w:r>
      <w:proofErr w:type="spellEnd"/>
      <w:r w:rsidRPr="00F27E6E">
        <w:rPr>
          <w:b/>
          <w:bCs/>
          <w:color w:val="1F3864" w:themeColor="accent1" w:themeShade="80"/>
          <w:sz w:val="32"/>
          <w:szCs w:val="32"/>
        </w:rPr>
        <w:t>-</w:t>
      </w:r>
    </w:p>
    <w:p w14:paraId="4A2F9C99" w14:textId="77777777" w:rsidR="002A59F9" w:rsidRPr="00F27E6E" w:rsidRDefault="002A59F9" w:rsidP="002A59F9">
      <w:pPr>
        <w:ind w:left="720" w:hanging="360"/>
        <w:jc w:val="center"/>
        <w:rPr>
          <w:b/>
          <w:bCs/>
          <w:color w:val="1F3864" w:themeColor="accent1" w:themeShade="80"/>
        </w:rPr>
      </w:pPr>
    </w:p>
    <w:p w14:paraId="453F2CBD" w14:textId="77777777" w:rsidR="002A59F9" w:rsidRPr="00F27E6E" w:rsidRDefault="002A59F9" w:rsidP="002A59F9">
      <w:pPr>
        <w:rPr>
          <w:b/>
          <w:bCs/>
          <w:color w:val="1F3864" w:themeColor="accent1" w:themeShade="80"/>
          <w:sz w:val="24"/>
          <w:szCs w:val="24"/>
        </w:rPr>
      </w:pPr>
    </w:p>
    <w:p w14:paraId="6197D1CA" w14:textId="77777777" w:rsidR="002A59F9" w:rsidRPr="00F27E6E" w:rsidRDefault="002A59F9" w:rsidP="002A59F9">
      <w:pPr>
        <w:rPr>
          <w:b/>
          <w:bCs/>
          <w:color w:val="1F3864" w:themeColor="accent1" w:themeShade="80"/>
          <w:sz w:val="24"/>
          <w:szCs w:val="24"/>
        </w:rPr>
      </w:pPr>
    </w:p>
    <w:p w14:paraId="089F8CEE" w14:textId="77777777" w:rsidR="002A59F9" w:rsidRPr="00F27E6E" w:rsidRDefault="002A59F9" w:rsidP="002A59F9">
      <w:pPr>
        <w:rPr>
          <w:b/>
          <w:bCs/>
          <w:color w:val="1F3864" w:themeColor="accent1" w:themeShade="80"/>
          <w:sz w:val="24"/>
          <w:szCs w:val="24"/>
        </w:rPr>
      </w:pPr>
    </w:p>
    <w:p w14:paraId="2C9644D8" w14:textId="77777777" w:rsidR="002A59F9" w:rsidRPr="00F27E6E" w:rsidRDefault="002A59F9" w:rsidP="002A59F9">
      <w:pPr>
        <w:rPr>
          <w:b/>
          <w:bCs/>
          <w:color w:val="1F3864" w:themeColor="accent1" w:themeShade="80"/>
          <w:sz w:val="24"/>
          <w:szCs w:val="24"/>
        </w:rPr>
      </w:pPr>
    </w:p>
    <w:p w14:paraId="5DCEF256" w14:textId="77777777" w:rsidR="002A59F9" w:rsidRPr="00F27E6E" w:rsidRDefault="002A59F9" w:rsidP="002A59F9">
      <w:pPr>
        <w:rPr>
          <w:b/>
          <w:bCs/>
          <w:color w:val="1F3864" w:themeColor="accent1" w:themeShade="80"/>
          <w:sz w:val="24"/>
          <w:szCs w:val="24"/>
        </w:rPr>
      </w:pPr>
    </w:p>
    <w:p w14:paraId="4701BB3F" w14:textId="77777777" w:rsidR="002A59F9" w:rsidRPr="00F27E6E" w:rsidRDefault="002A59F9" w:rsidP="002A59F9">
      <w:pPr>
        <w:rPr>
          <w:b/>
          <w:bCs/>
          <w:color w:val="1F3864" w:themeColor="accent1" w:themeShade="80"/>
          <w:sz w:val="24"/>
          <w:szCs w:val="24"/>
        </w:rPr>
      </w:pPr>
    </w:p>
    <w:p w14:paraId="4B0D843F" w14:textId="77777777" w:rsidR="002A59F9" w:rsidRPr="00F27E6E" w:rsidRDefault="002A59F9" w:rsidP="002A59F9">
      <w:pPr>
        <w:rPr>
          <w:b/>
          <w:bCs/>
          <w:color w:val="1F3864" w:themeColor="accent1" w:themeShade="80"/>
          <w:sz w:val="24"/>
          <w:szCs w:val="24"/>
        </w:rPr>
      </w:pPr>
    </w:p>
    <w:p w14:paraId="5EA14775" w14:textId="77777777" w:rsidR="00A41BF1" w:rsidRPr="00F27E6E" w:rsidRDefault="00A41BF1" w:rsidP="002A59F9">
      <w:pPr>
        <w:rPr>
          <w:b/>
          <w:bCs/>
          <w:color w:val="1F3864" w:themeColor="accent1" w:themeShade="80"/>
          <w:sz w:val="24"/>
          <w:szCs w:val="24"/>
        </w:rPr>
      </w:pPr>
    </w:p>
    <w:p w14:paraId="5305693D" w14:textId="77777777" w:rsidR="00A41BF1" w:rsidRPr="00F27E6E" w:rsidRDefault="00A41BF1" w:rsidP="002A59F9">
      <w:pPr>
        <w:rPr>
          <w:b/>
          <w:bCs/>
          <w:color w:val="1F3864" w:themeColor="accent1" w:themeShade="80"/>
          <w:sz w:val="24"/>
          <w:szCs w:val="24"/>
        </w:rPr>
      </w:pPr>
    </w:p>
    <w:p w14:paraId="7B521812" w14:textId="083AD0F2" w:rsidR="002A59F9" w:rsidRPr="00F27E6E" w:rsidRDefault="002A59F9" w:rsidP="002A59F9">
      <w:pPr>
        <w:jc w:val="center"/>
        <w:rPr>
          <w:b/>
          <w:bCs/>
          <w:color w:val="1F3864" w:themeColor="accent1" w:themeShade="80"/>
          <w:sz w:val="24"/>
          <w:szCs w:val="24"/>
        </w:rPr>
      </w:pPr>
      <w:r w:rsidRPr="00F27E6E">
        <w:rPr>
          <w:b/>
          <w:bCs/>
          <w:color w:val="1F3864" w:themeColor="accent1" w:themeShade="80"/>
          <w:sz w:val="24"/>
          <w:szCs w:val="24"/>
        </w:rPr>
        <w:t>Podgorica,</w:t>
      </w:r>
      <w:r w:rsidR="00BE2113">
        <w:rPr>
          <w:b/>
          <w:bCs/>
          <w:color w:val="1F3864" w:themeColor="accent1" w:themeShade="80"/>
          <w:sz w:val="24"/>
          <w:szCs w:val="24"/>
        </w:rPr>
        <w:t xml:space="preserve"> </w:t>
      </w:r>
      <w:proofErr w:type="spellStart"/>
      <w:r w:rsidR="00BE2113">
        <w:rPr>
          <w:b/>
          <w:bCs/>
          <w:color w:val="1F3864" w:themeColor="accent1" w:themeShade="80"/>
          <w:sz w:val="24"/>
          <w:szCs w:val="24"/>
        </w:rPr>
        <w:t>oktobar</w:t>
      </w:r>
      <w:proofErr w:type="spellEnd"/>
      <w:r w:rsidR="00AE214B">
        <w:rPr>
          <w:b/>
          <w:bCs/>
          <w:color w:val="1F3864" w:themeColor="accent1" w:themeShade="80"/>
          <w:sz w:val="24"/>
          <w:szCs w:val="24"/>
        </w:rPr>
        <w:t xml:space="preserve"> </w:t>
      </w:r>
      <w:r w:rsidRPr="00F27E6E">
        <w:rPr>
          <w:b/>
          <w:bCs/>
          <w:color w:val="1F3864" w:themeColor="accent1" w:themeShade="80"/>
          <w:sz w:val="24"/>
          <w:szCs w:val="24"/>
        </w:rPr>
        <w:t>2023.</w:t>
      </w:r>
    </w:p>
    <w:p w14:paraId="7D3BEC8A" w14:textId="77777777" w:rsidR="002A3B4E" w:rsidRPr="002A3B4E" w:rsidRDefault="002A3B4E" w:rsidP="002A3B4E">
      <w:pPr>
        <w:pStyle w:val="Heading1"/>
      </w:pPr>
    </w:p>
    <w:sdt>
      <w:sdtPr>
        <w:rPr>
          <w:rFonts w:asciiTheme="minorHAnsi" w:eastAsiaTheme="minorHAnsi" w:hAnsiTheme="minorHAnsi" w:cstheme="minorBidi"/>
          <w:color w:val="auto"/>
          <w:kern w:val="2"/>
          <w:sz w:val="22"/>
          <w:szCs w:val="22"/>
          <w14:ligatures w14:val="standardContextual"/>
        </w:rPr>
        <w:id w:val="515889036"/>
        <w:docPartObj>
          <w:docPartGallery w:val="Table of Contents"/>
          <w:docPartUnique/>
        </w:docPartObj>
      </w:sdtPr>
      <w:sdtEndPr>
        <w:rPr>
          <w:b/>
          <w:bCs/>
          <w:noProof/>
        </w:rPr>
      </w:sdtEndPr>
      <w:sdtContent>
        <w:p w14:paraId="3225BC58" w14:textId="4782779E" w:rsidR="0042027A" w:rsidRDefault="009925C9">
          <w:pPr>
            <w:pStyle w:val="TOCHeading"/>
          </w:pPr>
          <w:proofErr w:type="spellStart"/>
          <w:r>
            <w:t>Sadržaj</w:t>
          </w:r>
          <w:proofErr w:type="spellEnd"/>
        </w:p>
        <w:p w14:paraId="6E63C2E0" w14:textId="77777777" w:rsidR="00FD59E8" w:rsidRDefault="005F41C3">
          <w:pPr>
            <w:pStyle w:val="TOC1"/>
            <w:tabs>
              <w:tab w:val="right" w:leader="dot" w:pos="9350"/>
            </w:tabs>
            <w:rPr>
              <w:noProof/>
            </w:rPr>
          </w:pPr>
          <w:r>
            <w:t>1.</w:t>
          </w:r>
          <w:r w:rsidR="0042027A">
            <w:fldChar w:fldCharType="begin"/>
          </w:r>
          <w:r w:rsidR="0042027A">
            <w:instrText xml:space="preserve"> TOC \o "1-3" \h \z \u </w:instrText>
          </w:r>
          <w:r w:rsidR="0042027A">
            <w:fldChar w:fldCharType="separate"/>
          </w:r>
        </w:p>
        <w:p w14:paraId="0437EC1D" w14:textId="02F185BC" w:rsidR="00FD59E8" w:rsidRDefault="00CA7653">
          <w:pPr>
            <w:pStyle w:val="TOC1"/>
            <w:tabs>
              <w:tab w:val="right" w:leader="dot" w:pos="9350"/>
            </w:tabs>
            <w:rPr>
              <w:rFonts w:cstheme="minorBidi"/>
              <w:noProof/>
              <w:kern w:val="2"/>
              <w14:ligatures w14:val="standardContextual"/>
            </w:rPr>
          </w:pPr>
          <w:hyperlink w:anchor="_Toc147990139" w:history="1">
            <w:r w:rsidR="00FD59E8" w:rsidRPr="0046730E">
              <w:rPr>
                <w:rStyle w:val="Hyperlink"/>
                <w:noProof/>
                <w:lang w:val="pl-PL"/>
              </w:rPr>
              <w:t>1.UVOD</w:t>
            </w:r>
            <w:r w:rsidR="00FD59E8">
              <w:rPr>
                <w:noProof/>
                <w:webHidden/>
              </w:rPr>
              <w:tab/>
            </w:r>
            <w:r w:rsidR="00FD59E8">
              <w:rPr>
                <w:noProof/>
                <w:webHidden/>
              </w:rPr>
              <w:fldChar w:fldCharType="begin"/>
            </w:r>
            <w:r w:rsidR="00FD59E8">
              <w:rPr>
                <w:noProof/>
                <w:webHidden/>
              </w:rPr>
              <w:instrText xml:space="preserve"> PAGEREF _Toc147990139 \h </w:instrText>
            </w:r>
            <w:r w:rsidR="00FD59E8">
              <w:rPr>
                <w:noProof/>
                <w:webHidden/>
              </w:rPr>
            </w:r>
            <w:r w:rsidR="00FD59E8">
              <w:rPr>
                <w:noProof/>
                <w:webHidden/>
              </w:rPr>
              <w:fldChar w:fldCharType="separate"/>
            </w:r>
            <w:r w:rsidR="00FD59E8">
              <w:rPr>
                <w:noProof/>
                <w:webHidden/>
              </w:rPr>
              <w:t>5</w:t>
            </w:r>
            <w:r w:rsidR="00FD59E8">
              <w:rPr>
                <w:noProof/>
                <w:webHidden/>
              </w:rPr>
              <w:fldChar w:fldCharType="end"/>
            </w:r>
          </w:hyperlink>
        </w:p>
        <w:p w14:paraId="7069B4D4" w14:textId="004BBF38" w:rsidR="00FD59E8" w:rsidRDefault="00CA7653">
          <w:pPr>
            <w:pStyle w:val="TOC2"/>
            <w:rPr>
              <w:rFonts w:eastAsiaTheme="minorEastAsia"/>
              <w:noProof/>
            </w:rPr>
          </w:pPr>
          <w:hyperlink w:anchor="_Toc147990140" w:history="1">
            <w:r w:rsidR="00FD59E8" w:rsidRPr="0046730E">
              <w:rPr>
                <w:rStyle w:val="Hyperlink"/>
                <w:noProof/>
                <w:lang w:val="pl-PL"/>
              </w:rPr>
              <w:t>1.1 S</w:t>
            </w:r>
            <w:r w:rsidR="00FD59E8" w:rsidRPr="0046730E">
              <w:rPr>
                <w:rStyle w:val="Hyperlink"/>
                <w:noProof/>
                <w:lang w:val="sr-Latn-ME"/>
              </w:rPr>
              <w:t>vrha donošenja dokumenta</w:t>
            </w:r>
            <w:r w:rsidR="00FD59E8">
              <w:rPr>
                <w:noProof/>
                <w:webHidden/>
              </w:rPr>
              <w:tab/>
            </w:r>
            <w:r w:rsidR="00FD59E8">
              <w:rPr>
                <w:noProof/>
                <w:webHidden/>
              </w:rPr>
              <w:fldChar w:fldCharType="begin"/>
            </w:r>
            <w:r w:rsidR="00FD59E8">
              <w:rPr>
                <w:noProof/>
                <w:webHidden/>
              </w:rPr>
              <w:instrText xml:space="preserve"> PAGEREF _Toc147990140 \h </w:instrText>
            </w:r>
            <w:r w:rsidR="00FD59E8">
              <w:rPr>
                <w:noProof/>
                <w:webHidden/>
              </w:rPr>
            </w:r>
            <w:r w:rsidR="00FD59E8">
              <w:rPr>
                <w:noProof/>
                <w:webHidden/>
              </w:rPr>
              <w:fldChar w:fldCharType="separate"/>
            </w:r>
            <w:r w:rsidR="00FD59E8">
              <w:rPr>
                <w:noProof/>
                <w:webHidden/>
              </w:rPr>
              <w:t>5</w:t>
            </w:r>
            <w:r w:rsidR="00FD59E8">
              <w:rPr>
                <w:noProof/>
                <w:webHidden/>
              </w:rPr>
              <w:fldChar w:fldCharType="end"/>
            </w:r>
          </w:hyperlink>
        </w:p>
        <w:p w14:paraId="224B0DDF" w14:textId="100BEEF4" w:rsidR="00FD59E8" w:rsidRDefault="00CA7653">
          <w:pPr>
            <w:pStyle w:val="TOC2"/>
            <w:rPr>
              <w:rFonts w:eastAsiaTheme="minorEastAsia"/>
              <w:noProof/>
            </w:rPr>
          </w:pPr>
          <w:hyperlink w:anchor="_Toc147990141" w:history="1">
            <w:r w:rsidR="00FD59E8" w:rsidRPr="0046730E">
              <w:rPr>
                <w:rStyle w:val="Hyperlink"/>
                <w:noProof/>
                <w:lang w:val="pl-PL"/>
              </w:rPr>
              <w:t>1.2 Prethodni dokumenti na suzbijanju neformalne ekonomije</w:t>
            </w:r>
            <w:r w:rsidR="00FD59E8">
              <w:rPr>
                <w:noProof/>
                <w:webHidden/>
              </w:rPr>
              <w:tab/>
            </w:r>
            <w:r w:rsidR="00FD59E8">
              <w:rPr>
                <w:noProof/>
                <w:webHidden/>
              </w:rPr>
              <w:fldChar w:fldCharType="begin"/>
            </w:r>
            <w:r w:rsidR="00FD59E8">
              <w:rPr>
                <w:noProof/>
                <w:webHidden/>
              </w:rPr>
              <w:instrText xml:space="preserve"> PAGEREF _Toc147990141 \h </w:instrText>
            </w:r>
            <w:r w:rsidR="00FD59E8">
              <w:rPr>
                <w:noProof/>
                <w:webHidden/>
              </w:rPr>
            </w:r>
            <w:r w:rsidR="00FD59E8">
              <w:rPr>
                <w:noProof/>
                <w:webHidden/>
              </w:rPr>
              <w:fldChar w:fldCharType="separate"/>
            </w:r>
            <w:r w:rsidR="00FD59E8">
              <w:rPr>
                <w:noProof/>
                <w:webHidden/>
              </w:rPr>
              <w:t>6</w:t>
            </w:r>
            <w:r w:rsidR="00FD59E8">
              <w:rPr>
                <w:noProof/>
                <w:webHidden/>
              </w:rPr>
              <w:fldChar w:fldCharType="end"/>
            </w:r>
          </w:hyperlink>
        </w:p>
        <w:p w14:paraId="345FEA5F" w14:textId="123A1472" w:rsidR="00FD59E8" w:rsidRDefault="00CA7653">
          <w:pPr>
            <w:pStyle w:val="TOC2"/>
            <w:rPr>
              <w:rFonts w:eastAsiaTheme="minorEastAsia"/>
              <w:noProof/>
            </w:rPr>
          </w:pPr>
          <w:hyperlink w:anchor="_Toc147990142" w:history="1">
            <w:r w:rsidR="00FD59E8" w:rsidRPr="0046730E">
              <w:rPr>
                <w:rStyle w:val="Hyperlink"/>
                <w:rFonts w:eastAsia="Calibri"/>
                <w:noProof/>
                <w:lang w:val="sr-Latn-ME"/>
              </w:rPr>
              <w:t>1.3 Pozicioniranje u strateškom okviru Crne Gore i usklađenost sa međunarodnim obavezama</w:t>
            </w:r>
            <w:r w:rsidR="00FD59E8">
              <w:rPr>
                <w:noProof/>
                <w:webHidden/>
              </w:rPr>
              <w:tab/>
            </w:r>
            <w:r w:rsidR="00FD59E8">
              <w:rPr>
                <w:noProof/>
                <w:webHidden/>
              </w:rPr>
              <w:fldChar w:fldCharType="begin"/>
            </w:r>
            <w:r w:rsidR="00FD59E8">
              <w:rPr>
                <w:noProof/>
                <w:webHidden/>
              </w:rPr>
              <w:instrText xml:space="preserve"> PAGEREF _Toc147990142 \h </w:instrText>
            </w:r>
            <w:r w:rsidR="00FD59E8">
              <w:rPr>
                <w:noProof/>
                <w:webHidden/>
              </w:rPr>
            </w:r>
            <w:r w:rsidR="00FD59E8">
              <w:rPr>
                <w:noProof/>
                <w:webHidden/>
              </w:rPr>
              <w:fldChar w:fldCharType="separate"/>
            </w:r>
            <w:r w:rsidR="00FD59E8">
              <w:rPr>
                <w:noProof/>
                <w:webHidden/>
              </w:rPr>
              <w:t>7</w:t>
            </w:r>
            <w:r w:rsidR="00FD59E8">
              <w:rPr>
                <w:noProof/>
                <w:webHidden/>
              </w:rPr>
              <w:fldChar w:fldCharType="end"/>
            </w:r>
          </w:hyperlink>
        </w:p>
        <w:p w14:paraId="5EAF077E" w14:textId="7CF3EAEC" w:rsidR="00FD59E8" w:rsidRDefault="00CA7653">
          <w:pPr>
            <w:pStyle w:val="TOC1"/>
            <w:tabs>
              <w:tab w:val="right" w:leader="dot" w:pos="9350"/>
            </w:tabs>
            <w:rPr>
              <w:rFonts w:cstheme="minorBidi"/>
              <w:noProof/>
              <w:kern w:val="2"/>
              <w14:ligatures w14:val="standardContextual"/>
            </w:rPr>
          </w:pPr>
          <w:hyperlink w:anchor="_Toc147990143" w:history="1">
            <w:r w:rsidR="00FD59E8" w:rsidRPr="0046730E">
              <w:rPr>
                <w:rStyle w:val="Hyperlink"/>
                <w:rFonts w:eastAsia="Calibri"/>
                <w:noProof/>
                <w:lang w:val="pl-PL"/>
              </w:rPr>
              <w:t>2. OPIS POSTOJEĆEG STANJA</w:t>
            </w:r>
            <w:r w:rsidR="00FD59E8">
              <w:rPr>
                <w:noProof/>
                <w:webHidden/>
              </w:rPr>
              <w:tab/>
            </w:r>
            <w:r w:rsidR="00FD59E8">
              <w:rPr>
                <w:noProof/>
                <w:webHidden/>
              </w:rPr>
              <w:fldChar w:fldCharType="begin"/>
            </w:r>
            <w:r w:rsidR="00FD59E8">
              <w:rPr>
                <w:noProof/>
                <w:webHidden/>
              </w:rPr>
              <w:instrText xml:space="preserve"> PAGEREF _Toc147990143 \h </w:instrText>
            </w:r>
            <w:r w:rsidR="00FD59E8">
              <w:rPr>
                <w:noProof/>
                <w:webHidden/>
              </w:rPr>
            </w:r>
            <w:r w:rsidR="00FD59E8">
              <w:rPr>
                <w:noProof/>
                <w:webHidden/>
              </w:rPr>
              <w:fldChar w:fldCharType="separate"/>
            </w:r>
            <w:r w:rsidR="00FD59E8">
              <w:rPr>
                <w:noProof/>
                <w:webHidden/>
              </w:rPr>
              <w:t>11</w:t>
            </w:r>
            <w:r w:rsidR="00FD59E8">
              <w:rPr>
                <w:noProof/>
                <w:webHidden/>
              </w:rPr>
              <w:fldChar w:fldCharType="end"/>
            </w:r>
          </w:hyperlink>
        </w:p>
        <w:p w14:paraId="7BBF4376" w14:textId="41650C2C" w:rsidR="00FD59E8" w:rsidRDefault="00CA7653">
          <w:pPr>
            <w:pStyle w:val="TOC2"/>
            <w:rPr>
              <w:rFonts w:eastAsiaTheme="minorEastAsia"/>
              <w:noProof/>
            </w:rPr>
          </w:pPr>
          <w:hyperlink w:anchor="_Toc147990144" w:history="1">
            <w:r w:rsidR="00FD59E8" w:rsidRPr="0046730E">
              <w:rPr>
                <w:rStyle w:val="Hyperlink"/>
                <w:rFonts w:eastAsia="Calibri"/>
                <w:noProof/>
                <w:lang w:val="pl-PL"/>
              </w:rPr>
              <w:t>2.1 Razvojni ciklusi crnogorske ekonomije</w:t>
            </w:r>
            <w:r w:rsidR="00FD59E8">
              <w:rPr>
                <w:noProof/>
                <w:webHidden/>
              </w:rPr>
              <w:tab/>
            </w:r>
            <w:r w:rsidR="00FD59E8">
              <w:rPr>
                <w:noProof/>
                <w:webHidden/>
              </w:rPr>
              <w:fldChar w:fldCharType="begin"/>
            </w:r>
            <w:r w:rsidR="00FD59E8">
              <w:rPr>
                <w:noProof/>
                <w:webHidden/>
              </w:rPr>
              <w:instrText xml:space="preserve"> PAGEREF _Toc147990144 \h </w:instrText>
            </w:r>
            <w:r w:rsidR="00FD59E8">
              <w:rPr>
                <w:noProof/>
                <w:webHidden/>
              </w:rPr>
            </w:r>
            <w:r w:rsidR="00FD59E8">
              <w:rPr>
                <w:noProof/>
                <w:webHidden/>
              </w:rPr>
              <w:fldChar w:fldCharType="separate"/>
            </w:r>
            <w:r w:rsidR="00FD59E8">
              <w:rPr>
                <w:noProof/>
                <w:webHidden/>
              </w:rPr>
              <w:t>11</w:t>
            </w:r>
            <w:r w:rsidR="00FD59E8">
              <w:rPr>
                <w:noProof/>
                <w:webHidden/>
              </w:rPr>
              <w:fldChar w:fldCharType="end"/>
            </w:r>
          </w:hyperlink>
        </w:p>
        <w:p w14:paraId="738C0C23" w14:textId="481BC94B" w:rsidR="00FD59E8" w:rsidRDefault="00CA7653">
          <w:pPr>
            <w:pStyle w:val="TOC2"/>
            <w:rPr>
              <w:rFonts w:eastAsiaTheme="minorEastAsia"/>
              <w:noProof/>
            </w:rPr>
          </w:pPr>
          <w:hyperlink w:anchor="_Toc147990145" w:history="1">
            <w:r w:rsidR="00FD59E8" w:rsidRPr="0046730E">
              <w:rPr>
                <w:rStyle w:val="Hyperlink"/>
                <w:rFonts w:eastAsia="Calibri"/>
                <w:noProof/>
                <w:lang w:val="sr-Latn-ME"/>
              </w:rPr>
              <w:t>2.2Makroekonomska kretanja u  posljednje dvije godine</w:t>
            </w:r>
            <w:r w:rsidR="00FD59E8">
              <w:rPr>
                <w:noProof/>
                <w:webHidden/>
              </w:rPr>
              <w:tab/>
            </w:r>
            <w:r w:rsidR="00FD59E8">
              <w:rPr>
                <w:noProof/>
                <w:webHidden/>
              </w:rPr>
              <w:fldChar w:fldCharType="begin"/>
            </w:r>
            <w:r w:rsidR="00FD59E8">
              <w:rPr>
                <w:noProof/>
                <w:webHidden/>
              </w:rPr>
              <w:instrText xml:space="preserve"> PAGEREF _Toc147990145 \h </w:instrText>
            </w:r>
            <w:r w:rsidR="00FD59E8">
              <w:rPr>
                <w:noProof/>
                <w:webHidden/>
              </w:rPr>
            </w:r>
            <w:r w:rsidR="00FD59E8">
              <w:rPr>
                <w:noProof/>
                <w:webHidden/>
              </w:rPr>
              <w:fldChar w:fldCharType="separate"/>
            </w:r>
            <w:r w:rsidR="00FD59E8">
              <w:rPr>
                <w:noProof/>
                <w:webHidden/>
              </w:rPr>
              <w:t>16</w:t>
            </w:r>
            <w:r w:rsidR="00FD59E8">
              <w:rPr>
                <w:noProof/>
                <w:webHidden/>
              </w:rPr>
              <w:fldChar w:fldCharType="end"/>
            </w:r>
          </w:hyperlink>
        </w:p>
        <w:p w14:paraId="5EBA87BC" w14:textId="722800ED" w:rsidR="00FD59E8" w:rsidRDefault="00CA7653">
          <w:pPr>
            <w:pStyle w:val="TOC2"/>
            <w:rPr>
              <w:rFonts w:eastAsiaTheme="minorEastAsia"/>
              <w:noProof/>
            </w:rPr>
          </w:pPr>
          <w:hyperlink w:anchor="_Toc147990146" w:history="1">
            <w:r w:rsidR="00FD59E8" w:rsidRPr="0046730E">
              <w:rPr>
                <w:rStyle w:val="Hyperlink"/>
                <w:rFonts w:eastAsia="Times New Roman"/>
                <w:noProof/>
                <w:lang w:val="sr-Latn-ME" w:bidi="hi-IN"/>
              </w:rPr>
              <w:t>2.3 Procjena sive ekonomije u oblasti zarada i dobiti nakon poreske reforme implementiranje 1. januara 2022.</w:t>
            </w:r>
            <w:r w:rsidR="00FD59E8">
              <w:rPr>
                <w:noProof/>
                <w:webHidden/>
              </w:rPr>
              <w:tab/>
            </w:r>
            <w:r w:rsidR="00FD59E8">
              <w:rPr>
                <w:noProof/>
                <w:webHidden/>
              </w:rPr>
              <w:fldChar w:fldCharType="begin"/>
            </w:r>
            <w:r w:rsidR="00FD59E8">
              <w:rPr>
                <w:noProof/>
                <w:webHidden/>
              </w:rPr>
              <w:instrText xml:space="preserve"> PAGEREF _Toc147990146 \h </w:instrText>
            </w:r>
            <w:r w:rsidR="00FD59E8">
              <w:rPr>
                <w:noProof/>
                <w:webHidden/>
              </w:rPr>
            </w:r>
            <w:r w:rsidR="00FD59E8">
              <w:rPr>
                <w:noProof/>
                <w:webHidden/>
              </w:rPr>
              <w:fldChar w:fldCharType="separate"/>
            </w:r>
            <w:r w:rsidR="00FD59E8">
              <w:rPr>
                <w:noProof/>
                <w:webHidden/>
              </w:rPr>
              <w:t>18</w:t>
            </w:r>
            <w:r w:rsidR="00FD59E8">
              <w:rPr>
                <w:noProof/>
                <w:webHidden/>
              </w:rPr>
              <w:fldChar w:fldCharType="end"/>
            </w:r>
          </w:hyperlink>
        </w:p>
        <w:p w14:paraId="34F61C3A" w14:textId="02DE645E" w:rsidR="00FD59E8" w:rsidRDefault="00CA7653">
          <w:pPr>
            <w:pStyle w:val="TOC2"/>
            <w:rPr>
              <w:rFonts w:eastAsiaTheme="minorEastAsia"/>
              <w:noProof/>
            </w:rPr>
          </w:pPr>
          <w:hyperlink w:anchor="_Toc147990147" w:history="1">
            <w:r w:rsidR="00FD59E8" w:rsidRPr="0046730E">
              <w:rPr>
                <w:rStyle w:val="Hyperlink"/>
                <w:rFonts w:eastAsia="Times New Roman" w:cstheme="minorHAnsi"/>
                <w:noProof/>
                <w:lang w:val="sr-Latn-ME" w:bidi="hi-IN"/>
                <w14:ligatures w14:val="none"/>
              </w:rPr>
              <w:t>2.3.1</w:t>
            </w:r>
            <w:r w:rsidR="00FD59E8">
              <w:rPr>
                <w:rFonts w:eastAsiaTheme="minorEastAsia"/>
                <w:noProof/>
              </w:rPr>
              <w:tab/>
            </w:r>
            <w:r w:rsidR="00FD59E8" w:rsidRPr="0046730E">
              <w:rPr>
                <w:rStyle w:val="Hyperlink"/>
                <w:rFonts w:eastAsia="Times New Roman" w:cstheme="minorHAnsi"/>
                <w:noProof/>
                <w:lang w:val="sr-Latn-ME" w:bidi="hi-IN"/>
                <w14:ligatures w14:val="none"/>
              </w:rPr>
              <w:t>Analiza i procjena naplaćenog poreza na dobit sa procjenama smanjenja sive ekonomije u dijelu prijavljivanja dobiti</w:t>
            </w:r>
            <w:r w:rsidR="00FD59E8">
              <w:rPr>
                <w:noProof/>
                <w:webHidden/>
              </w:rPr>
              <w:tab/>
            </w:r>
            <w:r w:rsidR="00FD59E8">
              <w:rPr>
                <w:noProof/>
                <w:webHidden/>
              </w:rPr>
              <w:fldChar w:fldCharType="begin"/>
            </w:r>
            <w:r w:rsidR="00FD59E8">
              <w:rPr>
                <w:noProof/>
                <w:webHidden/>
              </w:rPr>
              <w:instrText xml:space="preserve"> PAGEREF _Toc147990147 \h </w:instrText>
            </w:r>
            <w:r w:rsidR="00FD59E8">
              <w:rPr>
                <w:noProof/>
                <w:webHidden/>
              </w:rPr>
            </w:r>
            <w:r w:rsidR="00FD59E8">
              <w:rPr>
                <w:noProof/>
                <w:webHidden/>
              </w:rPr>
              <w:fldChar w:fldCharType="separate"/>
            </w:r>
            <w:r w:rsidR="00FD59E8">
              <w:rPr>
                <w:noProof/>
                <w:webHidden/>
              </w:rPr>
              <w:t>19</w:t>
            </w:r>
            <w:r w:rsidR="00FD59E8">
              <w:rPr>
                <w:noProof/>
                <w:webHidden/>
              </w:rPr>
              <w:fldChar w:fldCharType="end"/>
            </w:r>
          </w:hyperlink>
        </w:p>
        <w:p w14:paraId="60A5AA3F" w14:textId="3369D0F9" w:rsidR="00FD59E8" w:rsidRDefault="00CA7653">
          <w:pPr>
            <w:pStyle w:val="TOC2"/>
            <w:rPr>
              <w:rFonts w:eastAsiaTheme="minorEastAsia"/>
              <w:noProof/>
            </w:rPr>
          </w:pPr>
          <w:hyperlink w:anchor="_Toc147990148" w:history="1">
            <w:r w:rsidR="00FD59E8" w:rsidRPr="0046730E">
              <w:rPr>
                <w:rStyle w:val="Hyperlink"/>
                <w:rFonts w:eastAsia="Times New Roman" w:cstheme="minorHAnsi"/>
                <w:noProof/>
                <w:lang w:val="sr-Latn-ME" w:bidi="hi-IN"/>
                <w14:ligatures w14:val="none"/>
              </w:rPr>
              <w:t>2.3.2</w:t>
            </w:r>
            <w:r w:rsidR="00FD59E8">
              <w:rPr>
                <w:rFonts w:eastAsiaTheme="minorEastAsia"/>
                <w:noProof/>
              </w:rPr>
              <w:tab/>
            </w:r>
            <w:r w:rsidR="00FD59E8" w:rsidRPr="0046730E">
              <w:rPr>
                <w:rStyle w:val="Hyperlink"/>
                <w:rFonts w:eastAsia="Times New Roman" w:cstheme="minorHAnsi"/>
                <w:noProof/>
                <w:lang w:val="sr-Latn-ME" w:bidi="hi-IN"/>
                <w14:ligatures w14:val="none"/>
              </w:rPr>
              <w:t>Analiza naplaćenih prihoda od oporezivanja zarada i procjena uticaja poreske reforme na smanjenje sive ekonomije u oblasti zarada</w:t>
            </w:r>
            <w:r w:rsidR="00FD59E8">
              <w:rPr>
                <w:noProof/>
                <w:webHidden/>
              </w:rPr>
              <w:tab/>
            </w:r>
            <w:r w:rsidR="00FD59E8">
              <w:rPr>
                <w:noProof/>
                <w:webHidden/>
              </w:rPr>
              <w:fldChar w:fldCharType="begin"/>
            </w:r>
            <w:r w:rsidR="00FD59E8">
              <w:rPr>
                <w:noProof/>
                <w:webHidden/>
              </w:rPr>
              <w:instrText xml:space="preserve"> PAGEREF _Toc147990148 \h </w:instrText>
            </w:r>
            <w:r w:rsidR="00FD59E8">
              <w:rPr>
                <w:noProof/>
                <w:webHidden/>
              </w:rPr>
            </w:r>
            <w:r w:rsidR="00FD59E8">
              <w:rPr>
                <w:noProof/>
                <w:webHidden/>
              </w:rPr>
              <w:fldChar w:fldCharType="separate"/>
            </w:r>
            <w:r w:rsidR="00FD59E8">
              <w:rPr>
                <w:noProof/>
                <w:webHidden/>
              </w:rPr>
              <w:t>21</w:t>
            </w:r>
            <w:r w:rsidR="00FD59E8">
              <w:rPr>
                <w:noProof/>
                <w:webHidden/>
              </w:rPr>
              <w:fldChar w:fldCharType="end"/>
            </w:r>
          </w:hyperlink>
        </w:p>
        <w:p w14:paraId="4E81102C" w14:textId="7F9A8CFF" w:rsidR="00FD59E8" w:rsidRDefault="00CA7653">
          <w:pPr>
            <w:pStyle w:val="TOC2"/>
            <w:rPr>
              <w:rFonts w:eastAsiaTheme="minorEastAsia"/>
              <w:noProof/>
            </w:rPr>
          </w:pPr>
          <w:hyperlink w:anchor="_Toc147990149" w:history="1">
            <w:r w:rsidR="00FD59E8" w:rsidRPr="0046730E">
              <w:rPr>
                <w:rStyle w:val="Hyperlink"/>
                <w:rFonts w:eastAsia="Calibri"/>
                <w:noProof/>
                <w:lang w:val="pl-PL"/>
              </w:rPr>
              <w:t>2.4</w:t>
            </w:r>
            <w:r w:rsidR="00FD59E8">
              <w:rPr>
                <w:rFonts w:eastAsiaTheme="minorEastAsia"/>
                <w:noProof/>
              </w:rPr>
              <w:tab/>
            </w:r>
            <w:r w:rsidR="00FD59E8" w:rsidRPr="0046730E">
              <w:rPr>
                <w:rStyle w:val="Hyperlink"/>
                <w:rFonts w:eastAsia="Calibri"/>
                <w:noProof/>
                <w:lang w:val="pl-PL"/>
              </w:rPr>
              <w:t>Uzroci i posljedice neformalne ekonomije u Crnoj Gori</w:t>
            </w:r>
            <w:r w:rsidR="00FD59E8">
              <w:rPr>
                <w:noProof/>
                <w:webHidden/>
              </w:rPr>
              <w:tab/>
            </w:r>
            <w:r w:rsidR="00FD59E8">
              <w:rPr>
                <w:noProof/>
                <w:webHidden/>
              </w:rPr>
              <w:fldChar w:fldCharType="begin"/>
            </w:r>
            <w:r w:rsidR="00FD59E8">
              <w:rPr>
                <w:noProof/>
                <w:webHidden/>
              </w:rPr>
              <w:instrText xml:space="preserve"> PAGEREF _Toc147990149 \h </w:instrText>
            </w:r>
            <w:r w:rsidR="00FD59E8">
              <w:rPr>
                <w:noProof/>
                <w:webHidden/>
              </w:rPr>
            </w:r>
            <w:r w:rsidR="00FD59E8">
              <w:rPr>
                <w:noProof/>
                <w:webHidden/>
              </w:rPr>
              <w:fldChar w:fldCharType="separate"/>
            </w:r>
            <w:r w:rsidR="00FD59E8">
              <w:rPr>
                <w:noProof/>
                <w:webHidden/>
              </w:rPr>
              <w:t>25</w:t>
            </w:r>
            <w:r w:rsidR="00FD59E8">
              <w:rPr>
                <w:noProof/>
                <w:webHidden/>
              </w:rPr>
              <w:fldChar w:fldCharType="end"/>
            </w:r>
          </w:hyperlink>
        </w:p>
        <w:p w14:paraId="4856474B" w14:textId="50FB4C99" w:rsidR="00FD59E8" w:rsidRDefault="00CA7653">
          <w:pPr>
            <w:pStyle w:val="TOC2"/>
            <w:rPr>
              <w:rFonts w:eastAsiaTheme="minorEastAsia"/>
              <w:noProof/>
            </w:rPr>
          </w:pPr>
          <w:hyperlink w:anchor="_Toc147990150" w:history="1">
            <w:r w:rsidR="00FD59E8" w:rsidRPr="0046730E">
              <w:rPr>
                <w:rStyle w:val="Hyperlink"/>
                <w:rFonts w:eastAsia="Calibri"/>
                <w:noProof/>
                <w:lang w:val="sr-Latn-ME"/>
              </w:rPr>
              <w:t>2.5</w:t>
            </w:r>
            <w:r w:rsidR="00FD59E8">
              <w:rPr>
                <w:rFonts w:eastAsiaTheme="minorEastAsia"/>
                <w:noProof/>
              </w:rPr>
              <w:tab/>
            </w:r>
            <w:r w:rsidR="00FD59E8" w:rsidRPr="0046730E">
              <w:rPr>
                <w:rStyle w:val="Hyperlink"/>
                <w:rFonts w:eastAsia="Calibri"/>
                <w:noProof/>
                <w:lang w:val="sr-Latn-ME"/>
              </w:rPr>
              <w:t>Analiza zainteresovanih strana</w:t>
            </w:r>
            <w:r w:rsidR="00FD59E8">
              <w:rPr>
                <w:noProof/>
                <w:webHidden/>
              </w:rPr>
              <w:tab/>
            </w:r>
            <w:r w:rsidR="00FD59E8">
              <w:rPr>
                <w:noProof/>
                <w:webHidden/>
              </w:rPr>
              <w:fldChar w:fldCharType="begin"/>
            </w:r>
            <w:r w:rsidR="00FD59E8">
              <w:rPr>
                <w:noProof/>
                <w:webHidden/>
              </w:rPr>
              <w:instrText xml:space="preserve"> PAGEREF _Toc147990150 \h </w:instrText>
            </w:r>
            <w:r w:rsidR="00FD59E8">
              <w:rPr>
                <w:noProof/>
                <w:webHidden/>
              </w:rPr>
            </w:r>
            <w:r w:rsidR="00FD59E8">
              <w:rPr>
                <w:noProof/>
                <w:webHidden/>
              </w:rPr>
              <w:fldChar w:fldCharType="separate"/>
            </w:r>
            <w:r w:rsidR="00FD59E8">
              <w:rPr>
                <w:noProof/>
                <w:webHidden/>
              </w:rPr>
              <w:t>36</w:t>
            </w:r>
            <w:r w:rsidR="00FD59E8">
              <w:rPr>
                <w:noProof/>
                <w:webHidden/>
              </w:rPr>
              <w:fldChar w:fldCharType="end"/>
            </w:r>
          </w:hyperlink>
        </w:p>
        <w:p w14:paraId="30F9E3E2" w14:textId="3C421E83" w:rsidR="00FD59E8" w:rsidRDefault="00CA7653">
          <w:pPr>
            <w:pStyle w:val="TOC2"/>
            <w:rPr>
              <w:rFonts w:eastAsiaTheme="minorEastAsia"/>
              <w:noProof/>
            </w:rPr>
          </w:pPr>
          <w:hyperlink w:anchor="_Toc147990151" w:history="1">
            <w:r w:rsidR="00FD59E8" w:rsidRPr="0046730E">
              <w:rPr>
                <w:rStyle w:val="Hyperlink"/>
                <w:noProof/>
                <w:lang w:val="it-IT"/>
              </w:rPr>
              <w:t>2.6</w:t>
            </w:r>
            <w:r w:rsidR="00FD59E8">
              <w:rPr>
                <w:rFonts w:eastAsiaTheme="minorEastAsia"/>
                <w:noProof/>
              </w:rPr>
              <w:tab/>
            </w:r>
            <w:r w:rsidR="00FD59E8" w:rsidRPr="0046730E">
              <w:rPr>
                <w:rStyle w:val="Hyperlink"/>
                <w:noProof/>
                <w:lang w:val="it-IT"/>
              </w:rPr>
              <w:t>PESTLE analiza</w:t>
            </w:r>
            <w:r w:rsidR="00FD59E8">
              <w:rPr>
                <w:noProof/>
                <w:webHidden/>
              </w:rPr>
              <w:tab/>
            </w:r>
            <w:r w:rsidR="00FD59E8">
              <w:rPr>
                <w:noProof/>
                <w:webHidden/>
              </w:rPr>
              <w:fldChar w:fldCharType="begin"/>
            </w:r>
            <w:r w:rsidR="00FD59E8">
              <w:rPr>
                <w:noProof/>
                <w:webHidden/>
              </w:rPr>
              <w:instrText xml:space="preserve"> PAGEREF _Toc147990151 \h </w:instrText>
            </w:r>
            <w:r w:rsidR="00FD59E8">
              <w:rPr>
                <w:noProof/>
                <w:webHidden/>
              </w:rPr>
            </w:r>
            <w:r w:rsidR="00FD59E8">
              <w:rPr>
                <w:noProof/>
                <w:webHidden/>
              </w:rPr>
              <w:fldChar w:fldCharType="separate"/>
            </w:r>
            <w:r w:rsidR="00FD59E8">
              <w:rPr>
                <w:noProof/>
                <w:webHidden/>
              </w:rPr>
              <w:t>36</w:t>
            </w:r>
            <w:r w:rsidR="00FD59E8">
              <w:rPr>
                <w:noProof/>
                <w:webHidden/>
              </w:rPr>
              <w:fldChar w:fldCharType="end"/>
            </w:r>
          </w:hyperlink>
        </w:p>
        <w:p w14:paraId="7DA8348F" w14:textId="59ADCA68" w:rsidR="00FD59E8" w:rsidRDefault="00CA7653">
          <w:pPr>
            <w:pStyle w:val="TOC2"/>
            <w:rPr>
              <w:rFonts w:eastAsiaTheme="minorEastAsia"/>
              <w:noProof/>
            </w:rPr>
          </w:pPr>
          <w:hyperlink w:anchor="_Toc147990152" w:history="1">
            <w:r w:rsidR="00FD59E8" w:rsidRPr="0046730E">
              <w:rPr>
                <w:rStyle w:val="Hyperlink"/>
                <w:rFonts w:eastAsia="Calibri"/>
                <w:noProof/>
                <w:lang w:val="sr-Latn-ME"/>
              </w:rPr>
              <w:t>2.7. SWOT analiza</w:t>
            </w:r>
            <w:r w:rsidR="00FD59E8">
              <w:rPr>
                <w:noProof/>
                <w:webHidden/>
              </w:rPr>
              <w:tab/>
            </w:r>
            <w:r w:rsidR="00FD59E8">
              <w:rPr>
                <w:noProof/>
                <w:webHidden/>
              </w:rPr>
              <w:fldChar w:fldCharType="begin"/>
            </w:r>
            <w:r w:rsidR="00FD59E8">
              <w:rPr>
                <w:noProof/>
                <w:webHidden/>
              </w:rPr>
              <w:instrText xml:space="preserve"> PAGEREF _Toc147990152 \h </w:instrText>
            </w:r>
            <w:r w:rsidR="00FD59E8">
              <w:rPr>
                <w:noProof/>
                <w:webHidden/>
              </w:rPr>
            </w:r>
            <w:r w:rsidR="00FD59E8">
              <w:rPr>
                <w:noProof/>
                <w:webHidden/>
              </w:rPr>
              <w:fldChar w:fldCharType="separate"/>
            </w:r>
            <w:r w:rsidR="00FD59E8">
              <w:rPr>
                <w:noProof/>
                <w:webHidden/>
              </w:rPr>
              <w:t>42</w:t>
            </w:r>
            <w:r w:rsidR="00FD59E8">
              <w:rPr>
                <w:noProof/>
                <w:webHidden/>
              </w:rPr>
              <w:fldChar w:fldCharType="end"/>
            </w:r>
          </w:hyperlink>
        </w:p>
        <w:p w14:paraId="38F53B86" w14:textId="0B85A1B2" w:rsidR="00FD59E8" w:rsidRDefault="00CA7653">
          <w:pPr>
            <w:pStyle w:val="TOC1"/>
            <w:tabs>
              <w:tab w:val="left" w:pos="440"/>
              <w:tab w:val="right" w:leader="dot" w:pos="9350"/>
            </w:tabs>
            <w:rPr>
              <w:rFonts w:cstheme="minorBidi"/>
              <w:noProof/>
              <w:kern w:val="2"/>
              <w14:ligatures w14:val="standardContextual"/>
            </w:rPr>
          </w:pPr>
          <w:hyperlink w:anchor="_Toc147990153" w:history="1">
            <w:r w:rsidR="00FD59E8" w:rsidRPr="0046730E">
              <w:rPr>
                <w:rStyle w:val="Hyperlink"/>
                <w:noProof/>
                <w:lang w:val="pl-PL"/>
              </w:rPr>
              <w:t>3.</w:t>
            </w:r>
            <w:r w:rsidR="00FD59E8">
              <w:rPr>
                <w:rFonts w:cstheme="minorBidi"/>
                <w:noProof/>
                <w:kern w:val="2"/>
                <w14:ligatures w14:val="standardContextual"/>
              </w:rPr>
              <w:tab/>
            </w:r>
            <w:r w:rsidR="00FD59E8" w:rsidRPr="0046730E">
              <w:rPr>
                <w:rStyle w:val="Hyperlink"/>
                <w:noProof/>
                <w:lang w:val="pl-PL"/>
              </w:rPr>
              <w:t>CILJEVI PROGRAMA I PRATEĆI INDIKATORI UČINKA</w:t>
            </w:r>
            <w:r w:rsidR="00FD59E8">
              <w:rPr>
                <w:noProof/>
                <w:webHidden/>
              </w:rPr>
              <w:tab/>
            </w:r>
            <w:r w:rsidR="00FD59E8">
              <w:rPr>
                <w:noProof/>
                <w:webHidden/>
              </w:rPr>
              <w:fldChar w:fldCharType="begin"/>
            </w:r>
            <w:r w:rsidR="00FD59E8">
              <w:rPr>
                <w:noProof/>
                <w:webHidden/>
              </w:rPr>
              <w:instrText xml:space="preserve"> PAGEREF _Toc147990153 \h </w:instrText>
            </w:r>
            <w:r w:rsidR="00FD59E8">
              <w:rPr>
                <w:noProof/>
                <w:webHidden/>
              </w:rPr>
            </w:r>
            <w:r w:rsidR="00FD59E8">
              <w:rPr>
                <w:noProof/>
                <w:webHidden/>
              </w:rPr>
              <w:fldChar w:fldCharType="separate"/>
            </w:r>
            <w:r w:rsidR="00FD59E8">
              <w:rPr>
                <w:noProof/>
                <w:webHidden/>
              </w:rPr>
              <w:t>44</w:t>
            </w:r>
            <w:r w:rsidR="00FD59E8">
              <w:rPr>
                <w:noProof/>
                <w:webHidden/>
              </w:rPr>
              <w:fldChar w:fldCharType="end"/>
            </w:r>
          </w:hyperlink>
        </w:p>
        <w:p w14:paraId="32F95AF9" w14:textId="45CCFFD0" w:rsidR="00FD59E8" w:rsidRDefault="00CA7653">
          <w:pPr>
            <w:pStyle w:val="TOC1"/>
            <w:tabs>
              <w:tab w:val="right" w:leader="dot" w:pos="9350"/>
            </w:tabs>
            <w:rPr>
              <w:rFonts w:cstheme="minorBidi"/>
              <w:noProof/>
              <w:kern w:val="2"/>
              <w14:ligatures w14:val="standardContextual"/>
            </w:rPr>
          </w:pPr>
          <w:hyperlink w:anchor="_Toc147990154" w:history="1">
            <w:r w:rsidR="00FD59E8" w:rsidRPr="0046730E">
              <w:rPr>
                <w:rStyle w:val="Hyperlink"/>
                <w:noProof/>
                <w:lang w:val="pl-PL"/>
              </w:rPr>
              <w:t>4.FINANSIRANJE</w:t>
            </w:r>
            <w:r w:rsidR="00FD59E8">
              <w:rPr>
                <w:noProof/>
                <w:webHidden/>
              </w:rPr>
              <w:tab/>
            </w:r>
            <w:r w:rsidR="00FD59E8">
              <w:rPr>
                <w:noProof/>
                <w:webHidden/>
              </w:rPr>
              <w:fldChar w:fldCharType="begin"/>
            </w:r>
            <w:r w:rsidR="00FD59E8">
              <w:rPr>
                <w:noProof/>
                <w:webHidden/>
              </w:rPr>
              <w:instrText xml:space="preserve"> PAGEREF _Toc147990154 \h </w:instrText>
            </w:r>
            <w:r w:rsidR="00FD59E8">
              <w:rPr>
                <w:noProof/>
                <w:webHidden/>
              </w:rPr>
            </w:r>
            <w:r w:rsidR="00FD59E8">
              <w:rPr>
                <w:noProof/>
                <w:webHidden/>
              </w:rPr>
              <w:fldChar w:fldCharType="separate"/>
            </w:r>
            <w:r w:rsidR="00FD59E8">
              <w:rPr>
                <w:noProof/>
                <w:webHidden/>
              </w:rPr>
              <w:t>57</w:t>
            </w:r>
            <w:r w:rsidR="00FD59E8">
              <w:rPr>
                <w:noProof/>
                <w:webHidden/>
              </w:rPr>
              <w:fldChar w:fldCharType="end"/>
            </w:r>
          </w:hyperlink>
        </w:p>
        <w:p w14:paraId="2323CD63" w14:textId="18F1E80E" w:rsidR="00FD59E8" w:rsidRDefault="00CA7653">
          <w:pPr>
            <w:pStyle w:val="TOC1"/>
            <w:tabs>
              <w:tab w:val="right" w:leader="dot" w:pos="9350"/>
            </w:tabs>
            <w:rPr>
              <w:rFonts w:cstheme="minorBidi"/>
              <w:noProof/>
              <w:kern w:val="2"/>
              <w14:ligatures w14:val="standardContextual"/>
            </w:rPr>
          </w:pPr>
          <w:hyperlink w:anchor="_Toc147990155" w:history="1">
            <w:r w:rsidR="00FD59E8" w:rsidRPr="0046730E">
              <w:rPr>
                <w:rStyle w:val="Hyperlink"/>
                <w:noProof/>
                <w:lang w:val="sr-Latn-ME"/>
              </w:rPr>
              <w:t>5.</w:t>
            </w:r>
            <w:r w:rsidR="00FD59E8" w:rsidRPr="0046730E">
              <w:rPr>
                <w:rStyle w:val="Hyperlink"/>
                <w:noProof/>
              </w:rPr>
              <w:t>MONITORING</w:t>
            </w:r>
            <w:r w:rsidR="00FD59E8" w:rsidRPr="0046730E">
              <w:rPr>
                <w:rStyle w:val="Hyperlink"/>
                <w:noProof/>
                <w:lang w:val="sr-Latn-ME"/>
              </w:rPr>
              <w:t xml:space="preserve">, </w:t>
            </w:r>
            <w:r w:rsidR="00FD59E8" w:rsidRPr="0046730E">
              <w:rPr>
                <w:rStyle w:val="Hyperlink"/>
                <w:noProof/>
              </w:rPr>
              <w:t>IZVJE</w:t>
            </w:r>
            <w:r w:rsidR="00FD59E8" w:rsidRPr="0046730E">
              <w:rPr>
                <w:rStyle w:val="Hyperlink"/>
                <w:noProof/>
                <w:lang w:val="sr-Latn-ME"/>
              </w:rPr>
              <w:t>Š</w:t>
            </w:r>
            <w:r w:rsidR="00FD59E8" w:rsidRPr="0046730E">
              <w:rPr>
                <w:rStyle w:val="Hyperlink"/>
                <w:noProof/>
              </w:rPr>
              <w:t>TAVANJE</w:t>
            </w:r>
            <w:r w:rsidR="00FD59E8" w:rsidRPr="0046730E">
              <w:rPr>
                <w:rStyle w:val="Hyperlink"/>
                <w:noProof/>
                <w:lang w:val="sr-Latn-ME"/>
              </w:rPr>
              <w:t xml:space="preserve"> </w:t>
            </w:r>
            <w:r w:rsidR="00FD59E8" w:rsidRPr="0046730E">
              <w:rPr>
                <w:rStyle w:val="Hyperlink"/>
                <w:noProof/>
              </w:rPr>
              <w:t>I</w:t>
            </w:r>
            <w:r w:rsidR="00FD59E8" w:rsidRPr="0046730E">
              <w:rPr>
                <w:rStyle w:val="Hyperlink"/>
                <w:noProof/>
                <w:lang w:val="sr-Latn-ME"/>
              </w:rPr>
              <w:t xml:space="preserve"> </w:t>
            </w:r>
            <w:r w:rsidR="00FD59E8" w:rsidRPr="0046730E">
              <w:rPr>
                <w:rStyle w:val="Hyperlink"/>
                <w:noProof/>
              </w:rPr>
              <w:t>EVALUACIJA</w:t>
            </w:r>
            <w:r w:rsidR="00FD59E8">
              <w:rPr>
                <w:noProof/>
                <w:webHidden/>
              </w:rPr>
              <w:tab/>
            </w:r>
            <w:r w:rsidR="00FD59E8">
              <w:rPr>
                <w:noProof/>
                <w:webHidden/>
              </w:rPr>
              <w:fldChar w:fldCharType="begin"/>
            </w:r>
            <w:r w:rsidR="00FD59E8">
              <w:rPr>
                <w:noProof/>
                <w:webHidden/>
              </w:rPr>
              <w:instrText xml:space="preserve"> PAGEREF _Toc147990155 \h </w:instrText>
            </w:r>
            <w:r w:rsidR="00FD59E8">
              <w:rPr>
                <w:noProof/>
                <w:webHidden/>
              </w:rPr>
            </w:r>
            <w:r w:rsidR="00FD59E8">
              <w:rPr>
                <w:noProof/>
                <w:webHidden/>
              </w:rPr>
              <w:fldChar w:fldCharType="separate"/>
            </w:r>
            <w:r w:rsidR="00FD59E8">
              <w:rPr>
                <w:noProof/>
                <w:webHidden/>
              </w:rPr>
              <w:t>57</w:t>
            </w:r>
            <w:r w:rsidR="00FD59E8">
              <w:rPr>
                <w:noProof/>
                <w:webHidden/>
              </w:rPr>
              <w:fldChar w:fldCharType="end"/>
            </w:r>
          </w:hyperlink>
        </w:p>
        <w:p w14:paraId="2F8B1B05" w14:textId="6F5EE975" w:rsidR="00FD59E8" w:rsidRDefault="00CA7653">
          <w:pPr>
            <w:pStyle w:val="TOC1"/>
            <w:tabs>
              <w:tab w:val="right" w:leader="dot" w:pos="9350"/>
            </w:tabs>
            <w:rPr>
              <w:rFonts w:cstheme="minorBidi"/>
              <w:noProof/>
              <w:kern w:val="2"/>
              <w14:ligatures w14:val="standardContextual"/>
            </w:rPr>
          </w:pPr>
          <w:hyperlink w:anchor="_Toc147990156" w:history="1">
            <w:r w:rsidR="00FD59E8" w:rsidRPr="0046730E">
              <w:rPr>
                <w:rStyle w:val="Hyperlink"/>
                <w:noProof/>
                <w:lang w:val="pl-PL"/>
              </w:rPr>
              <w:t>6.INFORMACIJA ZA JAVNOST O CILJEVIMA I OČEKIVANIM UČINCIMA PROGRAMA U SKLADU SA KOMUNIKACIONOM STRATEGIJOM VLADE</w:t>
            </w:r>
            <w:r w:rsidR="00FD59E8">
              <w:rPr>
                <w:noProof/>
                <w:webHidden/>
              </w:rPr>
              <w:tab/>
            </w:r>
            <w:r w:rsidR="00FD59E8">
              <w:rPr>
                <w:noProof/>
                <w:webHidden/>
              </w:rPr>
              <w:fldChar w:fldCharType="begin"/>
            </w:r>
            <w:r w:rsidR="00FD59E8">
              <w:rPr>
                <w:noProof/>
                <w:webHidden/>
              </w:rPr>
              <w:instrText xml:space="preserve"> PAGEREF _Toc147990156 \h </w:instrText>
            </w:r>
            <w:r w:rsidR="00FD59E8">
              <w:rPr>
                <w:noProof/>
                <w:webHidden/>
              </w:rPr>
            </w:r>
            <w:r w:rsidR="00FD59E8">
              <w:rPr>
                <w:noProof/>
                <w:webHidden/>
              </w:rPr>
              <w:fldChar w:fldCharType="separate"/>
            </w:r>
            <w:r w:rsidR="00FD59E8">
              <w:rPr>
                <w:noProof/>
                <w:webHidden/>
              </w:rPr>
              <w:t>58</w:t>
            </w:r>
            <w:r w:rsidR="00FD59E8">
              <w:rPr>
                <w:noProof/>
                <w:webHidden/>
              </w:rPr>
              <w:fldChar w:fldCharType="end"/>
            </w:r>
          </w:hyperlink>
        </w:p>
        <w:p w14:paraId="0698504F" w14:textId="31CDC961" w:rsidR="00FD59E8" w:rsidRDefault="00CA7653">
          <w:pPr>
            <w:pStyle w:val="TOC1"/>
            <w:tabs>
              <w:tab w:val="right" w:leader="dot" w:pos="9350"/>
            </w:tabs>
            <w:rPr>
              <w:rFonts w:cstheme="minorBidi"/>
              <w:noProof/>
              <w:kern w:val="2"/>
              <w14:ligatures w14:val="standardContextual"/>
            </w:rPr>
          </w:pPr>
          <w:hyperlink w:anchor="_Toc147990157" w:history="1">
            <w:r w:rsidR="00FD59E8" w:rsidRPr="0046730E">
              <w:rPr>
                <w:rStyle w:val="Hyperlink"/>
                <w:noProof/>
                <w:lang w:val="pl-PL"/>
              </w:rPr>
              <w:t>ANNEX 1: IZVJEŠTAJ O SPROVEDENOM ISTRAŽIVANJU ZAINTERESOVANIH STRANA</w:t>
            </w:r>
            <w:r w:rsidR="00FD59E8">
              <w:rPr>
                <w:noProof/>
                <w:webHidden/>
              </w:rPr>
              <w:tab/>
            </w:r>
            <w:r w:rsidR="00FD59E8">
              <w:rPr>
                <w:noProof/>
                <w:webHidden/>
              </w:rPr>
              <w:fldChar w:fldCharType="begin"/>
            </w:r>
            <w:r w:rsidR="00FD59E8">
              <w:rPr>
                <w:noProof/>
                <w:webHidden/>
              </w:rPr>
              <w:instrText xml:space="preserve"> PAGEREF _Toc147990157 \h </w:instrText>
            </w:r>
            <w:r w:rsidR="00FD59E8">
              <w:rPr>
                <w:noProof/>
                <w:webHidden/>
              </w:rPr>
            </w:r>
            <w:r w:rsidR="00FD59E8">
              <w:rPr>
                <w:noProof/>
                <w:webHidden/>
              </w:rPr>
              <w:fldChar w:fldCharType="separate"/>
            </w:r>
            <w:r w:rsidR="00FD59E8">
              <w:rPr>
                <w:noProof/>
                <w:webHidden/>
              </w:rPr>
              <w:t>59</w:t>
            </w:r>
            <w:r w:rsidR="00FD59E8">
              <w:rPr>
                <w:noProof/>
                <w:webHidden/>
              </w:rPr>
              <w:fldChar w:fldCharType="end"/>
            </w:r>
          </w:hyperlink>
        </w:p>
        <w:p w14:paraId="6CB74ACA" w14:textId="708DB142" w:rsidR="0042027A" w:rsidRDefault="0042027A">
          <w:r>
            <w:rPr>
              <w:b/>
              <w:bCs/>
              <w:noProof/>
            </w:rPr>
            <w:fldChar w:fldCharType="end"/>
          </w:r>
        </w:p>
      </w:sdtContent>
    </w:sdt>
    <w:p w14:paraId="641F012E" w14:textId="77777777" w:rsidR="002A59F9" w:rsidRDefault="002A59F9" w:rsidP="002A59F9">
      <w:pPr>
        <w:rPr>
          <w:b/>
          <w:bCs/>
          <w:color w:val="002060"/>
          <w:sz w:val="24"/>
          <w:szCs w:val="24"/>
        </w:rPr>
      </w:pPr>
    </w:p>
    <w:p w14:paraId="2589BA7F" w14:textId="77777777" w:rsidR="009925C9" w:rsidRDefault="009925C9" w:rsidP="002A59F9">
      <w:pPr>
        <w:rPr>
          <w:b/>
          <w:bCs/>
          <w:color w:val="002060"/>
          <w:sz w:val="24"/>
          <w:szCs w:val="24"/>
        </w:rPr>
      </w:pPr>
    </w:p>
    <w:p w14:paraId="1A69401F" w14:textId="77777777" w:rsidR="009925C9" w:rsidRDefault="009925C9" w:rsidP="002A59F9">
      <w:pPr>
        <w:rPr>
          <w:b/>
          <w:bCs/>
          <w:color w:val="002060"/>
          <w:sz w:val="24"/>
          <w:szCs w:val="24"/>
        </w:rPr>
      </w:pPr>
    </w:p>
    <w:p w14:paraId="5320A6A1" w14:textId="77777777" w:rsidR="009925C9" w:rsidRDefault="009925C9" w:rsidP="002A59F9">
      <w:pPr>
        <w:rPr>
          <w:b/>
          <w:bCs/>
          <w:color w:val="002060"/>
          <w:sz w:val="24"/>
          <w:szCs w:val="24"/>
        </w:rPr>
      </w:pPr>
    </w:p>
    <w:p w14:paraId="7DA7B7EB" w14:textId="77777777" w:rsidR="005F41C3" w:rsidRDefault="005F41C3" w:rsidP="002A59F9">
      <w:pPr>
        <w:rPr>
          <w:b/>
          <w:bCs/>
          <w:color w:val="002060"/>
          <w:sz w:val="24"/>
          <w:szCs w:val="24"/>
        </w:rPr>
      </w:pPr>
    </w:p>
    <w:p w14:paraId="4CDDBE78" w14:textId="77777777" w:rsidR="001D0030" w:rsidRDefault="001D0030" w:rsidP="002A59F9">
      <w:pPr>
        <w:rPr>
          <w:b/>
          <w:bCs/>
          <w:color w:val="002060"/>
          <w:sz w:val="24"/>
          <w:szCs w:val="24"/>
        </w:rPr>
      </w:pPr>
    </w:p>
    <w:p w14:paraId="51434CC9" w14:textId="2558706D" w:rsidR="001D0030" w:rsidRPr="00BF69E2" w:rsidRDefault="001D0030" w:rsidP="002A59F9">
      <w:pPr>
        <w:rPr>
          <w:b/>
          <w:bCs/>
          <w:color w:val="002060"/>
          <w:sz w:val="24"/>
          <w:szCs w:val="24"/>
          <w:lang w:val="pl-PL"/>
        </w:rPr>
      </w:pPr>
      <w:r w:rsidRPr="00BF69E2">
        <w:rPr>
          <w:b/>
          <w:bCs/>
          <w:color w:val="002060"/>
          <w:sz w:val="24"/>
          <w:szCs w:val="24"/>
          <w:lang w:val="pl-PL"/>
        </w:rPr>
        <w:t>LISTA SKRAĆENICA</w:t>
      </w:r>
    </w:p>
    <w:p w14:paraId="29B2AE67" w14:textId="77777777" w:rsidR="001D0030" w:rsidRPr="00BF69E2" w:rsidRDefault="001D0030" w:rsidP="001D0030">
      <w:pPr>
        <w:spacing w:line="240" w:lineRule="auto"/>
        <w:rPr>
          <w:sz w:val="20"/>
          <w:szCs w:val="20"/>
          <w:lang w:val="pl-PL"/>
        </w:rPr>
      </w:pPr>
      <w:r w:rsidRPr="00BF69E2">
        <w:rPr>
          <w:sz w:val="20"/>
          <w:szCs w:val="20"/>
          <w:lang w:val="pl-PL"/>
        </w:rPr>
        <w:t>ARS</w:t>
      </w:r>
      <w:r w:rsidRPr="00BF69E2">
        <w:rPr>
          <w:sz w:val="20"/>
          <w:szCs w:val="20"/>
          <w:lang w:val="pl-PL"/>
        </w:rPr>
        <w:tab/>
        <w:t xml:space="preserve">Anketa o radnoj snazi </w:t>
      </w:r>
    </w:p>
    <w:p w14:paraId="46D95C7D" w14:textId="77777777" w:rsidR="001D0030" w:rsidRPr="00BF69E2" w:rsidRDefault="001D0030" w:rsidP="001D0030">
      <w:pPr>
        <w:spacing w:line="240" w:lineRule="auto"/>
        <w:rPr>
          <w:sz w:val="20"/>
          <w:szCs w:val="20"/>
          <w:lang w:val="pl-PL"/>
        </w:rPr>
      </w:pPr>
      <w:r w:rsidRPr="00BF69E2">
        <w:rPr>
          <w:sz w:val="20"/>
          <w:szCs w:val="20"/>
          <w:lang w:val="pl-PL"/>
        </w:rPr>
        <w:t>BDP</w:t>
      </w:r>
      <w:r w:rsidRPr="00BF69E2">
        <w:rPr>
          <w:sz w:val="20"/>
          <w:szCs w:val="20"/>
          <w:lang w:val="pl-PL"/>
        </w:rPr>
        <w:tab/>
        <w:t>Bruto domaći proizvod</w:t>
      </w:r>
    </w:p>
    <w:p w14:paraId="1BBE14A8" w14:textId="77777777" w:rsidR="001D0030" w:rsidRPr="00BF69E2" w:rsidRDefault="001D0030" w:rsidP="001D0030">
      <w:pPr>
        <w:spacing w:line="240" w:lineRule="auto"/>
        <w:rPr>
          <w:sz w:val="20"/>
          <w:szCs w:val="20"/>
          <w:lang w:val="pl-PL"/>
        </w:rPr>
      </w:pPr>
      <w:r w:rsidRPr="00BF69E2">
        <w:rPr>
          <w:sz w:val="20"/>
          <w:szCs w:val="20"/>
          <w:lang w:val="pl-PL"/>
        </w:rPr>
        <w:t>CBCG</w:t>
      </w:r>
      <w:r w:rsidRPr="00BF69E2">
        <w:rPr>
          <w:sz w:val="20"/>
          <w:szCs w:val="20"/>
          <w:lang w:val="pl-PL"/>
        </w:rPr>
        <w:tab/>
        <w:t xml:space="preserve">Centralna banka Crne Gore </w:t>
      </w:r>
    </w:p>
    <w:p w14:paraId="662B446D" w14:textId="77777777" w:rsidR="001D0030" w:rsidRPr="00BF69E2" w:rsidRDefault="001D0030" w:rsidP="001D0030">
      <w:pPr>
        <w:spacing w:line="240" w:lineRule="auto"/>
        <w:rPr>
          <w:sz w:val="20"/>
          <w:szCs w:val="20"/>
          <w:lang w:val="pl-PL"/>
        </w:rPr>
      </w:pPr>
      <w:r w:rsidRPr="00BF69E2">
        <w:rPr>
          <w:sz w:val="20"/>
          <w:szCs w:val="20"/>
          <w:lang w:val="pl-PL"/>
        </w:rPr>
        <w:t>EBRD</w:t>
      </w:r>
      <w:r w:rsidRPr="00BF69E2">
        <w:rPr>
          <w:sz w:val="20"/>
          <w:szCs w:val="20"/>
          <w:lang w:val="pl-PL"/>
        </w:rPr>
        <w:tab/>
        <w:t>Evropska banka za obnovu i razvoj</w:t>
      </w:r>
    </w:p>
    <w:p w14:paraId="24ECE9CF" w14:textId="77777777" w:rsidR="001D0030" w:rsidRPr="00BF69E2" w:rsidRDefault="001D0030" w:rsidP="001D0030">
      <w:pPr>
        <w:spacing w:line="240" w:lineRule="auto"/>
        <w:rPr>
          <w:sz w:val="20"/>
          <w:szCs w:val="20"/>
          <w:lang w:val="pl-PL"/>
        </w:rPr>
      </w:pPr>
      <w:r w:rsidRPr="00BF69E2">
        <w:rPr>
          <w:sz w:val="20"/>
          <w:szCs w:val="20"/>
          <w:lang w:val="pl-PL"/>
        </w:rPr>
        <w:t>EIB</w:t>
      </w:r>
      <w:r w:rsidRPr="00BF69E2">
        <w:rPr>
          <w:sz w:val="20"/>
          <w:szCs w:val="20"/>
          <w:lang w:val="pl-PL"/>
        </w:rPr>
        <w:tab/>
        <w:t>Evropska investiciona banka</w:t>
      </w:r>
    </w:p>
    <w:p w14:paraId="2FD2665E" w14:textId="77777777" w:rsidR="001D0030" w:rsidRPr="00BF69E2" w:rsidRDefault="001D0030" w:rsidP="001D0030">
      <w:pPr>
        <w:spacing w:line="240" w:lineRule="auto"/>
        <w:rPr>
          <w:sz w:val="20"/>
          <w:szCs w:val="20"/>
          <w:lang w:val="pl-PL"/>
        </w:rPr>
      </w:pPr>
      <w:r w:rsidRPr="00BF69E2">
        <w:rPr>
          <w:sz w:val="20"/>
          <w:szCs w:val="20"/>
          <w:lang w:val="pl-PL"/>
        </w:rPr>
        <w:t>EK</w:t>
      </w:r>
      <w:r w:rsidRPr="00BF69E2">
        <w:rPr>
          <w:sz w:val="20"/>
          <w:szCs w:val="20"/>
          <w:lang w:val="pl-PL"/>
        </w:rPr>
        <w:tab/>
        <w:t>Evropska komisija</w:t>
      </w:r>
    </w:p>
    <w:p w14:paraId="35ADF885" w14:textId="77777777" w:rsidR="001D0030" w:rsidRPr="00BF69E2" w:rsidRDefault="001D0030" w:rsidP="001D0030">
      <w:pPr>
        <w:spacing w:line="240" w:lineRule="auto"/>
        <w:rPr>
          <w:sz w:val="20"/>
          <w:szCs w:val="20"/>
          <w:lang w:val="pl-PL"/>
        </w:rPr>
      </w:pPr>
      <w:r w:rsidRPr="00BF69E2">
        <w:rPr>
          <w:sz w:val="20"/>
          <w:szCs w:val="20"/>
          <w:lang w:val="pl-PL"/>
        </w:rPr>
        <w:t>EU</w:t>
      </w:r>
      <w:r w:rsidRPr="00BF69E2">
        <w:rPr>
          <w:sz w:val="20"/>
          <w:szCs w:val="20"/>
          <w:lang w:val="pl-PL"/>
        </w:rPr>
        <w:tab/>
        <w:t>Evropska unija</w:t>
      </w:r>
    </w:p>
    <w:p w14:paraId="6E23CE05" w14:textId="24789280" w:rsidR="001D0030" w:rsidRPr="00BF69E2" w:rsidRDefault="001D0030" w:rsidP="001D0030">
      <w:pPr>
        <w:spacing w:line="240" w:lineRule="auto"/>
        <w:rPr>
          <w:sz w:val="20"/>
          <w:szCs w:val="20"/>
          <w:lang w:val="pl-PL"/>
        </w:rPr>
      </w:pPr>
      <w:r w:rsidRPr="00BF69E2">
        <w:rPr>
          <w:sz w:val="20"/>
          <w:szCs w:val="20"/>
          <w:lang w:val="pl-PL"/>
        </w:rPr>
        <w:t>EUROSTAT Statistički zavod EU</w:t>
      </w:r>
    </w:p>
    <w:p w14:paraId="6EA38F7F" w14:textId="5D5B47D6" w:rsidR="001D0030" w:rsidRPr="00BF69E2" w:rsidRDefault="001D0030" w:rsidP="001D0030">
      <w:pPr>
        <w:spacing w:line="240" w:lineRule="auto"/>
        <w:rPr>
          <w:sz w:val="20"/>
          <w:szCs w:val="20"/>
          <w:lang w:val="pl-PL"/>
        </w:rPr>
      </w:pPr>
      <w:r w:rsidRPr="00BF69E2">
        <w:rPr>
          <w:sz w:val="20"/>
          <w:szCs w:val="20"/>
          <w:lang w:val="pl-PL"/>
        </w:rPr>
        <w:t>FSC</w:t>
      </w:r>
      <w:r w:rsidRPr="00BF69E2">
        <w:rPr>
          <w:sz w:val="20"/>
          <w:szCs w:val="20"/>
          <w:lang w:val="pl-PL"/>
        </w:rPr>
        <w:tab/>
        <w:t xml:space="preserve">Savjet za upravljanje šumama </w:t>
      </w:r>
      <w:r w:rsidR="007C76C2" w:rsidRPr="00BF69E2">
        <w:rPr>
          <w:sz w:val="20"/>
          <w:szCs w:val="20"/>
          <w:lang w:val="pl-PL"/>
        </w:rPr>
        <w:t>-medjunarodna organizacija</w:t>
      </w:r>
    </w:p>
    <w:p w14:paraId="13C4FABE" w14:textId="77777777" w:rsidR="001D0030" w:rsidRPr="00BF69E2" w:rsidRDefault="001D0030" w:rsidP="001D0030">
      <w:pPr>
        <w:spacing w:line="240" w:lineRule="auto"/>
        <w:rPr>
          <w:sz w:val="20"/>
          <w:szCs w:val="20"/>
          <w:lang w:val="pl-PL"/>
        </w:rPr>
      </w:pPr>
      <w:r w:rsidRPr="00BF69E2">
        <w:rPr>
          <w:sz w:val="20"/>
          <w:szCs w:val="20"/>
          <w:lang w:val="pl-PL"/>
        </w:rPr>
        <w:t>ICT</w:t>
      </w:r>
      <w:r w:rsidRPr="00BF69E2">
        <w:rPr>
          <w:sz w:val="20"/>
          <w:szCs w:val="20"/>
          <w:lang w:val="pl-PL"/>
        </w:rPr>
        <w:tab/>
        <w:t>Informacione i komunikacione tehnologije</w:t>
      </w:r>
    </w:p>
    <w:p w14:paraId="06D40B64" w14:textId="77777777" w:rsidR="001D0030" w:rsidRPr="00BF69E2" w:rsidRDefault="001D0030" w:rsidP="001D0030">
      <w:pPr>
        <w:spacing w:line="240" w:lineRule="auto"/>
        <w:rPr>
          <w:sz w:val="20"/>
          <w:szCs w:val="20"/>
          <w:lang w:val="pl-PL"/>
        </w:rPr>
      </w:pPr>
      <w:r w:rsidRPr="00BF69E2">
        <w:rPr>
          <w:sz w:val="20"/>
          <w:szCs w:val="20"/>
          <w:lang w:val="pl-PL"/>
        </w:rPr>
        <w:t>IPA</w:t>
      </w:r>
      <w:r w:rsidRPr="00BF69E2">
        <w:rPr>
          <w:sz w:val="20"/>
          <w:szCs w:val="20"/>
          <w:lang w:val="pl-PL"/>
        </w:rPr>
        <w:tab/>
        <w:t>Pretpristupni instrument</w:t>
      </w:r>
    </w:p>
    <w:p w14:paraId="2DFB0492" w14:textId="77777777" w:rsidR="001D0030" w:rsidRPr="001D0030" w:rsidRDefault="001D0030" w:rsidP="001D0030">
      <w:pPr>
        <w:spacing w:line="240" w:lineRule="auto"/>
        <w:rPr>
          <w:sz w:val="20"/>
          <w:szCs w:val="20"/>
        </w:rPr>
      </w:pPr>
      <w:r w:rsidRPr="001D0030">
        <w:rPr>
          <w:sz w:val="20"/>
          <w:szCs w:val="20"/>
        </w:rPr>
        <w:t>IRF CG</w:t>
      </w:r>
      <w:r w:rsidRPr="001D0030">
        <w:rPr>
          <w:sz w:val="20"/>
          <w:szCs w:val="20"/>
        </w:rPr>
        <w:tab/>
      </w:r>
      <w:proofErr w:type="spellStart"/>
      <w:r w:rsidRPr="001D0030">
        <w:rPr>
          <w:sz w:val="20"/>
          <w:szCs w:val="20"/>
        </w:rPr>
        <w:t>Investiciono-razvojni</w:t>
      </w:r>
      <w:proofErr w:type="spellEnd"/>
      <w:r w:rsidRPr="001D0030">
        <w:rPr>
          <w:sz w:val="20"/>
          <w:szCs w:val="20"/>
        </w:rPr>
        <w:t xml:space="preserve"> fond </w:t>
      </w:r>
      <w:proofErr w:type="spellStart"/>
      <w:r w:rsidRPr="001D0030">
        <w:rPr>
          <w:sz w:val="20"/>
          <w:szCs w:val="20"/>
        </w:rPr>
        <w:t>Crne</w:t>
      </w:r>
      <w:proofErr w:type="spellEnd"/>
      <w:r w:rsidRPr="001D0030">
        <w:rPr>
          <w:sz w:val="20"/>
          <w:szCs w:val="20"/>
        </w:rPr>
        <w:t xml:space="preserve"> Gore</w:t>
      </w:r>
    </w:p>
    <w:p w14:paraId="11EB16FB" w14:textId="77777777" w:rsidR="001D0030" w:rsidRPr="00BF69E2" w:rsidRDefault="001D0030" w:rsidP="001D0030">
      <w:pPr>
        <w:spacing w:line="240" w:lineRule="auto"/>
        <w:rPr>
          <w:sz w:val="20"/>
          <w:szCs w:val="20"/>
          <w:lang w:val="pl-PL"/>
        </w:rPr>
      </w:pPr>
      <w:r w:rsidRPr="00BF69E2">
        <w:rPr>
          <w:sz w:val="20"/>
          <w:szCs w:val="20"/>
          <w:lang w:val="pl-PL"/>
        </w:rPr>
        <w:t xml:space="preserve">IRMS </w:t>
      </w:r>
      <w:r w:rsidRPr="00BF69E2">
        <w:rPr>
          <w:sz w:val="20"/>
          <w:szCs w:val="20"/>
          <w:lang w:val="pl-PL"/>
        </w:rPr>
        <w:tab/>
        <w:t xml:space="preserve">Integrisani sistem upravljanja prihodima </w:t>
      </w:r>
    </w:p>
    <w:p w14:paraId="02DD48AB" w14:textId="77777777" w:rsidR="001D0030" w:rsidRPr="00BF69E2" w:rsidRDefault="001D0030" w:rsidP="001D0030">
      <w:pPr>
        <w:spacing w:line="240" w:lineRule="auto"/>
        <w:rPr>
          <w:sz w:val="20"/>
          <w:szCs w:val="20"/>
          <w:lang w:val="pl-PL"/>
        </w:rPr>
      </w:pPr>
      <w:r w:rsidRPr="00BF69E2">
        <w:rPr>
          <w:sz w:val="20"/>
          <w:szCs w:val="20"/>
          <w:lang w:val="pl-PL"/>
        </w:rPr>
        <w:t>MEK</w:t>
      </w:r>
      <w:r w:rsidRPr="00BF69E2">
        <w:rPr>
          <w:sz w:val="20"/>
          <w:szCs w:val="20"/>
          <w:lang w:val="pl-PL"/>
        </w:rPr>
        <w:tab/>
        <w:t>Ministarstvo ekonomskog razvoja I turizma</w:t>
      </w:r>
    </w:p>
    <w:p w14:paraId="7E398569" w14:textId="77777777" w:rsidR="001D0030" w:rsidRPr="00BF69E2" w:rsidRDefault="001D0030" w:rsidP="001D0030">
      <w:pPr>
        <w:spacing w:line="240" w:lineRule="auto"/>
        <w:rPr>
          <w:sz w:val="20"/>
          <w:szCs w:val="20"/>
          <w:lang w:val="pl-PL"/>
        </w:rPr>
      </w:pPr>
      <w:r w:rsidRPr="00BF69E2">
        <w:rPr>
          <w:sz w:val="20"/>
          <w:szCs w:val="20"/>
          <w:lang w:val="pl-PL"/>
        </w:rPr>
        <w:t>MEPPU</w:t>
      </w:r>
      <w:r w:rsidRPr="00BF69E2">
        <w:rPr>
          <w:sz w:val="20"/>
          <w:szCs w:val="20"/>
          <w:lang w:val="pl-PL"/>
        </w:rPr>
        <w:tab/>
        <w:t>Ministarstvo za ekologije, prostornog planiranja i urbanizma</w:t>
      </w:r>
    </w:p>
    <w:p w14:paraId="7FBFFD50" w14:textId="77777777" w:rsidR="001D0030" w:rsidRPr="001D0030" w:rsidRDefault="001D0030" w:rsidP="001D0030">
      <w:pPr>
        <w:spacing w:line="240" w:lineRule="auto"/>
        <w:rPr>
          <w:sz w:val="20"/>
          <w:szCs w:val="20"/>
        </w:rPr>
      </w:pPr>
      <w:r w:rsidRPr="001D0030">
        <w:rPr>
          <w:sz w:val="20"/>
          <w:szCs w:val="20"/>
        </w:rPr>
        <w:t>MF</w:t>
      </w:r>
      <w:r w:rsidRPr="001D0030">
        <w:rPr>
          <w:sz w:val="20"/>
          <w:szCs w:val="20"/>
        </w:rPr>
        <w:tab/>
      </w:r>
      <w:proofErr w:type="spellStart"/>
      <w:r w:rsidRPr="001D0030">
        <w:rPr>
          <w:sz w:val="20"/>
          <w:szCs w:val="20"/>
        </w:rPr>
        <w:t>Ministarstvo</w:t>
      </w:r>
      <w:proofErr w:type="spellEnd"/>
      <w:r w:rsidRPr="001D0030">
        <w:rPr>
          <w:sz w:val="20"/>
          <w:szCs w:val="20"/>
        </w:rPr>
        <w:t xml:space="preserve"> </w:t>
      </w:r>
      <w:proofErr w:type="spellStart"/>
      <w:r w:rsidRPr="001D0030">
        <w:rPr>
          <w:sz w:val="20"/>
          <w:szCs w:val="20"/>
        </w:rPr>
        <w:t>finansija</w:t>
      </w:r>
      <w:proofErr w:type="spellEnd"/>
    </w:p>
    <w:p w14:paraId="0365D3B0" w14:textId="77777777" w:rsidR="001D0030" w:rsidRPr="001D0030" w:rsidRDefault="001D0030" w:rsidP="001D0030">
      <w:pPr>
        <w:spacing w:line="240" w:lineRule="auto"/>
        <w:rPr>
          <w:sz w:val="20"/>
          <w:szCs w:val="20"/>
        </w:rPr>
      </w:pPr>
      <w:r w:rsidRPr="001D0030">
        <w:rPr>
          <w:sz w:val="20"/>
          <w:szCs w:val="20"/>
        </w:rPr>
        <w:t xml:space="preserve">MIMIC </w:t>
      </w:r>
      <w:proofErr w:type="spellStart"/>
      <w:r w:rsidRPr="001D0030">
        <w:rPr>
          <w:sz w:val="20"/>
          <w:szCs w:val="20"/>
        </w:rPr>
        <w:t>metod</w:t>
      </w:r>
      <w:proofErr w:type="spellEnd"/>
      <w:r w:rsidRPr="001D0030">
        <w:rPr>
          <w:sz w:val="20"/>
          <w:szCs w:val="20"/>
        </w:rPr>
        <w:tab/>
      </w:r>
      <w:proofErr w:type="spellStart"/>
      <w:r w:rsidRPr="001D0030">
        <w:rPr>
          <w:sz w:val="20"/>
          <w:szCs w:val="20"/>
        </w:rPr>
        <w:t>Indikator</w:t>
      </w:r>
      <w:proofErr w:type="spellEnd"/>
      <w:r w:rsidRPr="001D0030">
        <w:rPr>
          <w:sz w:val="20"/>
          <w:szCs w:val="20"/>
        </w:rPr>
        <w:t xml:space="preserve"> </w:t>
      </w:r>
      <w:proofErr w:type="spellStart"/>
      <w:r w:rsidRPr="001D0030">
        <w:rPr>
          <w:sz w:val="20"/>
          <w:szCs w:val="20"/>
        </w:rPr>
        <w:t>višestrukih</w:t>
      </w:r>
      <w:proofErr w:type="spellEnd"/>
      <w:r w:rsidRPr="001D0030">
        <w:rPr>
          <w:sz w:val="20"/>
          <w:szCs w:val="20"/>
        </w:rPr>
        <w:t xml:space="preserve"> </w:t>
      </w:r>
      <w:proofErr w:type="spellStart"/>
      <w:r w:rsidRPr="001D0030">
        <w:rPr>
          <w:sz w:val="20"/>
          <w:szCs w:val="20"/>
        </w:rPr>
        <w:t>urzoka</w:t>
      </w:r>
      <w:proofErr w:type="spellEnd"/>
      <w:r w:rsidRPr="001D0030">
        <w:rPr>
          <w:sz w:val="20"/>
          <w:szCs w:val="20"/>
        </w:rPr>
        <w:t xml:space="preserve"> </w:t>
      </w:r>
      <w:proofErr w:type="spellStart"/>
      <w:r w:rsidRPr="001D0030">
        <w:rPr>
          <w:sz w:val="20"/>
          <w:szCs w:val="20"/>
        </w:rPr>
        <w:t>i</w:t>
      </w:r>
      <w:proofErr w:type="spellEnd"/>
      <w:r w:rsidRPr="001D0030">
        <w:rPr>
          <w:sz w:val="20"/>
          <w:szCs w:val="20"/>
        </w:rPr>
        <w:t xml:space="preserve"> </w:t>
      </w:r>
      <w:proofErr w:type="spellStart"/>
      <w:r w:rsidRPr="001D0030">
        <w:rPr>
          <w:sz w:val="20"/>
          <w:szCs w:val="20"/>
        </w:rPr>
        <w:t>postojanja</w:t>
      </w:r>
      <w:proofErr w:type="spellEnd"/>
      <w:r w:rsidRPr="001D0030">
        <w:rPr>
          <w:sz w:val="20"/>
          <w:szCs w:val="20"/>
        </w:rPr>
        <w:t xml:space="preserve"> </w:t>
      </w:r>
      <w:proofErr w:type="spellStart"/>
      <w:r w:rsidRPr="001D0030">
        <w:rPr>
          <w:sz w:val="20"/>
          <w:szCs w:val="20"/>
        </w:rPr>
        <w:t>rasta</w:t>
      </w:r>
      <w:proofErr w:type="spellEnd"/>
      <w:r w:rsidRPr="001D0030">
        <w:rPr>
          <w:sz w:val="20"/>
          <w:szCs w:val="20"/>
        </w:rPr>
        <w:t xml:space="preserve"> </w:t>
      </w:r>
      <w:proofErr w:type="spellStart"/>
      <w:r w:rsidRPr="001D0030">
        <w:rPr>
          <w:sz w:val="20"/>
          <w:szCs w:val="20"/>
        </w:rPr>
        <w:t>sive</w:t>
      </w:r>
      <w:proofErr w:type="spellEnd"/>
      <w:r w:rsidRPr="001D0030">
        <w:rPr>
          <w:sz w:val="20"/>
          <w:szCs w:val="20"/>
        </w:rPr>
        <w:t xml:space="preserve"> </w:t>
      </w:r>
      <w:proofErr w:type="spellStart"/>
      <w:r w:rsidRPr="001D0030">
        <w:rPr>
          <w:sz w:val="20"/>
          <w:szCs w:val="20"/>
        </w:rPr>
        <w:t>ekonomije</w:t>
      </w:r>
      <w:proofErr w:type="spellEnd"/>
      <w:r w:rsidRPr="001D0030">
        <w:rPr>
          <w:sz w:val="20"/>
          <w:szCs w:val="20"/>
        </w:rPr>
        <w:t xml:space="preserve"> </w:t>
      </w:r>
      <w:proofErr w:type="gramStart"/>
      <w:r w:rsidRPr="001D0030">
        <w:rPr>
          <w:sz w:val="20"/>
          <w:szCs w:val="20"/>
        </w:rPr>
        <w:t>( Multiple</w:t>
      </w:r>
      <w:proofErr w:type="gramEnd"/>
      <w:r w:rsidRPr="001D0030">
        <w:rPr>
          <w:sz w:val="20"/>
          <w:szCs w:val="20"/>
        </w:rPr>
        <w:t xml:space="preserve"> Indicator Multiple Causes)</w:t>
      </w:r>
    </w:p>
    <w:p w14:paraId="7476B085" w14:textId="77777777" w:rsidR="001D0030" w:rsidRPr="00BF69E2" w:rsidRDefault="001D0030" w:rsidP="001D0030">
      <w:pPr>
        <w:spacing w:line="240" w:lineRule="auto"/>
        <w:rPr>
          <w:sz w:val="20"/>
          <w:szCs w:val="20"/>
          <w:lang w:val="pl-PL"/>
        </w:rPr>
      </w:pPr>
      <w:r w:rsidRPr="00BF69E2">
        <w:rPr>
          <w:sz w:val="20"/>
          <w:szCs w:val="20"/>
          <w:lang w:val="pl-PL"/>
        </w:rPr>
        <w:t>MJU</w:t>
      </w:r>
      <w:r w:rsidRPr="00BF69E2">
        <w:rPr>
          <w:sz w:val="20"/>
          <w:szCs w:val="20"/>
          <w:lang w:val="pl-PL"/>
        </w:rPr>
        <w:tab/>
        <w:t>Ministarstvo javne uprave</w:t>
      </w:r>
    </w:p>
    <w:p w14:paraId="085ED741" w14:textId="77777777" w:rsidR="001D0030" w:rsidRPr="00BF69E2" w:rsidRDefault="001D0030" w:rsidP="001D0030">
      <w:pPr>
        <w:spacing w:line="240" w:lineRule="auto"/>
        <w:rPr>
          <w:sz w:val="20"/>
          <w:szCs w:val="20"/>
          <w:lang w:val="pl-PL"/>
        </w:rPr>
      </w:pPr>
      <w:r w:rsidRPr="00BF69E2">
        <w:rPr>
          <w:sz w:val="20"/>
          <w:szCs w:val="20"/>
          <w:lang w:val="pl-PL"/>
        </w:rPr>
        <w:t>MKI</w:t>
      </w:r>
      <w:r w:rsidRPr="00BF69E2">
        <w:rPr>
          <w:sz w:val="20"/>
          <w:szCs w:val="20"/>
          <w:lang w:val="pl-PL"/>
        </w:rPr>
        <w:tab/>
        <w:t>Ministarstvo kapitalnih investicija</w:t>
      </w:r>
    </w:p>
    <w:p w14:paraId="397492AF" w14:textId="77777777" w:rsidR="001D0030" w:rsidRPr="00BF69E2" w:rsidRDefault="001D0030" w:rsidP="001D0030">
      <w:pPr>
        <w:spacing w:line="240" w:lineRule="auto"/>
        <w:rPr>
          <w:sz w:val="20"/>
          <w:szCs w:val="20"/>
          <w:lang w:val="pl-PL"/>
        </w:rPr>
      </w:pPr>
      <w:r w:rsidRPr="00BF69E2">
        <w:rPr>
          <w:sz w:val="20"/>
          <w:szCs w:val="20"/>
          <w:lang w:val="pl-PL"/>
        </w:rPr>
        <w:t>MMF</w:t>
      </w:r>
      <w:r w:rsidRPr="00BF69E2">
        <w:rPr>
          <w:sz w:val="20"/>
          <w:szCs w:val="20"/>
          <w:lang w:val="pl-PL"/>
        </w:rPr>
        <w:tab/>
        <w:t>Međunarodni monetarni fond</w:t>
      </w:r>
    </w:p>
    <w:p w14:paraId="482C14A5" w14:textId="1A81DE6B" w:rsidR="001D0030" w:rsidRPr="00BF69E2" w:rsidRDefault="001D0030" w:rsidP="001D0030">
      <w:pPr>
        <w:spacing w:line="240" w:lineRule="auto"/>
        <w:rPr>
          <w:sz w:val="20"/>
          <w:szCs w:val="20"/>
          <w:lang w:val="pl-PL"/>
        </w:rPr>
      </w:pPr>
      <w:r w:rsidRPr="00BF69E2">
        <w:rPr>
          <w:sz w:val="20"/>
          <w:szCs w:val="20"/>
          <w:lang w:val="pl-PL"/>
        </w:rPr>
        <w:t>MONSTAT Uprava za statistiku Crne Gore</w:t>
      </w:r>
    </w:p>
    <w:p w14:paraId="5E20EC4F" w14:textId="77777777" w:rsidR="001D0030" w:rsidRPr="00BF69E2" w:rsidRDefault="001D0030" w:rsidP="001D0030">
      <w:pPr>
        <w:spacing w:line="240" w:lineRule="auto"/>
        <w:rPr>
          <w:sz w:val="20"/>
          <w:szCs w:val="20"/>
          <w:lang w:val="pl-PL"/>
        </w:rPr>
      </w:pPr>
      <w:r w:rsidRPr="00BF69E2">
        <w:rPr>
          <w:sz w:val="20"/>
          <w:szCs w:val="20"/>
          <w:lang w:val="pl-PL"/>
        </w:rPr>
        <w:t>MOR</w:t>
      </w:r>
      <w:r w:rsidRPr="00BF69E2">
        <w:rPr>
          <w:sz w:val="20"/>
          <w:szCs w:val="20"/>
          <w:lang w:val="pl-PL"/>
        </w:rPr>
        <w:tab/>
        <w:t xml:space="preserve">Medjunarodna organizacija rada </w:t>
      </w:r>
    </w:p>
    <w:p w14:paraId="301681E5" w14:textId="77777777" w:rsidR="001D0030" w:rsidRPr="00BF69E2" w:rsidRDefault="001D0030" w:rsidP="001D0030">
      <w:pPr>
        <w:spacing w:line="240" w:lineRule="auto"/>
        <w:rPr>
          <w:sz w:val="20"/>
          <w:szCs w:val="20"/>
          <w:lang w:val="pl-PL"/>
        </w:rPr>
      </w:pPr>
      <w:r w:rsidRPr="00BF69E2">
        <w:rPr>
          <w:sz w:val="20"/>
          <w:szCs w:val="20"/>
          <w:lang w:val="pl-PL"/>
        </w:rPr>
        <w:t>MP</w:t>
      </w:r>
      <w:r w:rsidRPr="00BF69E2">
        <w:rPr>
          <w:sz w:val="20"/>
          <w:szCs w:val="20"/>
          <w:lang w:val="pl-PL"/>
        </w:rPr>
        <w:tab/>
        <w:t>Ministarstvo prosvjete</w:t>
      </w:r>
    </w:p>
    <w:p w14:paraId="6A81F6F2" w14:textId="77777777" w:rsidR="001D0030" w:rsidRPr="00BF69E2" w:rsidRDefault="001D0030" w:rsidP="001D0030">
      <w:pPr>
        <w:spacing w:line="240" w:lineRule="auto"/>
        <w:rPr>
          <w:sz w:val="20"/>
          <w:szCs w:val="20"/>
          <w:lang w:val="pl-PL"/>
        </w:rPr>
      </w:pPr>
      <w:r w:rsidRPr="00BF69E2">
        <w:rPr>
          <w:sz w:val="20"/>
          <w:szCs w:val="20"/>
          <w:lang w:val="pl-PL"/>
        </w:rPr>
        <w:t>MPRR</w:t>
      </w:r>
      <w:r w:rsidRPr="00BF69E2">
        <w:rPr>
          <w:sz w:val="20"/>
          <w:szCs w:val="20"/>
          <w:lang w:val="pl-PL"/>
        </w:rPr>
        <w:tab/>
        <w:t>Ministarstvo poljoprivrede, šumarstva I vodoprivrede</w:t>
      </w:r>
    </w:p>
    <w:p w14:paraId="16EB8A11" w14:textId="77777777" w:rsidR="001D0030" w:rsidRPr="00BF69E2" w:rsidRDefault="001D0030" w:rsidP="001D0030">
      <w:pPr>
        <w:spacing w:line="240" w:lineRule="auto"/>
        <w:rPr>
          <w:sz w:val="20"/>
          <w:szCs w:val="20"/>
          <w:lang w:val="pl-PL"/>
        </w:rPr>
      </w:pPr>
      <w:r w:rsidRPr="00BF69E2">
        <w:rPr>
          <w:sz w:val="20"/>
          <w:szCs w:val="20"/>
          <w:lang w:val="pl-PL"/>
        </w:rPr>
        <w:t>MRSS</w:t>
      </w:r>
      <w:r w:rsidRPr="00BF69E2">
        <w:rPr>
          <w:sz w:val="20"/>
          <w:szCs w:val="20"/>
          <w:lang w:val="pl-PL"/>
        </w:rPr>
        <w:tab/>
        <w:t xml:space="preserve">Ministarstvo rada i socijalnog staranja </w:t>
      </w:r>
    </w:p>
    <w:p w14:paraId="651C7415" w14:textId="77777777" w:rsidR="001D0030" w:rsidRPr="00BF69E2" w:rsidRDefault="001D0030" w:rsidP="001D0030">
      <w:pPr>
        <w:spacing w:line="240" w:lineRule="auto"/>
        <w:rPr>
          <w:sz w:val="20"/>
          <w:szCs w:val="20"/>
          <w:lang w:val="pl-PL"/>
        </w:rPr>
      </w:pPr>
      <w:r w:rsidRPr="00BF69E2">
        <w:rPr>
          <w:sz w:val="20"/>
          <w:szCs w:val="20"/>
          <w:lang w:val="pl-PL"/>
        </w:rPr>
        <w:t>MZ</w:t>
      </w:r>
      <w:r w:rsidRPr="00BF69E2">
        <w:rPr>
          <w:sz w:val="20"/>
          <w:szCs w:val="20"/>
          <w:lang w:val="pl-PL"/>
        </w:rPr>
        <w:tab/>
        <w:t>Ministarstvo zdravlja</w:t>
      </w:r>
    </w:p>
    <w:p w14:paraId="0F9E3587" w14:textId="77777777" w:rsidR="001D0030" w:rsidRPr="00BF69E2" w:rsidRDefault="001D0030" w:rsidP="001D0030">
      <w:pPr>
        <w:spacing w:line="240" w:lineRule="auto"/>
        <w:rPr>
          <w:sz w:val="20"/>
          <w:szCs w:val="20"/>
          <w:lang w:val="pl-PL"/>
        </w:rPr>
      </w:pPr>
      <w:r w:rsidRPr="00BF69E2">
        <w:rPr>
          <w:sz w:val="20"/>
          <w:szCs w:val="20"/>
          <w:lang w:val="pl-PL"/>
        </w:rPr>
        <w:t>NATO</w:t>
      </w:r>
      <w:r w:rsidRPr="00BF69E2">
        <w:rPr>
          <w:sz w:val="20"/>
          <w:szCs w:val="20"/>
          <w:lang w:val="pl-PL"/>
        </w:rPr>
        <w:tab/>
        <w:t xml:space="preserve">Sjevernoatlanski savez </w:t>
      </w:r>
    </w:p>
    <w:p w14:paraId="43784519" w14:textId="77777777" w:rsidR="001D0030" w:rsidRPr="00BF69E2" w:rsidRDefault="001D0030" w:rsidP="001D0030">
      <w:pPr>
        <w:spacing w:line="240" w:lineRule="auto"/>
        <w:rPr>
          <w:sz w:val="20"/>
          <w:szCs w:val="20"/>
          <w:lang w:val="pl-PL"/>
        </w:rPr>
      </w:pPr>
      <w:r w:rsidRPr="00BF69E2">
        <w:rPr>
          <w:sz w:val="20"/>
          <w:szCs w:val="20"/>
          <w:lang w:val="pl-PL"/>
        </w:rPr>
        <w:t>OC</w:t>
      </w:r>
      <w:r w:rsidRPr="00BF69E2">
        <w:rPr>
          <w:sz w:val="20"/>
          <w:szCs w:val="20"/>
          <w:lang w:val="pl-PL"/>
        </w:rPr>
        <w:tab/>
        <w:t>Operativni cilj</w:t>
      </w:r>
    </w:p>
    <w:p w14:paraId="77FFADBD" w14:textId="77777777" w:rsidR="001D0030" w:rsidRPr="00BF69E2" w:rsidRDefault="001D0030" w:rsidP="001D0030">
      <w:pPr>
        <w:spacing w:line="240" w:lineRule="auto"/>
        <w:rPr>
          <w:sz w:val="20"/>
          <w:szCs w:val="20"/>
          <w:lang w:val="pl-PL"/>
        </w:rPr>
      </w:pPr>
      <w:r w:rsidRPr="00BF69E2">
        <w:rPr>
          <w:sz w:val="20"/>
          <w:szCs w:val="20"/>
          <w:lang w:val="pl-PL"/>
        </w:rPr>
        <w:t>OECD</w:t>
      </w:r>
      <w:r w:rsidRPr="00BF69E2">
        <w:rPr>
          <w:sz w:val="20"/>
          <w:szCs w:val="20"/>
          <w:lang w:val="pl-PL"/>
        </w:rPr>
        <w:tab/>
        <w:t>Organizacija za ekonomsku saradnju i razvoj</w:t>
      </w:r>
    </w:p>
    <w:p w14:paraId="26B92DD0" w14:textId="77777777" w:rsidR="001D0030" w:rsidRPr="00BF69E2" w:rsidRDefault="001D0030" w:rsidP="001D0030">
      <w:pPr>
        <w:spacing w:line="240" w:lineRule="auto"/>
        <w:rPr>
          <w:sz w:val="20"/>
          <w:szCs w:val="20"/>
          <w:lang w:val="pl-PL"/>
        </w:rPr>
      </w:pPr>
      <w:r w:rsidRPr="00BF69E2">
        <w:rPr>
          <w:sz w:val="20"/>
          <w:szCs w:val="20"/>
          <w:lang w:val="pl-PL"/>
        </w:rPr>
        <w:t>PDV</w:t>
      </w:r>
      <w:r w:rsidRPr="00BF69E2">
        <w:rPr>
          <w:sz w:val="20"/>
          <w:szCs w:val="20"/>
          <w:lang w:val="pl-PL"/>
        </w:rPr>
        <w:tab/>
        <w:t>Porez na dodatu vrijednost</w:t>
      </w:r>
    </w:p>
    <w:p w14:paraId="291F4BAC" w14:textId="77777777" w:rsidR="001D0030" w:rsidRPr="00BF69E2" w:rsidRDefault="001D0030" w:rsidP="001D0030">
      <w:pPr>
        <w:spacing w:line="240" w:lineRule="auto"/>
        <w:rPr>
          <w:sz w:val="20"/>
          <w:szCs w:val="20"/>
          <w:lang w:val="pl-PL"/>
        </w:rPr>
      </w:pPr>
      <w:r w:rsidRPr="00BF69E2">
        <w:rPr>
          <w:sz w:val="20"/>
          <w:szCs w:val="20"/>
          <w:lang w:val="pl-PL"/>
        </w:rPr>
        <w:lastRenderedPageBreak/>
        <w:t>PKCG</w:t>
      </w:r>
      <w:r w:rsidRPr="00BF69E2">
        <w:rPr>
          <w:sz w:val="20"/>
          <w:szCs w:val="20"/>
          <w:lang w:val="pl-PL"/>
        </w:rPr>
        <w:tab/>
        <w:t xml:space="preserve">Privredna komora Crne Gore </w:t>
      </w:r>
    </w:p>
    <w:p w14:paraId="30A6C76C" w14:textId="77777777" w:rsidR="001D0030" w:rsidRPr="00BF69E2" w:rsidRDefault="001D0030" w:rsidP="001D0030">
      <w:pPr>
        <w:spacing w:line="240" w:lineRule="auto"/>
        <w:rPr>
          <w:sz w:val="20"/>
          <w:szCs w:val="20"/>
          <w:lang w:val="pl-PL"/>
        </w:rPr>
      </w:pPr>
      <w:r w:rsidRPr="00BF69E2">
        <w:rPr>
          <w:sz w:val="20"/>
          <w:szCs w:val="20"/>
          <w:lang w:val="pl-PL"/>
        </w:rPr>
        <w:t>PS</w:t>
      </w:r>
      <w:r w:rsidRPr="00BF69E2">
        <w:rPr>
          <w:sz w:val="20"/>
          <w:szCs w:val="20"/>
          <w:lang w:val="pl-PL"/>
        </w:rPr>
        <w:tab/>
        <w:t>Privredni sud</w:t>
      </w:r>
    </w:p>
    <w:p w14:paraId="093D4E15" w14:textId="77777777" w:rsidR="001D0030" w:rsidRPr="00BF69E2" w:rsidRDefault="001D0030" w:rsidP="001D0030">
      <w:pPr>
        <w:spacing w:line="240" w:lineRule="auto"/>
        <w:rPr>
          <w:sz w:val="20"/>
          <w:szCs w:val="20"/>
          <w:lang w:val="pl-PL"/>
        </w:rPr>
      </w:pPr>
      <w:r w:rsidRPr="00BF69E2">
        <w:rPr>
          <w:sz w:val="20"/>
          <w:szCs w:val="20"/>
          <w:lang w:val="pl-PL"/>
        </w:rPr>
        <w:t>PSNE</w:t>
      </w:r>
      <w:r w:rsidRPr="00BF69E2">
        <w:rPr>
          <w:sz w:val="20"/>
          <w:szCs w:val="20"/>
          <w:lang w:val="pl-PL"/>
        </w:rPr>
        <w:tab/>
        <w:t>Program suzbijanja neformalne ekonomije</w:t>
      </w:r>
    </w:p>
    <w:p w14:paraId="0FE938EC" w14:textId="77777777" w:rsidR="001D0030" w:rsidRPr="00BF69E2" w:rsidRDefault="001D0030" w:rsidP="001D0030">
      <w:pPr>
        <w:spacing w:line="240" w:lineRule="auto"/>
        <w:rPr>
          <w:sz w:val="20"/>
          <w:szCs w:val="20"/>
          <w:lang w:val="pl-PL"/>
        </w:rPr>
      </w:pPr>
      <w:r w:rsidRPr="00BF69E2">
        <w:rPr>
          <w:sz w:val="20"/>
          <w:szCs w:val="20"/>
          <w:lang w:val="pl-PL"/>
        </w:rPr>
        <w:t>SB</w:t>
      </w:r>
      <w:r w:rsidRPr="00BF69E2">
        <w:rPr>
          <w:sz w:val="20"/>
          <w:szCs w:val="20"/>
          <w:lang w:val="pl-PL"/>
        </w:rPr>
        <w:tab/>
        <w:t xml:space="preserve">Svjetska banka </w:t>
      </w:r>
    </w:p>
    <w:p w14:paraId="01397F8B" w14:textId="77777777" w:rsidR="001D0030" w:rsidRPr="00BF69E2" w:rsidRDefault="001D0030" w:rsidP="001D0030">
      <w:pPr>
        <w:spacing w:line="240" w:lineRule="auto"/>
        <w:rPr>
          <w:sz w:val="20"/>
          <w:szCs w:val="20"/>
          <w:lang w:val="pl-PL"/>
        </w:rPr>
      </w:pPr>
      <w:r w:rsidRPr="00BF69E2">
        <w:rPr>
          <w:sz w:val="20"/>
          <w:szCs w:val="20"/>
          <w:lang w:val="pl-PL"/>
        </w:rPr>
        <w:t>SDI</w:t>
      </w:r>
      <w:r w:rsidRPr="00BF69E2">
        <w:rPr>
          <w:sz w:val="20"/>
          <w:szCs w:val="20"/>
          <w:lang w:val="pl-PL"/>
        </w:rPr>
        <w:tab/>
        <w:t>Strane direktne investicije</w:t>
      </w:r>
    </w:p>
    <w:p w14:paraId="15DEA7C1" w14:textId="77777777" w:rsidR="001D0030" w:rsidRPr="00BF69E2" w:rsidRDefault="001D0030" w:rsidP="001D0030">
      <w:pPr>
        <w:spacing w:line="240" w:lineRule="auto"/>
        <w:rPr>
          <w:sz w:val="20"/>
          <w:szCs w:val="20"/>
          <w:lang w:val="pl-PL"/>
        </w:rPr>
      </w:pPr>
      <w:r w:rsidRPr="00BF69E2">
        <w:rPr>
          <w:sz w:val="20"/>
          <w:szCs w:val="20"/>
          <w:lang w:val="pl-PL"/>
        </w:rPr>
        <w:t>SELDI</w:t>
      </w:r>
      <w:r w:rsidRPr="00BF69E2">
        <w:rPr>
          <w:sz w:val="20"/>
          <w:szCs w:val="20"/>
          <w:lang w:val="pl-PL"/>
        </w:rPr>
        <w:tab/>
        <w:t xml:space="preserve">Regionalna mreža organizacija liderstvo u jugoistočnoj Evropi za razvoj i integritet, posvećene jačanju institucija i borbi protiv korupcije na prostoru Zapadnog Balkana i jugoistočne Evrope. </w:t>
      </w:r>
    </w:p>
    <w:p w14:paraId="19D649B2" w14:textId="77777777" w:rsidR="001D0030" w:rsidRPr="00BF69E2" w:rsidRDefault="001D0030" w:rsidP="001D0030">
      <w:pPr>
        <w:spacing w:line="240" w:lineRule="auto"/>
        <w:rPr>
          <w:sz w:val="20"/>
          <w:szCs w:val="20"/>
          <w:lang w:val="pl-PL"/>
        </w:rPr>
      </w:pPr>
      <w:r w:rsidRPr="00BF69E2">
        <w:rPr>
          <w:sz w:val="20"/>
          <w:szCs w:val="20"/>
          <w:lang w:val="pl-PL"/>
        </w:rPr>
        <w:t>SK</w:t>
      </w:r>
      <w:r w:rsidRPr="00BF69E2">
        <w:rPr>
          <w:sz w:val="20"/>
          <w:szCs w:val="20"/>
          <w:lang w:val="pl-PL"/>
        </w:rPr>
        <w:tab/>
        <w:t xml:space="preserve">Savjet za konkurentnost </w:t>
      </w:r>
    </w:p>
    <w:p w14:paraId="4CD5E195" w14:textId="77777777" w:rsidR="001D0030" w:rsidRPr="00BF69E2" w:rsidRDefault="001D0030" w:rsidP="001D0030">
      <w:pPr>
        <w:spacing w:line="240" w:lineRule="auto"/>
        <w:rPr>
          <w:sz w:val="20"/>
          <w:szCs w:val="20"/>
          <w:lang w:val="pl-PL"/>
        </w:rPr>
      </w:pPr>
      <w:r w:rsidRPr="00BF69E2">
        <w:rPr>
          <w:sz w:val="20"/>
          <w:szCs w:val="20"/>
          <w:lang w:val="pl-PL"/>
        </w:rPr>
        <w:t>SZP</w:t>
      </w:r>
      <w:r w:rsidRPr="00BF69E2">
        <w:rPr>
          <w:sz w:val="20"/>
          <w:szCs w:val="20"/>
          <w:lang w:val="pl-PL"/>
        </w:rPr>
        <w:tab/>
        <w:t xml:space="preserve">Sud za prekršaje </w:t>
      </w:r>
    </w:p>
    <w:p w14:paraId="443BDDE5" w14:textId="77777777" w:rsidR="001D0030" w:rsidRPr="00BF69E2" w:rsidRDefault="001D0030" w:rsidP="001D0030">
      <w:pPr>
        <w:spacing w:line="240" w:lineRule="auto"/>
        <w:rPr>
          <w:sz w:val="20"/>
          <w:szCs w:val="20"/>
          <w:lang w:val="pl-PL"/>
        </w:rPr>
      </w:pPr>
      <w:r w:rsidRPr="00BF69E2">
        <w:rPr>
          <w:sz w:val="20"/>
          <w:szCs w:val="20"/>
          <w:lang w:val="pl-PL"/>
        </w:rPr>
        <w:t>UIP</w:t>
      </w:r>
      <w:r w:rsidRPr="00BF69E2">
        <w:rPr>
          <w:sz w:val="20"/>
          <w:szCs w:val="20"/>
          <w:lang w:val="pl-PL"/>
        </w:rPr>
        <w:tab/>
        <w:t>Uprava za inspekcijske poslove</w:t>
      </w:r>
    </w:p>
    <w:p w14:paraId="47BC645F" w14:textId="77777777" w:rsidR="001D0030" w:rsidRPr="00BF69E2" w:rsidRDefault="001D0030" w:rsidP="001D0030">
      <w:pPr>
        <w:spacing w:line="240" w:lineRule="auto"/>
        <w:rPr>
          <w:sz w:val="20"/>
          <w:szCs w:val="20"/>
          <w:lang w:val="pl-PL"/>
        </w:rPr>
      </w:pPr>
      <w:r w:rsidRPr="00BF69E2">
        <w:rPr>
          <w:sz w:val="20"/>
          <w:szCs w:val="20"/>
          <w:lang w:val="pl-PL"/>
        </w:rPr>
        <w:t xml:space="preserve">UN </w:t>
      </w:r>
      <w:r w:rsidRPr="00BF69E2">
        <w:rPr>
          <w:sz w:val="20"/>
          <w:szCs w:val="20"/>
          <w:lang w:val="pl-PL"/>
        </w:rPr>
        <w:tab/>
        <w:t>Ujedinjene nacije</w:t>
      </w:r>
    </w:p>
    <w:p w14:paraId="2163639C" w14:textId="77777777" w:rsidR="001D0030" w:rsidRPr="00BF69E2" w:rsidRDefault="001D0030" w:rsidP="001D0030">
      <w:pPr>
        <w:spacing w:line="240" w:lineRule="auto"/>
        <w:rPr>
          <w:sz w:val="20"/>
          <w:szCs w:val="20"/>
          <w:lang w:val="pl-PL"/>
        </w:rPr>
      </w:pPr>
      <w:r w:rsidRPr="00BF69E2">
        <w:rPr>
          <w:sz w:val="20"/>
          <w:szCs w:val="20"/>
          <w:lang w:val="pl-PL"/>
        </w:rPr>
        <w:t>UNDP</w:t>
      </w:r>
      <w:r w:rsidRPr="00BF69E2">
        <w:rPr>
          <w:sz w:val="20"/>
          <w:szCs w:val="20"/>
          <w:lang w:val="pl-PL"/>
        </w:rPr>
        <w:tab/>
        <w:t>Program za razvoj Ujedinjenih nacija</w:t>
      </w:r>
    </w:p>
    <w:p w14:paraId="7CF11C01" w14:textId="77777777" w:rsidR="001D0030" w:rsidRPr="00BF69E2" w:rsidRDefault="001D0030" w:rsidP="001D0030">
      <w:pPr>
        <w:spacing w:line="240" w:lineRule="auto"/>
        <w:rPr>
          <w:sz w:val="20"/>
          <w:szCs w:val="20"/>
          <w:lang w:val="pl-PL"/>
        </w:rPr>
      </w:pPr>
      <w:r w:rsidRPr="00BF69E2">
        <w:rPr>
          <w:sz w:val="20"/>
          <w:szCs w:val="20"/>
          <w:lang w:val="pl-PL"/>
        </w:rPr>
        <w:t>UPC</w:t>
      </w:r>
      <w:r w:rsidRPr="00BF69E2">
        <w:rPr>
          <w:sz w:val="20"/>
          <w:szCs w:val="20"/>
          <w:lang w:val="pl-PL"/>
        </w:rPr>
        <w:tab/>
        <w:t>Uprava prihoda i carina</w:t>
      </w:r>
    </w:p>
    <w:p w14:paraId="48CC4561" w14:textId="77777777" w:rsidR="001D0030" w:rsidRPr="00BF69E2" w:rsidRDefault="001D0030" w:rsidP="001D0030">
      <w:pPr>
        <w:spacing w:line="240" w:lineRule="auto"/>
        <w:rPr>
          <w:sz w:val="20"/>
          <w:szCs w:val="20"/>
          <w:lang w:val="pl-PL"/>
        </w:rPr>
      </w:pPr>
      <w:r w:rsidRPr="00BF69E2">
        <w:rPr>
          <w:sz w:val="20"/>
          <w:szCs w:val="20"/>
          <w:lang w:val="pl-PL"/>
        </w:rPr>
        <w:t>UPCG</w:t>
      </w:r>
      <w:r w:rsidRPr="00BF69E2">
        <w:rPr>
          <w:sz w:val="20"/>
          <w:szCs w:val="20"/>
          <w:lang w:val="pl-PL"/>
        </w:rPr>
        <w:tab/>
        <w:t xml:space="preserve">Unija poslodavaca Crne Gore </w:t>
      </w:r>
    </w:p>
    <w:p w14:paraId="5F8E6D2F" w14:textId="77777777" w:rsidR="001D0030" w:rsidRPr="00BF69E2" w:rsidRDefault="001D0030" w:rsidP="001D0030">
      <w:pPr>
        <w:spacing w:line="240" w:lineRule="auto"/>
        <w:rPr>
          <w:sz w:val="20"/>
          <w:szCs w:val="20"/>
          <w:lang w:val="pl-PL"/>
        </w:rPr>
      </w:pPr>
      <w:r w:rsidRPr="00BF69E2">
        <w:rPr>
          <w:sz w:val="20"/>
          <w:szCs w:val="20"/>
          <w:lang w:val="pl-PL"/>
        </w:rPr>
        <w:t>VCG</w:t>
      </w:r>
      <w:r w:rsidRPr="00BF69E2">
        <w:rPr>
          <w:sz w:val="20"/>
          <w:szCs w:val="20"/>
          <w:lang w:val="pl-PL"/>
        </w:rPr>
        <w:tab/>
        <w:t xml:space="preserve">Vlada Crne Gore </w:t>
      </w:r>
    </w:p>
    <w:p w14:paraId="75FF80D5" w14:textId="77777777" w:rsidR="001D0030" w:rsidRPr="00BF69E2" w:rsidRDefault="001D0030" w:rsidP="001D0030">
      <w:pPr>
        <w:spacing w:line="240" w:lineRule="auto"/>
        <w:rPr>
          <w:sz w:val="20"/>
          <w:szCs w:val="20"/>
          <w:lang w:val="pl-PL"/>
        </w:rPr>
      </w:pPr>
      <w:r w:rsidRPr="00BF69E2">
        <w:rPr>
          <w:sz w:val="20"/>
          <w:szCs w:val="20"/>
          <w:lang w:val="pl-PL"/>
        </w:rPr>
        <w:t>WBIF</w:t>
      </w:r>
      <w:r w:rsidRPr="00BF69E2">
        <w:rPr>
          <w:sz w:val="20"/>
          <w:szCs w:val="20"/>
          <w:lang w:val="pl-PL"/>
        </w:rPr>
        <w:tab/>
        <w:t xml:space="preserve">Investicioni okvir za Zapadni Balkan </w:t>
      </w:r>
    </w:p>
    <w:p w14:paraId="33E5D08A" w14:textId="65FE66A2" w:rsidR="001D0030" w:rsidRPr="00BF69E2" w:rsidRDefault="001D0030" w:rsidP="001D0030">
      <w:pPr>
        <w:spacing w:line="240" w:lineRule="auto"/>
        <w:rPr>
          <w:sz w:val="20"/>
          <w:szCs w:val="20"/>
          <w:lang w:val="pl-PL"/>
        </w:rPr>
      </w:pPr>
      <w:r w:rsidRPr="00BF69E2">
        <w:rPr>
          <w:sz w:val="20"/>
          <w:szCs w:val="20"/>
          <w:lang w:val="pl-PL"/>
        </w:rPr>
        <w:t>ZZZCG</w:t>
      </w:r>
      <w:r w:rsidRPr="00BF69E2">
        <w:rPr>
          <w:sz w:val="20"/>
          <w:szCs w:val="20"/>
          <w:lang w:val="pl-PL"/>
        </w:rPr>
        <w:tab/>
        <w:t>Zavod za zapošljavanje Crne Gore</w:t>
      </w:r>
    </w:p>
    <w:p w14:paraId="05FDF016" w14:textId="77777777" w:rsidR="001D0030" w:rsidRPr="00BF69E2" w:rsidRDefault="001D0030" w:rsidP="001D0030">
      <w:pPr>
        <w:spacing w:line="240" w:lineRule="auto"/>
        <w:rPr>
          <w:sz w:val="20"/>
          <w:szCs w:val="20"/>
          <w:lang w:val="pl-PL"/>
        </w:rPr>
      </w:pPr>
    </w:p>
    <w:p w14:paraId="67E2B3C2" w14:textId="77777777" w:rsidR="001D0030" w:rsidRPr="00BF69E2" w:rsidRDefault="001D0030" w:rsidP="001D0030">
      <w:pPr>
        <w:spacing w:line="240" w:lineRule="auto"/>
        <w:rPr>
          <w:sz w:val="20"/>
          <w:szCs w:val="20"/>
          <w:lang w:val="pl-PL"/>
        </w:rPr>
      </w:pPr>
    </w:p>
    <w:p w14:paraId="075618DD" w14:textId="77777777" w:rsidR="005F41C3" w:rsidRPr="00BF69E2" w:rsidRDefault="005F41C3" w:rsidP="001D0030">
      <w:pPr>
        <w:spacing w:line="240" w:lineRule="auto"/>
        <w:rPr>
          <w:sz w:val="20"/>
          <w:szCs w:val="20"/>
          <w:lang w:val="pl-PL"/>
        </w:rPr>
      </w:pPr>
    </w:p>
    <w:p w14:paraId="5935E4D1" w14:textId="77777777" w:rsidR="005F41C3" w:rsidRPr="00BF69E2" w:rsidRDefault="005F41C3" w:rsidP="002A59F9">
      <w:pPr>
        <w:rPr>
          <w:b/>
          <w:bCs/>
          <w:color w:val="002060"/>
          <w:sz w:val="24"/>
          <w:szCs w:val="24"/>
          <w:lang w:val="pl-PL"/>
        </w:rPr>
      </w:pPr>
    </w:p>
    <w:p w14:paraId="48732708" w14:textId="77777777" w:rsidR="001D0030" w:rsidRPr="00BF69E2" w:rsidRDefault="001D0030" w:rsidP="002A59F9">
      <w:pPr>
        <w:rPr>
          <w:b/>
          <w:bCs/>
          <w:color w:val="002060"/>
          <w:sz w:val="24"/>
          <w:szCs w:val="24"/>
          <w:lang w:val="pl-PL"/>
        </w:rPr>
      </w:pPr>
    </w:p>
    <w:p w14:paraId="0465CA62" w14:textId="77777777" w:rsidR="001D0030" w:rsidRPr="00BF69E2" w:rsidRDefault="001D0030" w:rsidP="002A59F9">
      <w:pPr>
        <w:rPr>
          <w:b/>
          <w:bCs/>
          <w:color w:val="002060"/>
          <w:sz w:val="24"/>
          <w:szCs w:val="24"/>
          <w:lang w:val="pl-PL"/>
        </w:rPr>
      </w:pPr>
    </w:p>
    <w:p w14:paraId="76AC3A9C" w14:textId="77777777" w:rsidR="001D0030" w:rsidRPr="00BF69E2" w:rsidRDefault="001D0030" w:rsidP="002A59F9">
      <w:pPr>
        <w:rPr>
          <w:b/>
          <w:bCs/>
          <w:color w:val="002060"/>
          <w:sz w:val="24"/>
          <w:szCs w:val="24"/>
          <w:lang w:val="pl-PL"/>
        </w:rPr>
      </w:pPr>
    </w:p>
    <w:p w14:paraId="39F72B0D" w14:textId="77777777" w:rsidR="001D0030" w:rsidRPr="00BF69E2" w:rsidRDefault="001D0030" w:rsidP="002A59F9">
      <w:pPr>
        <w:rPr>
          <w:b/>
          <w:bCs/>
          <w:color w:val="002060"/>
          <w:sz w:val="24"/>
          <w:szCs w:val="24"/>
          <w:lang w:val="pl-PL"/>
        </w:rPr>
      </w:pPr>
    </w:p>
    <w:p w14:paraId="79CB16FA" w14:textId="77777777" w:rsidR="001D0030" w:rsidRPr="00BF69E2" w:rsidRDefault="001D0030" w:rsidP="002A59F9">
      <w:pPr>
        <w:rPr>
          <w:b/>
          <w:bCs/>
          <w:color w:val="002060"/>
          <w:sz w:val="24"/>
          <w:szCs w:val="24"/>
          <w:lang w:val="pl-PL"/>
        </w:rPr>
      </w:pPr>
    </w:p>
    <w:p w14:paraId="3B915ADE" w14:textId="77777777" w:rsidR="001D0030" w:rsidRPr="00BF69E2" w:rsidRDefault="001D0030" w:rsidP="002A59F9">
      <w:pPr>
        <w:rPr>
          <w:b/>
          <w:bCs/>
          <w:color w:val="002060"/>
          <w:sz w:val="24"/>
          <w:szCs w:val="24"/>
          <w:lang w:val="pl-PL"/>
        </w:rPr>
      </w:pPr>
    </w:p>
    <w:p w14:paraId="696C98DC" w14:textId="77777777" w:rsidR="001D0030" w:rsidRPr="00BF69E2" w:rsidRDefault="001D0030" w:rsidP="002A59F9">
      <w:pPr>
        <w:rPr>
          <w:b/>
          <w:bCs/>
          <w:color w:val="002060"/>
          <w:sz w:val="24"/>
          <w:szCs w:val="24"/>
          <w:lang w:val="pl-PL"/>
        </w:rPr>
      </w:pPr>
    </w:p>
    <w:p w14:paraId="68FFF2A8" w14:textId="77777777" w:rsidR="001D0030" w:rsidRPr="00BF69E2" w:rsidRDefault="001D0030" w:rsidP="002A59F9">
      <w:pPr>
        <w:rPr>
          <w:b/>
          <w:bCs/>
          <w:color w:val="002060"/>
          <w:sz w:val="24"/>
          <w:szCs w:val="24"/>
          <w:lang w:val="pl-PL"/>
        </w:rPr>
      </w:pPr>
    </w:p>
    <w:p w14:paraId="50FCA9E1" w14:textId="77777777" w:rsidR="001D0030" w:rsidRPr="00BF69E2" w:rsidRDefault="001D0030" w:rsidP="002A59F9">
      <w:pPr>
        <w:rPr>
          <w:b/>
          <w:bCs/>
          <w:color w:val="002060"/>
          <w:sz w:val="24"/>
          <w:szCs w:val="24"/>
          <w:lang w:val="pl-PL"/>
        </w:rPr>
      </w:pPr>
    </w:p>
    <w:p w14:paraId="0AB20AD1" w14:textId="7CF0888A" w:rsidR="001A7E2E" w:rsidRPr="00BF69E2" w:rsidRDefault="00B1397C" w:rsidP="002A3B4E">
      <w:pPr>
        <w:pStyle w:val="Heading1"/>
        <w:rPr>
          <w:lang w:val="pl-PL"/>
        </w:rPr>
      </w:pPr>
      <w:bookmarkStart w:id="0" w:name="_Toc147990139"/>
      <w:r w:rsidRPr="00BF69E2">
        <w:rPr>
          <w:lang w:val="pl-PL"/>
        </w:rPr>
        <w:lastRenderedPageBreak/>
        <w:t>1.</w:t>
      </w:r>
      <w:r w:rsidR="00564C58" w:rsidRPr="00BF69E2">
        <w:rPr>
          <w:lang w:val="pl-PL"/>
        </w:rPr>
        <w:t>UVOD</w:t>
      </w:r>
      <w:bookmarkEnd w:id="0"/>
    </w:p>
    <w:p w14:paraId="50EA46C8" w14:textId="6DD4ADB5" w:rsidR="00564C58" w:rsidRDefault="0042027A" w:rsidP="0042027A">
      <w:pPr>
        <w:pStyle w:val="Heading2"/>
        <w:rPr>
          <w:lang w:val="sr-Latn-ME"/>
        </w:rPr>
      </w:pPr>
      <w:bookmarkStart w:id="1" w:name="_Toc147990140"/>
      <w:r w:rsidRPr="00BF69E2">
        <w:rPr>
          <w:lang w:val="pl-PL"/>
        </w:rPr>
        <w:t xml:space="preserve">1.1 </w:t>
      </w:r>
      <w:r w:rsidR="00564C58" w:rsidRPr="00BF69E2">
        <w:rPr>
          <w:lang w:val="pl-PL"/>
        </w:rPr>
        <w:t>S</w:t>
      </w:r>
      <w:r w:rsidR="00564C58" w:rsidRPr="00A03DDB">
        <w:rPr>
          <w:lang w:val="sr-Latn-ME"/>
        </w:rPr>
        <w:t>vrha donošenja dokumenta</w:t>
      </w:r>
      <w:bookmarkEnd w:id="1"/>
    </w:p>
    <w:p w14:paraId="54446097" w14:textId="77777777" w:rsidR="002D528D" w:rsidRPr="002D528D" w:rsidRDefault="002D528D" w:rsidP="002D528D">
      <w:pPr>
        <w:rPr>
          <w:lang w:val="sr-Latn-ME"/>
        </w:rPr>
      </w:pPr>
    </w:p>
    <w:p w14:paraId="61638165" w14:textId="3BE70943" w:rsidR="0096597E" w:rsidRPr="000A7784" w:rsidRDefault="0096597E" w:rsidP="00A70602">
      <w:pPr>
        <w:jc w:val="both"/>
        <w:rPr>
          <w:sz w:val="24"/>
          <w:szCs w:val="24"/>
          <w:lang w:val="sr-Latn-ME"/>
        </w:rPr>
      </w:pPr>
      <w:r w:rsidRPr="00BF69E2">
        <w:rPr>
          <w:sz w:val="24"/>
          <w:szCs w:val="24"/>
          <w:lang w:val="pl-PL"/>
        </w:rPr>
        <w:t>Neformalna</w:t>
      </w:r>
      <w:r w:rsidR="00A70602" w:rsidRPr="00BF69E2">
        <w:rPr>
          <w:sz w:val="24"/>
          <w:szCs w:val="24"/>
          <w:lang w:val="pl-PL"/>
        </w:rPr>
        <w:t xml:space="preserve"> ekonomija je veoma rasprostranjen fenomen koji karakteriše zemlje sa nedovoljno efikasnim institucijama i nedovoljnim administrativnim kapacitetima</w:t>
      </w:r>
      <w:r w:rsidR="000A7784" w:rsidRPr="00BF69E2">
        <w:rPr>
          <w:sz w:val="24"/>
          <w:szCs w:val="24"/>
          <w:lang w:val="pl-PL"/>
        </w:rPr>
        <w:t xml:space="preserve">, </w:t>
      </w:r>
      <w:r w:rsidR="000A7784">
        <w:rPr>
          <w:sz w:val="24"/>
          <w:szCs w:val="24"/>
          <w:lang w:val="sr-Latn-ME"/>
        </w:rPr>
        <w:t>naročito zemlje u razvoju.</w:t>
      </w:r>
    </w:p>
    <w:p w14:paraId="0866A99F" w14:textId="4D6FBF4F" w:rsidR="0096597E" w:rsidRPr="00CE07A9" w:rsidRDefault="0096597E" w:rsidP="0096597E">
      <w:pPr>
        <w:jc w:val="both"/>
        <w:rPr>
          <w:sz w:val="24"/>
          <w:szCs w:val="24"/>
          <w:lang w:val="pl-PL"/>
        </w:rPr>
      </w:pPr>
      <w:proofErr w:type="spellStart"/>
      <w:r w:rsidRPr="00281886">
        <w:rPr>
          <w:sz w:val="24"/>
          <w:szCs w:val="24"/>
        </w:rPr>
        <w:t>Zemlje</w:t>
      </w:r>
      <w:proofErr w:type="spellEnd"/>
      <w:r w:rsidRPr="00CE07A9">
        <w:rPr>
          <w:sz w:val="24"/>
          <w:szCs w:val="24"/>
          <w:lang w:val="sr-Latn-ME"/>
        </w:rPr>
        <w:t xml:space="preserve"> </w:t>
      </w:r>
      <w:proofErr w:type="spellStart"/>
      <w:r w:rsidRPr="00281886">
        <w:rPr>
          <w:sz w:val="24"/>
          <w:szCs w:val="24"/>
        </w:rPr>
        <w:t>sa</w:t>
      </w:r>
      <w:proofErr w:type="spellEnd"/>
      <w:r w:rsidRPr="00CE07A9">
        <w:rPr>
          <w:sz w:val="24"/>
          <w:szCs w:val="24"/>
          <w:lang w:val="sr-Latn-ME"/>
        </w:rPr>
        <w:t xml:space="preserve"> </w:t>
      </w:r>
      <w:proofErr w:type="spellStart"/>
      <w:r w:rsidRPr="00281886">
        <w:rPr>
          <w:sz w:val="24"/>
          <w:szCs w:val="24"/>
        </w:rPr>
        <w:t>visokim</w:t>
      </w:r>
      <w:proofErr w:type="spellEnd"/>
      <w:r w:rsidRPr="00CE07A9">
        <w:rPr>
          <w:sz w:val="24"/>
          <w:szCs w:val="24"/>
          <w:lang w:val="sr-Latn-ME"/>
        </w:rPr>
        <w:t xml:space="preserve"> </w:t>
      </w:r>
      <w:proofErr w:type="spellStart"/>
      <w:r w:rsidRPr="00281886">
        <w:rPr>
          <w:sz w:val="24"/>
          <w:szCs w:val="24"/>
        </w:rPr>
        <w:t>udjelom</w:t>
      </w:r>
      <w:proofErr w:type="spellEnd"/>
      <w:r w:rsidRPr="00CE07A9">
        <w:rPr>
          <w:sz w:val="24"/>
          <w:szCs w:val="24"/>
          <w:lang w:val="sr-Latn-ME"/>
        </w:rPr>
        <w:t xml:space="preserve"> </w:t>
      </w:r>
      <w:proofErr w:type="spellStart"/>
      <w:r w:rsidRPr="00281886">
        <w:rPr>
          <w:sz w:val="24"/>
          <w:szCs w:val="24"/>
        </w:rPr>
        <w:t>neformalne</w:t>
      </w:r>
      <w:proofErr w:type="spellEnd"/>
      <w:r w:rsidRPr="00CE07A9">
        <w:rPr>
          <w:sz w:val="24"/>
          <w:szCs w:val="24"/>
          <w:lang w:val="sr-Latn-ME"/>
        </w:rPr>
        <w:t xml:space="preserve"> </w:t>
      </w:r>
      <w:proofErr w:type="spellStart"/>
      <w:r w:rsidRPr="00281886">
        <w:rPr>
          <w:sz w:val="24"/>
          <w:szCs w:val="24"/>
        </w:rPr>
        <w:t>ekonom</w:t>
      </w:r>
      <w:r w:rsidR="00F47745">
        <w:rPr>
          <w:sz w:val="24"/>
          <w:szCs w:val="24"/>
        </w:rPr>
        <w:t>ij</w:t>
      </w:r>
      <w:r w:rsidRPr="00281886">
        <w:rPr>
          <w:sz w:val="24"/>
          <w:szCs w:val="24"/>
        </w:rPr>
        <w:t>e</w:t>
      </w:r>
      <w:proofErr w:type="spellEnd"/>
      <w:r w:rsidRPr="00CE07A9">
        <w:rPr>
          <w:sz w:val="24"/>
          <w:szCs w:val="24"/>
          <w:lang w:val="sr-Latn-ME"/>
        </w:rPr>
        <w:t xml:space="preserve"> </w:t>
      </w:r>
      <w:r w:rsidRPr="00281886">
        <w:rPr>
          <w:sz w:val="24"/>
          <w:szCs w:val="24"/>
        </w:rPr>
        <w:t>u</w:t>
      </w:r>
      <w:r w:rsidRPr="00CE07A9">
        <w:rPr>
          <w:sz w:val="24"/>
          <w:szCs w:val="24"/>
          <w:lang w:val="sr-Latn-ME"/>
        </w:rPr>
        <w:t xml:space="preserve"> </w:t>
      </w:r>
      <w:proofErr w:type="spellStart"/>
      <w:r w:rsidRPr="00281886">
        <w:rPr>
          <w:sz w:val="24"/>
          <w:szCs w:val="24"/>
        </w:rPr>
        <w:t>ukupnoj</w:t>
      </w:r>
      <w:proofErr w:type="spellEnd"/>
      <w:r w:rsidRPr="00CE07A9">
        <w:rPr>
          <w:sz w:val="24"/>
          <w:szCs w:val="24"/>
          <w:lang w:val="sr-Latn-ME"/>
        </w:rPr>
        <w:t xml:space="preserve"> </w:t>
      </w:r>
      <w:proofErr w:type="spellStart"/>
      <w:r w:rsidRPr="00281886">
        <w:rPr>
          <w:sz w:val="24"/>
          <w:szCs w:val="24"/>
        </w:rPr>
        <w:t>ekonomiji</w:t>
      </w:r>
      <w:proofErr w:type="spellEnd"/>
      <w:r w:rsidRPr="00CE07A9">
        <w:rPr>
          <w:sz w:val="24"/>
          <w:szCs w:val="24"/>
          <w:lang w:val="sr-Latn-ME"/>
        </w:rPr>
        <w:t xml:space="preserve">, </w:t>
      </w:r>
      <w:proofErr w:type="spellStart"/>
      <w:r w:rsidRPr="00281886">
        <w:rPr>
          <w:sz w:val="24"/>
          <w:szCs w:val="24"/>
        </w:rPr>
        <w:t>suo</w:t>
      </w:r>
      <w:proofErr w:type="spellEnd"/>
      <w:r w:rsidRPr="00CE07A9">
        <w:rPr>
          <w:sz w:val="24"/>
          <w:szCs w:val="24"/>
          <w:lang w:val="sr-Latn-ME"/>
        </w:rPr>
        <w:t>č</w:t>
      </w:r>
      <w:proofErr w:type="spellStart"/>
      <w:r w:rsidRPr="00281886">
        <w:rPr>
          <w:sz w:val="24"/>
          <w:szCs w:val="24"/>
        </w:rPr>
        <w:t>avaju</w:t>
      </w:r>
      <w:proofErr w:type="spellEnd"/>
      <w:r w:rsidRPr="00CE07A9">
        <w:rPr>
          <w:sz w:val="24"/>
          <w:szCs w:val="24"/>
          <w:lang w:val="sr-Latn-ME"/>
        </w:rPr>
        <w:t xml:space="preserve"> </w:t>
      </w:r>
      <w:r w:rsidRPr="00281886">
        <w:rPr>
          <w:sz w:val="24"/>
          <w:szCs w:val="24"/>
        </w:rPr>
        <w:t>se</w:t>
      </w:r>
      <w:r w:rsidRPr="00CE07A9">
        <w:rPr>
          <w:sz w:val="24"/>
          <w:szCs w:val="24"/>
          <w:lang w:val="sr-Latn-ME"/>
        </w:rPr>
        <w:t xml:space="preserve"> </w:t>
      </w:r>
      <w:proofErr w:type="spellStart"/>
      <w:r w:rsidRPr="00281886">
        <w:rPr>
          <w:sz w:val="24"/>
          <w:szCs w:val="24"/>
        </w:rPr>
        <w:t>sa</w:t>
      </w:r>
      <w:proofErr w:type="spellEnd"/>
      <w:r w:rsidRPr="00CE07A9">
        <w:rPr>
          <w:sz w:val="24"/>
          <w:szCs w:val="24"/>
          <w:lang w:val="sr-Latn-ME"/>
        </w:rPr>
        <w:t xml:space="preserve"> </w:t>
      </w:r>
      <w:proofErr w:type="spellStart"/>
      <w:r w:rsidRPr="00281886">
        <w:rPr>
          <w:sz w:val="24"/>
          <w:szCs w:val="24"/>
        </w:rPr>
        <w:t>postojanjem</w:t>
      </w:r>
      <w:proofErr w:type="spellEnd"/>
      <w:r w:rsidRPr="00CE07A9">
        <w:rPr>
          <w:sz w:val="24"/>
          <w:szCs w:val="24"/>
          <w:lang w:val="sr-Latn-ME"/>
        </w:rPr>
        <w:t xml:space="preserve"> </w:t>
      </w:r>
      <w:proofErr w:type="spellStart"/>
      <w:r w:rsidRPr="00281886">
        <w:rPr>
          <w:sz w:val="24"/>
          <w:szCs w:val="24"/>
        </w:rPr>
        <w:t>ni</w:t>
      </w:r>
      <w:proofErr w:type="spellEnd"/>
      <w:r w:rsidRPr="00CE07A9">
        <w:rPr>
          <w:sz w:val="24"/>
          <w:szCs w:val="24"/>
          <w:lang w:val="sr-Latn-ME"/>
        </w:rPr>
        <w:t>ž</w:t>
      </w:r>
      <w:proofErr w:type="spellStart"/>
      <w:r w:rsidRPr="00281886">
        <w:rPr>
          <w:sz w:val="24"/>
          <w:szCs w:val="24"/>
        </w:rPr>
        <w:t>eg</w:t>
      </w:r>
      <w:proofErr w:type="spellEnd"/>
      <w:r w:rsidRPr="00CE07A9">
        <w:rPr>
          <w:sz w:val="24"/>
          <w:szCs w:val="24"/>
          <w:lang w:val="sr-Latn-ME"/>
        </w:rPr>
        <w:t xml:space="preserve"> </w:t>
      </w:r>
      <w:proofErr w:type="spellStart"/>
      <w:r w:rsidRPr="00281886">
        <w:rPr>
          <w:sz w:val="24"/>
          <w:szCs w:val="24"/>
        </w:rPr>
        <w:t>dohotka</w:t>
      </w:r>
      <w:proofErr w:type="spellEnd"/>
      <w:r w:rsidRPr="00CE07A9">
        <w:rPr>
          <w:sz w:val="24"/>
          <w:szCs w:val="24"/>
          <w:lang w:val="sr-Latn-ME"/>
        </w:rPr>
        <w:t xml:space="preserve"> </w:t>
      </w:r>
      <w:r w:rsidRPr="00281886">
        <w:rPr>
          <w:sz w:val="24"/>
          <w:szCs w:val="24"/>
        </w:rPr>
        <w:t>per</w:t>
      </w:r>
      <w:r w:rsidRPr="00CE07A9">
        <w:rPr>
          <w:sz w:val="24"/>
          <w:szCs w:val="24"/>
          <w:lang w:val="sr-Latn-ME"/>
        </w:rPr>
        <w:t xml:space="preserve"> </w:t>
      </w:r>
      <w:r w:rsidRPr="00281886">
        <w:rPr>
          <w:sz w:val="24"/>
          <w:szCs w:val="24"/>
        </w:rPr>
        <w:t>capita</w:t>
      </w:r>
      <w:r w:rsidRPr="00CE07A9">
        <w:rPr>
          <w:sz w:val="24"/>
          <w:szCs w:val="24"/>
          <w:lang w:val="sr-Latn-ME"/>
        </w:rPr>
        <w:t xml:space="preserve">, </w:t>
      </w:r>
      <w:proofErr w:type="spellStart"/>
      <w:r w:rsidRPr="00281886">
        <w:rPr>
          <w:sz w:val="24"/>
          <w:szCs w:val="24"/>
        </w:rPr>
        <w:t>ve</w:t>
      </w:r>
      <w:proofErr w:type="spellEnd"/>
      <w:r w:rsidRPr="00CE07A9">
        <w:rPr>
          <w:sz w:val="24"/>
          <w:szCs w:val="24"/>
          <w:lang w:val="sr-Latn-ME"/>
        </w:rPr>
        <w:t>ć</w:t>
      </w:r>
      <w:proofErr w:type="spellStart"/>
      <w:r w:rsidRPr="00281886">
        <w:rPr>
          <w:sz w:val="24"/>
          <w:szCs w:val="24"/>
        </w:rPr>
        <w:t>eg</w:t>
      </w:r>
      <w:proofErr w:type="spellEnd"/>
      <w:r w:rsidR="007D5091">
        <w:rPr>
          <w:sz w:val="24"/>
          <w:szCs w:val="24"/>
          <w:lang w:val="sr-Latn-ME"/>
        </w:rPr>
        <w:t xml:space="preserve"> </w:t>
      </w:r>
      <w:proofErr w:type="spellStart"/>
      <w:r w:rsidRPr="00281886">
        <w:rPr>
          <w:sz w:val="24"/>
          <w:szCs w:val="24"/>
        </w:rPr>
        <w:t>rizika</w:t>
      </w:r>
      <w:proofErr w:type="spellEnd"/>
      <w:r w:rsidRPr="00CE07A9">
        <w:rPr>
          <w:sz w:val="24"/>
          <w:szCs w:val="24"/>
          <w:lang w:val="sr-Latn-ME"/>
        </w:rPr>
        <w:t xml:space="preserve"> </w:t>
      </w:r>
      <w:r w:rsidRPr="00281886">
        <w:rPr>
          <w:sz w:val="24"/>
          <w:szCs w:val="24"/>
        </w:rPr>
        <w:t>od</w:t>
      </w:r>
      <w:r w:rsidRPr="00CE07A9">
        <w:rPr>
          <w:sz w:val="24"/>
          <w:szCs w:val="24"/>
          <w:lang w:val="sr-Latn-ME"/>
        </w:rPr>
        <w:t xml:space="preserve"> </w:t>
      </w:r>
      <w:proofErr w:type="spellStart"/>
      <w:r w:rsidRPr="00281886">
        <w:rPr>
          <w:sz w:val="24"/>
          <w:szCs w:val="24"/>
        </w:rPr>
        <w:t>siroma</w:t>
      </w:r>
      <w:proofErr w:type="spellEnd"/>
      <w:r w:rsidRPr="00CE07A9">
        <w:rPr>
          <w:sz w:val="24"/>
          <w:szCs w:val="24"/>
          <w:lang w:val="sr-Latn-ME"/>
        </w:rPr>
        <w:t>š</w:t>
      </w:r>
      <w:proofErr w:type="spellStart"/>
      <w:r w:rsidRPr="00281886">
        <w:rPr>
          <w:sz w:val="24"/>
          <w:szCs w:val="24"/>
        </w:rPr>
        <w:t>tva</w:t>
      </w:r>
      <w:proofErr w:type="spellEnd"/>
      <w:r w:rsidRPr="00CE07A9">
        <w:rPr>
          <w:sz w:val="24"/>
          <w:szCs w:val="24"/>
          <w:lang w:val="sr-Latn-ME"/>
        </w:rPr>
        <w:t xml:space="preserve">, </w:t>
      </w:r>
      <w:proofErr w:type="spellStart"/>
      <w:r w:rsidRPr="00281886">
        <w:rPr>
          <w:sz w:val="24"/>
          <w:szCs w:val="24"/>
        </w:rPr>
        <w:t>ni</w:t>
      </w:r>
      <w:proofErr w:type="spellEnd"/>
      <w:r w:rsidRPr="00CE07A9">
        <w:rPr>
          <w:sz w:val="24"/>
          <w:szCs w:val="24"/>
          <w:lang w:val="sr-Latn-ME"/>
        </w:rPr>
        <w:t>ž</w:t>
      </w:r>
      <w:r w:rsidRPr="00281886">
        <w:rPr>
          <w:sz w:val="24"/>
          <w:szCs w:val="24"/>
        </w:rPr>
        <w:t>om</w:t>
      </w:r>
      <w:r w:rsidRPr="00CE07A9">
        <w:rPr>
          <w:sz w:val="24"/>
          <w:szCs w:val="24"/>
          <w:lang w:val="sr-Latn-ME"/>
        </w:rPr>
        <w:t xml:space="preserve"> </w:t>
      </w:r>
      <w:proofErr w:type="spellStart"/>
      <w:r w:rsidRPr="00281886">
        <w:rPr>
          <w:sz w:val="24"/>
          <w:szCs w:val="24"/>
        </w:rPr>
        <w:t>produktivno</w:t>
      </w:r>
      <w:proofErr w:type="spellEnd"/>
      <w:r w:rsidRPr="00CE07A9">
        <w:rPr>
          <w:sz w:val="24"/>
          <w:szCs w:val="24"/>
          <w:lang w:val="sr-Latn-ME"/>
        </w:rPr>
        <w:t>šć</w:t>
      </w:r>
      <w:r w:rsidRPr="00281886">
        <w:rPr>
          <w:sz w:val="24"/>
          <w:szCs w:val="24"/>
        </w:rPr>
        <w:t>u</w:t>
      </w:r>
      <w:r w:rsidRPr="00CE07A9">
        <w:rPr>
          <w:sz w:val="24"/>
          <w:szCs w:val="24"/>
          <w:lang w:val="sr-Latn-ME"/>
        </w:rPr>
        <w:t xml:space="preserve"> </w:t>
      </w:r>
      <w:proofErr w:type="spellStart"/>
      <w:r w:rsidRPr="00281886">
        <w:rPr>
          <w:sz w:val="24"/>
          <w:szCs w:val="24"/>
        </w:rPr>
        <w:t>i</w:t>
      </w:r>
      <w:proofErr w:type="spellEnd"/>
      <w:r w:rsidRPr="00CE07A9">
        <w:rPr>
          <w:sz w:val="24"/>
          <w:szCs w:val="24"/>
          <w:lang w:val="sr-Latn-ME"/>
        </w:rPr>
        <w:t xml:space="preserve"> </w:t>
      </w:r>
      <w:proofErr w:type="spellStart"/>
      <w:r w:rsidRPr="00281886">
        <w:rPr>
          <w:sz w:val="24"/>
          <w:szCs w:val="24"/>
        </w:rPr>
        <w:t>investi</w:t>
      </w:r>
      <w:r w:rsidR="000A7784">
        <w:rPr>
          <w:sz w:val="24"/>
          <w:szCs w:val="24"/>
        </w:rPr>
        <w:t>c</w:t>
      </w:r>
      <w:r w:rsidRPr="00281886">
        <w:rPr>
          <w:sz w:val="24"/>
          <w:szCs w:val="24"/>
        </w:rPr>
        <w:t>ijama</w:t>
      </w:r>
      <w:proofErr w:type="spellEnd"/>
      <w:r w:rsidRPr="00CE07A9">
        <w:rPr>
          <w:sz w:val="24"/>
          <w:szCs w:val="24"/>
          <w:lang w:val="sr-Latn-ME"/>
        </w:rPr>
        <w:t xml:space="preserve">, </w:t>
      </w:r>
      <w:proofErr w:type="spellStart"/>
      <w:r w:rsidRPr="00281886">
        <w:rPr>
          <w:sz w:val="24"/>
          <w:szCs w:val="24"/>
        </w:rPr>
        <w:t>slabije</w:t>
      </w:r>
      <w:proofErr w:type="spellEnd"/>
      <w:r w:rsidRPr="00CE07A9">
        <w:rPr>
          <w:sz w:val="24"/>
          <w:szCs w:val="24"/>
          <w:lang w:val="sr-Latn-ME"/>
        </w:rPr>
        <w:t xml:space="preserve"> </w:t>
      </w:r>
      <w:proofErr w:type="spellStart"/>
      <w:r w:rsidRPr="00281886">
        <w:rPr>
          <w:sz w:val="24"/>
          <w:szCs w:val="24"/>
        </w:rPr>
        <w:t>razvijenim</w:t>
      </w:r>
      <w:proofErr w:type="spellEnd"/>
      <w:r w:rsidRPr="00CE07A9">
        <w:rPr>
          <w:sz w:val="24"/>
          <w:szCs w:val="24"/>
          <w:lang w:val="sr-Latn-ME"/>
        </w:rPr>
        <w:t xml:space="preserve"> </w:t>
      </w:r>
      <w:proofErr w:type="spellStart"/>
      <w:r w:rsidRPr="00281886">
        <w:rPr>
          <w:sz w:val="24"/>
          <w:szCs w:val="24"/>
        </w:rPr>
        <w:t>finan</w:t>
      </w:r>
      <w:r w:rsidR="000A7784">
        <w:rPr>
          <w:sz w:val="24"/>
          <w:szCs w:val="24"/>
        </w:rPr>
        <w:t>si</w:t>
      </w:r>
      <w:r w:rsidRPr="00281886">
        <w:rPr>
          <w:sz w:val="24"/>
          <w:szCs w:val="24"/>
        </w:rPr>
        <w:t>j</w:t>
      </w:r>
      <w:r w:rsidR="000A7784">
        <w:rPr>
          <w:sz w:val="24"/>
          <w:szCs w:val="24"/>
        </w:rPr>
        <w:t>s</w:t>
      </w:r>
      <w:r w:rsidRPr="00281886">
        <w:rPr>
          <w:sz w:val="24"/>
          <w:szCs w:val="24"/>
        </w:rPr>
        <w:t>kim</w:t>
      </w:r>
      <w:proofErr w:type="spellEnd"/>
      <w:r w:rsidRPr="00CE07A9">
        <w:rPr>
          <w:sz w:val="24"/>
          <w:szCs w:val="24"/>
          <w:lang w:val="sr-Latn-ME"/>
        </w:rPr>
        <w:t xml:space="preserve"> </w:t>
      </w:r>
      <w:proofErr w:type="spellStart"/>
      <w:r w:rsidRPr="00281886">
        <w:rPr>
          <w:sz w:val="24"/>
          <w:szCs w:val="24"/>
        </w:rPr>
        <w:t>sektorom</w:t>
      </w:r>
      <w:proofErr w:type="spellEnd"/>
      <w:r w:rsidRPr="00CE07A9">
        <w:rPr>
          <w:sz w:val="24"/>
          <w:szCs w:val="24"/>
          <w:lang w:val="sr-Latn-ME"/>
        </w:rPr>
        <w:t xml:space="preserve">, </w:t>
      </w:r>
      <w:proofErr w:type="spellStart"/>
      <w:r w:rsidRPr="00281886">
        <w:rPr>
          <w:sz w:val="24"/>
          <w:szCs w:val="24"/>
        </w:rPr>
        <w:t>sektorom</w:t>
      </w:r>
      <w:proofErr w:type="spellEnd"/>
      <w:r w:rsidRPr="00CE07A9">
        <w:rPr>
          <w:sz w:val="24"/>
          <w:szCs w:val="24"/>
          <w:lang w:val="sr-Latn-ME"/>
        </w:rPr>
        <w:t xml:space="preserve"> </w:t>
      </w:r>
      <w:proofErr w:type="spellStart"/>
      <w:r w:rsidRPr="00281886">
        <w:rPr>
          <w:sz w:val="24"/>
          <w:szCs w:val="24"/>
        </w:rPr>
        <w:t>obrazovanja</w:t>
      </w:r>
      <w:proofErr w:type="spellEnd"/>
      <w:r w:rsidRPr="00CE07A9">
        <w:rPr>
          <w:sz w:val="24"/>
          <w:szCs w:val="24"/>
          <w:lang w:val="sr-Latn-ME"/>
        </w:rPr>
        <w:t xml:space="preserve"> </w:t>
      </w:r>
      <w:proofErr w:type="spellStart"/>
      <w:r w:rsidRPr="00281886">
        <w:rPr>
          <w:sz w:val="24"/>
          <w:szCs w:val="24"/>
        </w:rPr>
        <w:t>i</w:t>
      </w:r>
      <w:proofErr w:type="spellEnd"/>
      <w:r w:rsidRPr="00CE07A9">
        <w:rPr>
          <w:sz w:val="24"/>
          <w:szCs w:val="24"/>
          <w:lang w:val="sr-Latn-ME"/>
        </w:rPr>
        <w:t xml:space="preserve"> </w:t>
      </w:r>
      <w:proofErr w:type="spellStart"/>
      <w:r w:rsidRPr="00281886">
        <w:rPr>
          <w:sz w:val="24"/>
          <w:szCs w:val="24"/>
        </w:rPr>
        <w:t>zdravstva</w:t>
      </w:r>
      <w:proofErr w:type="spellEnd"/>
      <w:r w:rsidRPr="00CE07A9">
        <w:rPr>
          <w:sz w:val="24"/>
          <w:szCs w:val="24"/>
          <w:lang w:val="sr-Latn-ME"/>
        </w:rPr>
        <w:t xml:space="preserve"> </w:t>
      </w:r>
      <w:proofErr w:type="spellStart"/>
      <w:r w:rsidRPr="00281886">
        <w:rPr>
          <w:sz w:val="24"/>
          <w:szCs w:val="24"/>
        </w:rPr>
        <w:t>i</w:t>
      </w:r>
      <w:proofErr w:type="spellEnd"/>
      <w:r w:rsidRPr="00CE07A9">
        <w:rPr>
          <w:sz w:val="24"/>
          <w:szCs w:val="24"/>
          <w:lang w:val="sr-Latn-ME"/>
        </w:rPr>
        <w:t xml:space="preserve"> </w:t>
      </w:r>
      <w:proofErr w:type="spellStart"/>
      <w:r w:rsidRPr="00281886">
        <w:rPr>
          <w:sz w:val="24"/>
          <w:szCs w:val="24"/>
        </w:rPr>
        <w:t>ve</w:t>
      </w:r>
      <w:proofErr w:type="spellEnd"/>
      <w:r w:rsidRPr="00CE07A9">
        <w:rPr>
          <w:sz w:val="24"/>
          <w:szCs w:val="24"/>
          <w:lang w:val="sr-Latn-ME"/>
        </w:rPr>
        <w:t>ć</w:t>
      </w:r>
      <w:r w:rsidRPr="00281886">
        <w:rPr>
          <w:sz w:val="24"/>
          <w:szCs w:val="24"/>
        </w:rPr>
        <w:t>om</w:t>
      </w:r>
      <w:r w:rsidRPr="00CE07A9">
        <w:rPr>
          <w:sz w:val="24"/>
          <w:szCs w:val="24"/>
          <w:lang w:val="sr-Latn-ME"/>
        </w:rPr>
        <w:t xml:space="preserve"> </w:t>
      </w:r>
      <w:proofErr w:type="spellStart"/>
      <w:r w:rsidRPr="00281886">
        <w:rPr>
          <w:sz w:val="24"/>
          <w:szCs w:val="24"/>
        </w:rPr>
        <w:t>rodnom</w:t>
      </w:r>
      <w:proofErr w:type="spellEnd"/>
      <w:r w:rsidRPr="00CE07A9">
        <w:rPr>
          <w:sz w:val="24"/>
          <w:szCs w:val="24"/>
          <w:lang w:val="sr-Latn-ME"/>
        </w:rPr>
        <w:t xml:space="preserve"> </w:t>
      </w:r>
      <w:proofErr w:type="spellStart"/>
      <w:r w:rsidRPr="00281886">
        <w:rPr>
          <w:sz w:val="24"/>
          <w:szCs w:val="24"/>
        </w:rPr>
        <w:t>nejednako</w:t>
      </w:r>
      <w:proofErr w:type="spellEnd"/>
      <w:r w:rsidRPr="00CE07A9">
        <w:rPr>
          <w:sz w:val="24"/>
          <w:szCs w:val="24"/>
          <w:lang w:val="sr-Latn-ME"/>
        </w:rPr>
        <w:t>šć</w:t>
      </w:r>
      <w:r w:rsidRPr="00281886">
        <w:rPr>
          <w:sz w:val="24"/>
          <w:szCs w:val="24"/>
        </w:rPr>
        <w:t>u</w:t>
      </w:r>
      <w:r w:rsidRPr="00CE07A9">
        <w:rPr>
          <w:sz w:val="24"/>
          <w:szCs w:val="24"/>
          <w:lang w:val="sr-Latn-ME"/>
        </w:rPr>
        <w:t xml:space="preserve">.  </w:t>
      </w:r>
      <w:r w:rsidRPr="00CE07A9">
        <w:rPr>
          <w:sz w:val="24"/>
          <w:szCs w:val="24"/>
          <w:lang w:val="pl-PL"/>
        </w:rPr>
        <w:t>U periodu 1990 -</w:t>
      </w:r>
      <w:r w:rsidR="006A14E5" w:rsidRPr="00CE07A9">
        <w:rPr>
          <w:sz w:val="24"/>
          <w:szCs w:val="24"/>
          <w:lang w:val="pl-PL"/>
        </w:rPr>
        <w:t xml:space="preserve"> </w:t>
      </w:r>
      <w:r w:rsidRPr="00CE07A9">
        <w:rPr>
          <w:sz w:val="24"/>
          <w:szCs w:val="24"/>
          <w:lang w:val="pl-PL"/>
        </w:rPr>
        <w:t>2018.</w:t>
      </w:r>
      <w:r w:rsidR="000A7784" w:rsidRPr="00CE07A9">
        <w:rPr>
          <w:sz w:val="24"/>
          <w:szCs w:val="24"/>
          <w:lang w:val="pl-PL"/>
        </w:rPr>
        <w:t xml:space="preserve"> </w:t>
      </w:r>
      <w:r w:rsidRPr="00CE07A9">
        <w:rPr>
          <w:sz w:val="24"/>
          <w:szCs w:val="24"/>
          <w:lang w:val="pl-PL"/>
        </w:rPr>
        <w:t xml:space="preserve">godina, procenat učešća neformalnog outputa u BDP je, prema podacima Svjetske banke smanjen za 8 procentnih poena ili na 31% BDP u zemljama u razvoju, </w:t>
      </w:r>
      <w:r w:rsidR="007D7009" w:rsidRPr="00CE07A9">
        <w:rPr>
          <w:sz w:val="24"/>
          <w:szCs w:val="24"/>
          <w:lang w:val="pl-PL"/>
        </w:rPr>
        <w:t>i</w:t>
      </w:r>
      <w:r w:rsidRPr="00CE07A9">
        <w:rPr>
          <w:sz w:val="24"/>
          <w:szCs w:val="24"/>
          <w:lang w:val="pl-PL"/>
        </w:rPr>
        <w:t xml:space="preserve"> za </w:t>
      </w:r>
      <w:r w:rsidR="00EE289B" w:rsidRPr="00CE07A9">
        <w:rPr>
          <w:sz w:val="24"/>
          <w:szCs w:val="24"/>
          <w:lang w:val="pl-PL"/>
        </w:rPr>
        <w:t xml:space="preserve"> 3 </w:t>
      </w:r>
      <w:r w:rsidR="007D7009" w:rsidRPr="00CE07A9">
        <w:rPr>
          <w:sz w:val="24"/>
          <w:szCs w:val="24"/>
          <w:lang w:val="pl-PL"/>
        </w:rPr>
        <w:t>p</w:t>
      </w:r>
      <w:r w:rsidRPr="00CE07A9">
        <w:rPr>
          <w:sz w:val="24"/>
          <w:szCs w:val="24"/>
          <w:lang w:val="pl-PL"/>
        </w:rPr>
        <w:t>rocentna poena ili na 13% BDP u r</w:t>
      </w:r>
      <w:r w:rsidR="007D7009" w:rsidRPr="00CE07A9">
        <w:rPr>
          <w:sz w:val="24"/>
          <w:szCs w:val="24"/>
          <w:lang w:val="pl-PL"/>
        </w:rPr>
        <w:t>az</w:t>
      </w:r>
      <w:r w:rsidRPr="00CE07A9">
        <w:rPr>
          <w:sz w:val="24"/>
          <w:szCs w:val="24"/>
          <w:lang w:val="pl-PL"/>
        </w:rPr>
        <w:t>vijenim zemljama (Svj</w:t>
      </w:r>
      <w:r w:rsidR="00161E6C" w:rsidRPr="00CE07A9">
        <w:rPr>
          <w:sz w:val="24"/>
          <w:szCs w:val="24"/>
          <w:lang w:val="pl-PL"/>
        </w:rPr>
        <w:t>e</w:t>
      </w:r>
      <w:r w:rsidRPr="00CE07A9">
        <w:rPr>
          <w:sz w:val="24"/>
          <w:szCs w:val="24"/>
          <w:lang w:val="pl-PL"/>
        </w:rPr>
        <w:t xml:space="preserve">tska banka, 2019). </w:t>
      </w:r>
    </w:p>
    <w:p w14:paraId="4311B257" w14:textId="35161F67" w:rsidR="0096597E" w:rsidRPr="00281886" w:rsidRDefault="00103978" w:rsidP="00DB2A4E">
      <w:pPr>
        <w:jc w:val="both"/>
        <w:rPr>
          <w:sz w:val="24"/>
          <w:szCs w:val="24"/>
          <w:lang w:val="pl-PL"/>
        </w:rPr>
      </w:pPr>
      <w:r w:rsidRPr="00281886">
        <w:rPr>
          <w:sz w:val="24"/>
          <w:szCs w:val="24"/>
          <w:lang w:val="pl-PL"/>
        </w:rPr>
        <w:t>Prema Lippert i Walker (1997), postoji više različitih oblika neformalnih ekonomskih aktivnosti prema</w:t>
      </w:r>
      <w:r w:rsidR="00DB36F1">
        <w:rPr>
          <w:sz w:val="24"/>
          <w:szCs w:val="24"/>
          <w:lang w:val="pl-PL"/>
        </w:rPr>
        <w:t xml:space="preserve"> </w:t>
      </w:r>
      <w:r w:rsidRPr="00281886">
        <w:rPr>
          <w:sz w:val="24"/>
          <w:szCs w:val="24"/>
          <w:lang w:val="pl-PL"/>
        </w:rPr>
        <w:t>legalnosti i obliku neform</w:t>
      </w:r>
      <w:r w:rsidR="003236D9">
        <w:rPr>
          <w:sz w:val="24"/>
          <w:szCs w:val="24"/>
          <w:lang w:val="pl-PL"/>
        </w:rPr>
        <w:t>al</w:t>
      </w:r>
      <w:r w:rsidRPr="00281886">
        <w:rPr>
          <w:sz w:val="24"/>
          <w:szCs w:val="24"/>
          <w:lang w:val="pl-PL"/>
        </w:rPr>
        <w:t>nosti.</w:t>
      </w:r>
    </w:p>
    <w:p w14:paraId="2B468CC0" w14:textId="5B3663C0" w:rsidR="00103978" w:rsidRPr="00281886" w:rsidRDefault="00103978">
      <w:pPr>
        <w:pStyle w:val="ListParagraph"/>
        <w:numPr>
          <w:ilvl w:val="0"/>
          <w:numId w:val="6"/>
        </w:numPr>
        <w:jc w:val="both"/>
        <w:rPr>
          <w:sz w:val="24"/>
          <w:szCs w:val="24"/>
          <w:lang w:val="pl-PL"/>
        </w:rPr>
      </w:pPr>
      <w:r w:rsidRPr="00281886">
        <w:rPr>
          <w:b/>
          <w:bCs/>
          <w:sz w:val="24"/>
          <w:szCs w:val="24"/>
          <w:lang w:val="pl-PL"/>
        </w:rPr>
        <w:t>Legalne aktivnosti</w:t>
      </w:r>
      <w:r w:rsidRPr="00281886">
        <w:rPr>
          <w:sz w:val="24"/>
          <w:szCs w:val="24"/>
          <w:lang w:val="pl-PL"/>
        </w:rPr>
        <w:t xml:space="preserve"> (siva ekonomija), koje uključuju: </w:t>
      </w:r>
      <w:r w:rsidR="00DB2A4E" w:rsidRPr="00281886">
        <w:rPr>
          <w:sz w:val="24"/>
          <w:szCs w:val="24"/>
          <w:lang w:val="pl-PL"/>
        </w:rPr>
        <w:t>m</w:t>
      </w:r>
      <w:r w:rsidRPr="00281886">
        <w:rPr>
          <w:sz w:val="24"/>
          <w:szCs w:val="24"/>
          <w:lang w:val="pl-PL"/>
        </w:rPr>
        <w:t xml:space="preserve">onetarne </w:t>
      </w:r>
      <w:r w:rsidR="00DB2A4E" w:rsidRPr="00281886">
        <w:rPr>
          <w:sz w:val="24"/>
          <w:szCs w:val="24"/>
          <w:lang w:val="pl-PL"/>
        </w:rPr>
        <w:t xml:space="preserve">i nemonetarne </w:t>
      </w:r>
      <w:r w:rsidRPr="00281886">
        <w:rPr>
          <w:sz w:val="24"/>
          <w:szCs w:val="24"/>
          <w:lang w:val="pl-PL"/>
        </w:rPr>
        <w:t>transakcije poreske evazije i izbjegavanja plaćanja punih poreskih obaveza</w:t>
      </w:r>
      <w:r w:rsidR="00DB2A4E" w:rsidRPr="00281886">
        <w:rPr>
          <w:sz w:val="24"/>
          <w:szCs w:val="24"/>
          <w:lang w:val="pl-PL"/>
        </w:rPr>
        <w:t>. Monetarne transakcije poreske evazije uključuju prihode od neprijavljenih aktivnosti, neprijavljene prihode iz samozapošljavanja, dok nemonetarne čine trampu legalnom robom i u</w:t>
      </w:r>
      <w:r w:rsidR="00E47AAB">
        <w:rPr>
          <w:sz w:val="24"/>
          <w:szCs w:val="24"/>
          <w:lang w:val="pl-PL"/>
        </w:rPr>
        <w:t>s</w:t>
      </w:r>
      <w:r w:rsidR="00DB2A4E" w:rsidRPr="00281886">
        <w:rPr>
          <w:sz w:val="24"/>
          <w:szCs w:val="24"/>
          <w:lang w:val="pl-PL"/>
        </w:rPr>
        <w:t xml:space="preserve">lugama. </w:t>
      </w:r>
      <w:r w:rsidR="00226AA3" w:rsidRPr="00281886">
        <w:rPr>
          <w:sz w:val="24"/>
          <w:szCs w:val="24"/>
          <w:lang w:val="pl-PL"/>
        </w:rPr>
        <w:t>Monetarne transakcije izbjegavanja plaćanja poreza su prijavljivanje radnika na minimalnu zaradu ili na dio radnog vremena, dok se nemonetarne tr</w:t>
      </w:r>
      <w:r w:rsidR="00E47AAB">
        <w:rPr>
          <w:sz w:val="24"/>
          <w:szCs w:val="24"/>
          <w:lang w:val="pl-PL"/>
        </w:rPr>
        <w:t>a</w:t>
      </w:r>
      <w:r w:rsidR="00226AA3" w:rsidRPr="00281886">
        <w:rPr>
          <w:sz w:val="24"/>
          <w:szCs w:val="24"/>
          <w:lang w:val="pl-PL"/>
        </w:rPr>
        <w:t>nsakcije odnose na pružanje neregistrovanih usluga.</w:t>
      </w:r>
    </w:p>
    <w:p w14:paraId="621593FD" w14:textId="1D49FAA3" w:rsidR="00226AA3" w:rsidRPr="00021CDC" w:rsidRDefault="00DB2A4E">
      <w:pPr>
        <w:pStyle w:val="ListParagraph"/>
        <w:numPr>
          <w:ilvl w:val="0"/>
          <w:numId w:val="6"/>
        </w:numPr>
        <w:jc w:val="both"/>
        <w:rPr>
          <w:sz w:val="24"/>
          <w:szCs w:val="24"/>
          <w:lang w:val="pl-PL"/>
        </w:rPr>
      </w:pPr>
      <w:r w:rsidRPr="00281886">
        <w:rPr>
          <w:b/>
          <w:bCs/>
          <w:sz w:val="24"/>
          <w:szCs w:val="24"/>
          <w:lang w:val="pl-PL"/>
        </w:rPr>
        <w:t>Ilegalne aktivnosti</w:t>
      </w:r>
      <w:r w:rsidRPr="00281886">
        <w:rPr>
          <w:sz w:val="24"/>
          <w:szCs w:val="24"/>
          <w:lang w:val="pl-PL"/>
        </w:rPr>
        <w:t xml:space="preserve"> (crno tržište), koje uključuju monetarne transkacije poput trgovine kradenom robom, proizvodnje i prometa nelegalnih opojnih sredstava, šverc, itd. i nemonetarne transakcije poput trampe nelegalnim robama i uslugama, kra</w:t>
      </w:r>
      <w:r w:rsidR="00E47AAB">
        <w:rPr>
          <w:sz w:val="24"/>
          <w:szCs w:val="24"/>
          <w:lang w:val="pl-PL"/>
        </w:rPr>
        <w:t>đ</w:t>
      </w:r>
      <w:r w:rsidRPr="00281886">
        <w:rPr>
          <w:sz w:val="24"/>
          <w:szCs w:val="24"/>
          <w:lang w:val="pl-PL"/>
        </w:rPr>
        <w:t>e, proizvodnje opojnih sredstava za sopstvenu upotrebu.</w:t>
      </w:r>
      <w:r w:rsidR="00226AA3" w:rsidRPr="00021CDC">
        <w:rPr>
          <w:sz w:val="24"/>
          <w:szCs w:val="24"/>
          <w:lang w:val="pl-PL"/>
        </w:rPr>
        <w:t xml:space="preserve"> </w:t>
      </w:r>
    </w:p>
    <w:p w14:paraId="29CBE369" w14:textId="3FD178D7" w:rsidR="00226AA3" w:rsidRPr="00021CDC" w:rsidRDefault="00226AA3" w:rsidP="00226AA3">
      <w:pPr>
        <w:pStyle w:val="ListParagraph"/>
        <w:jc w:val="both"/>
        <w:rPr>
          <w:sz w:val="24"/>
          <w:szCs w:val="24"/>
          <w:lang w:val="pl-PL"/>
        </w:rPr>
      </w:pPr>
      <w:r w:rsidRPr="00021CDC">
        <w:rPr>
          <w:sz w:val="24"/>
          <w:szCs w:val="24"/>
          <w:lang w:val="pl-PL"/>
        </w:rPr>
        <w:t>Prema OECD-u, siva ekonomija obuhvata “ekonomske aktivnosti, bilo legalne ili nelegalne, koje se po zakonu moraju u potpunosti prijaviti poreskoj upravi, ali koje se ne prijavljuju i koje stoga ostaju neoporezovane za razliku od aktivnosti koje su tako prijavljene”.</w:t>
      </w:r>
    </w:p>
    <w:p w14:paraId="67D8EFF9" w14:textId="5B51AEC4" w:rsidR="00DB2A4E" w:rsidRPr="00D2393D" w:rsidRDefault="00B555D4" w:rsidP="001817BD">
      <w:pPr>
        <w:jc w:val="both"/>
        <w:rPr>
          <w:sz w:val="24"/>
          <w:szCs w:val="24"/>
          <w:lang w:val="sr-Latn-ME"/>
        </w:rPr>
      </w:pPr>
      <w:r>
        <w:rPr>
          <w:sz w:val="24"/>
          <w:szCs w:val="24"/>
          <w:lang w:val="pl-PL"/>
        </w:rPr>
        <w:t>Svrha</w:t>
      </w:r>
      <w:r w:rsidR="00DB2A4E" w:rsidRPr="00281886">
        <w:rPr>
          <w:sz w:val="24"/>
          <w:szCs w:val="24"/>
          <w:lang w:val="pl-PL"/>
        </w:rPr>
        <w:t xml:space="preserve"> ovog </w:t>
      </w:r>
      <w:r w:rsidR="00E47AAB">
        <w:rPr>
          <w:sz w:val="24"/>
          <w:szCs w:val="24"/>
          <w:lang w:val="pl-PL"/>
        </w:rPr>
        <w:t>p</w:t>
      </w:r>
      <w:r w:rsidR="00DB2A4E" w:rsidRPr="00281886">
        <w:rPr>
          <w:sz w:val="24"/>
          <w:szCs w:val="24"/>
          <w:lang w:val="pl-PL"/>
        </w:rPr>
        <w:t xml:space="preserve">rograma </w:t>
      </w:r>
      <w:r>
        <w:rPr>
          <w:sz w:val="24"/>
          <w:szCs w:val="24"/>
          <w:lang w:val="pl-PL"/>
        </w:rPr>
        <w:t>se najvećim dijelom odnosi na  smanjenje</w:t>
      </w:r>
      <w:r w:rsidR="00DB2A4E" w:rsidRPr="00D2393D">
        <w:rPr>
          <w:sz w:val="24"/>
          <w:szCs w:val="24"/>
          <w:lang w:val="pl-PL"/>
        </w:rPr>
        <w:t xml:space="preserve"> nefor</w:t>
      </w:r>
      <w:r w:rsidR="00226AA3" w:rsidRPr="00D2393D">
        <w:rPr>
          <w:sz w:val="24"/>
          <w:szCs w:val="24"/>
          <w:lang w:val="pl-PL"/>
        </w:rPr>
        <w:t xml:space="preserve">malnosti </w:t>
      </w:r>
      <w:r w:rsidR="00943E5A" w:rsidRPr="00281886">
        <w:rPr>
          <w:sz w:val="24"/>
          <w:szCs w:val="24"/>
          <w:lang w:val="pl-PL"/>
        </w:rPr>
        <w:t>kod registrovanih preduzeća</w:t>
      </w:r>
      <w:r w:rsidR="003236D9">
        <w:rPr>
          <w:sz w:val="24"/>
          <w:szCs w:val="24"/>
          <w:lang w:val="pl-PL"/>
        </w:rPr>
        <w:t xml:space="preserve"> i predu</w:t>
      </w:r>
      <w:r w:rsidR="00E47AAB">
        <w:rPr>
          <w:sz w:val="24"/>
          <w:szCs w:val="24"/>
          <w:lang w:val="pl-PL"/>
        </w:rPr>
        <w:t>z</w:t>
      </w:r>
      <w:r w:rsidR="003236D9">
        <w:rPr>
          <w:sz w:val="24"/>
          <w:szCs w:val="24"/>
          <w:lang w:val="pl-PL"/>
        </w:rPr>
        <w:t>etnika</w:t>
      </w:r>
      <w:r w:rsidR="00943E5A" w:rsidRPr="00281886">
        <w:rPr>
          <w:sz w:val="24"/>
          <w:szCs w:val="24"/>
          <w:lang w:val="pl-PL"/>
        </w:rPr>
        <w:t>, uključujući</w:t>
      </w:r>
      <w:r w:rsidR="00226AA3" w:rsidRPr="00281886">
        <w:rPr>
          <w:sz w:val="24"/>
          <w:szCs w:val="24"/>
          <w:lang w:val="pl-PL"/>
        </w:rPr>
        <w:t xml:space="preserve"> prvenstveno poresku evaziju (neprijavljivanje prihoda ili trampa legalnom robom) i izbjegavanje plaćanja punih poreskih obaveza (prijavljivanje dijela zarada zap</w:t>
      </w:r>
      <w:r w:rsidR="00AA265E">
        <w:rPr>
          <w:sz w:val="24"/>
          <w:szCs w:val="24"/>
          <w:lang w:val="pl-PL"/>
        </w:rPr>
        <w:t>os</w:t>
      </w:r>
      <w:r w:rsidR="00226AA3" w:rsidRPr="00281886">
        <w:rPr>
          <w:sz w:val="24"/>
          <w:szCs w:val="24"/>
          <w:lang w:val="pl-PL"/>
        </w:rPr>
        <w:t xml:space="preserve">lenih, pružanje </w:t>
      </w:r>
      <w:r w:rsidR="00943E5A" w:rsidRPr="00281886">
        <w:rPr>
          <w:sz w:val="24"/>
          <w:szCs w:val="24"/>
          <w:lang w:val="pl-PL"/>
        </w:rPr>
        <w:t>ne</w:t>
      </w:r>
      <w:r w:rsidR="00226AA3" w:rsidRPr="00281886">
        <w:rPr>
          <w:sz w:val="24"/>
          <w:szCs w:val="24"/>
          <w:lang w:val="pl-PL"/>
        </w:rPr>
        <w:t>registrovanih usluga i sl).</w:t>
      </w:r>
      <w:r w:rsidR="000E7104" w:rsidRPr="00281886">
        <w:rPr>
          <w:sz w:val="24"/>
          <w:szCs w:val="24"/>
          <w:lang w:val="pl-PL"/>
        </w:rPr>
        <w:t xml:space="preserve"> Program će donekle obuhvatiti i </w:t>
      </w:r>
      <w:r w:rsidR="000E7104" w:rsidRPr="00DB36F1">
        <w:rPr>
          <w:b/>
          <w:bCs/>
          <w:sz w:val="24"/>
          <w:szCs w:val="24"/>
          <w:lang w:val="pl-PL"/>
        </w:rPr>
        <w:t>crno tržište</w:t>
      </w:r>
      <w:r w:rsidR="000E7104" w:rsidRPr="00281886">
        <w:rPr>
          <w:sz w:val="24"/>
          <w:szCs w:val="24"/>
          <w:lang w:val="pl-PL"/>
        </w:rPr>
        <w:t>, odnosno mogućno</w:t>
      </w:r>
      <w:r w:rsidR="000200D2" w:rsidRPr="00281886">
        <w:rPr>
          <w:sz w:val="24"/>
          <w:szCs w:val="24"/>
          <w:lang w:val="pl-PL"/>
        </w:rPr>
        <w:t>s</w:t>
      </w:r>
      <w:r w:rsidR="000E7104" w:rsidRPr="00281886">
        <w:rPr>
          <w:sz w:val="24"/>
          <w:szCs w:val="24"/>
          <w:lang w:val="pl-PL"/>
        </w:rPr>
        <w:t xml:space="preserve">ti smanjenja </w:t>
      </w:r>
      <w:r w:rsidR="003236D9">
        <w:rPr>
          <w:sz w:val="24"/>
          <w:szCs w:val="24"/>
          <w:lang w:val="pl-PL"/>
        </w:rPr>
        <w:t>ne</w:t>
      </w:r>
      <w:r w:rsidR="000E7104" w:rsidRPr="00281886">
        <w:rPr>
          <w:sz w:val="24"/>
          <w:szCs w:val="24"/>
          <w:lang w:val="pl-PL"/>
        </w:rPr>
        <w:t>legalnih aktivnost</w:t>
      </w:r>
      <w:r w:rsidR="003236D9">
        <w:rPr>
          <w:sz w:val="24"/>
          <w:szCs w:val="24"/>
          <w:lang w:val="pl-PL"/>
        </w:rPr>
        <w:t>i i</w:t>
      </w:r>
      <w:r w:rsidR="000E7104" w:rsidRPr="00281886">
        <w:rPr>
          <w:sz w:val="24"/>
          <w:szCs w:val="24"/>
          <w:lang w:val="pl-PL"/>
        </w:rPr>
        <w:t>, koje tako</w:t>
      </w:r>
      <w:r w:rsidR="000B4FAD">
        <w:rPr>
          <w:sz w:val="24"/>
          <w:szCs w:val="24"/>
          <w:lang w:val="sr-Latn-ME"/>
        </w:rPr>
        <w:t>đ</w:t>
      </w:r>
      <w:r w:rsidR="000E7104" w:rsidRPr="00281886">
        <w:rPr>
          <w:sz w:val="24"/>
          <w:szCs w:val="24"/>
          <w:lang w:val="pl-PL"/>
        </w:rPr>
        <w:t>e ut</w:t>
      </w:r>
      <w:r w:rsidR="00EF246B">
        <w:rPr>
          <w:sz w:val="24"/>
          <w:szCs w:val="24"/>
          <w:lang w:val="pl-PL"/>
        </w:rPr>
        <w:t>i</w:t>
      </w:r>
      <w:r w:rsidR="000E7104" w:rsidRPr="00281886">
        <w:rPr>
          <w:sz w:val="24"/>
          <w:szCs w:val="24"/>
          <w:lang w:val="pl-PL"/>
        </w:rPr>
        <w:t>ču na niže prihode budžeta i ekonomski rast od potencijalnih.</w:t>
      </w:r>
      <w:r w:rsidR="00D2393D">
        <w:rPr>
          <w:sz w:val="24"/>
          <w:szCs w:val="24"/>
          <w:lang w:val="pl-PL"/>
        </w:rPr>
        <w:t xml:space="preserve"> </w:t>
      </w:r>
      <w:r w:rsidR="00D2393D" w:rsidRPr="00D2393D">
        <w:rPr>
          <w:b/>
          <w:bCs/>
          <w:sz w:val="24"/>
          <w:szCs w:val="24"/>
          <w:lang w:val="pl-PL"/>
        </w:rPr>
        <w:t>Cilj programa</w:t>
      </w:r>
      <w:r w:rsidR="00D2393D">
        <w:rPr>
          <w:sz w:val="24"/>
          <w:szCs w:val="24"/>
          <w:lang w:val="pl-PL"/>
        </w:rPr>
        <w:t xml:space="preserve"> je smanjenje u</w:t>
      </w:r>
      <w:r w:rsidR="00D2393D">
        <w:rPr>
          <w:sz w:val="24"/>
          <w:szCs w:val="24"/>
          <w:lang w:val="sr-Latn-ME"/>
        </w:rPr>
        <w:t>češća neformalne ekonomije u BDP.</w:t>
      </w:r>
    </w:p>
    <w:p w14:paraId="5C8E992B" w14:textId="3D1C053C" w:rsidR="00957F32" w:rsidRPr="00CE07A9" w:rsidRDefault="00957F32" w:rsidP="001817BD">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color w:val="000000"/>
          <w:kern w:val="0"/>
          <w:sz w:val="24"/>
          <w:szCs w:val="24"/>
          <w:lang w:val="sr-Latn-ME"/>
          <w14:ligatures w14:val="none"/>
        </w:rPr>
        <w:lastRenderedPageBreak/>
        <w:t>Siva ekonomija je u formalnom sektoru u Crnoj Gori</w:t>
      </w:r>
      <w:r w:rsidR="000A7784">
        <w:rPr>
          <w:rFonts w:eastAsia="Calibri" w:cstheme="minorHAnsi"/>
          <w:color w:val="000000"/>
          <w:kern w:val="0"/>
          <w:sz w:val="24"/>
          <w:szCs w:val="24"/>
          <w:lang w:val="sr-Latn-ME"/>
          <w14:ligatures w14:val="none"/>
        </w:rPr>
        <w:t xml:space="preserve"> u </w:t>
      </w:r>
      <w:r w:rsidRPr="00281886">
        <w:rPr>
          <w:rFonts w:eastAsia="Calibri" w:cstheme="minorHAnsi"/>
          <w:color w:val="000000"/>
          <w:kern w:val="0"/>
          <w:sz w:val="24"/>
          <w:szCs w:val="24"/>
          <w:lang w:val="sr-Latn-ME"/>
          <w14:ligatures w14:val="none"/>
        </w:rPr>
        <w:t>20</w:t>
      </w:r>
      <w:r w:rsidR="009364EF">
        <w:rPr>
          <w:rFonts w:eastAsia="Calibri" w:cstheme="minorHAnsi"/>
          <w:color w:val="000000"/>
          <w:kern w:val="0"/>
          <w:sz w:val="24"/>
          <w:szCs w:val="24"/>
          <w:lang w:val="sr-Latn-ME"/>
          <w14:ligatures w14:val="none"/>
        </w:rPr>
        <w:t>2</w:t>
      </w:r>
      <w:r w:rsidRPr="00281886">
        <w:rPr>
          <w:rFonts w:eastAsia="Calibri" w:cstheme="minorHAnsi"/>
          <w:color w:val="000000"/>
          <w:kern w:val="0"/>
          <w:sz w:val="24"/>
          <w:szCs w:val="24"/>
          <w:lang w:val="sr-Latn-ME"/>
          <w14:ligatures w14:val="none"/>
        </w:rPr>
        <w:t>2</w:t>
      </w:r>
      <w:r w:rsidR="009364EF">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sr-Latn-ME"/>
          <w14:ligatures w14:val="none"/>
        </w:rPr>
        <w:t>godin</w:t>
      </w:r>
      <w:r w:rsidR="000A7784">
        <w:rPr>
          <w:rFonts w:eastAsia="Calibri" w:cstheme="minorHAnsi"/>
          <w:color w:val="000000"/>
          <w:kern w:val="0"/>
          <w:sz w:val="24"/>
          <w:szCs w:val="24"/>
          <w:lang w:val="sr-Latn-ME"/>
          <w14:ligatures w14:val="none"/>
        </w:rPr>
        <w:t>i</w:t>
      </w:r>
      <w:r w:rsidRPr="00281886">
        <w:rPr>
          <w:rFonts w:eastAsia="Calibri" w:cstheme="minorHAnsi"/>
          <w:color w:val="000000"/>
          <w:kern w:val="0"/>
          <w:sz w:val="24"/>
          <w:szCs w:val="24"/>
          <w:lang w:val="sr-Latn-ME"/>
          <w14:ligatures w14:val="none"/>
        </w:rPr>
        <w:t xml:space="preserve"> iznosila 20,6% BDP</w:t>
      </w:r>
      <w:r w:rsidR="007237BF">
        <w:rPr>
          <w:rStyle w:val="FootnoteReference"/>
          <w:rFonts w:eastAsia="Calibri" w:cstheme="minorHAnsi"/>
          <w:color w:val="000000"/>
          <w:kern w:val="0"/>
          <w:sz w:val="24"/>
          <w:szCs w:val="24"/>
          <w:lang w:val="sr-Latn-ME"/>
          <w14:ligatures w14:val="none"/>
        </w:rPr>
        <w:footnoteReference w:id="1"/>
      </w:r>
      <w:r w:rsidR="00D75748">
        <w:rPr>
          <w:rFonts w:eastAsia="Calibri" w:cstheme="minorHAnsi"/>
          <w:color w:val="000000"/>
          <w:kern w:val="0"/>
          <w:sz w:val="24"/>
          <w:szCs w:val="24"/>
          <w:lang w:val="sr-Latn-ME"/>
          <w14:ligatures w14:val="none"/>
        </w:rPr>
        <w:t xml:space="preserve"> ili</w:t>
      </w:r>
      <w:r w:rsidRPr="00281886">
        <w:rPr>
          <w:rFonts w:eastAsia="Calibri" w:cstheme="minorHAnsi"/>
          <w:color w:val="000000"/>
          <w:kern w:val="0"/>
          <w:sz w:val="24"/>
          <w:szCs w:val="24"/>
          <w:lang w:val="sr-Latn-ME"/>
          <w14:ligatures w14:val="none"/>
        </w:rPr>
        <w:t xml:space="preserve"> </w:t>
      </w:r>
      <w:r w:rsidRPr="00CE07A9">
        <w:rPr>
          <w:rFonts w:eastAsia="Calibri" w:cstheme="minorHAnsi"/>
          <w:color w:val="000000"/>
          <w:kern w:val="0"/>
          <w:sz w:val="24"/>
          <w:szCs w:val="24"/>
          <w:lang w:val="pl-PL"/>
          <w14:ligatures w14:val="none"/>
        </w:rPr>
        <w:t>3,9 procentnih poena manje u odnosu na 2014. godinu</w:t>
      </w:r>
      <w:r w:rsidRPr="00281886">
        <w:rPr>
          <w:rFonts w:eastAsia="Calibri" w:cstheme="minorHAnsi"/>
          <w:color w:val="000000"/>
          <w:kern w:val="0"/>
          <w:sz w:val="24"/>
          <w:szCs w:val="24"/>
          <w:lang w:val="sr-Latn-ME"/>
          <w14:ligatures w14:val="none"/>
        </w:rPr>
        <w:t>.</w:t>
      </w:r>
      <w:r w:rsidR="00495ACA" w:rsidRPr="00CE07A9">
        <w:rPr>
          <w:rFonts w:ascii="Arial" w:hAnsi="Arial" w:cs="Arial"/>
          <w:color w:val="292929"/>
          <w:sz w:val="30"/>
          <w:szCs w:val="30"/>
          <w:lang w:val="pl-PL"/>
        </w:rPr>
        <w:t xml:space="preserve"> </w:t>
      </w:r>
      <w:r w:rsidR="00495ACA" w:rsidRPr="00CE07A9">
        <w:rPr>
          <w:rFonts w:cstheme="minorHAnsi"/>
          <w:color w:val="292929"/>
          <w:sz w:val="24"/>
          <w:szCs w:val="24"/>
          <w:lang w:val="pl-PL"/>
        </w:rPr>
        <w:t>U</w:t>
      </w:r>
      <w:r w:rsidR="00495ACA" w:rsidRPr="00CE07A9">
        <w:rPr>
          <w:rFonts w:eastAsia="Calibri" w:cstheme="minorHAnsi"/>
          <w:color w:val="000000"/>
          <w:kern w:val="0"/>
          <w:sz w:val="24"/>
          <w:szCs w:val="24"/>
          <w:lang w:val="pl-PL"/>
          <w14:ligatures w14:val="none"/>
        </w:rPr>
        <w:t> poređenju sa drugim zemljama, gdje je primijenjen isti anketni metod, obim sive ekonomije Crne Gore približan je nivou u Poljskoj i Letoniji, viši je nego u Litvaniji i Estoniji, a niži nego u Rusiji, Ukrajini, Kirgistanu, Moldaviji, Kosovu i Rumuniji.</w:t>
      </w:r>
      <w:r w:rsidRPr="00281886">
        <w:rPr>
          <w:rFonts w:eastAsia="Calibri" w:cstheme="minorHAnsi"/>
          <w:color w:val="000000"/>
          <w:kern w:val="0"/>
          <w:sz w:val="24"/>
          <w:szCs w:val="24"/>
          <w:lang w:val="sr-Latn-ME"/>
          <w14:ligatures w14:val="none"/>
        </w:rPr>
        <w:t xml:space="preserve"> </w:t>
      </w:r>
      <w:r w:rsidRPr="00CE07A9">
        <w:rPr>
          <w:rFonts w:eastAsia="Calibri" w:cstheme="minorHAnsi"/>
          <w:color w:val="000000"/>
          <w:kern w:val="0"/>
          <w:sz w:val="24"/>
          <w:szCs w:val="24"/>
          <w:lang w:val="pl-PL"/>
          <w14:ligatures w14:val="none"/>
        </w:rPr>
        <w:t>Prema MIMIC metod</w:t>
      </w:r>
      <w:r w:rsidR="000A7784" w:rsidRPr="00CE07A9">
        <w:rPr>
          <w:rFonts w:eastAsia="Calibri" w:cstheme="minorHAnsi"/>
          <w:color w:val="000000"/>
          <w:kern w:val="0"/>
          <w:sz w:val="24"/>
          <w:szCs w:val="24"/>
          <w:lang w:val="pl-PL"/>
          <w14:ligatures w14:val="none"/>
        </w:rPr>
        <w:t xml:space="preserve">i </w:t>
      </w:r>
      <w:r w:rsidRPr="00CE07A9">
        <w:rPr>
          <w:rFonts w:eastAsia="Calibri" w:cstheme="minorHAnsi"/>
          <w:color w:val="000000"/>
          <w:kern w:val="0"/>
          <w:sz w:val="24"/>
          <w:szCs w:val="24"/>
          <w:lang w:val="pl-PL"/>
          <w14:ligatures w14:val="none"/>
        </w:rPr>
        <w:t xml:space="preserve"> koji obuhvata i </w:t>
      </w:r>
      <w:r w:rsidR="000A7784" w:rsidRPr="00CE07A9">
        <w:rPr>
          <w:rFonts w:eastAsia="Calibri" w:cstheme="minorHAnsi"/>
          <w:color w:val="000000"/>
          <w:kern w:val="0"/>
          <w:sz w:val="24"/>
          <w:szCs w:val="24"/>
          <w:lang w:val="pl-PL"/>
          <w14:ligatures w14:val="none"/>
        </w:rPr>
        <w:t>neformalni sektor</w:t>
      </w:r>
      <w:r w:rsidR="008C70C8" w:rsidRPr="00CE07A9">
        <w:rPr>
          <w:rFonts w:eastAsia="Calibri" w:cstheme="minorHAnsi"/>
          <w:color w:val="000000"/>
          <w:kern w:val="0"/>
          <w:sz w:val="24"/>
          <w:szCs w:val="24"/>
          <w:lang w:val="pl-PL"/>
          <w14:ligatures w14:val="none"/>
        </w:rPr>
        <w:t>, o</w:t>
      </w:r>
      <w:r w:rsidR="00E47AAB">
        <w:rPr>
          <w:rFonts w:eastAsia="Calibri" w:cstheme="minorHAnsi"/>
          <w:color w:val="000000"/>
          <w:kern w:val="0"/>
          <w:sz w:val="24"/>
          <w:szCs w:val="24"/>
          <w:lang w:val="pl-PL"/>
          <w14:ligatures w14:val="none"/>
        </w:rPr>
        <w:t>d</w:t>
      </w:r>
      <w:r w:rsidR="008C70C8" w:rsidRPr="00CE07A9">
        <w:rPr>
          <w:rFonts w:eastAsia="Calibri" w:cstheme="minorHAnsi"/>
          <w:color w:val="000000"/>
          <w:kern w:val="0"/>
          <w:sz w:val="24"/>
          <w:szCs w:val="24"/>
          <w:lang w:val="pl-PL"/>
          <w14:ligatures w14:val="none"/>
        </w:rPr>
        <w:t>nosno neregistrovana preduzeća</w:t>
      </w:r>
      <w:r w:rsidRPr="00CE07A9">
        <w:rPr>
          <w:rFonts w:eastAsia="Calibri" w:cstheme="minorHAnsi"/>
          <w:color w:val="000000"/>
          <w:kern w:val="0"/>
          <w:sz w:val="24"/>
          <w:szCs w:val="24"/>
          <w:lang w:val="pl-PL"/>
          <w14:ligatures w14:val="none"/>
        </w:rPr>
        <w:t>, siva ekonomija u Crnoj Gori 2019. godine iznosila je 37,5% BDP</w:t>
      </w:r>
      <w:r w:rsidR="000A7784" w:rsidRPr="00CE07A9">
        <w:rPr>
          <w:rFonts w:eastAsia="Calibri" w:cstheme="minorHAnsi"/>
          <w:color w:val="000000"/>
          <w:kern w:val="0"/>
          <w:sz w:val="24"/>
          <w:szCs w:val="24"/>
          <w:lang w:val="pl-PL"/>
          <w14:ligatures w14:val="none"/>
        </w:rPr>
        <w:t xml:space="preserve"> (MMF, 2019)</w:t>
      </w:r>
      <w:r w:rsidRPr="00CE07A9">
        <w:rPr>
          <w:rFonts w:eastAsia="Calibri" w:cstheme="minorHAnsi"/>
          <w:color w:val="000000"/>
          <w:kern w:val="0"/>
          <w:sz w:val="24"/>
          <w:szCs w:val="24"/>
          <w:lang w:val="pl-PL"/>
          <w14:ligatures w14:val="none"/>
        </w:rPr>
        <w:t>.</w:t>
      </w:r>
    </w:p>
    <w:p w14:paraId="777CCDEB" w14:textId="7B81C209" w:rsidR="00FE567C" w:rsidRPr="00021CDC" w:rsidRDefault="0042027A" w:rsidP="0042027A">
      <w:pPr>
        <w:pStyle w:val="Heading2"/>
        <w:rPr>
          <w:lang w:val="pl-PL"/>
        </w:rPr>
      </w:pPr>
      <w:bookmarkStart w:id="2" w:name="_Toc147990141"/>
      <w:r w:rsidRPr="00021CDC">
        <w:rPr>
          <w:lang w:val="pl-PL"/>
        </w:rPr>
        <w:t xml:space="preserve">1.2 </w:t>
      </w:r>
      <w:r w:rsidR="00564C58" w:rsidRPr="00021CDC">
        <w:rPr>
          <w:lang w:val="pl-PL"/>
        </w:rPr>
        <w:t>Prethodni dokumenti na suzbijanju neformalne ekonomije</w:t>
      </w:r>
      <w:bookmarkEnd w:id="2"/>
    </w:p>
    <w:p w14:paraId="01DB812C" w14:textId="32E19B43" w:rsidR="00942088" w:rsidRPr="00021CDC" w:rsidRDefault="00D15F24" w:rsidP="001C2549">
      <w:pPr>
        <w:spacing w:after="150" w:line="276" w:lineRule="auto"/>
        <w:jc w:val="both"/>
        <w:rPr>
          <w:rFonts w:eastAsia="Calibri" w:cstheme="minorHAnsi"/>
          <w:bCs/>
          <w:sz w:val="24"/>
          <w:szCs w:val="24"/>
          <w:lang w:val="pl-PL"/>
        </w:rPr>
      </w:pPr>
      <w:r w:rsidRPr="00CE07A9">
        <w:rPr>
          <w:rFonts w:eastAsia="Calibri" w:cstheme="minorHAnsi"/>
          <w:sz w:val="24"/>
          <w:szCs w:val="24"/>
          <w:lang w:val="pl-PL"/>
        </w:rPr>
        <w:t>Cr</w:t>
      </w:r>
      <w:r w:rsidR="001C2549" w:rsidRPr="00CE07A9">
        <w:rPr>
          <w:rFonts w:eastAsia="Calibri" w:cstheme="minorHAnsi"/>
          <w:sz w:val="24"/>
          <w:szCs w:val="24"/>
          <w:lang w:val="pl-PL"/>
        </w:rPr>
        <w:t>na</w:t>
      </w:r>
      <w:r w:rsidRPr="00CE07A9">
        <w:rPr>
          <w:rFonts w:eastAsia="Calibri" w:cstheme="minorHAnsi"/>
          <w:sz w:val="24"/>
          <w:szCs w:val="24"/>
          <w:lang w:val="pl-PL"/>
        </w:rPr>
        <w:t xml:space="preserve"> Gora u prethodnom periodu nije imala Program za suzbijanje neformalne ekonomije. Ipak, usvajani su drugi dokumenti koji su dijelom ili u potpunosti bili usmjereni na borbu</w:t>
      </w:r>
      <w:r w:rsidR="00DB36F1" w:rsidRPr="00CE07A9">
        <w:rPr>
          <w:rFonts w:eastAsia="Calibri" w:cstheme="minorHAnsi"/>
          <w:sz w:val="24"/>
          <w:szCs w:val="24"/>
          <w:lang w:val="pl-PL"/>
        </w:rPr>
        <w:t xml:space="preserve"> </w:t>
      </w:r>
      <w:r w:rsidR="001C2549" w:rsidRPr="00CE07A9">
        <w:rPr>
          <w:rFonts w:eastAsia="Calibri" w:cstheme="minorHAnsi"/>
          <w:sz w:val="24"/>
          <w:szCs w:val="24"/>
          <w:lang w:val="pl-PL"/>
        </w:rPr>
        <w:t>protiv</w:t>
      </w:r>
      <w:r w:rsidRPr="00CE07A9">
        <w:rPr>
          <w:rFonts w:eastAsia="Calibri" w:cstheme="minorHAnsi"/>
          <w:sz w:val="24"/>
          <w:szCs w:val="24"/>
          <w:lang w:val="pl-PL"/>
        </w:rPr>
        <w:t xml:space="preserve"> neformalne ekonomije.</w:t>
      </w:r>
      <w:r w:rsidR="00DB36F1" w:rsidRPr="00CE07A9">
        <w:rPr>
          <w:rFonts w:eastAsia="Calibri" w:cstheme="minorHAnsi"/>
          <w:sz w:val="24"/>
          <w:szCs w:val="24"/>
          <w:lang w:val="pl-PL"/>
        </w:rPr>
        <w:t xml:space="preserve"> </w:t>
      </w:r>
      <w:r w:rsidR="001C2549" w:rsidRPr="00CE07A9">
        <w:rPr>
          <w:rFonts w:eastAsia="Calibri" w:cstheme="minorHAnsi"/>
          <w:sz w:val="24"/>
          <w:szCs w:val="24"/>
          <w:lang w:val="pl-PL"/>
        </w:rPr>
        <w:t>Vlada Crne Gore je izazov neformalne ekonomije prepoznala kroz Program ekonomskih reformi Crne Gore za period 2023-2025, koji sad</w:t>
      </w:r>
      <w:r w:rsidR="000B4FAD">
        <w:rPr>
          <w:rFonts w:eastAsia="Calibri" w:cstheme="minorHAnsi"/>
          <w:sz w:val="24"/>
          <w:szCs w:val="24"/>
          <w:lang w:val="pl-PL"/>
        </w:rPr>
        <w:t>r</w:t>
      </w:r>
      <w:r w:rsidR="001C2549" w:rsidRPr="00CE07A9">
        <w:rPr>
          <w:rFonts w:eastAsia="Calibri" w:cstheme="minorHAnsi"/>
          <w:sz w:val="24"/>
          <w:szCs w:val="24"/>
          <w:lang w:val="pl-PL"/>
        </w:rPr>
        <w:t>ži reformsku mjeru br.</w:t>
      </w:r>
      <w:r w:rsidR="001C2549" w:rsidRPr="00CE07A9">
        <w:rPr>
          <w:rFonts w:eastAsia="Calibri" w:cstheme="minorHAnsi"/>
          <w:bCs/>
          <w:sz w:val="24"/>
          <w:szCs w:val="24"/>
          <w:lang w:val="pl-PL"/>
        </w:rPr>
        <w:t xml:space="preserve">14: </w:t>
      </w:r>
      <w:r w:rsidR="00E47AAB">
        <w:rPr>
          <w:rFonts w:eastAsia="Calibri" w:cstheme="minorHAnsi"/>
          <w:bCs/>
          <w:sz w:val="24"/>
          <w:szCs w:val="24"/>
          <w:lang w:val="pl-PL"/>
        </w:rPr>
        <w:t>„</w:t>
      </w:r>
      <w:r w:rsidR="001C2549" w:rsidRPr="00CE07A9">
        <w:rPr>
          <w:rFonts w:eastAsia="Calibri" w:cstheme="minorHAnsi"/>
          <w:bCs/>
          <w:sz w:val="24"/>
          <w:szCs w:val="24"/>
          <w:lang w:val="pl-PL"/>
        </w:rPr>
        <w:t>Jačanje mehanizama za formalizaciju sive ekonomije”. Mjera</w:t>
      </w:r>
      <w:r w:rsidR="001C2549" w:rsidRPr="00CE07A9">
        <w:rPr>
          <w:rFonts w:eastAsia="Calibri" w:cstheme="minorHAnsi"/>
          <w:b/>
          <w:i/>
          <w:iCs/>
          <w:sz w:val="24"/>
          <w:szCs w:val="24"/>
          <w:lang w:val="pl-PL"/>
        </w:rPr>
        <w:t xml:space="preserve"> </w:t>
      </w:r>
      <w:r w:rsidR="001C2549" w:rsidRPr="00CE07A9">
        <w:rPr>
          <w:rFonts w:eastAsia="Calibri" w:cstheme="minorHAnsi"/>
          <w:bCs/>
          <w:sz w:val="24"/>
          <w:szCs w:val="24"/>
          <w:lang w:val="pl-PL"/>
        </w:rPr>
        <w:t>se</w:t>
      </w:r>
      <w:r w:rsidR="00291A64">
        <w:rPr>
          <w:rFonts w:eastAsia="Calibri" w:cstheme="minorHAnsi"/>
          <w:bCs/>
          <w:sz w:val="24"/>
          <w:szCs w:val="24"/>
          <w:lang w:val="pl-PL"/>
        </w:rPr>
        <w:t xml:space="preserve"> odnosi</w:t>
      </w:r>
      <w:r w:rsidR="001C2549" w:rsidRPr="00CE07A9">
        <w:rPr>
          <w:rFonts w:eastAsia="Calibri" w:cstheme="minorHAnsi"/>
          <w:bCs/>
          <w:sz w:val="24"/>
          <w:szCs w:val="24"/>
          <w:lang w:val="pl-PL"/>
        </w:rPr>
        <w:t xml:space="preserve"> na izradu sveobuhvatnog akcionog plan</w:t>
      </w:r>
      <w:r w:rsidR="00574077">
        <w:rPr>
          <w:rFonts w:eastAsia="Calibri" w:cstheme="minorHAnsi"/>
          <w:bCs/>
          <w:sz w:val="24"/>
          <w:szCs w:val="24"/>
          <w:lang w:val="pl-PL"/>
        </w:rPr>
        <w:t>a</w:t>
      </w:r>
      <w:r w:rsidR="001C2549" w:rsidRPr="00CE07A9">
        <w:rPr>
          <w:rFonts w:eastAsia="Calibri" w:cstheme="minorHAnsi"/>
          <w:bCs/>
          <w:sz w:val="24"/>
          <w:szCs w:val="24"/>
          <w:lang w:val="pl-PL"/>
        </w:rPr>
        <w:t xml:space="preserve"> za borbu protiv neformalne ekonomije </w:t>
      </w:r>
      <w:r w:rsidR="00DB36F1" w:rsidRPr="00CE07A9">
        <w:rPr>
          <w:rFonts w:eastAsia="Calibri" w:cstheme="minorHAnsi"/>
          <w:bCs/>
          <w:sz w:val="24"/>
          <w:szCs w:val="24"/>
          <w:lang w:val="pl-PL"/>
        </w:rPr>
        <w:t>i</w:t>
      </w:r>
      <w:r w:rsidR="001C2549" w:rsidRPr="00CE07A9">
        <w:rPr>
          <w:rFonts w:eastAsia="Calibri" w:cstheme="minorHAnsi"/>
          <w:bCs/>
          <w:sz w:val="24"/>
          <w:szCs w:val="24"/>
          <w:lang w:val="pl-PL"/>
        </w:rPr>
        <w:t xml:space="preserve"> uvo</w:t>
      </w:r>
      <w:r w:rsidR="000B4FAD">
        <w:rPr>
          <w:rFonts w:eastAsia="Calibri" w:cstheme="minorHAnsi"/>
          <w:bCs/>
          <w:sz w:val="24"/>
          <w:szCs w:val="24"/>
          <w:lang w:val="pl-PL"/>
        </w:rPr>
        <w:t>đ</w:t>
      </w:r>
      <w:r w:rsidR="001C2549" w:rsidRPr="00CE07A9">
        <w:rPr>
          <w:rFonts w:eastAsia="Calibri" w:cstheme="minorHAnsi"/>
          <w:bCs/>
          <w:sz w:val="24"/>
          <w:szCs w:val="24"/>
          <w:lang w:val="pl-PL"/>
        </w:rPr>
        <w:t>enje IRMS sistema u U</w:t>
      </w:r>
      <w:r w:rsidR="00F62D28" w:rsidRPr="00CE07A9">
        <w:rPr>
          <w:rFonts w:eastAsia="Calibri" w:cstheme="minorHAnsi"/>
          <w:bCs/>
          <w:sz w:val="24"/>
          <w:szCs w:val="24"/>
          <w:lang w:val="pl-PL"/>
        </w:rPr>
        <w:t>pr</w:t>
      </w:r>
      <w:r w:rsidR="001C2549" w:rsidRPr="00CE07A9">
        <w:rPr>
          <w:rFonts w:eastAsia="Calibri" w:cstheme="minorHAnsi"/>
          <w:bCs/>
          <w:sz w:val="24"/>
          <w:szCs w:val="24"/>
          <w:lang w:val="pl-PL"/>
        </w:rPr>
        <w:t xml:space="preserve">avi prihoda </w:t>
      </w:r>
      <w:r w:rsidR="00DB36F1" w:rsidRPr="00CE07A9">
        <w:rPr>
          <w:rFonts w:eastAsia="Calibri" w:cstheme="minorHAnsi"/>
          <w:bCs/>
          <w:sz w:val="24"/>
          <w:szCs w:val="24"/>
          <w:lang w:val="pl-PL"/>
        </w:rPr>
        <w:t>i</w:t>
      </w:r>
      <w:r w:rsidR="001C2549" w:rsidRPr="00CE07A9">
        <w:rPr>
          <w:rFonts w:eastAsia="Calibri" w:cstheme="minorHAnsi"/>
          <w:bCs/>
          <w:sz w:val="24"/>
          <w:szCs w:val="24"/>
          <w:lang w:val="pl-PL"/>
        </w:rPr>
        <w:t xml:space="preserve"> carina. Izazov neformalne ekonomije je bio </w:t>
      </w:r>
      <w:r w:rsidR="00F62D28" w:rsidRPr="00CE07A9">
        <w:rPr>
          <w:rFonts w:eastAsia="Calibri" w:cstheme="minorHAnsi"/>
          <w:bCs/>
          <w:sz w:val="24"/>
          <w:szCs w:val="24"/>
          <w:lang w:val="pl-PL"/>
        </w:rPr>
        <w:t>pr</w:t>
      </w:r>
      <w:r w:rsidR="001C2549" w:rsidRPr="00CE07A9">
        <w:rPr>
          <w:rFonts w:eastAsia="Calibri" w:cstheme="minorHAnsi"/>
          <w:bCs/>
          <w:sz w:val="24"/>
          <w:szCs w:val="24"/>
          <w:lang w:val="pl-PL"/>
        </w:rPr>
        <w:t>e</w:t>
      </w:r>
      <w:r w:rsidR="00F62D28" w:rsidRPr="00CE07A9">
        <w:rPr>
          <w:rFonts w:eastAsia="Calibri" w:cstheme="minorHAnsi"/>
          <w:bCs/>
          <w:sz w:val="24"/>
          <w:szCs w:val="24"/>
          <w:lang w:val="pl-PL"/>
        </w:rPr>
        <w:t>p</w:t>
      </w:r>
      <w:r w:rsidR="001C2549" w:rsidRPr="00CE07A9">
        <w:rPr>
          <w:rFonts w:eastAsia="Calibri" w:cstheme="minorHAnsi"/>
          <w:bCs/>
          <w:sz w:val="24"/>
          <w:szCs w:val="24"/>
          <w:lang w:val="pl-PL"/>
        </w:rPr>
        <w:t xml:space="preserve">oznat </w:t>
      </w:r>
      <w:r w:rsidR="00F62D28" w:rsidRPr="00CE07A9">
        <w:rPr>
          <w:rFonts w:eastAsia="Calibri" w:cstheme="minorHAnsi"/>
          <w:bCs/>
          <w:sz w:val="24"/>
          <w:szCs w:val="24"/>
          <w:lang w:val="pl-PL"/>
        </w:rPr>
        <w:t>i</w:t>
      </w:r>
      <w:r w:rsidR="001C2549" w:rsidRPr="00CE07A9">
        <w:rPr>
          <w:rFonts w:eastAsia="Calibri" w:cstheme="minorHAnsi"/>
          <w:bCs/>
          <w:sz w:val="24"/>
          <w:szCs w:val="24"/>
          <w:lang w:val="pl-PL"/>
        </w:rPr>
        <w:t xml:space="preserve"> kroz prethodne  godišnje </w:t>
      </w:r>
      <w:r w:rsidR="00E47AAB">
        <w:rPr>
          <w:rFonts w:eastAsia="Calibri" w:cstheme="minorHAnsi"/>
          <w:bCs/>
          <w:sz w:val="24"/>
          <w:szCs w:val="24"/>
          <w:lang w:val="pl-PL"/>
        </w:rPr>
        <w:t>p</w:t>
      </w:r>
      <w:r w:rsidR="001C2549" w:rsidRPr="00CE07A9">
        <w:rPr>
          <w:rFonts w:eastAsia="Calibri" w:cstheme="minorHAnsi"/>
          <w:bCs/>
          <w:sz w:val="24"/>
          <w:szCs w:val="24"/>
          <w:lang w:val="pl-PL"/>
        </w:rPr>
        <w:t xml:space="preserve">rograme ekonomskih reformi i mjere koje su bile u funkciji  njenog smanjenja. </w:t>
      </w:r>
      <w:r w:rsidR="001C2549" w:rsidRPr="00021CDC">
        <w:rPr>
          <w:rFonts w:eastAsia="Calibri" w:cstheme="minorHAnsi"/>
          <w:bCs/>
          <w:sz w:val="24"/>
          <w:szCs w:val="24"/>
          <w:lang w:val="pl-PL"/>
        </w:rPr>
        <w:t xml:space="preserve">Pored toga, Vlada je </w:t>
      </w:r>
      <w:r w:rsidR="00F62D28" w:rsidRPr="00021CDC">
        <w:rPr>
          <w:rFonts w:eastAsia="Calibri" w:cstheme="minorHAnsi"/>
          <w:bCs/>
          <w:sz w:val="24"/>
          <w:szCs w:val="24"/>
          <w:lang w:val="pl-PL"/>
        </w:rPr>
        <w:t>2017.godine usvojila Akcioni plan za suzbijanje sive ekonomije</w:t>
      </w:r>
      <w:r w:rsidR="00942088" w:rsidRPr="00021CDC">
        <w:rPr>
          <w:rFonts w:eastAsia="Calibri" w:cstheme="minorHAnsi"/>
          <w:bCs/>
          <w:sz w:val="24"/>
          <w:szCs w:val="24"/>
          <w:lang w:val="pl-PL"/>
        </w:rPr>
        <w:t xml:space="preserve"> za 2017.godinu, kojim su bile predviđene tri glavne vrste mjera:</w:t>
      </w:r>
    </w:p>
    <w:p w14:paraId="0FF212E4" w14:textId="77777777" w:rsidR="00942088" w:rsidRPr="00281886" w:rsidRDefault="00942088" w:rsidP="001C2549">
      <w:pPr>
        <w:spacing w:after="150" w:line="276" w:lineRule="auto"/>
        <w:jc w:val="both"/>
        <w:rPr>
          <w:rFonts w:eastAsia="Calibri" w:cstheme="minorHAnsi"/>
          <w:bCs/>
          <w:sz w:val="24"/>
          <w:szCs w:val="24"/>
        </w:rPr>
      </w:pPr>
      <w:r w:rsidRPr="00021CDC">
        <w:rPr>
          <w:rFonts w:eastAsia="Calibri" w:cstheme="minorHAnsi"/>
          <w:bCs/>
          <w:sz w:val="24"/>
          <w:szCs w:val="24"/>
          <w:lang w:val="pl-PL"/>
        </w:rPr>
        <w:t xml:space="preserve"> </w:t>
      </w:r>
      <w:r w:rsidRPr="00281886">
        <w:rPr>
          <w:rFonts w:eastAsia="Calibri" w:cstheme="minorHAnsi"/>
          <w:bCs/>
          <w:sz w:val="24"/>
          <w:szCs w:val="24"/>
        </w:rPr>
        <w:t xml:space="preserve">- </w:t>
      </w:r>
      <w:proofErr w:type="spellStart"/>
      <w:r w:rsidRPr="00281886">
        <w:rPr>
          <w:rFonts w:eastAsia="Calibri" w:cstheme="minorHAnsi"/>
          <w:bCs/>
          <w:sz w:val="24"/>
          <w:szCs w:val="24"/>
        </w:rPr>
        <w:t>preventivne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mjere</w:t>
      </w:r>
      <w:proofErr w:type="spellEnd"/>
      <w:r w:rsidRPr="00281886">
        <w:rPr>
          <w:rFonts w:eastAsia="Calibri" w:cstheme="minorHAnsi"/>
          <w:bCs/>
          <w:sz w:val="24"/>
          <w:szCs w:val="24"/>
        </w:rPr>
        <w:t xml:space="preserve">; </w:t>
      </w:r>
    </w:p>
    <w:p w14:paraId="1B789DFC" w14:textId="77777777" w:rsidR="00942088" w:rsidRPr="00281886" w:rsidRDefault="00942088" w:rsidP="001C2549">
      <w:pPr>
        <w:spacing w:after="150" w:line="276" w:lineRule="auto"/>
        <w:jc w:val="both"/>
        <w:rPr>
          <w:rFonts w:eastAsia="Calibri" w:cstheme="minorHAnsi"/>
          <w:bCs/>
          <w:sz w:val="24"/>
          <w:szCs w:val="24"/>
        </w:rPr>
      </w:pPr>
      <w:r w:rsidRPr="00281886">
        <w:rPr>
          <w:rFonts w:eastAsia="Calibri" w:cstheme="minorHAnsi"/>
          <w:bCs/>
          <w:sz w:val="24"/>
          <w:szCs w:val="24"/>
        </w:rPr>
        <w:t xml:space="preserve">- </w:t>
      </w:r>
      <w:proofErr w:type="spellStart"/>
      <w:r w:rsidRPr="00281886">
        <w:rPr>
          <w:rFonts w:eastAsia="Calibri" w:cstheme="minorHAnsi"/>
          <w:bCs/>
          <w:sz w:val="24"/>
          <w:szCs w:val="24"/>
        </w:rPr>
        <w:t>restriktivne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mjere</w:t>
      </w:r>
      <w:proofErr w:type="spellEnd"/>
      <w:r w:rsidRPr="00281886">
        <w:rPr>
          <w:rFonts w:eastAsia="Calibri" w:cstheme="minorHAnsi"/>
          <w:bCs/>
          <w:sz w:val="24"/>
          <w:szCs w:val="24"/>
        </w:rPr>
        <w:t>;</w:t>
      </w:r>
    </w:p>
    <w:p w14:paraId="4712A013" w14:textId="7D517FF2" w:rsidR="00564C58" w:rsidRPr="00281886" w:rsidRDefault="00942088" w:rsidP="001C2549">
      <w:pPr>
        <w:spacing w:after="150" w:line="276" w:lineRule="auto"/>
        <w:jc w:val="both"/>
        <w:rPr>
          <w:rFonts w:eastAsia="Calibri" w:cstheme="minorHAnsi"/>
          <w:bCs/>
          <w:sz w:val="24"/>
          <w:szCs w:val="24"/>
        </w:rPr>
      </w:pPr>
      <w:r w:rsidRPr="00281886">
        <w:rPr>
          <w:rFonts w:eastAsia="Calibri" w:cstheme="minorHAnsi"/>
          <w:bCs/>
          <w:sz w:val="24"/>
          <w:szCs w:val="24"/>
        </w:rPr>
        <w:t xml:space="preserve"> - </w:t>
      </w:r>
      <w:proofErr w:type="spellStart"/>
      <w:r w:rsidRPr="00281886">
        <w:rPr>
          <w:rFonts w:eastAsia="Calibri" w:cstheme="minorHAnsi"/>
          <w:bCs/>
          <w:sz w:val="24"/>
          <w:szCs w:val="24"/>
        </w:rPr>
        <w:t>stimulativne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mjere</w:t>
      </w:r>
      <w:proofErr w:type="spellEnd"/>
      <w:r w:rsidRPr="00281886">
        <w:rPr>
          <w:rFonts w:eastAsia="Calibri" w:cstheme="minorHAnsi"/>
          <w:bCs/>
          <w:sz w:val="24"/>
          <w:szCs w:val="24"/>
        </w:rPr>
        <w:t>.</w:t>
      </w:r>
    </w:p>
    <w:p w14:paraId="0EEE1729" w14:textId="273DAAA1" w:rsidR="00A91095" w:rsidRPr="00281886" w:rsidRDefault="00A91095" w:rsidP="001C2549">
      <w:pPr>
        <w:spacing w:after="150" w:line="276" w:lineRule="auto"/>
        <w:jc w:val="both"/>
        <w:rPr>
          <w:rFonts w:eastAsia="Calibri" w:cstheme="minorHAnsi"/>
          <w:bCs/>
          <w:sz w:val="24"/>
          <w:szCs w:val="24"/>
        </w:rPr>
      </w:pPr>
      <w:proofErr w:type="spellStart"/>
      <w:r w:rsidRPr="00281886">
        <w:rPr>
          <w:rFonts w:eastAsia="Calibri" w:cstheme="minorHAnsi"/>
          <w:bCs/>
          <w:sz w:val="24"/>
          <w:szCs w:val="24"/>
        </w:rPr>
        <w:t>Preventivne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mjere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su</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ukl</w:t>
      </w:r>
      <w:r w:rsidR="006110E5">
        <w:rPr>
          <w:rFonts w:eastAsia="Calibri" w:cstheme="minorHAnsi"/>
          <w:bCs/>
          <w:sz w:val="24"/>
          <w:szCs w:val="24"/>
        </w:rPr>
        <w:t>j</w:t>
      </w:r>
      <w:r w:rsidRPr="00281886">
        <w:rPr>
          <w:rFonts w:eastAsia="Calibri" w:cstheme="minorHAnsi"/>
          <w:bCs/>
          <w:sz w:val="24"/>
          <w:szCs w:val="24"/>
        </w:rPr>
        <w:t>učivale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potrebu</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spovođenja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ankete</w:t>
      </w:r>
      <w:proofErr w:type="spellEnd"/>
      <w:r w:rsidRPr="00281886">
        <w:rPr>
          <w:rFonts w:eastAsia="Calibri" w:cstheme="minorHAnsi"/>
          <w:bCs/>
          <w:sz w:val="24"/>
          <w:szCs w:val="24"/>
        </w:rPr>
        <w:t xml:space="preserve"> o </w:t>
      </w:r>
      <w:proofErr w:type="spellStart"/>
      <w:r w:rsidRPr="00281886">
        <w:rPr>
          <w:rFonts w:eastAsia="Calibri" w:cstheme="minorHAnsi"/>
          <w:bCs/>
          <w:sz w:val="24"/>
          <w:szCs w:val="24"/>
        </w:rPr>
        <w:t>uslovima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poslovanja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pravnih</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lica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i</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preduzetnika</w:t>
      </w:r>
      <w:proofErr w:type="spellEnd"/>
      <w:r w:rsidRPr="00281886">
        <w:rPr>
          <w:rFonts w:eastAsia="Calibri" w:cstheme="minorHAnsi"/>
          <w:bCs/>
          <w:sz w:val="24"/>
          <w:szCs w:val="24"/>
        </w:rPr>
        <w:t xml:space="preserve"> u </w:t>
      </w:r>
      <w:proofErr w:type="spellStart"/>
      <w:r w:rsidRPr="00281886">
        <w:rPr>
          <w:rFonts w:eastAsia="Calibri" w:cstheme="minorHAnsi"/>
          <w:bCs/>
          <w:sz w:val="24"/>
          <w:szCs w:val="24"/>
        </w:rPr>
        <w:t>Crnoj</w:t>
      </w:r>
      <w:proofErr w:type="spellEnd"/>
      <w:r w:rsidRPr="00281886">
        <w:rPr>
          <w:rFonts w:eastAsia="Calibri" w:cstheme="minorHAnsi"/>
          <w:bCs/>
          <w:sz w:val="24"/>
          <w:szCs w:val="24"/>
        </w:rPr>
        <w:t xml:space="preserve"> Gori,</w:t>
      </w:r>
      <w:r w:rsidR="006110E5">
        <w:rPr>
          <w:rFonts w:eastAsia="Calibri" w:cstheme="minorHAnsi"/>
          <w:bCs/>
          <w:sz w:val="24"/>
          <w:szCs w:val="24"/>
        </w:rPr>
        <w:t xml:space="preserve"> </w:t>
      </w:r>
      <w:proofErr w:type="spellStart"/>
      <w:r w:rsidR="006110E5">
        <w:rPr>
          <w:rFonts w:eastAsia="Calibri" w:cstheme="minorHAnsi"/>
          <w:bCs/>
          <w:sz w:val="24"/>
          <w:szCs w:val="24"/>
        </w:rPr>
        <w:t>kao</w:t>
      </w:r>
      <w:proofErr w:type="spellEnd"/>
      <w:r w:rsidR="006110E5">
        <w:rPr>
          <w:rFonts w:eastAsia="Calibri" w:cstheme="minorHAnsi"/>
          <w:bCs/>
          <w:sz w:val="24"/>
          <w:szCs w:val="24"/>
        </w:rPr>
        <w:t xml:space="preserve"> </w:t>
      </w:r>
      <w:proofErr w:type="spellStart"/>
      <w:r w:rsidR="00EA3D1B">
        <w:rPr>
          <w:rFonts w:eastAsia="Calibri" w:cstheme="minorHAnsi"/>
          <w:bCs/>
          <w:sz w:val="24"/>
          <w:szCs w:val="24"/>
        </w:rPr>
        <w:t>i</w:t>
      </w:r>
      <w:proofErr w:type="spellEnd"/>
      <w:r w:rsidR="006110E5">
        <w:rPr>
          <w:rFonts w:eastAsia="Calibri" w:cstheme="minorHAnsi"/>
          <w:bCs/>
          <w:sz w:val="24"/>
          <w:szCs w:val="24"/>
        </w:rPr>
        <w:t xml:space="preserve"> </w:t>
      </w:r>
      <w:proofErr w:type="spellStart"/>
      <w:r w:rsidR="006110E5">
        <w:rPr>
          <w:rFonts w:eastAsia="Calibri" w:cstheme="minorHAnsi"/>
          <w:bCs/>
          <w:sz w:val="24"/>
          <w:szCs w:val="24"/>
        </w:rPr>
        <w:t>istraživanja</w:t>
      </w:r>
      <w:proofErr w:type="spellEnd"/>
      <w:r w:rsidR="006110E5">
        <w:rPr>
          <w:rFonts w:eastAsia="Calibri" w:cstheme="minorHAnsi"/>
          <w:bCs/>
          <w:sz w:val="24"/>
          <w:szCs w:val="24"/>
        </w:rPr>
        <w:t xml:space="preserve"> </w:t>
      </w:r>
      <w:proofErr w:type="spellStart"/>
      <w:r w:rsidR="006110E5">
        <w:rPr>
          <w:rFonts w:eastAsia="Calibri" w:cstheme="minorHAnsi"/>
          <w:bCs/>
          <w:sz w:val="24"/>
          <w:szCs w:val="24"/>
        </w:rPr>
        <w:t>svih</w:t>
      </w:r>
      <w:proofErr w:type="spellEnd"/>
      <w:r w:rsidR="006110E5">
        <w:rPr>
          <w:rFonts w:eastAsia="Calibri" w:cstheme="minorHAnsi"/>
          <w:bCs/>
          <w:sz w:val="24"/>
          <w:szCs w:val="24"/>
        </w:rPr>
        <w:t xml:space="preserve"> </w:t>
      </w:r>
      <w:proofErr w:type="spellStart"/>
      <w:r w:rsidR="006110E5">
        <w:rPr>
          <w:rFonts w:eastAsia="Calibri" w:cstheme="minorHAnsi"/>
          <w:bCs/>
          <w:sz w:val="24"/>
          <w:szCs w:val="24"/>
        </w:rPr>
        <w:t>zainteresovanih</w:t>
      </w:r>
      <w:proofErr w:type="spellEnd"/>
      <w:r w:rsidR="006110E5">
        <w:rPr>
          <w:rFonts w:eastAsia="Calibri" w:cstheme="minorHAnsi"/>
          <w:bCs/>
          <w:sz w:val="24"/>
          <w:szCs w:val="24"/>
        </w:rPr>
        <w:t xml:space="preserve"> </w:t>
      </w:r>
      <w:proofErr w:type="spellStart"/>
      <w:r w:rsidR="006110E5">
        <w:rPr>
          <w:rFonts w:eastAsia="Calibri" w:cstheme="minorHAnsi"/>
          <w:bCs/>
          <w:sz w:val="24"/>
          <w:szCs w:val="24"/>
        </w:rPr>
        <w:t>strana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kako</w:t>
      </w:r>
      <w:proofErr w:type="spellEnd"/>
      <w:r w:rsidR="006110E5">
        <w:rPr>
          <w:rFonts w:eastAsia="Calibri" w:cstheme="minorHAnsi"/>
          <w:bCs/>
          <w:sz w:val="24"/>
          <w:szCs w:val="24"/>
        </w:rPr>
        <w:t xml:space="preserve"> bi se</w:t>
      </w:r>
      <w:r w:rsidRPr="00281886">
        <w:rPr>
          <w:rFonts w:eastAsia="Calibri" w:cstheme="minorHAnsi"/>
          <w:bCs/>
          <w:sz w:val="24"/>
          <w:szCs w:val="24"/>
        </w:rPr>
        <w:t xml:space="preserve"> </w:t>
      </w:r>
      <w:proofErr w:type="spellStart"/>
      <w:r w:rsidR="006110E5">
        <w:rPr>
          <w:rFonts w:eastAsia="Calibri" w:cstheme="minorHAnsi"/>
          <w:bCs/>
          <w:sz w:val="24"/>
          <w:szCs w:val="24"/>
        </w:rPr>
        <w:t>sumiranjem</w:t>
      </w:r>
      <w:proofErr w:type="spellEnd"/>
      <w:r w:rsidR="006110E5">
        <w:rPr>
          <w:rFonts w:eastAsia="Calibri" w:cstheme="minorHAnsi"/>
          <w:bCs/>
          <w:sz w:val="24"/>
          <w:szCs w:val="24"/>
        </w:rPr>
        <w:t xml:space="preserve"> </w:t>
      </w:r>
      <w:proofErr w:type="spellStart"/>
      <w:r w:rsidRPr="00281886">
        <w:rPr>
          <w:rFonts w:eastAsia="Calibri" w:cstheme="minorHAnsi"/>
          <w:bCs/>
          <w:sz w:val="24"/>
          <w:szCs w:val="24"/>
        </w:rPr>
        <w:t>već</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raspoloživih</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podataka</w:t>
      </w:r>
      <w:proofErr w:type="spellEnd"/>
      <w:r w:rsidRPr="00281886">
        <w:rPr>
          <w:rFonts w:eastAsia="Calibri" w:cstheme="minorHAnsi"/>
          <w:bCs/>
          <w:sz w:val="24"/>
          <w:szCs w:val="24"/>
        </w:rPr>
        <w:t xml:space="preserve"> </w:t>
      </w:r>
      <w:proofErr w:type="spellStart"/>
      <w:r w:rsidR="006110E5">
        <w:rPr>
          <w:rFonts w:eastAsia="Calibri" w:cstheme="minorHAnsi"/>
          <w:bCs/>
          <w:sz w:val="24"/>
          <w:szCs w:val="24"/>
        </w:rPr>
        <w:t>iz</w:t>
      </w:r>
      <w:proofErr w:type="spellEnd"/>
      <w:r w:rsidR="006110E5">
        <w:rPr>
          <w:rFonts w:eastAsia="Calibri" w:cstheme="minorHAnsi"/>
          <w:bCs/>
          <w:sz w:val="24"/>
          <w:szCs w:val="24"/>
        </w:rPr>
        <w:t xml:space="preserve"> </w:t>
      </w:r>
      <w:proofErr w:type="spellStart"/>
      <w:r w:rsidR="006110E5">
        <w:rPr>
          <w:rFonts w:eastAsia="Calibri" w:cstheme="minorHAnsi"/>
          <w:bCs/>
          <w:sz w:val="24"/>
          <w:szCs w:val="24"/>
        </w:rPr>
        <w:t>sekund</w:t>
      </w:r>
      <w:r w:rsidR="000A7784">
        <w:rPr>
          <w:rFonts w:eastAsia="Calibri" w:cstheme="minorHAnsi"/>
          <w:bCs/>
          <w:sz w:val="24"/>
          <w:szCs w:val="24"/>
        </w:rPr>
        <w:t>a</w:t>
      </w:r>
      <w:r w:rsidR="006110E5">
        <w:rPr>
          <w:rFonts w:eastAsia="Calibri" w:cstheme="minorHAnsi"/>
          <w:bCs/>
          <w:sz w:val="24"/>
          <w:szCs w:val="24"/>
        </w:rPr>
        <w:t>rnih</w:t>
      </w:r>
      <w:proofErr w:type="spellEnd"/>
      <w:r w:rsidR="006110E5">
        <w:rPr>
          <w:rFonts w:eastAsia="Calibri" w:cstheme="minorHAnsi"/>
          <w:bCs/>
          <w:sz w:val="24"/>
          <w:szCs w:val="24"/>
        </w:rPr>
        <w:t xml:space="preserve"> </w:t>
      </w:r>
      <w:proofErr w:type="spellStart"/>
      <w:r w:rsidR="006110E5">
        <w:rPr>
          <w:rFonts w:eastAsia="Calibri" w:cstheme="minorHAnsi"/>
          <w:bCs/>
          <w:sz w:val="24"/>
          <w:szCs w:val="24"/>
        </w:rPr>
        <w:t>izvora</w:t>
      </w:r>
      <w:proofErr w:type="spellEnd"/>
      <w:r w:rsidR="006110E5">
        <w:rPr>
          <w:rFonts w:eastAsia="Calibri" w:cstheme="minorHAnsi"/>
          <w:bCs/>
          <w:sz w:val="24"/>
          <w:szCs w:val="24"/>
        </w:rPr>
        <w:t xml:space="preserve"> </w:t>
      </w:r>
      <w:proofErr w:type="spellStart"/>
      <w:r w:rsidRPr="00281886">
        <w:rPr>
          <w:rFonts w:eastAsia="Calibri" w:cstheme="minorHAnsi"/>
          <w:bCs/>
          <w:sz w:val="24"/>
          <w:szCs w:val="24"/>
        </w:rPr>
        <w:t>i</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rezultata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ankete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dobile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smjernice</w:t>
      </w:r>
      <w:proofErr w:type="spellEnd"/>
      <w:r w:rsidRPr="00281886">
        <w:rPr>
          <w:rFonts w:eastAsia="Calibri" w:cstheme="minorHAnsi"/>
          <w:bCs/>
          <w:sz w:val="24"/>
          <w:szCs w:val="24"/>
        </w:rPr>
        <w:t xml:space="preserve"> za </w:t>
      </w:r>
      <w:proofErr w:type="spellStart"/>
      <w:r w:rsidRPr="00281886">
        <w:rPr>
          <w:rFonts w:eastAsia="Calibri" w:cstheme="minorHAnsi"/>
          <w:bCs/>
          <w:sz w:val="24"/>
          <w:szCs w:val="24"/>
        </w:rPr>
        <w:t>dalje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korake</w:t>
      </w:r>
      <w:proofErr w:type="spellEnd"/>
      <w:r w:rsidRPr="00281886">
        <w:rPr>
          <w:rFonts w:eastAsia="Calibri" w:cstheme="minorHAnsi"/>
          <w:bCs/>
          <w:sz w:val="24"/>
          <w:szCs w:val="24"/>
        </w:rPr>
        <w:t xml:space="preserve"> u </w:t>
      </w:r>
      <w:proofErr w:type="spellStart"/>
      <w:r w:rsidRPr="00281886">
        <w:rPr>
          <w:rFonts w:eastAsia="Calibri" w:cstheme="minorHAnsi"/>
          <w:bCs/>
          <w:sz w:val="24"/>
          <w:szCs w:val="24"/>
        </w:rPr>
        <w:t>borbi</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protiv</w:t>
      </w:r>
      <w:proofErr w:type="spellEnd"/>
      <w:r w:rsidRPr="00281886">
        <w:rPr>
          <w:rFonts w:eastAsia="Calibri" w:cstheme="minorHAnsi"/>
          <w:bCs/>
          <w:sz w:val="24"/>
          <w:szCs w:val="24"/>
        </w:rPr>
        <w:t xml:space="preserve"> </w:t>
      </w:r>
      <w:proofErr w:type="spellStart"/>
      <w:r w:rsidR="006110E5">
        <w:rPr>
          <w:rFonts w:eastAsia="Calibri" w:cstheme="minorHAnsi"/>
          <w:bCs/>
          <w:sz w:val="24"/>
          <w:szCs w:val="24"/>
        </w:rPr>
        <w:t>neformalne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ekonomije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w:t>
      </w:r>
      <w:r w:rsidR="006110E5">
        <w:rPr>
          <w:rFonts w:eastAsia="Calibri" w:cstheme="minorHAnsi"/>
          <w:bCs/>
          <w:sz w:val="24"/>
          <w:szCs w:val="24"/>
        </w:rPr>
        <w:t>r</w:t>
      </w:r>
      <w:r w:rsidRPr="00281886">
        <w:rPr>
          <w:rFonts w:eastAsia="Calibri" w:cstheme="minorHAnsi"/>
          <w:bCs/>
          <w:sz w:val="24"/>
          <w:szCs w:val="24"/>
        </w:rPr>
        <w:t>eventivne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m</w:t>
      </w:r>
      <w:r w:rsidR="006110E5">
        <w:rPr>
          <w:rFonts w:eastAsia="Calibri" w:cstheme="minorHAnsi"/>
          <w:bCs/>
          <w:sz w:val="24"/>
          <w:szCs w:val="24"/>
        </w:rPr>
        <w:t>je</w:t>
      </w:r>
      <w:r w:rsidRPr="00281886">
        <w:rPr>
          <w:rFonts w:eastAsia="Calibri" w:cstheme="minorHAnsi"/>
          <w:bCs/>
          <w:sz w:val="24"/>
          <w:szCs w:val="24"/>
        </w:rPr>
        <w:t>re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ovog</w:t>
      </w:r>
      <w:proofErr w:type="spellEnd"/>
      <w:r w:rsidRPr="00281886">
        <w:rPr>
          <w:rFonts w:eastAsia="Calibri" w:cstheme="minorHAnsi"/>
          <w:bCs/>
          <w:sz w:val="24"/>
          <w:szCs w:val="24"/>
        </w:rPr>
        <w:t xml:space="preserve"> </w:t>
      </w:r>
      <w:proofErr w:type="spellStart"/>
      <w:r w:rsidR="00E47AAB">
        <w:rPr>
          <w:rFonts w:eastAsia="Calibri" w:cstheme="minorHAnsi"/>
          <w:bCs/>
          <w:sz w:val="24"/>
          <w:szCs w:val="24"/>
        </w:rPr>
        <w:t>a</w:t>
      </w:r>
      <w:r w:rsidRPr="00281886">
        <w:rPr>
          <w:rFonts w:eastAsia="Calibri" w:cstheme="minorHAnsi"/>
          <w:bCs/>
          <w:sz w:val="24"/>
          <w:szCs w:val="24"/>
        </w:rPr>
        <w:t>kcionog</w:t>
      </w:r>
      <w:proofErr w:type="spellEnd"/>
      <w:r w:rsidRPr="00281886">
        <w:rPr>
          <w:rFonts w:eastAsia="Calibri" w:cstheme="minorHAnsi"/>
          <w:bCs/>
          <w:sz w:val="24"/>
          <w:szCs w:val="24"/>
        </w:rPr>
        <w:t xml:space="preserve"> plana </w:t>
      </w:r>
      <w:proofErr w:type="spellStart"/>
      <w:r w:rsidRPr="00281886">
        <w:rPr>
          <w:rFonts w:eastAsia="Calibri" w:cstheme="minorHAnsi"/>
          <w:bCs/>
          <w:sz w:val="24"/>
          <w:szCs w:val="24"/>
        </w:rPr>
        <w:t>su</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tako</w:t>
      </w:r>
      <w:r w:rsidR="000B4FAD">
        <w:rPr>
          <w:rFonts w:eastAsia="Calibri" w:cstheme="minorHAnsi"/>
          <w:bCs/>
          <w:sz w:val="24"/>
          <w:szCs w:val="24"/>
        </w:rPr>
        <w:t>đ</w:t>
      </w:r>
      <w:r w:rsidRPr="00281886">
        <w:rPr>
          <w:rFonts w:eastAsia="Calibri" w:cstheme="minorHAnsi"/>
          <w:bCs/>
          <w:sz w:val="24"/>
          <w:szCs w:val="24"/>
        </w:rPr>
        <w:t>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uključivale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neophodnost</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jačanja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isntitucionalnog</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okvira</w:t>
      </w:r>
      <w:proofErr w:type="spellEnd"/>
      <w:r w:rsidRPr="00281886">
        <w:rPr>
          <w:rFonts w:eastAsia="Calibri" w:cstheme="minorHAnsi"/>
          <w:bCs/>
          <w:sz w:val="24"/>
          <w:szCs w:val="24"/>
        </w:rPr>
        <w:t xml:space="preserve"> za </w:t>
      </w:r>
      <w:proofErr w:type="spellStart"/>
      <w:r w:rsidRPr="00281886">
        <w:rPr>
          <w:rFonts w:eastAsia="Calibri" w:cstheme="minorHAnsi"/>
          <w:bCs/>
          <w:sz w:val="24"/>
          <w:szCs w:val="24"/>
        </w:rPr>
        <w:t>b</w:t>
      </w:r>
      <w:r w:rsidR="000A7784">
        <w:rPr>
          <w:rFonts w:eastAsia="Calibri" w:cstheme="minorHAnsi"/>
          <w:bCs/>
          <w:sz w:val="24"/>
          <w:szCs w:val="24"/>
        </w:rPr>
        <w:t>o</w:t>
      </w:r>
      <w:r w:rsidRPr="00281886">
        <w:rPr>
          <w:rFonts w:eastAsia="Calibri" w:cstheme="minorHAnsi"/>
          <w:bCs/>
          <w:sz w:val="24"/>
          <w:szCs w:val="24"/>
        </w:rPr>
        <w:t>rbu</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protiv</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si</w:t>
      </w:r>
      <w:r w:rsidR="00395A2B">
        <w:rPr>
          <w:rFonts w:eastAsia="Calibri" w:cstheme="minorHAnsi"/>
          <w:bCs/>
          <w:sz w:val="24"/>
          <w:szCs w:val="24"/>
        </w:rPr>
        <w:t>v</w:t>
      </w:r>
      <w:r w:rsidRPr="00281886">
        <w:rPr>
          <w:rFonts w:eastAsia="Calibri" w:cstheme="minorHAnsi"/>
          <w:bCs/>
          <w:sz w:val="24"/>
          <w:szCs w:val="24"/>
        </w:rPr>
        <w:t>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ekonomije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kontinuiranu</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procjenu</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poreskog</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jaza</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unapređenje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regulatornog</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okvira</w:t>
      </w:r>
      <w:proofErr w:type="spellEnd"/>
      <w:r w:rsidRPr="00281886">
        <w:rPr>
          <w:rFonts w:eastAsia="Calibri" w:cstheme="minorHAnsi"/>
          <w:bCs/>
          <w:sz w:val="24"/>
          <w:szCs w:val="24"/>
        </w:rPr>
        <w:t xml:space="preserve"> </w:t>
      </w:r>
      <w:proofErr w:type="spellStart"/>
      <w:r w:rsidR="000A7784">
        <w:rPr>
          <w:rFonts w:eastAsia="Calibri" w:cstheme="minorHAnsi"/>
          <w:bCs/>
          <w:sz w:val="24"/>
          <w:szCs w:val="24"/>
        </w:rPr>
        <w:t>i</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eliminisanje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administrativnih</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opterećenja</w:t>
      </w:r>
      <w:proofErr w:type="spellEnd"/>
      <w:r w:rsidRPr="00281886">
        <w:rPr>
          <w:rFonts w:eastAsia="Calibri" w:cstheme="minorHAnsi"/>
          <w:bCs/>
          <w:sz w:val="24"/>
          <w:szCs w:val="24"/>
        </w:rPr>
        <w:t xml:space="preserve"> za </w:t>
      </w:r>
      <w:proofErr w:type="spellStart"/>
      <w:r w:rsidRPr="00281886">
        <w:rPr>
          <w:rFonts w:eastAsia="Calibri" w:cstheme="minorHAnsi"/>
          <w:bCs/>
          <w:sz w:val="24"/>
          <w:szCs w:val="24"/>
        </w:rPr>
        <w:t>gra</w:t>
      </w:r>
      <w:r w:rsidR="000B4FAD">
        <w:rPr>
          <w:rFonts w:eastAsia="Calibri" w:cstheme="minorHAnsi"/>
          <w:bCs/>
          <w:sz w:val="24"/>
          <w:szCs w:val="24"/>
        </w:rPr>
        <w:t>đ</w:t>
      </w:r>
      <w:r w:rsidRPr="00281886">
        <w:rPr>
          <w:rFonts w:eastAsia="Calibri" w:cstheme="minorHAnsi"/>
          <w:bCs/>
          <w:sz w:val="24"/>
          <w:szCs w:val="24"/>
        </w:rPr>
        <w:t>ane</w:t>
      </w:r>
      <w:proofErr w:type="spellEnd"/>
      <w:r w:rsidRPr="00281886">
        <w:rPr>
          <w:rFonts w:eastAsia="Calibri" w:cstheme="minorHAnsi"/>
          <w:bCs/>
          <w:sz w:val="24"/>
          <w:szCs w:val="24"/>
        </w:rPr>
        <w:t>/</w:t>
      </w:r>
      <w:proofErr w:type="spellStart"/>
      <w:r w:rsidRPr="00281886">
        <w:rPr>
          <w:rFonts w:eastAsia="Calibri" w:cstheme="minorHAnsi"/>
          <w:bCs/>
          <w:sz w:val="24"/>
          <w:szCs w:val="24"/>
        </w:rPr>
        <w:t>građanke</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i</w:t>
      </w:r>
      <w:proofErr w:type="spellEnd"/>
      <w:r w:rsidRPr="00281886">
        <w:rPr>
          <w:rFonts w:eastAsia="Calibri" w:cstheme="minorHAnsi"/>
          <w:bCs/>
          <w:sz w:val="24"/>
          <w:szCs w:val="24"/>
        </w:rPr>
        <w:t xml:space="preserve"> </w:t>
      </w:r>
      <w:proofErr w:type="spellStart"/>
      <w:r w:rsidRPr="00281886">
        <w:rPr>
          <w:rFonts w:eastAsia="Calibri" w:cstheme="minorHAnsi"/>
          <w:bCs/>
          <w:sz w:val="24"/>
          <w:szCs w:val="24"/>
        </w:rPr>
        <w:t>privredu</w:t>
      </w:r>
      <w:proofErr w:type="spellEnd"/>
      <w:r w:rsidR="000A7784">
        <w:rPr>
          <w:rFonts w:eastAsia="Calibri" w:cstheme="minorHAnsi"/>
          <w:bCs/>
          <w:sz w:val="24"/>
          <w:szCs w:val="24"/>
        </w:rPr>
        <w:t>.</w:t>
      </w:r>
      <w:r w:rsidRPr="00281886">
        <w:rPr>
          <w:rFonts w:eastAsia="Calibri" w:cstheme="minorHAnsi"/>
          <w:bCs/>
          <w:sz w:val="24"/>
          <w:szCs w:val="24"/>
        </w:rPr>
        <w:t xml:space="preserve"> </w:t>
      </w:r>
    </w:p>
    <w:p w14:paraId="1A8A15C6" w14:textId="2AD3C8E2" w:rsidR="00942088" w:rsidRPr="00021CDC" w:rsidRDefault="00942088" w:rsidP="001C2549">
      <w:pPr>
        <w:spacing w:after="150" w:line="276" w:lineRule="auto"/>
        <w:jc w:val="both"/>
        <w:rPr>
          <w:rFonts w:eastAsia="Calibri" w:cstheme="minorHAnsi"/>
          <w:bCs/>
          <w:sz w:val="24"/>
          <w:szCs w:val="24"/>
          <w:lang w:val="pl-PL"/>
        </w:rPr>
      </w:pPr>
      <w:r w:rsidRPr="00021CDC">
        <w:rPr>
          <w:rFonts w:eastAsia="Calibri" w:cstheme="minorHAnsi"/>
          <w:bCs/>
          <w:sz w:val="24"/>
          <w:szCs w:val="24"/>
          <w:lang w:val="pl-PL"/>
        </w:rPr>
        <w:t>Akcioni plan je dominantno bio fokusiran na restriktivne mjere, od kojih će nastav</w:t>
      </w:r>
      <w:r w:rsidR="000A7784" w:rsidRPr="00021CDC">
        <w:rPr>
          <w:rFonts w:eastAsia="Calibri" w:cstheme="minorHAnsi"/>
          <w:bCs/>
          <w:sz w:val="24"/>
          <w:szCs w:val="24"/>
          <w:lang w:val="pl-PL"/>
        </w:rPr>
        <w:t>ak</w:t>
      </w:r>
      <w:r w:rsidRPr="00021CDC">
        <w:rPr>
          <w:rFonts w:eastAsia="Calibri" w:cstheme="minorHAnsi"/>
          <w:bCs/>
          <w:sz w:val="24"/>
          <w:szCs w:val="24"/>
          <w:lang w:val="pl-PL"/>
        </w:rPr>
        <w:t xml:space="preserve"> nekih biti obuhvaćen i Programom za period 2024-2026.</w:t>
      </w:r>
      <w:r w:rsidR="00A91095" w:rsidRPr="00021CDC">
        <w:rPr>
          <w:rFonts w:eastAsia="Calibri" w:cstheme="minorHAnsi"/>
          <w:bCs/>
          <w:sz w:val="24"/>
          <w:szCs w:val="24"/>
          <w:lang w:val="pl-PL"/>
        </w:rPr>
        <w:t xml:space="preserve"> Ove mjere su podrazumijevale niz kontrolnih aktivnosti nadležnih inspekcijskih organa u eliminisanju/smanjenju sive ekonomije kroz punu primjenu zakonskih propisa.</w:t>
      </w:r>
    </w:p>
    <w:p w14:paraId="30B420C2" w14:textId="3374168F" w:rsidR="00942088" w:rsidRPr="00C22A10" w:rsidRDefault="000200D2" w:rsidP="001C2549">
      <w:pPr>
        <w:spacing w:after="150" w:line="276" w:lineRule="auto"/>
        <w:jc w:val="both"/>
        <w:rPr>
          <w:rFonts w:eastAsia="Calibri" w:cstheme="minorHAnsi"/>
          <w:bCs/>
          <w:sz w:val="24"/>
          <w:szCs w:val="24"/>
          <w:lang w:val="pl-PL"/>
        </w:rPr>
      </w:pPr>
      <w:r w:rsidRPr="00021CDC">
        <w:rPr>
          <w:rFonts w:eastAsia="Calibri" w:cstheme="minorHAnsi"/>
          <w:bCs/>
          <w:sz w:val="24"/>
          <w:szCs w:val="24"/>
          <w:lang w:val="pl-PL"/>
        </w:rPr>
        <w:lastRenderedPageBreak/>
        <w:t xml:space="preserve">Veliki broj aktivnosti iz Akcionog plana je sproveden, ili </w:t>
      </w:r>
      <w:r w:rsidR="000A7784" w:rsidRPr="00021CDC">
        <w:rPr>
          <w:rFonts w:eastAsia="Calibri" w:cstheme="minorHAnsi"/>
          <w:bCs/>
          <w:sz w:val="24"/>
          <w:szCs w:val="24"/>
          <w:lang w:val="pl-PL"/>
        </w:rPr>
        <w:t>je</w:t>
      </w:r>
      <w:r w:rsidRPr="00021CDC">
        <w:rPr>
          <w:rFonts w:eastAsia="Calibri" w:cstheme="minorHAnsi"/>
          <w:bCs/>
          <w:sz w:val="24"/>
          <w:szCs w:val="24"/>
          <w:lang w:val="pl-PL"/>
        </w:rPr>
        <w:t xml:space="preserve"> njegovo sprovo</w:t>
      </w:r>
      <w:r w:rsidR="000B4FAD">
        <w:rPr>
          <w:rFonts w:eastAsia="Calibri" w:cstheme="minorHAnsi"/>
          <w:bCs/>
          <w:sz w:val="24"/>
          <w:szCs w:val="24"/>
          <w:lang w:val="pl-PL"/>
        </w:rPr>
        <w:t>đ</w:t>
      </w:r>
      <w:r w:rsidRPr="00021CDC">
        <w:rPr>
          <w:rFonts w:eastAsia="Calibri" w:cstheme="minorHAnsi"/>
          <w:bCs/>
          <w:sz w:val="24"/>
          <w:szCs w:val="24"/>
          <w:lang w:val="pl-PL"/>
        </w:rPr>
        <w:t xml:space="preserve">enje u toku, dok su </w:t>
      </w:r>
      <w:r w:rsidR="000A7784" w:rsidRPr="00021CDC">
        <w:rPr>
          <w:rFonts w:eastAsia="Calibri" w:cstheme="minorHAnsi"/>
          <w:bCs/>
          <w:sz w:val="24"/>
          <w:szCs w:val="24"/>
          <w:lang w:val="pl-PL"/>
        </w:rPr>
        <w:t>n</w:t>
      </w:r>
      <w:r w:rsidRPr="00021CDC">
        <w:rPr>
          <w:rFonts w:eastAsia="Calibri" w:cstheme="minorHAnsi"/>
          <w:bCs/>
          <w:sz w:val="24"/>
          <w:szCs w:val="24"/>
          <w:lang w:val="pl-PL"/>
        </w:rPr>
        <w:t>eke aktivno</w:t>
      </w:r>
      <w:r w:rsidR="000A7784" w:rsidRPr="00021CDC">
        <w:rPr>
          <w:rFonts w:eastAsia="Calibri" w:cstheme="minorHAnsi"/>
          <w:bCs/>
          <w:sz w:val="24"/>
          <w:szCs w:val="24"/>
          <w:lang w:val="pl-PL"/>
        </w:rPr>
        <w:t>s</w:t>
      </w:r>
      <w:r w:rsidRPr="00021CDC">
        <w:rPr>
          <w:rFonts w:eastAsia="Calibri" w:cstheme="minorHAnsi"/>
          <w:bCs/>
          <w:sz w:val="24"/>
          <w:szCs w:val="24"/>
          <w:lang w:val="pl-PL"/>
        </w:rPr>
        <w:t>ti ostale nere</w:t>
      </w:r>
      <w:r w:rsidR="00CC5B95" w:rsidRPr="00021CDC">
        <w:rPr>
          <w:rFonts w:eastAsia="Calibri" w:cstheme="minorHAnsi"/>
          <w:bCs/>
          <w:sz w:val="24"/>
          <w:szCs w:val="24"/>
          <w:lang w:val="pl-PL"/>
        </w:rPr>
        <w:t>al</w:t>
      </w:r>
      <w:r w:rsidRPr="00021CDC">
        <w:rPr>
          <w:rFonts w:eastAsia="Calibri" w:cstheme="minorHAnsi"/>
          <w:bCs/>
          <w:sz w:val="24"/>
          <w:szCs w:val="24"/>
          <w:lang w:val="pl-PL"/>
        </w:rPr>
        <w:t xml:space="preserve">izovane </w:t>
      </w:r>
      <w:r w:rsidR="00CC5B95" w:rsidRPr="00021CDC">
        <w:rPr>
          <w:rFonts w:eastAsia="Calibri" w:cstheme="minorHAnsi"/>
          <w:bCs/>
          <w:sz w:val="24"/>
          <w:szCs w:val="24"/>
          <w:lang w:val="pl-PL"/>
        </w:rPr>
        <w:t>i</w:t>
      </w:r>
      <w:r w:rsidRPr="00021CDC">
        <w:rPr>
          <w:rFonts w:eastAsia="Calibri" w:cstheme="minorHAnsi"/>
          <w:bCs/>
          <w:sz w:val="24"/>
          <w:szCs w:val="24"/>
          <w:lang w:val="pl-PL"/>
        </w:rPr>
        <w:t xml:space="preserve"> </w:t>
      </w:r>
      <w:r w:rsidR="00CC5B95" w:rsidRPr="00021CDC">
        <w:rPr>
          <w:rFonts w:eastAsia="Calibri" w:cstheme="minorHAnsi"/>
          <w:bCs/>
          <w:sz w:val="24"/>
          <w:szCs w:val="24"/>
          <w:lang w:val="pl-PL"/>
        </w:rPr>
        <w:t>potrebn</w:t>
      </w:r>
      <w:r w:rsidRPr="00021CDC">
        <w:rPr>
          <w:rFonts w:eastAsia="Calibri" w:cstheme="minorHAnsi"/>
          <w:bCs/>
          <w:sz w:val="24"/>
          <w:szCs w:val="24"/>
          <w:lang w:val="pl-PL"/>
        </w:rPr>
        <w:t xml:space="preserve">o je da budu dio novog </w:t>
      </w:r>
      <w:r w:rsidR="00E47AAB">
        <w:rPr>
          <w:rFonts w:eastAsia="Calibri" w:cstheme="minorHAnsi"/>
          <w:bCs/>
          <w:sz w:val="24"/>
          <w:szCs w:val="24"/>
          <w:lang w:val="pl-PL"/>
        </w:rPr>
        <w:t>p</w:t>
      </w:r>
      <w:r w:rsidRPr="00021CDC">
        <w:rPr>
          <w:rFonts w:eastAsia="Calibri" w:cstheme="minorHAnsi"/>
          <w:bCs/>
          <w:sz w:val="24"/>
          <w:szCs w:val="24"/>
          <w:lang w:val="pl-PL"/>
        </w:rPr>
        <w:t>rograma.</w:t>
      </w:r>
    </w:p>
    <w:p w14:paraId="270258C9" w14:textId="32A8DAAA" w:rsidR="00ED14BE" w:rsidRPr="00092DF7" w:rsidRDefault="00942088" w:rsidP="0042027A">
      <w:pPr>
        <w:pStyle w:val="Heading2"/>
        <w:rPr>
          <w:rFonts w:eastAsia="Calibri"/>
          <w:lang w:val="sr-Latn-ME"/>
        </w:rPr>
      </w:pPr>
      <w:bookmarkStart w:id="3" w:name="_Toc147990142"/>
      <w:r w:rsidRPr="00092DF7">
        <w:rPr>
          <w:rFonts w:eastAsia="Calibri"/>
          <w:lang w:val="sr-Latn-ME"/>
        </w:rPr>
        <w:t xml:space="preserve">1.3 </w:t>
      </w:r>
      <w:r w:rsidR="00FE567C" w:rsidRPr="00092DF7">
        <w:rPr>
          <w:rFonts w:eastAsia="Calibri"/>
          <w:lang w:val="sr-Latn-ME"/>
        </w:rPr>
        <w:t>Pozicioniranje u strateškom okviru Crne Gore i usklađenost sa međunarodnim obavezama</w:t>
      </w:r>
      <w:bookmarkEnd w:id="3"/>
    </w:p>
    <w:p w14:paraId="2DF764B7" w14:textId="77777777" w:rsidR="00E21F32" w:rsidRPr="00021CDC" w:rsidRDefault="00E21F32" w:rsidP="00E21F32">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pl-PL"/>
          <w14:ligatures w14:val="none"/>
        </w:rPr>
        <w:t>Na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osnovu</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desk</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isra</w:t>
      </w:r>
      <w:r w:rsidRPr="00021CDC">
        <w:rPr>
          <w:rFonts w:eastAsia="Calibri" w:cstheme="minorHAnsi"/>
          <w:color w:val="000000"/>
          <w:kern w:val="0"/>
          <w:sz w:val="24"/>
          <w:szCs w:val="24"/>
          <w:lang w:val="sr-Latn-ME"/>
          <w14:ligatures w14:val="none"/>
        </w:rPr>
        <w:t>ž</w:t>
      </w:r>
      <w:r w:rsidRPr="00281886">
        <w:rPr>
          <w:rFonts w:eastAsia="Calibri" w:cstheme="minorHAnsi"/>
          <w:color w:val="000000"/>
          <w:kern w:val="0"/>
          <w:sz w:val="24"/>
          <w:szCs w:val="24"/>
          <w:lang w:val="pl-PL"/>
          <w14:ligatures w14:val="none"/>
        </w:rPr>
        <w:t>ivanja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mo</w:t>
      </w:r>
      <w:r w:rsidRPr="00021CDC">
        <w:rPr>
          <w:rFonts w:eastAsia="Calibri" w:cstheme="minorHAnsi"/>
          <w:color w:val="000000"/>
          <w:kern w:val="0"/>
          <w:sz w:val="24"/>
          <w:szCs w:val="24"/>
          <w:lang w:val="sr-Latn-ME"/>
          <w14:ligatures w14:val="none"/>
        </w:rPr>
        <w:t>ž</w:t>
      </w:r>
      <w:r w:rsidRPr="00281886">
        <w:rPr>
          <w:rFonts w:eastAsia="Calibri" w:cstheme="minorHAnsi"/>
          <w:color w:val="000000"/>
          <w:kern w:val="0"/>
          <w:sz w:val="24"/>
          <w:szCs w:val="24"/>
          <w:lang w:val="pl-PL"/>
          <w14:ligatures w14:val="none"/>
        </w:rPr>
        <w:t>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zaklju</w:t>
      </w:r>
      <w:r w:rsidRPr="00021CDC">
        <w:rPr>
          <w:rFonts w:eastAsia="Calibri" w:cstheme="minorHAnsi"/>
          <w:color w:val="000000"/>
          <w:kern w:val="0"/>
          <w:sz w:val="24"/>
          <w:szCs w:val="24"/>
          <w:lang w:val="sr-Latn-ME"/>
          <w14:ligatures w14:val="none"/>
        </w:rPr>
        <w:t>č</w:t>
      </w:r>
      <w:r w:rsidRPr="00281886">
        <w:rPr>
          <w:rFonts w:eastAsia="Calibri" w:cstheme="minorHAnsi"/>
          <w:color w:val="000000"/>
          <w:kern w:val="0"/>
          <w:sz w:val="24"/>
          <w:szCs w:val="24"/>
          <w:lang w:val="pl-PL"/>
          <w14:ligatures w14:val="none"/>
        </w:rPr>
        <w:t>iti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Program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komplementaran</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va</w:t>
      </w:r>
      <w:r w:rsidRPr="00021CDC">
        <w:rPr>
          <w:rFonts w:eastAsia="Calibri" w:cstheme="minorHAnsi"/>
          <w:color w:val="000000"/>
          <w:kern w:val="0"/>
          <w:sz w:val="24"/>
          <w:szCs w:val="24"/>
          <w:lang w:val="sr-Latn-ME"/>
          <w14:ligatures w14:val="none"/>
        </w:rPr>
        <w:t>ž</w:t>
      </w:r>
      <w:r w:rsidRPr="00281886">
        <w:rPr>
          <w:rFonts w:eastAsia="Calibri" w:cstheme="minorHAnsi"/>
          <w:color w:val="000000"/>
          <w:kern w:val="0"/>
          <w:sz w:val="24"/>
          <w:szCs w:val="24"/>
          <w:lang w:val="pl-PL"/>
          <w14:ligatures w14:val="none"/>
        </w:rPr>
        <w:t>e</w:t>
      </w:r>
      <w:r w:rsidRPr="00021CDC">
        <w:rPr>
          <w:rFonts w:eastAsia="Calibri" w:cstheme="minorHAnsi"/>
          <w:color w:val="000000"/>
          <w:kern w:val="0"/>
          <w:sz w:val="24"/>
          <w:szCs w:val="24"/>
          <w:lang w:val="sr-Latn-ME"/>
          <w14:ligatures w14:val="none"/>
        </w:rPr>
        <w:t>ć</w:t>
      </w:r>
      <w:r w:rsidRPr="00281886">
        <w:rPr>
          <w:rFonts w:eastAsia="Calibri" w:cstheme="minorHAnsi"/>
          <w:color w:val="000000"/>
          <w:kern w:val="0"/>
          <w:sz w:val="24"/>
          <w:szCs w:val="24"/>
          <w:lang w:val="pl-PL"/>
          <w14:ligatures w14:val="none"/>
        </w:rPr>
        <w:t>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strate</w:t>
      </w:r>
      <w:r w:rsidRPr="00021CDC">
        <w:rPr>
          <w:rFonts w:eastAsia="Calibri" w:cstheme="minorHAnsi"/>
          <w:color w:val="000000"/>
          <w:kern w:val="0"/>
          <w:sz w:val="24"/>
          <w:szCs w:val="24"/>
          <w:lang w:val="sr-Latn-ME"/>
          <w14:ligatures w14:val="none"/>
        </w:rPr>
        <w:t>š</w:t>
      </w:r>
      <w:r w:rsidRPr="00281886">
        <w:rPr>
          <w:rFonts w:eastAsia="Calibri" w:cstheme="minorHAnsi"/>
          <w:color w:val="000000"/>
          <w:kern w:val="0"/>
          <w:sz w:val="24"/>
          <w:szCs w:val="24"/>
          <w:lang w:val="pl-PL"/>
          <w14:ligatures w14:val="none"/>
        </w:rPr>
        <w:t>kim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dokumentima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preuzetim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me</w:t>
      </w:r>
      <w:r w:rsidRPr="00021CDC">
        <w:rPr>
          <w:rFonts w:eastAsia="Calibri" w:cstheme="minorHAnsi"/>
          <w:color w:val="000000"/>
          <w:kern w:val="0"/>
          <w:sz w:val="24"/>
          <w:szCs w:val="24"/>
          <w:lang w:val="sr-Latn-ME"/>
          <w14:ligatures w14:val="none"/>
        </w:rPr>
        <w:t>đ</w:t>
      </w:r>
      <w:r w:rsidRPr="00281886">
        <w:rPr>
          <w:rFonts w:eastAsia="Calibri" w:cstheme="minorHAnsi"/>
          <w:color w:val="000000"/>
          <w:kern w:val="0"/>
          <w:sz w:val="24"/>
          <w:szCs w:val="24"/>
          <w:lang w:val="pl-PL"/>
          <w14:ligatures w14:val="none"/>
        </w:rPr>
        <w:t>unarodnim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obavezama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koji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obuhvataju</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pojedine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segmente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bitne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za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ovu</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oblast</w:t>
      </w:r>
      <w:r w:rsidRPr="00021CDC">
        <w:rPr>
          <w:rFonts w:eastAsia="Calibri" w:cstheme="minorHAnsi"/>
          <w:color w:val="000000"/>
          <w:kern w:val="0"/>
          <w:sz w:val="24"/>
          <w:szCs w:val="24"/>
          <w:lang w:val="sr-Latn-ME"/>
          <w14:ligatures w14:val="none"/>
        </w:rPr>
        <w:t xml:space="preserve">. </w:t>
      </w:r>
    </w:p>
    <w:p w14:paraId="06DF8E56" w14:textId="494A6D27"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color w:val="000000"/>
          <w:kern w:val="0"/>
          <w:sz w:val="24"/>
          <w:szCs w:val="24"/>
          <w:lang w:val="pl-PL"/>
          <w14:ligatures w14:val="none"/>
        </w:rPr>
        <w:t xml:space="preserve">Na </w:t>
      </w:r>
      <w:r w:rsidR="000A7784">
        <w:rPr>
          <w:rFonts w:eastAsia="Calibri" w:cstheme="minorHAnsi"/>
          <w:color w:val="000000"/>
          <w:kern w:val="0"/>
          <w:sz w:val="24"/>
          <w:szCs w:val="24"/>
          <w:lang w:val="pl-PL"/>
          <w14:ligatures w14:val="none"/>
        </w:rPr>
        <w:t xml:space="preserve">sljedećoj </w:t>
      </w:r>
      <w:r w:rsidR="000B4FAD">
        <w:rPr>
          <w:rFonts w:eastAsia="Calibri" w:cstheme="minorHAnsi"/>
          <w:color w:val="000000"/>
          <w:kern w:val="0"/>
          <w:sz w:val="24"/>
          <w:szCs w:val="24"/>
          <w:lang w:val="pl-PL"/>
          <w14:ligatures w14:val="none"/>
        </w:rPr>
        <w:t>š</w:t>
      </w:r>
      <w:r w:rsidR="000A7784">
        <w:rPr>
          <w:rFonts w:eastAsia="Calibri" w:cstheme="minorHAnsi"/>
          <w:color w:val="000000"/>
          <w:kern w:val="0"/>
          <w:sz w:val="24"/>
          <w:szCs w:val="24"/>
          <w:lang w:val="pl-PL"/>
          <w14:ligatures w14:val="none"/>
        </w:rPr>
        <w:t>emi</w:t>
      </w:r>
      <w:r w:rsidRPr="00281886">
        <w:rPr>
          <w:rFonts w:eastAsia="Calibri" w:cstheme="minorHAnsi"/>
          <w:color w:val="000000"/>
          <w:kern w:val="0"/>
          <w:sz w:val="24"/>
          <w:szCs w:val="24"/>
          <w:lang w:val="pl-PL"/>
          <w14:ligatures w14:val="none"/>
        </w:rPr>
        <w:t xml:space="preserve"> prikazana je povezanost strateških dokumenata nacionalog i evropskog okvira.</w:t>
      </w:r>
    </w:p>
    <w:p w14:paraId="49642227" w14:textId="079AC066" w:rsidR="00E21F32" w:rsidRPr="00281886" w:rsidRDefault="000B4FAD" w:rsidP="00E21F32">
      <w:pPr>
        <w:spacing w:after="150" w:line="276" w:lineRule="auto"/>
        <w:jc w:val="both"/>
        <w:rPr>
          <w:rFonts w:eastAsia="Calibri" w:cstheme="minorHAnsi"/>
          <w:color w:val="000000"/>
          <w:kern w:val="0"/>
          <w:sz w:val="24"/>
          <w:szCs w:val="24"/>
          <w:lang w:val="pl-PL"/>
          <w14:ligatures w14:val="none"/>
        </w:rPr>
      </w:pPr>
      <w:r>
        <w:rPr>
          <w:rFonts w:eastAsia="Calibri" w:cstheme="minorHAnsi"/>
          <w:color w:val="000000"/>
          <w:kern w:val="0"/>
          <w:sz w:val="24"/>
          <w:szCs w:val="24"/>
          <w:lang w:val="pl-PL"/>
          <w14:ligatures w14:val="none"/>
        </w:rPr>
        <w:t>Š</w:t>
      </w:r>
      <w:r w:rsidR="000A7784">
        <w:rPr>
          <w:rFonts w:eastAsia="Calibri" w:cstheme="minorHAnsi"/>
          <w:color w:val="000000"/>
          <w:kern w:val="0"/>
          <w:sz w:val="24"/>
          <w:szCs w:val="24"/>
          <w:lang w:val="pl-PL"/>
          <w14:ligatures w14:val="none"/>
        </w:rPr>
        <w:t xml:space="preserve">ema </w:t>
      </w:r>
      <w:r w:rsidR="00E21F32" w:rsidRPr="00281886">
        <w:rPr>
          <w:rFonts w:eastAsia="Calibri" w:cstheme="minorHAnsi"/>
          <w:color w:val="000000"/>
          <w:kern w:val="0"/>
          <w:sz w:val="24"/>
          <w:szCs w:val="24"/>
          <w:lang w:val="pl-PL"/>
          <w14:ligatures w14:val="none"/>
        </w:rPr>
        <w:t>1: Pregled povezanosti strateških politika</w:t>
      </w:r>
    </w:p>
    <w:p w14:paraId="217F12C1" w14:textId="77777777" w:rsidR="00E21F32" w:rsidRPr="00E21F32" w:rsidRDefault="00E21F32" w:rsidP="00E21F32">
      <w:pPr>
        <w:spacing w:after="150" w:line="276" w:lineRule="auto"/>
        <w:jc w:val="both"/>
        <w:rPr>
          <w:rFonts w:eastAsia="Calibri" w:cstheme="minorHAnsi"/>
          <w:color w:val="000000"/>
          <w:kern w:val="0"/>
          <w:lang w:val="en-GB"/>
          <w14:ligatures w14:val="none"/>
        </w:rPr>
      </w:pPr>
      <w:r w:rsidRPr="00E21F32">
        <w:rPr>
          <w:rFonts w:eastAsia="Calibri" w:cstheme="minorHAnsi"/>
          <w:noProof/>
          <w:color w:val="000000"/>
          <w:kern w:val="0"/>
          <w14:ligatures w14:val="none"/>
        </w:rPr>
        <w:drawing>
          <wp:inline distT="0" distB="0" distL="0" distR="0" wp14:anchorId="672FF0A1" wp14:editId="7CB27CC6">
            <wp:extent cx="5467350" cy="3892550"/>
            <wp:effectExtent l="0" t="38100" r="1905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2FF2EC3" w14:textId="3BDCB2D1" w:rsidR="00E21F32" w:rsidRPr="00B67D63" w:rsidRDefault="00092DF7" w:rsidP="00E21F32">
      <w:pPr>
        <w:spacing w:after="150" w:line="276" w:lineRule="auto"/>
        <w:jc w:val="both"/>
        <w:rPr>
          <w:rFonts w:eastAsia="Calibri" w:cstheme="minorHAnsi"/>
          <w:bCs/>
          <w:color w:val="1F4E79" w:themeColor="accent5" w:themeShade="80"/>
          <w:kern w:val="0"/>
          <w:sz w:val="24"/>
          <w:szCs w:val="24"/>
          <w:lang w:val="pl-PL"/>
          <w14:ligatures w14:val="none"/>
        </w:rPr>
      </w:pPr>
      <w:r w:rsidRPr="00B67D63">
        <w:rPr>
          <w:rFonts w:eastAsia="Calibri" w:cstheme="minorHAnsi"/>
          <w:bCs/>
          <w:color w:val="1F4E79" w:themeColor="accent5" w:themeShade="80"/>
          <w:kern w:val="0"/>
          <w:sz w:val="24"/>
          <w:szCs w:val="24"/>
          <w:lang w:val="pl-PL"/>
          <w14:ligatures w14:val="none"/>
        </w:rPr>
        <w:t xml:space="preserve">1.3.1 </w:t>
      </w:r>
      <w:r w:rsidR="00E21F32" w:rsidRPr="00B67D63">
        <w:rPr>
          <w:rFonts w:eastAsia="Calibri" w:cstheme="minorHAnsi"/>
          <w:bCs/>
          <w:color w:val="1F4E79" w:themeColor="accent5" w:themeShade="80"/>
          <w:kern w:val="0"/>
          <w:sz w:val="24"/>
          <w:szCs w:val="24"/>
          <w:lang w:val="pl-PL"/>
          <w14:ligatures w14:val="none"/>
        </w:rPr>
        <w:t>Usklađenost Programa sa postojećim nacionalnim strateškim okvirom</w:t>
      </w:r>
    </w:p>
    <w:p w14:paraId="32B1AE9B" w14:textId="33EE5AC9"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Fiskalnom strategijom</w:t>
      </w:r>
      <w:r w:rsidRPr="00281886">
        <w:rPr>
          <w:rFonts w:eastAsia="Calibri" w:cstheme="minorHAnsi"/>
          <w:color w:val="000000"/>
          <w:kern w:val="0"/>
          <w:sz w:val="24"/>
          <w:szCs w:val="24"/>
          <w:lang w:val="pl-PL"/>
          <w14:ligatures w14:val="none"/>
        </w:rPr>
        <w:t xml:space="preserve"> </w:t>
      </w:r>
      <w:r w:rsidRPr="00281886">
        <w:rPr>
          <w:rFonts w:eastAsia="Calibri" w:cstheme="minorHAnsi"/>
          <w:b/>
          <w:color w:val="000000"/>
          <w:kern w:val="0"/>
          <w:sz w:val="24"/>
          <w:szCs w:val="24"/>
          <w:lang w:val="pl-PL"/>
          <w14:ligatures w14:val="none"/>
        </w:rPr>
        <w:t>Crne Gore od 2021-2024. godine</w:t>
      </w:r>
      <w:r w:rsidRPr="00281886">
        <w:rPr>
          <w:rFonts w:eastAsia="Calibri" w:cstheme="minorHAnsi"/>
          <w:color w:val="000000"/>
          <w:kern w:val="0"/>
          <w:sz w:val="24"/>
          <w:szCs w:val="24"/>
          <w:lang w:val="pl-PL"/>
          <w14:ligatures w14:val="none"/>
        </w:rPr>
        <w:t xml:space="preserve"> definisano je da fiskalnu održivost u najvećoj mjeri determinišu: poreska politika i politika upravljanja rashodima. U dijelu poreske polit</w:t>
      </w:r>
      <w:r w:rsidR="001817BD"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pl-PL"/>
          <w14:ligatures w14:val="none"/>
        </w:rPr>
        <w:t>ke akcenat</w:t>
      </w:r>
      <w:r w:rsidR="001817BD" w:rsidRPr="00281886">
        <w:rPr>
          <w:rFonts w:eastAsia="Calibri" w:cstheme="minorHAnsi"/>
          <w:color w:val="000000"/>
          <w:kern w:val="0"/>
          <w:sz w:val="24"/>
          <w:szCs w:val="24"/>
          <w:lang w:val="pl-PL"/>
          <w14:ligatures w14:val="none"/>
        </w:rPr>
        <w:t xml:space="preserve"> je stavljen </w:t>
      </w:r>
      <w:r w:rsidRPr="00281886">
        <w:rPr>
          <w:rFonts w:eastAsia="Calibri" w:cstheme="minorHAnsi"/>
          <w:color w:val="000000"/>
          <w:kern w:val="0"/>
          <w:sz w:val="24"/>
          <w:szCs w:val="24"/>
          <w:lang w:val="pl-PL"/>
          <w14:ligatures w14:val="none"/>
        </w:rPr>
        <w:t>na sveobuhvatnoj reformi poreskog sistema u cilju proširenja poreske baze, čime bi se stvorili uslovi za generisanje novih izvora prihoda između ostalog i kroz smanjenje "sive ekonomije"</w:t>
      </w:r>
      <w:r w:rsidR="001817BD" w:rsidRPr="00281886">
        <w:rPr>
          <w:rFonts w:eastAsia="Calibri" w:cstheme="minorHAnsi"/>
          <w:color w:val="000000"/>
          <w:kern w:val="0"/>
          <w:sz w:val="24"/>
          <w:szCs w:val="24"/>
          <w:lang w:val="pl-PL"/>
          <w14:ligatures w14:val="none"/>
        </w:rPr>
        <w:t>.</w:t>
      </w:r>
    </w:p>
    <w:p w14:paraId="658439E3" w14:textId="5A1DA6BC"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lastRenderedPageBreak/>
        <w:t>Nacionalna strategija održivog razvoja Crne Gore do 2030. godine</w:t>
      </w:r>
      <w:r w:rsidRPr="00281886">
        <w:rPr>
          <w:rFonts w:eastAsia="Calibri" w:cstheme="minorHAnsi"/>
          <w:color w:val="000000"/>
          <w:kern w:val="0"/>
          <w:sz w:val="24"/>
          <w:szCs w:val="24"/>
          <w:lang w:val="pl-PL"/>
          <w14:ligatures w14:val="none"/>
        </w:rPr>
        <w:t xml:space="preserve"> je krovna, horizontalna i dugoročna razvojna strategija Crne Gore, koja se ne odnosi samo na životnu sredinu i ekonomiju, veći na nezamjenljive ljudske resurse i dragocjeni društveni kapital, koji treba da omoguće prosperitetan razvoj. </w:t>
      </w:r>
    </w:p>
    <w:p w14:paraId="1CADA18B" w14:textId="56D3CD2A"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 xml:space="preserve">Programom ekonomskih reformi 2023-2025 </w:t>
      </w:r>
      <w:r w:rsidRPr="00281886">
        <w:rPr>
          <w:rFonts w:eastAsia="Calibri" w:cstheme="minorHAnsi"/>
          <w:color w:val="000000"/>
          <w:kern w:val="0"/>
          <w:sz w:val="24"/>
          <w:szCs w:val="24"/>
          <w:lang w:val="pl-PL"/>
          <w14:ligatures w14:val="none"/>
        </w:rPr>
        <w:t>prepoznat je kao jedan od tri ključna izazova za unapređenje konkurentnosti crnogorske ekonomije</w:t>
      </w:r>
      <w:r w:rsidR="000B4FAD">
        <w:rPr>
          <w:rFonts w:eastAsia="Calibri" w:cstheme="minorHAnsi"/>
          <w:color w:val="000000"/>
          <w:kern w:val="0"/>
          <w:sz w:val="24"/>
          <w:szCs w:val="24"/>
          <w:lang w:val="pl-PL"/>
          <w14:ligatures w14:val="none"/>
        </w:rPr>
        <w:t xml:space="preserve"> </w:t>
      </w:r>
      <w:r w:rsidRPr="00281886">
        <w:rPr>
          <w:rFonts w:eastAsia="Calibri" w:cstheme="minorHAnsi"/>
          <w:color w:val="000000"/>
          <w:kern w:val="0"/>
          <w:sz w:val="24"/>
          <w:szCs w:val="24"/>
          <w:lang w:val="pl-PL"/>
          <w14:ligatures w14:val="none"/>
        </w:rPr>
        <w:t xml:space="preserve">- formalizacija ekonomije, koja „predstavlja jednu od najvećih barijera za konzistentan ekonomski rast koji prati rast zaposlenosti”. U dokumentu se navodi da najčešći pojavni oblici neformalne ekonomije u Crnoj Gori su neformalna zaposlenost kako u privrednim društvima i kod preduzetnika, tako i u neregistrovanim biznisima. </w:t>
      </w:r>
    </w:p>
    <w:p w14:paraId="45526258" w14:textId="13475FA0"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Smjernice makroekonomske i fiska</w:t>
      </w:r>
      <w:r w:rsidR="001817BD" w:rsidRPr="00281886">
        <w:rPr>
          <w:rFonts w:eastAsia="Calibri" w:cstheme="minorHAnsi"/>
          <w:b/>
          <w:color w:val="000000"/>
          <w:kern w:val="0"/>
          <w:sz w:val="24"/>
          <w:szCs w:val="24"/>
          <w:lang w:val="pl-PL"/>
          <w14:ligatures w14:val="none"/>
        </w:rPr>
        <w:t>l</w:t>
      </w:r>
      <w:r w:rsidRPr="00281886">
        <w:rPr>
          <w:rFonts w:eastAsia="Calibri" w:cstheme="minorHAnsi"/>
          <w:b/>
          <w:color w:val="000000"/>
          <w:kern w:val="0"/>
          <w:sz w:val="24"/>
          <w:szCs w:val="24"/>
          <w:lang w:val="pl-PL"/>
          <w14:ligatures w14:val="none"/>
        </w:rPr>
        <w:t xml:space="preserve">ne politike za period 2023-2026 - </w:t>
      </w:r>
      <w:r w:rsidRPr="00281886">
        <w:rPr>
          <w:rFonts w:eastAsia="Calibri" w:cstheme="minorHAnsi"/>
          <w:color w:val="000000"/>
          <w:kern w:val="0"/>
          <w:sz w:val="24"/>
          <w:szCs w:val="24"/>
          <w:lang w:val="pl-PL"/>
          <w14:ligatures w14:val="none"/>
        </w:rPr>
        <w:t>Smjernice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donesene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julu</w:t>
      </w:r>
      <w:r w:rsidRPr="00281886">
        <w:rPr>
          <w:rFonts w:eastAsia="Calibri" w:cstheme="minorHAnsi"/>
          <w:color w:val="000000"/>
          <w:kern w:val="0"/>
          <w:sz w:val="24"/>
          <w:szCs w:val="24"/>
          <w:lang w:val="sr-Latn-ME"/>
          <w14:ligatures w14:val="none"/>
        </w:rPr>
        <w:t xml:space="preserve"> 2023.</w:t>
      </w:r>
      <w:r w:rsidRPr="00281886">
        <w:rPr>
          <w:rFonts w:eastAsia="Calibri" w:cstheme="minorHAnsi"/>
          <w:color w:val="000000"/>
          <w:kern w:val="0"/>
          <w:sz w:val="24"/>
          <w:szCs w:val="24"/>
          <w:lang w:val="pl-PL"/>
          <w14:ligatures w14:val="none"/>
        </w:rPr>
        <w:t>godine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obuhvataju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srednjoro</w:t>
      </w:r>
      <w:r w:rsidRPr="00281886">
        <w:rPr>
          <w:rFonts w:eastAsia="Calibri" w:cstheme="minorHAnsi"/>
          <w:color w:val="000000"/>
          <w:kern w:val="0"/>
          <w:sz w:val="24"/>
          <w:szCs w:val="24"/>
          <w:lang w:val="sr-Latn-ME"/>
          <w14:ligatures w14:val="none"/>
        </w:rPr>
        <w:t>č</w:t>
      </w:r>
      <w:r w:rsidRPr="00281886">
        <w:rPr>
          <w:rFonts w:eastAsia="Calibri" w:cstheme="minorHAnsi"/>
          <w:color w:val="000000"/>
          <w:kern w:val="0"/>
          <w:sz w:val="24"/>
          <w:szCs w:val="24"/>
          <w:lang w:val="pl-PL"/>
          <w14:ligatures w14:val="none"/>
        </w:rPr>
        <w:t>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strate</w:t>
      </w:r>
      <w:r w:rsidRPr="00281886">
        <w:rPr>
          <w:rFonts w:eastAsia="Calibri" w:cstheme="minorHAnsi"/>
          <w:color w:val="000000"/>
          <w:kern w:val="0"/>
          <w:sz w:val="24"/>
          <w:szCs w:val="24"/>
          <w:lang w:val="sr-Latn-ME"/>
          <w14:ligatures w14:val="none"/>
        </w:rPr>
        <w:t>š</w:t>
      </w:r>
      <w:r w:rsidRPr="00281886">
        <w:rPr>
          <w:rFonts w:eastAsia="Calibri" w:cstheme="minorHAnsi"/>
          <w:color w:val="000000"/>
          <w:kern w:val="0"/>
          <w:sz w:val="24"/>
          <w:szCs w:val="24"/>
          <w:lang w:val="pl-PL"/>
          <w14:ligatures w14:val="none"/>
        </w:rPr>
        <w:t>ke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ciljeve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ekonomske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fiskalne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politike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osnovne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makroekonomske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fiskalne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pokazatelje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kao</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projekcije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limite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potro</w:t>
      </w:r>
      <w:r w:rsidRPr="00281886">
        <w:rPr>
          <w:rFonts w:eastAsia="Calibri" w:cstheme="minorHAnsi"/>
          <w:color w:val="000000"/>
          <w:kern w:val="0"/>
          <w:sz w:val="24"/>
          <w:szCs w:val="24"/>
          <w:lang w:val="sr-Latn-ME"/>
          <w14:ligatures w14:val="none"/>
        </w:rPr>
        <w:t>š</w:t>
      </w:r>
      <w:r w:rsidRPr="00281886">
        <w:rPr>
          <w:rFonts w:eastAsia="Calibri" w:cstheme="minorHAnsi"/>
          <w:color w:val="000000"/>
          <w:kern w:val="0"/>
          <w:sz w:val="24"/>
          <w:szCs w:val="24"/>
          <w:lang w:val="pl-PL"/>
          <w14:ligatures w14:val="none"/>
        </w:rPr>
        <w:t>nje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predstavljaju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osnov</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za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pripremu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bud</w:t>
      </w:r>
      <w:r w:rsidRPr="00281886">
        <w:rPr>
          <w:rFonts w:eastAsia="Calibri" w:cstheme="minorHAnsi"/>
          <w:color w:val="000000"/>
          <w:kern w:val="0"/>
          <w:sz w:val="24"/>
          <w:szCs w:val="24"/>
          <w:lang w:val="sr-Latn-ME"/>
          <w14:ligatures w14:val="none"/>
        </w:rPr>
        <w:t>ž</w:t>
      </w:r>
      <w:r w:rsidRPr="00281886">
        <w:rPr>
          <w:rFonts w:eastAsia="Calibri" w:cstheme="minorHAnsi"/>
          <w:color w:val="000000"/>
          <w:kern w:val="0"/>
          <w:sz w:val="24"/>
          <w:szCs w:val="24"/>
          <w:lang w:val="pl-PL"/>
          <w14:ligatures w14:val="none"/>
        </w:rPr>
        <w:t>eta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za</w:t>
      </w:r>
      <w:r w:rsidRPr="00281886">
        <w:rPr>
          <w:rFonts w:eastAsia="Calibri" w:cstheme="minorHAnsi"/>
          <w:color w:val="000000"/>
          <w:kern w:val="0"/>
          <w:sz w:val="24"/>
          <w:szCs w:val="24"/>
          <w:lang w:val="sr-Latn-ME"/>
          <w14:ligatures w14:val="none"/>
        </w:rPr>
        <w:t xml:space="preserve"> 2024.</w:t>
      </w:r>
      <w:r w:rsidRPr="00281886">
        <w:rPr>
          <w:rFonts w:eastAsia="Calibri" w:cstheme="minorHAnsi"/>
          <w:color w:val="000000"/>
          <w:kern w:val="0"/>
          <w:sz w:val="24"/>
          <w:szCs w:val="24"/>
          <w:lang w:val="pl-PL"/>
          <w14:ligatures w14:val="none"/>
        </w:rPr>
        <w:t>godinu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 xml:space="preserve">Smjernice predviđaju da će najznačajniji rast izvornih prihoda očekuje u okviru kategorije prihoda po osnovu poreza na dodatu vrijednost, akciza i doprinosa prije svega kao rezultat projektovanja rasta ekonomske aktivnosti i daljeg suzbijanja neformalne ekonomije i kretanja makroekonomskih indikatora. </w:t>
      </w:r>
    </w:p>
    <w:p w14:paraId="049392A7" w14:textId="77777777"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 xml:space="preserve">Strategija pametne specijalizacije Crne Gore do 2019-2024 - </w:t>
      </w:r>
      <w:r w:rsidRPr="00281886">
        <w:rPr>
          <w:rFonts w:eastAsia="Calibri" w:cstheme="minorHAnsi"/>
          <w:color w:val="000000"/>
          <w:kern w:val="0"/>
          <w:sz w:val="24"/>
          <w:szCs w:val="24"/>
          <w:lang w:val="pl-PL"/>
          <w14:ligatures w14:val="none"/>
        </w:rPr>
        <w:t xml:space="preserve">Strateška vizija razvoja Crne Gore bazira se na povećanju konkurentnosti ekonomije. Razvijena i konkurentna ekonomija zasnovana je na znanju i resursima koji treba da budu valorizovani, kroz povezane prioritete Strategije. </w:t>
      </w:r>
    </w:p>
    <w:p w14:paraId="2C6DCB7D" w14:textId="1F3D0B04"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Srednjoročni program rada Vlade od 2022-2024</w:t>
      </w:r>
      <w:r w:rsidRPr="00281886">
        <w:rPr>
          <w:rFonts w:eastAsia="Calibri" w:cstheme="minorHAnsi"/>
          <w:color w:val="000000"/>
          <w:kern w:val="0"/>
          <w:sz w:val="24"/>
          <w:szCs w:val="24"/>
          <w:lang w:val="pl-PL"/>
          <w14:ligatures w14:val="none"/>
        </w:rPr>
        <w:t xml:space="preserve"> je izraz težnji da se do kraja 2024.godine definiše smjer kretanja Vlade i pravac razvoja Crne Gore na osnovu definisanih prioriteta i ciljeva. U okviru ovog programa definisani su prioriteti. „Prioritet 2” odnosi se na zdrave finansije i ekonomski razvoj, a cilj 2.2. u vezi je sa unapređenjem fiskalne održivosti, što je u vezi između ostalog i sa suzbijanjem neformalne ekonomije. </w:t>
      </w:r>
    </w:p>
    <w:p w14:paraId="0B244471" w14:textId="6FBAEEAE"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 xml:space="preserve">Godišnji program rada Vlade Crne Gore za 2023.godinu </w:t>
      </w:r>
      <w:r w:rsidRPr="00281886">
        <w:rPr>
          <w:rFonts w:eastAsia="Calibri" w:cstheme="minorHAnsi"/>
          <w:color w:val="000000"/>
          <w:kern w:val="0"/>
          <w:sz w:val="24"/>
          <w:szCs w:val="24"/>
          <w:lang w:val="pl-PL"/>
          <w14:ligatures w14:val="none"/>
        </w:rPr>
        <w:t xml:space="preserve">- U okviru ovog programa definisana je i obaveza donošenja Program za suzbijanje neformalne ekonomije u Crnoj Gori za period od 2024 – 2026 s Akcionim planom. </w:t>
      </w:r>
    </w:p>
    <w:p w14:paraId="09626837" w14:textId="46CBCF62" w:rsidR="00E21F32" w:rsidRPr="00281886" w:rsidRDefault="00E21F32" w:rsidP="00E21F32">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b/>
          <w:color w:val="000000"/>
          <w:kern w:val="0"/>
          <w:sz w:val="24"/>
          <w:szCs w:val="24"/>
          <w:lang w:val="pl-PL"/>
          <w14:ligatures w14:val="none"/>
        </w:rPr>
        <w:t>Program</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reforme</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upravljanja</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javnim</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finansijama</w:t>
      </w:r>
      <w:r w:rsidRPr="00281886">
        <w:rPr>
          <w:rFonts w:eastAsia="Calibri" w:cstheme="minorHAnsi"/>
          <w:b/>
          <w:color w:val="000000"/>
          <w:kern w:val="0"/>
          <w:sz w:val="24"/>
          <w:szCs w:val="24"/>
          <w:lang w:val="sr-Latn-ME"/>
          <w14:ligatures w14:val="none"/>
        </w:rPr>
        <w:t xml:space="preserve"> 2022-2026.</w:t>
      </w:r>
      <w:r w:rsidRPr="00281886">
        <w:rPr>
          <w:rFonts w:eastAsia="Calibri" w:cstheme="minorHAnsi"/>
          <w:b/>
          <w:color w:val="000000"/>
          <w:kern w:val="0"/>
          <w:sz w:val="24"/>
          <w:szCs w:val="24"/>
          <w:lang w:val="pl-PL"/>
          <w14:ligatures w14:val="none"/>
        </w:rPr>
        <w:t>godine</w:t>
      </w:r>
      <w:r w:rsidR="000B4FAD">
        <w:rPr>
          <w:rFonts w:eastAsia="Calibri" w:cstheme="minorHAnsi"/>
          <w:b/>
          <w:color w:val="000000"/>
          <w:kern w:val="0"/>
          <w:sz w:val="24"/>
          <w:szCs w:val="24"/>
          <w:lang w:val="pl-PL"/>
          <w14:ligatures w14:val="none"/>
        </w:rPr>
        <w:t xml:space="preserve"> </w:t>
      </w:r>
      <w:r w:rsidRPr="00281886">
        <w:rPr>
          <w:rFonts w:eastAsia="Calibri" w:cstheme="minorHAnsi"/>
          <w:color w:val="000000"/>
          <w:kern w:val="0"/>
          <w:sz w:val="24"/>
          <w:szCs w:val="24"/>
          <w:lang w:val="sr-Latn-ME"/>
          <w14:ligatures w14:val="none"/>
        </w:rPr>
        <w:t>-</w:t>
      </w:r>
      <w:r w:rsidR="000B4FAD">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Programom</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obezbje</w:t>
      </w:r>
      <w:r w:rsidRPr="00281886">
        <w:rPr>
          <w:rFonts w:eastAsia="Calibri" w:cstheme="minorHAnsi"/>
          <w:color w:val="000000"/>
          <w:kern w:val="0"/>
          <w:sz w:val="24"/>
          <w:szCs w:val="24"/>
          <w:lang w:val="sr-Latn-ME"/>
          <w14:ligatures w14:val="none"/>
        </w:rPr>
        <w:t>đ</w:t>
      </w:r>
      <w:r w:rsidRPr="00281886">
        <w:rPr>
          <w:rFonts w:eastAsia="Calibri" w:cstheme="minorHAnsi"/>
          <w:color w:val="000000"/>
          <w:kern w:val="0"/>
          <w:sz w:val="24"/>
          <w:szCs w:val="24"/>
          <w:lang w:val="pl-PL"/>
          <w14:ligatures w14:val="none"/>
        </w:rPr>
        <w:t>uje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bolja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koordinacija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me</w:t>
      </w:r>
      <w:r w:rsidRPr="00281886">
        <w:rPr>
          <w:rFonts w:eastAsia="Calibri" w:cstheme="minorHAnsi"/>
          <w:color w:val="000000"/>
          <w:kern w:val="0"/>
          <w:sz w:val="24"/>
          <w:szCs w:val="24"/>
          <w:lang w:val="sr-Latn-ME"/>
          <w14:ligatures w14:val="none"/>
        </w:rPr>
        <w:t>đ</w:t>
      </w:r>
      <w:r w:rsidRPr="00281886">
        <w:rPr>
          <w:rFonts w:eastAsia="Calibri" w:cstheme="minorHAnsi"/>
          <w:color w:val="000000"/>
          <w:kern w:val="0"/>
          <w:sz w:val="24"/>
          <w:szCs w:val="24"/>
          <w:lang w:val="pl-PL"/>
          <w14:ligatures w14:val="none"/>
        </w:rPr>
        <w:t>uinstitucionalna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saradnju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cilju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planiranja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implementacije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pra</w:t>
      </w:r>
      <w:r w:rsidRPr="00281886">
        <w:rPr>
          <w:rFonts w:eastAsia="Calibri" w:cstheme="minorHAnsi"/>
          <w:color w:val="000000"/>
          <w:kern w:val="0"/>
          <w:sz w:val="24"/>
          <w:szCs w:val="24"/>
          <w:lang w:val="sr-Latn-ME"/>
          <w14:ligatures w14:val="none"/>
        </w:rPr>
        <w:t>ć</w:t>
      </w:r>
      <w:r w:rsidRPr="00281886">
        <w:rPr>
          <w:rFonts w:eastAsia="Calibri" w:cstheme="minorHAnsi"/>
          <w:color w:val="000000"/>
          <w:kern w:val="0"/>
          <w:sz w:val="24"/>
          <w:szCs w:val="24"/>
          <w:lang w:val="pl-PL"/>
          <w14:ligatures w14:val="none"/>
        </w:rPr>
        <w:t>enja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politika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odnose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ja</w:t>
      </w:r>
      <w:r w:rsidRPr="00281886">
        <w:rPr>
          <w:rFonts w:eastAsia="Calibri" w:cstheme="minorHAnsi"/>
          <w:color w:val="000000"/>
          <w:kern w:val="0"/>
          <w:sz w:val="24"/>
          <w:szCs w:val="24"/>
          <w:lang w:val="sr-Latn-ME"/>
          <w14:ligatures w14:val="none"/>
        </w:rPr>
        <w:t>č</w:t>
      </w:r>
      <w:r w:rsidRPr="00281886">
        <w:rPr>
          <w:rFonts w:eastAsia="Calibri" w:cstheme="minorHAnsi"/>
          <w:color w:val="000000"/>
          <w:kern w:val="0"/>
          <w:sz w:val="24"/>
          <w:szCs w:val="24"/>
          <w:lang w:val="pl-PL"/>
          <w14:ligatures w14:val="none"/>
        </w:rPr>
        <w:t>anje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fiskalne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discipline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stabilnosti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kao</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optimizaciju</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alokacije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kori</w:t>
      </w:r>
      <w:r w:rsidRPr="00281886">
        <w:rPr>
          <w:rFonts w:eastAsia="Calibri" w:cstheme="minorHAnsi"/>
          <w:color w:val="000000"/>
          <w:kern w:val="0"/>
          <w:sz w:val="24"/>
          <w:szCs w:val="24"/>
          <w:lang w:val="sr-Latn-ME"/>
          <w14:ligatures w14:val="none"/>
        </w:rPr>
        <w:t>šć</w:t>
      </w:r>
      <w:r w:rsidRPr="00281886">
        <w:rPr>
          <w:rFonts w:eastAsia="Calibri" w:cstheme="minorHAnsi"/>
          <w:color w:val="000000"/>
          <w:kern w:val="0"/>
          <w:sz w:val="24"/>
          <w:szCs w:val="24"/>
          <w:lang w:val="pl-PL"/>
          <w14:ligatures w14:val="none"/>
        </w:rPr>
        <w:t>enja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javnih</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resursa</w:t>
      </w:r>
      <w:r w:rsidRPr="00281886">
        <w:rPr>
          <w:rFonts w:eastAsia="Calibri" w:cstheme="minorHAnsi"/>
          <w:color w:val="000000"/>
          <w:kern w:val="0"/>
          <w:sz w:val="24"/>
          <w:szCs w:val="24"/>
          <w:lang w:val="sr-Latn-ME"/>
          <w14:ligatures w14:val="none"/>
        </w:rPr>
        <w:t xml:space="preserve">. </w:t>
      </w:r>
    </w:p>
    <w:p w14:paraId="1F44AC32" w14:textId="1BF62979" w:rsidR="00E21F32" w:rsidRPr="00B67D63" w:rsidRDefault="00092DF7" w:rsidP="00E21F32">
      <w:pPr>
        <w:spacing w:after="150" w:line="276" w:lineRule="auto"/>
        <w:jc w:val="both"/>
        <w:rPr>
          <w:rFonts w:eastAsia="Calibri" w:cstheme="minorHAnsi"/>
          <w:bCs/>
          <w:color w:val="1F4E79" w:themeColor="accent5" w:themeShade="80"/>
          <w:kern w:val="0"/>
          <w:sz w:val="24"/>
          <w:szCs w:val="24"/>
          <w:lang w:val="sr-Latn-ME"/>
          <w14:ligatures w14:val="none"/>
        </w:rPr>
      </w:pPr>
      <w:r w:rsidRPr="00B67D63">
        <w:rPr>
          <w:rFonts w:eastAsia="Calibri" w:cstheme="minorHAnsi"/>
          <w:bCs/>
          <w:color w:val="1F4E79" w:themeColor="accent5" w:themeShade="80"/>
          <w:kern w:val="0"/>
          <w:sz w:val="24"/>
          <w:szCs w:val="24"/>
          <w:lang w:val="sr-Latn-ME"/>
          <w14:ligatures w14:val="none"/>
        </w:rPr>
        <w:t xml:space="preserve">1.3.2 </w:t>
      </w:r>
      <w:r w:rsidR="00E21F32" w:rsidRPr="00B67D63">
        <w:rPr>
          <w:rFonts w:eastAsia="Calibri" w:cstheme="minorHAnsi"/>
          <w:bCs/>
          <w:color w:val="1F4E79" w:themeColor="accent5" w:themeShade="80"/>
          <w:kern w:val="0"/>
          <w:sz w:val="24"/>
          <w:szCs w:val="24"/>
          <w:lang w:val="pl-PL"/>
          <w14:ligatures w14:val="none"/>
        </w:rPr>
        <w:t>Uskla</w:t>
      </w:r>
      <w:r w:rsidR="00E21F32" w:rsidRPr="00B67D63">
        <w:rPr>
          <w:rFonts w:eastAsia="Calibri" w:cstheme="minorHAnsi"/>
          <w:bCs/>
          <w:color w:val="1F4E79" w:themeColor="accent5" w:themeShade="80"/>
          <w:kern w:val="0"/>
          <w:sz w:val="24"/>
          <w:szCs w:val="24"/>
          <w:lang w:val="sr-Latn-ME"/>
          <w14:ligatures w14:val="none"/>
        </w:rPr>
        <w:t>đ</w:t>
      </w:r>
      <w:r w:rsidR="00E21F32" w:rsidRPr="00B67D63">
        <w:rPr>
          <w:rFonts w:eastAsia="Calibri" w:cstheme="minorHAnsi"/>
          <w:bCs/>
          <w:color w:val="1F4E79" w:themeColor="accent5" w:themeShade="80"/>
          <w:kern w:val="0"/>
          <w:sz w:val="24"/>
          <w:szCs w:val="24"/>
          <w:lang w:val="pl-PL"/>
          <w14:ligatures w14:val="none"/>
        </w:rPr>
        <w:t>enost</w:t>
      </w:r>
      <w:r w:rsidR="00E21F32" w:rsidRPr="00B67D63">
        <w:rPr>
          <w:rFonts w:eastAsia="Calibri" w:cstheme="minorHAnsi"/>
          <w:bCs/>
          <w:color w:val="1F4E79" w:themeColor="accent5" w:themeShade="80"/>
          <w:kern w:val="0"/>
          <w:sz w:val="24"/>
          <w:szCs w:val="24"/>
          <w:lang w:val="sr-Latn-ME"/>
          <w14:ligatures w14:val="none"/>
        </w:rPr>
        <w:t xml:space="preserve"> </w:t>
      </w:r>
      <w:r w:rsidR="00E21F32" w:rsidRPr="00B67D63">
        <w:rPr>
          <w:rFonts w:eastAsia="Calibri" w:cstheme="minorHAnsi"/>
          <w:bCs/>
          <w:color w:val="1F4E79" w:themeColor="accent5" w:themeShade="80"/>
          <w:kern w:val="0"/>
          <w:sz w:val="24"/>
          <w:szCs w:val="24"/>
          <w:lang w:val="pl-PL"/>
          <w14:ligatures w14:val="none"/>
        </w:rPr>
        <w:t>sa</w:t>
      </w:r>
      <w:r w:rsidR="00E21F32" w:rsidRPr="00B67D63">
        <w:rPr>
          <w:rFonts w:eastAsia="Calibri" w:cstheme="minorHAnsi"/>
          <w:bCs/>
          <w:color w:val="1F4E79" w:themeColor="accent5" w:themeShade="80"/>
          <w:kern w:val="0"/>
          <w:sz w:val="24"/>
          <w:szCs w:val="24"/>
          <w:lang w:val="sr-Latn-ME"/>
          <w14:ligatures w14:val="none"/>
        </w:rPr>
        <w:t xml:space="preserve"> </w:t>
      </w:r>
      <w:r w:rsidR="00E21F32" w:rsidRPr="00B67D63">
        <w:rPr>
          <w:rFonts w:eastAsia="Calibri" w:cstheme="minorHAnsi"/>
          <w:bCs/>
          <w:color w:val="1F4E79" w:themeColor="accent5" w:themeShade="80"/>
          <w:kern w:val="0"/>
          <w:sz w:val="24"/>
          <w:szCs w:val="24"/>
          <w:lang w:val="pl-PL"/>
          <w14:ligatures w14:val="none"/>
        </w:rPr>
        <w:t>sektorskim</w:t>
      </w:r>
      <w:r w:rsidR="00E21F32" w:rsidRPr="00B67D63">
        <w:rPr>
          <w:rFonts w:eastAsia="Calibri" w:cstheme="minorHAnsi"/>
          <w:bCs/>
          <w:color w:val="1F4E79" w:themeColor="accent5" w:themeShade="80"/>
          <w:kern w:val="0"/>
          <w:sz w:val="24"/>
          <w:szCs w:val="24"/>
          <w:lang w:val="sr-Latn-ME"/>
          <w14:ligatures w14:val="none"/>
        </w:rPr>
        <w:t xml:space="preserve"> </w:t>
      </w:r>
      <w:r w:rsidR="00E21F32" w:rsidRPr="00B67D63">
        <w:rPr>
          <w:rFonts w:eastAsia="Calibri" w:cstheme="minorHAnsi"/>
          <w:bCs/>
          <w:color w:val="1F4E79" w:themeColor="accent5" w:themeShade="80"/>
          <w:kern w:val="0"/>
          <w:sz w:val="24"/>
          <w:szCs w:val="24"/>
          <w:lang w:val="pl-PL"/>
          <w14:ligatures w14:val="none"/>
        </w:rPr>
        <w:t>strategijama</w:t>
      </w:r>
      <w:r w:rsidR="00E21F32" w:rsidRPr="00B67D63">
        <w:rPr>
          <w:rFonts w:eastAsia="Calibri" w:cstheme="minorHAnsi"/>
          <w:bCs/>
          <w:color w:val="1F4E79" w:themeColor="accent5" w:themeShade="80"/>
          <w:kern w:val="0"/>
          <w:sz w:val="24"/>
          <w:szCs w:val="24"/>
          <w:lang w:val="sr-Latn-ME"/>
          <w14:ligatures w14:val="none"/>
        </w:rPr>
        <w:t xml:space="preserve"> </w:t>
      </w:r>
    </w:p>
    <w:p w14:paraId="288EC611" w14:textId="0F599839" w:rsidR="00E21F32" w:rsidRPr="00021CDC" w:rsidRDefault="00E21F32" w:rsidP="00E21F32">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b/>
          <w:color w:val="000000"/>
          <w:kern w:val="0"/>
          <w:sz w:val="24"/>
          <w:szCs w:val="24"/>
          <w:lang w:val="pl-PL"/>
          <w14:ligatures w14:val="none"/>
        </w:rPr>
        <w:t>Strategija</w:t>
      </w:r>
      <w:r w:rsidRPr="00021CDC">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reforme</w:t>
      </w:r>
      <w:r w:rsidRPr="00021CDC">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javne</w:t>
      </w:r>
      <w:r w:rsidRPr="00021CDC">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uprave</w:t>
      </w:r>
      <w:r w:rsidRPr="00021CDC">
        <w:rPr>
          <w:rFonts w:eastAsia="Calibri" w:cstheme="minorHAnsi"/>
          <w:b/>
          <w:color w:val="000000"/>
          <w:kern w:val="0"/>
          <w:sz w:val="24"/>
          <w:szCs w:val="24"/>
          <w:lang w:val="sr-Latn-ME"/>
          <w14:ligatures w14:val="none"/>
        </w:rPr>
        <w:t xml:space="preserve"> 2022-2026</w:t>
      </w:r>
      <w:r w:rsidR="000B4FAD">
        <w:rPr>
          <w:rFonts w:eastAsia="Calibri" w:cstheme="minorHAnsi"/>
          <w:b/>
          <w:color w:val="000000"/>
          <w:kern w:val="0"/>
          <w:sz w:val="24"/>
          <w:szCs w:val="24"/>
          <w:lang w:val="sr-Latn-ME"/>
          <w14:ligatures w14:val="none"/>
        </w:rPr>
        <w:t xml:space="preserve"> </w:t>
      </w:r>
      <w:r w:rsidRPr="00021CDC">
        <w:rPr>
          <w:rFonts w:eastAsia="Calibri" w:cstheme="minorHAnsi"/>
          <w:b/>
          <w:color w:val="000000"/>
          <w:kern w:val="0"/>
          <w:sz w:val="24"/>
          <w:szCs w:val="24"/>
          <w:lang w:val="sr-Latn-ME"/>
          <w14:ligatures w14:val="none"/>
        </w:rPr>
        <w:t>-</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Komplementarnost</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Programom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ogleda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strate</w:t>
      </w:r>
      <w:r w:rsidRPr="00021CDC">
        <w:rPr>
          <w:rFonts w:eastAsia="Calibri" w:cstheme="minorHAnsi"/>
          <w:color w:val="000000"/>
          <w:kern w:val="0"/>
          <w:sz w:val="24"/>
          <w:szCs w:val="24"/>
          <w:lang w:val="sr-Latn-ME"/>
          <w14:ligatures w14:val="none"/>
        </w:rPr>
        <w:t>š</w:t>
      </w:r>
      <w:r w:rsidRPr="00281886">
        <w:rPr>
          <w:rFonts w:eastAsia="Calibri" w:cstheme="minorHAnsi"/>
          <w:color w:val="000000"/>
          <w:kern w:val="0"/>
          <w:sz w:val="24"/>
          <w:szCs w:val="24"/>
          <w:lang w:val="pl-PL"/>
          <w14:ligatures w14:val="none"/>
        </w:rPr>
        <w:t>nom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cilju</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koji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odnosi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stvar</w:t>
      </w:r>
      <w:r w:rsidR="00153B1A">
        <w:rPr>
          <w:rFonts w:eastAsia="Calibri" w:cstheme="minorHAnsi"/>
          <w:color w:val="000000"/>
          <w:kern w:val="0"/>
          <w:sz w:val="24"/>
          <w:szCs w:val="24"/>
          <w:lang w:val="pl-PL"/>
          <w14:ligatures w14:val="none"/>
        </w:rPr>
        <w:t>a</w:t>
      </w:r>
      <w:r w:rsidRPr="00281886">
        <w:rPr>
          <w:rFonts w:eastAsia="Calibri" w:cstheme="minorHAnsi"/>
          <w:color w:val="000000"/>
          <w:kern w:val="0"/>
          <w:sz w:val="24"/>
          <w:szCs w:val="24"/>
          <w:lang w:val="pl-PL"/>
          <w14:ligatures w14:val="none"/>
        </w:rPr>
        <w:t>nje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efikasne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servisno</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orjentisane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javne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uprave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ali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kroz</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lastRenderedPageBreak/>
        <w:t>operativni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cilj</w:t>
      </w:r>
      <w:r w:rsidRPr="00021CDC">
        <w:rPr>
          <w:rFonts w:eastAsia="Calibri" w:cstheme="minorHAnsi"/>
          <w:color w:val="000000"/>
          <w:kern w:val="0"/>
          <w:sz w:val="24"/>
          <w:szCs w:val="24"/>
          <w:lang w:val="sr-Latn-ME"/>
          <w14:ligatures w14:val="none"/>
        </w:rPr>
        <w:t>: „</w:t>
      </w:r>
      <w:r w:rsidRPr="00281886">
        <w:rPr>
          <w:rFonts w:eastAsia="Calibri" w:cstheme="minorHAnsi"/>
          <w:color w:val="000000"/>
          <w:kern w:val="0"/>
          <w:sz w:val="24"/>
          <w:szCs w:val="24"/>
          <w:lang w:val="pl-PL"/>
          <w14:ligatures w14:val="none"/>
        </w:rPr>
        <w:t>Funkcionalna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javna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uprava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efikasnim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nadzorom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nad</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njenim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radom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primjenom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koncepta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upravlja</w:t>
      </w:r>
      <w:r w:rsidRPr="00021CDC">
        <w:rPr>
          <w:rFonts w:eastAsia="Calibri" w:cstheme="minorHAnsi"/>
          <w:color w:val="000000"/>
          <w:kern w:val="0"/>
          <w:sz w:val="24"/>
          <w:szCs w:val="24"/>
          <w:lang w:val="sr-Latn-ME"/>
          <w14:ligatures w14:val="none"/>
        </w:rPr>
        <w:t>č</w:t>
      </w:r>
      <w:r w:rsidRPr="00281886">
        <w:rPr>
          <w:rFonts w:eastAsia="Calibri" w:cstheme="minorHAnsi"/>
          <w:color w:val="000000"/>
          <w:kern w:val="0"/>
          <w:sz w:val="24"/>
          <w:szCs w:val="24"/>
          <w:lang w:val="pl-PL"/>
          <w14:ligatures w14:val="none"/>
        </w:rPr>
        <w:t>ke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odgovornosti</w:t>
      </w:r>
      <w:r w:rsidRPr="00021CDC">
        <w:rPr>
          <w:rFonts w:eastAsia="Calibri" w:cstheme="minorHAnsi"/>
          <w:color w:val="000000"/>
          <w:kern w:val="0"/>
          <w:sz w:val="24"/>
          <w:szCs w:val="24"/>
          <w:lang w:val="sr-Latn-ME"/>
          <w14:ligatures w14:val="none"/>
        </w:rPr>
        <w:t xml:space="preserve">”. </w:t>
      </w:r>
    </w:p>
    <w:p w14:paraId="08515418" w14:textId="0886B5A6"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Strategija razvoja turizma Crne Gore od 2022-2025</w:t>
      </w:r>
      <w:r w:rsidR="000B4FAD">
        <w:rPr>
          <w:rFonts w:eastAsia="Calibri" w:cstheme="minorHAnsi"/>
          <w:b/>
          <w:color w:val="000000"/>
          <w:kern w:val="0"/>
          <w:sz w:val="24"/>
          <w:szCs w:val="24"/>
          <w:lang w:val="pl-PL"/>
          <w14:ligatures w14:val="none"/>
        </w:rPr>
        <w:t xml:space="preserve"> </w:t>
      </w:r>
      <w:r w:rsidRPr="00281886">
        <w:rPr>
          <w:rFonts w:eastAsia="Calibri" w:cstheme="minorHAnsi"/>
          <w:b/>
          <w:color w:val="000000"/>
          <w:kern w:val="0"/>
          <w:sz w:val="24"/>
          <w:szCs w:val="24"/>
          <w:lang w:val="pl-PL"/>
          <w14:ligatures w14:val="none"/>
        </w:rPr>
        <w:t xml:space="preserve">- </w:t>
      </w:r>
      <w:r w:rsidRPr="00281886">
        <w:rPr>
          <w:rFonts w:eastAsia="Calibri" w:cstheme="minorHAnsi"/>
          <w:color w:val="000000"/>
          <w:kern w:val="0"/>
          <w:sz w:val="24"/>
          <w:szCs w:val="24"/>
          <w:lang w:val="pl-PL"/>
          <w14:ligatures w14:val="none"/>
        </w:rPr>
        <w:t xml:space="preserve">Neformalna zaposlenost i siva ekonomija u Crnoj Gori su takođe prepoznati kao jedan od ključnih problema sektora turizma. Jačanje inspekcijskih kapaciteta je preduslov oporavka ekonomije, a samim tim i turizma, pa je ovom strategijom predloženo jačanje angažmana inspekcijskih službi u segmentu neregistrovanog smještaja, kao i privatnog smještaja, s obzirom da se najveći broj noćenja ostvaruje upravo u tom smještajnom segmentu. </w:t>
      </w:r>
    </w:p>
    <w:p w14:paraId="3313CEFF" w14:textId="7B1D0AFD"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Strategija digitalne transformacije Crne Gore 2022-2026</w:t>
      </w:r>
      <w:r w:rsidRPr="00281886">
        <w:rPr>
          <w:rFonts w:eastAsia="Calibri" w:cstheme="minorHAnsi"/>
          <w:color w:val="000000"/>
          <w:kern w:val="0"/>
          <w:sz w:val="24"/>
          <w:szCs w:val="24"/>
          <w:lang w:val="pl-PL"/>
          <w14:ligatures w14:val="none"/>
        </w:rPr>
        <w:t xml:space="preserve"> - predstavlja razvojni okvir kojim su definisani preduslovi i inicijative potrebne za brzu adaptaciju u sve kompleksnije digitalno okruženje te agilan i proaktivan razvoj digitalne Crne Gore. </w:t>
      </w:r>
    </w:p>
    <w:p w14:paraId="19F8E1E8" w14:textId="77777777"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 xml:space="preserve">Strategija razvoja ženskog preduzetništva Crne Gore 2021-2024.godine - </w:t>
      </w:r>
      <w:r w:rsidRPr="00281886">
        <w:rPr>
          <w:rFonts w:eastAsia="Calibri" w:cstheme="minorHAnsi"/>
          <w:color w:val="000000"/>
          <w:kern w:val="0"/>
          <w:sz w:val="24"/>
          <w:szCs w:val="24"/>
          <w:lang w:val="pl-PL"/>
          <w14:ligatures w14:val="none"/>
        </w:rPr>
        <w:t>Analiza postojećeg stanja, prezentovana u Strategiji, ukazuju da žene u Crnoj Gori imaju za jednu trećinu manje izgleda od muškaraca da se zaposle. Muška populacija je više zastupljena u kategoriji radno aktivnog stanovništva. Na teži položaj žena ukazuje i podatak da su žene, koje su značajno više prisutne u kategoriji neaktivnog stanovništva, sve češće prisutne u sivoj ekonomiji.</w:t>
      </w:r>
    </w:p>
    <w:p w14:paraId="7BFF4FE1" w14:textId="77777777" w:rsidR="00E21F32" w:rsidRPr="00281886" w:rsidRDefault="00E21F32" w:rsidP="00E21F32">
      <w:pPr>
        <w:spacing w:after="150" w:line="276" w:lineRule="auto"/>
        <w:jc w:val="both"/>
        <w:rPr>
          <w:rFonts w:eastAsia="Calibri" w:cstheme="minorHAnsi"/>
          <w:b/>
          <w:color w:val="000000"/>
          <w:kern w:val="0"/>
          <w:sz w:val="24"/>
          <w:szCs w:val="24"/>
          <w:u w:val="single"/>
          <w:lang w:val="pl-PL"/>
          <w14:ligatures w14:val="none"/>
        </w:rPr>
      </w:pPr>
      <w:r w:rsidRPr="00281886">
        <w:rPr>
          <w:rFonts w:eastAsia="Calibri" w:cstheme="minorHAnsi"/>
          <w:b/>
          <w:color w:val="000000"/>
          <w:kern w:val="0"/>
          <w:sz w:val="24"/>
          <w:szCs w:val="24"/>
          <w:u w:val="single"/>
          <w:lang w:val="pl-PL"/>
          <w14:ligatures w14:val="none"/>
        </w:rPr>
        <w:t xml:space="preserve">Usklađenost sa međunarodnim obavezama </w:t>
      </w:r>
    </w:p>
    <w:p w14:paraId="0CA85956" w14:textId="320E64FB"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color w:val="000000"/>
          <w:kern w:val="0"/>
          <w:sz w:val="24"/>
          <w:szCs w:val="24"/>
          <w:lang w:val="pl-PL"/>
          <w14:ligatures w14:val="none"/>
        </w:rPr>
        <w:t xml:space="preserve">Hijerarhijski posmatrano </w:t>
      </w:r>
      <w:r w:rsidR="000A7784">
        <w:rPr>
          <w:rFonts w:eastAsia="Calibri" w:cstheme="minorHAnsi"/>
          <w:color w:val="000000"/>
          <w:kern w:val="0"/>
          <w:sz w:val="24"/>
          <w:szCs w:val="24"/>
          <w:lang w:val="pl-PL"/>
          <w14:ligatures w14:val="none"/>
        </w:rPr>
        <w:t>P</w:t>
      </w:r>
      <w:r w:rsidRPr="00281886">
        <w:rPr>
          <w:rFonts w:eastAsia="Calibri" w:cstheme="minorHAnsi"/>
          <w:color w:val="000000"/>
          <w:kern w:val="0"/>
          <w:sz w:val="24"/>
          <w:szCs w:val="24"/>
          <w:lang w:val="pl-PL"/>
          <w14:ligatures w14:val="none"/>
        </w:rPr>
        <w:t>rogram se usklađuje sa obavezama članstva u Evropskoj uniji, UN, NATO</w:t>
      </w:r>
      <w:r w:rsidR="00DB36F1">
        <w:rPr>
          <w:rFonts w:eastAsia="Calibri" w:cstheme="minorHAnsi"/>
          <w:color w:val="000000"/>
          <w:kern w:val="0"/>
          <w:sz w:val="24"/>
          <w:szCs w:val="24"/>
          <w:lang w:val="pl-PL"/>
          <w14:ligatures w14:val="none"/>
        </w:rPr>
        <w:t>-</w:t>
      </w:r>
      <w:r w:rsidRPr="00281886">
        <w:rPr>
          <w:rFonts w:eastAsia="Calibri" w:cstheme="minorHAnsi"/>
          <w:color w:val="000000"/>
          <w:kern w:val="0"/>
          <w:sz w:val="24"/>
          <w:szCs w:val="24"/>
          <w:lang w:val="pl-PL"/>
          <w14:ligatures w14:val="none"/>
        </w:rPr>
        <w:t xml:space="preserve">u (standardi i tenderi), kao i međunarodno preuzetim obavezama po članstvu u Svjetskoj banci i MMF. Od svih navedenin u vrhu hijerarhije su svakako obaveze u procesu pristupanja EU. Međutim, pitanje sive ekonomije u EU se tretira više kao unutrašnje pitanje država članica, naročito kada se govori o utaji poreza i radu na crno. Prema institucionalnom pravcu EU, unija je u mogućnosti da donosi pravila samo u pogledu unutrašnjeg tržišta ( slobodno kretanje robe, usluga, kapitala i ljudi). Najvažnija zakonodavne aktivnosti EU u ovoj oblasti do sada su bila pravila koja imaju za cilj unapređenje saradnje i razmjene informacija između nacionalnih vlada. Međutim, dešavanja u ovoj oblasti u posljednje vrijeme podstakao je napore evropskih institucija da regulišu pitanja poreske transparentnosti i rada na crno, što je u saglasnosti sa mjerama koje su predviđene ovim programom. </w:t>
      </w:r>
    </w:p>
    <w:p w14:paraId="3177EF9E" w14:textId="77777777" w:rsidR="00E21F32" w:rsidRPr="00281886" w:rsidRDefault="00E21F32" w:rsidP="00E21F32">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b/>
          <w:color w:val="000000"/>
          <w:kern w:val="0"/>
          <w:sz w:val="24"/>
          <w:szCs w:val="24"/>
          <w:lang w:val="sr-Latn-ME"/>
          <w14:ligatures w14:val="none"/>
        </w:rPr>
        <w:t>UN Agenda 2030</w:t>
      </w:r>
      <w:r w:rsidRPr="00281886">
        <w:rPr>
          <w:rFonts w:eastAsia="Calibri" w:cstheme="minorHAnsi"/>
          <w:color w:val="000000"/>
          <w:kern w:val="0"/>
          <w:sz w:val="24"/>
          <w:szCs w:val="24"/>
          <w:lang w:val="sr-Latn-ME"/>
          <w14:ligatures w14:val="none"/>
        </w:rPr>
        <w:t xml:space="preserve"> - je strategija koja uključuje 17 ciljeva održivog razvoja. Ciljevi su dodatno podijeljeni u 169 podciljeva i 232 indikatora. Sa stanovišta ovog programa, Program je usaglašen sa ciljevima: 8, 9, 10 i 12, a koji se dominantno odnose na održiv ekonomski razvoj i smanjivanje nejadnakosti u državi, uključujući i punu zaposlenost i dostojanstven rad za sve. </w:t>
      </w:r>
    </w:p>
    <w:p w14:paraId="61303CCA" w14:textId="51ED6A8D" w:rsidR="00E21F32" w:rsidRPr="00B67D63" w:rsidRDefault="00092DF7" w:rsidP="00E21F32">
      <w:pPr>
        <w:spacing w:after="150" w:line="276" w:lineRule="auto"/>
        <w:jc w:val="both"/>
        <w:rPr>
          <w:rFonts w:eastAsia="Calibri" w:cstheme="minorHAnsi"/>
          <w:bCs/>
          <w:color w:val="1F4E79" w:themeColor="accent5" w:themeShade="80"/>
          <w:kern w:val="0"/>
          <w:sz w:val="24"/>
          <w:szCs w:val="24"/>
          <w:lang w:val="pl-PL"/>
          <w14:ligatures w14:val="none"/>
        </w:rPr>
      </w:pPr>
      <w:r w:rsidRPr="00B67D63">
        <w:rPr>
          <w:rFonts w:eastAsia="Calibri" w:cstheme="minorHAnsi"/>
          <w:bCs/>
          <w:color w:val="1F4E79" w:themeColor="accent5" w:themeShade="80"/>
          <w:kern w:val="0"/>
          <w:sz w:val="24"/>
          <w:szCs w:val="24"/>
          <w:lang w:val="pl-PL"/>
          <w14:ligatures w14:val="none"/>
        </w:rPr>
        <w:t xml:space="preserve">1.3.3 </w:t>
      </w:r>
      <w:r w:rsidR="00E21F32" w:rsidRPr="00B67D63">
        <w:rPr>
          <w:rFonts w:eastAsia="Calibri" w:cstheme="minorHAnsi"/>
          <w:bCs/>
          <w:color w:val="1F4E79" w:themeColor="accent5" w:themeShade="80"/>
          <w:kern w:val="0"/>
          <w:sz w:val="24"/>
          <w:szCs w:val="24"/>
          <w:lang w:val="pl-PL"/>
          <w14:ligatures w14:val="none"/>
        </w:rPr>
        <w:t>Usklađenost sa ključnim politikama EU u kontekstu procesa evropskih integracija</w:t>
      </w:r>
    </w:p>
    <w:p w14:paraId="1298FAA9" w14:textId="1976B548" w:rsidR="00E21F32" w:rsidRPr="00281886" w:rsidRDefault="00E21F32" w:rsidP="00E21F32">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b/>
          <w:color w:val="000000"/>
          <w:kern w:val="0"/>
          <w:sz w:val="24"/>
          <w:szCs w:val="24"/>
          <w:lang w:val="pl-PL"/>
          <w14:ligatures w14:val="none"/>
        </w:rPr>
        <w:t>Strategija Evropa 2020</w:t>
      </w:r>
      <w:r w:rsidRPr="00281886">
        <w:rPr>
          <w:rFonts w:eastAsia="Calibri" w:cstheme="minorHAnsi"/>
          <w:color w:val="000000"/>
          <w:kern w:val="0"/>
          <w:sz w:val="24"/>
          <w:szCs w:val="24"/>
          <w:lang w:val="pl-PL"/>
          <w14:ligatures w14:val="none"/>
        </w:rPr>
        <w:t xml:space="preserve"> je bila predvodnik u zagovaranju modela rasta koji ne podrazumijeva samo prosto povećanje BDP-a, već taj model rasta promoviše pametan, održiv i inkluzivni rast </w:t>
      </w:r>
      <w:r w:rsidRPr="00281886">
        <w:rPr>
          <w:rFonts w:eastAsia="Calibri" w:cstheme="minorHAnsi"/>
          <w:color w:val="000000"/>
          <w:kern w:val="0"/>
          <w:sz w:val="24"/>
          <w:szCs w:val="24"/>
          <w:lang w:val="pl-PL"/>
          <w14:ligatures w14:val="none"/>
        </w:rPr>
        <w:lastRenderedPageBreak/>
        <w:t>kao ključne elemente ekonomskog razvoja. Nova finansijska perspektiva IPA 2021-2027 (IPA III) podržava sektor konkurentnosti i inkluzivnog rasta, kao i teritorijalnu i prekograničnu saradnju u okviru koje su oblast zapo</w:t>
      </w:r>
      <w:r w:rsidR="00B1232E">
        <w:rPr>
          <w:rFonts w:eastAsia="Calibri" w:cstheme="minorHAnsi"/>
          <w:color w:val="000000"/>
          <w:kern w:val="0"/>
          <w:sz w:val="24"/>
          <w:szCs w:val="24"/>
          <w:lang w:val="pl-PL"/>
          <w14:ligatures w14:val="none"/>
        </w:rPr>
        <w:t>š</w:t>
      </w:r>
      <w:r w:rsidRPr="00281886">
        <w:rPr>
          <w:rFonts w:eastAsia="Calibri" w:cstheme="minorHAnsi"/>
          <w:color w:val="000000"/>
          <w:kern w:val="0"/>
          <w:sz w:val="24"/>
          <w:szCs w:val="24"/>
          <w:lang w:val="pl-PL"/>
          <w14:ligatures w14:val="none"/>
        </w:rPr>
        <w:t>ljavanja, turizam, digitalizacija i dr. Takođe, indirektna veza može se sagledati iz ugla nekoliko pregovaračkih poglavlja ( 5, 8, 11,16, 33 i dr), od kojih je najznačajnije za ovu tematiku poglavlje 16</w:t>
      </w:r>
      <w:r w:rsidR="001817BD" w:rsidRPr="00281886">
        <w:rPr>
          <w:rFonts w:eastAsia="Calibri" w:cstheme="minorHAnsi"/>
          <w:color w:val="000000"/>
          <w:kern w:val="0"/>
          <w:sz w:val="24"/>
          <w:szCs w:val="24"/>
          <w:lang w:val="pl-PL"/>
          <w14:ligatures w14:val="none"/>
        </w:rPr>
        <w:t>.</w:t>
      </w:r>
    </w:p>
    <w:p w14:paraId="11D4E0BE" w14:textId="7A154DC4" w:rsidR="00E21F32" w:rsidRPr="00281886" w:rsidRDefault="00E21F32" w:rsidP="00E21F32">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b/>
          <w:color w:val="000000"/>
          <w:kern w:val="0"/>
          <w:sz w:val="24"/>
          <w:szCs w:val="24"/>
          <w:lang w:val="sr-Latn-ME"/>
          <w14:ligatures w14:val="none"/>
        </w:rPr>
        <w:t>EU4DIGITAL</w:t>
      </w:r>
      <w:r w:rsidR="00DF5B5F"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sr-Latn-ME"/>
          <w14:ligatures w14:val="none"/>
        </w:rPr>
        <w:t>(Digitalna agenda za Evropu)</w:t>
      </w:r>
      <w:r w:rsidR="00B1232E">
        <w:rPr>
          <w:rFonts w:eastAsia="Calibri" w:cstheme="minorHAnsi"/>
          <w:b/>
          <w:color w:val="000000"/>
          <w:kern w:val="0"/>
          <w:sz w:val="24"/>
          <w:szCs w:val="24"/>
          <w:lang w:val="sr-Latn-ME"/>
          <w14:ligatures w14:val="none"/>
        </w:rPr>
        <w:t xml:space="preserve"> </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Ovom</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agendom</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postavlja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vizija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digitalne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transformacije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Evrope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do</w:t>
      </w:r>
      <w:r w:rsidRPr="00281886">
        <w:rPr>
          <w:rFonts w:eastAsia="Calibri" w:cstheme="minorHAnsi"/>
          <w:color w:val="000000"/>
          <w:kern w:val="0"/>
          <w:sz w:val="24"/>
          <w:szCs w:val="24"/>
          <w:lang w:val="sr-Latn-ME"/>
          <w14:ligatures w14:val="none"/>
        </w:rPr>
        <w:t xml:space="preserve"> 2030. </w:t>
      </w:r>
      <w:r w:rsidRPr="00281886">
        <w:rPr>
          <w:rFonts w:eastAsia="Calibri" w:cstheme="minorHAnsi"/>
          <w:color w:val="000000"/>
          <w:kern w:val="0"/>
          <w:sz w:val="24"/>
          <w:szCs w:val="24"/>
          <w:lang w:val="pl-PL"/>
          <w14:ligatures w14:val="none"/>
        </w:rPr>
        <w:t>Ona predstavlja „digitalni kompas” i fokusira se na četiri glavna aspekta: vještine, infrastruktura, vlada i biznis.</w:t>
      </w:r>
    </w:p>
    <w:p w14:paraId="24F23CFF" w14:textId="1E554467" w:rsidR="005A5C62" w:rsidRDefault="00E21F32" w:rsidP="00E21F32">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b/>
          <w:color w:val="000000"/>
          <w:kern w:val="0"/>
          <w:sz w:val="24"/>
          <w:szCs w:val="24"/>
          <w:lang w:val="pl-PL"/>
          <w14:ligatures w14:val="none"/>
        </w:rPr>
        <w:t>Strategija</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razvoja</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Jugoisto</w:t>
      </w:r>
      <w:r w:rsidRPr="00281886">
        <w:rPr>
          <w:rFonts w:eastAsia="Calibri" w:cstheme="minorHAnsi"/>
          <w:b/>
          <w:color w:val="000000"/>
          <w:kern w:val="0"/>
          <w:sz w:val="24"/>
          <w:szCs w:val="24"/>
          <w:lang w:val="sr-Latn-ME"/>
          <w14:ligatures w14:val="none"/>
        </w:rPr>
        <w:t>č</w:t>
      </w:r>
      <w:r w:rsidRPr="00281886">
        <w:rPr>
          <w:rFonts w:eastAsia="Calibri" w:cstheme="minorHAnsi"/>
          <w:b/>
          <w:color w:val="000000"/>
          <w:kern w:val="0"/>
          <w:sz w:val="24"/>
          <w:szCs w:val="24"/>
          <w:lang w:val="pl-PL"/>
          <w14:ligatures w14:val="none"/>
        </w:rPr>
        <w:t>ne</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Evrope</w:t>
      </w:r>
      <w:r w:rsidRPr="00281886">
        <w:rPr>
          <w:rFonts w:eastAsia="Calibri" w:cstheme="minorHAnsi"/>
          <w:b/>
          <w:color w:val="000000"/>
          <w:kern w:val="0"/>
          <w:sz w:val="24"/>
          <w:szCs w:val="24"/>
          <w:lang w:val="sr-Latn-ME"/>
          <w14:ligatures w14:val="none"/>
        </w:rPr>
        <w:t xml:space="preserve"> </w:t>
      </w:r>
      <w:r w:rsidRPr="00281886">
        <w:rPr>
          <w:rFonts w:eastAsia="Calibri" w:cstheme="minorHAnsi"/>
          <w:b/>
          <w:color w:val="000000"/>
          <w:kern w:val="0"/>
          <w:sz w:val="24"/>
          <w:szCs w:val="24"/>
          <w:lang w:val="pl-PL"/>
          <w14:ligatures w14:val="none"/>
        </w:rPr>
        <w:t>do</w:t>
      </w:r>
      <w:r w:rsidRPr="00281886">
        <w:rPr>
          <w:rFonts w:eastAsia="Calibri" w:cstheme="minorHAnsi"/>
          <w:b/>
          <w:color w:val="000000"/>
          <w:kern w:val="0"/>
          <w:sz w:val="24"/>
          <w:szCs w:val="24"/>
          <w:lang w:val="sr-Latn-ME"/>
          <w14:ligatures w14:val="none"/>
        </w:rPr>
        <w:t xml:space="preserve"> 2030.</w:t>
      </w:r>
      <w:r w:rsidRPr="00281886">
        <w:rPr>
          <w:rFonts w:eastAsia="Calibri" w:cstheme="minorHAnsi"/>
          <w:b/>
          <w:color w:val="000000"/>
          <w:kern w:val="0"/>
          <w:sz w:val="24"/>
          <w:szCs w:val="24"/>
          <w:lang w:val="pl-PL"/>
          <w14:ligatures w14:val="none"/>
        </w:rPr>
        <w:t>godine</w:t>
      </w:r>
      <w:r w:rsidRPr="00281886">
        <w:rPr>
          <w:rFonts w:eastAsia="Calibri" w:cstheme="minorHAnsi"/>
          <w:color w:val="000000"/>
          <w:kern w:val="0"/>
          <w:sz w:val="24"/>
          <w:szCs w:val="24"/>
          <w:lang w:val="sr-Latn-ME"/>
          <w14:ligatures w14:val="none"/>
        </w:rPr>
        <w:t xml:space="preserve"> - </w:t>
      </w:r>
      <w:r w:rsidRPr="00281886">
        <w:rPr>
          <w:rFonts w:eastAsia="Calibri" w:cstheme="minorHAnsi"/>
          <w:color w:val="000000"/>
          <w:kern w:val="0"/>
          <w:sz w:val="24"/>
          <w:szCs w:val="24"/>
          <w:lang w:val="pl-PL"/>
          <w14:ligatures w14:val="none"/>
        </w:rPr>
        <w:t>Ovom</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strategijom</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obuhvata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plan</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razvoja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Jugoisto</w:t>
      </w:r>
      <w:r w:rsidRPr="00281886">
        <w:rPr>
          <w:rFonts w:eastAsia="Calibri" w:cstheme="minorHAnsi"/>
          <w:color w:val="000000"/>
          <w:kern w:val="0"/>
          <w:sz w:val="24"/>
          <w:szCs w:val="24"/>
          <w:lang w:val="sr-Latn-ME"/>
          <w14:ligatures w14:val="none"/>
        </w:rPr>
        <w:t>č</w:t>
      </w:r>
      <w:r w:rsidRPr="00281886">
        <w:rPr>
          <w:rFonts w:eastAsia="Calibri" w:cstheme="minorHAnsi"/>
          <w:color w:val="000000"/>
          <w:kern w:val="0"/>
          <w:sz w:val="24"/>
          <w:szCs w:val="24"/>
          <w:lang w:val="pl-PL"/>
          <w14:ligatures w14:val="none"/>
        </w:rPr>
        <w:t>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Evrope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Strategijom</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je</w:t>
      </w:r>
      <w:r w:rsidRPr="00281886">
        <w:rPr>
          <w:rFonts w:eastAsia="Calibri" w:cstheme="minorHAnsi"/>
          <w:color w:val="000000"/>
          <w:kern w:val="0"/>
          <w:sz w:val="24"/>
          <w:szCs w:val="24"/>
          <w:lang w:val="sr-Latn-ME"/>
          <w14:ligatures w14:val="none"/>
        </w:rPr>
        <w:t xml:space="preserve"> </w:t>
      </w:r>
      <w:r w:rsidR="00F62CE0" w:rsidRPr="00281886">
        <w:rPr>
          <w:rFonts w:eastAsia="Calibri" w:cstheme="minorHAnsi"/>
          <w:color w:val="000000"/>
          <w:kern w:val="0"/>
          <w:sz w:val="24"/>
          <w:szCs w:val="24"/>
          <w:lang w:val="pl-PL"/>
          <w14:ligatures w14:val="none"/>
        </w:rPr>
        <w:t>predvi</w:t>
      </w:r>
      <w:r w:rsidR="00F62CE0" w:rsidRPr="00021CDC">
        <w:rPr>
          <w:rFonts w:eastAsia="Calibri" w:cstheme="minorHAnsi"/>
          <w:color w:val="000000"/>
          <w:kern w:val="0"/>
          <w:sz w:val="24"/>
          <w:szCs w:val="24"/>
          <w:lang w:val="sr-Latn-ME"/>
          <w14:ligatures w14:val="none"/>
        </w:rPr>
        <w:t>đ</w:t>
      </w:r>
      <w:r w:rsidR="00F62CE0" w:rsidRPr="00281886">
        <w:rPr>
          <w:rFonts w:eastAsia="Calibri" w:cstheme="minorHAnsi"/>
          <w:color w:val="000000"/>
          <w:kern w:val="0"/>
          <w:sz w:val="24"/>
          <w:szCs w:val="24"/>
          <w:lang w:val="pl-PL"/>
          <w14:ligatures w14:val="none"/>
        </w:rPr>
        <w:t>en</w:t>
      </w:r>
      <w:r w:rsidR="00F62CE0" w:rsidRPr="00021CDC">
        <w:rPr>
          <w:rFonts w:eastAsia="Calibri" w:cstheme="minorHAnsi"/>
          <w:color w:val="000000"/>
          <w:kern w:val="0"/>
          <w:sz w:val="24"/>
          <w:szCs w:val="24"/>
          <w:lang w:val="sr-Latn-ME"/>
          <w14:ligatures w14:val="none"/>
        </w:rPr>
        <w:t xml:space="preserve"> </w:t>
      </w:r>
      <w:r w:rsidR="00F62CE0" w:rsidRPr="00281886">
        <w:rPr>
          <w:rFonts w:eastAsia="Calibri" w:cstheme="minorHAnsi"/>
          <w:color w:val="000000"/>
          <w:kern w:val="0"/>
          <w:sz w:val="24"/>
          <w:szCs w:val="24"/>
          <w:lang w:val="pl-PL"/>
          <w14:ligatures w14:val="none"/>
        </w:rPr>
        <w:t>razvoj</w:t>
      </w:r>
      <w:r w:rsidR="00F62CE0" w:rsidRPr="00021CDC">
        <w:rPr>
          <w:rFonts w:eastAsia="Calibri" w:cstheme="minorHAnsi"/>
          <w:color w:val="000000"/>
          <w:kern w:val="0"/>
          <w:sz w:val="24"/>
          <w:szCs w:val="24"/>
          <w:lang w:val="sr-Latn-ME"/>
          <w14:ligatures w14:val="none"/>
        </w:rPr>
        <w:t xml:space="preserve"> </w:t>
      </w:r>
      <w:r w:rsidR="00F62CE0" w:rsidRPr="00281886">
        <w:rPr>
          <w:rFonts w:eastAsia="Calibri" w:cstheme="minorHAnsi"/>
          <w:color w:val="000000"/>
          <w:kern w:val="0"/>
          <w:sz w:val="24"/>
          <w:szCs w:val="24"/>
          <w:lang w:val="pl-PL"/>
          <w14:ligatures w14:val="none"/>
        </w:rPr>
        <w:t>zajedni</w:t>
      </w:r>
      <w:r w:rsidR="00F62CE0" w:rsidRPr="00021CDC">
        <w:rPr>
          <w:rFonts w:eastAsia="Calibri" w:cstheme="minorHAnsi"/>
          <w:color w:val="000000"/>
          <w:kern w:val="0"/>
          <w:sz w:val="24"/>
          <w:szCs w:val="24"/>
          <w:lang w:val="sr-Latn-ME"/>
          <w14:ligatures w14:val="none"/>
        </w:rPr>
        <w:t>č</w:t>
      </w:r>
      <w:r w:rsidR="00F62CE0" w:rsidRPr="00281886">
        <w:rPr>
          <w:rFonts w:eastAsia="Calibri" w:cstheme="minorHAnsi"/>
          <w:color w:val="000000"/>
          <w:kern w:val="0"/>
          <w:sz w:val="24"/>
          <w:szCs w:val="24"/>
          <w:lang w:val="pl-PL"/>
          <w14:ligatures w14:val="none"/>
        </w:rPr>
        <w:t>kog</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regionalno</w:t>
      </w:r>
      <w:r w:rsidR="00F62CE0" w:rsidRPr="00281886">
        <w:rPr>
          <w:rFonts w:eastAsia="Calibri" w:cstheme="minorHAnsi"/>
          <w:color w:val="000000"/>
          <w:kern w:val="0"/>
          <w:sz w:val="24"/>
          <w:szCs w:val="24"/>
          <w:lang w:val="pl-PL"/>
          <w14:ligatures w14:val="none"/>
        </w:rPr>
        <w:t>g</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tr</w:t>
      </w:r>
      <w:r w:rsidRPr="00281886">
        <w:rPr>
          <w:rFonts w:eastAsia="Calibri" w:cstheme="minorHAnsi"/>
          <w:color w:val="000000"/>
          <w:kern w:val="0"/>
          <w:sz w:val="24"/>
          <w:szCs w:val="24"/>
          <w:lang w:val="sr-Latn-ME"/>
          <w14:ligatures w14:val="none"/>
        </w:rPr>
        <w:t>ž</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š</w:t>
      </w:r>
      <w:r w:rsidRPr="00281886">
        <w:rPr>
          <w:rFonts w:eastAsia="Calibri" w:cstheme="minorHAnsi"/>
          <w:color w:val="000000"/>
          <w:kern w:val="0"/>
          <w:sz w:val="24"/>
          <w:szCs w:val="24"/>
          <w:lang w:val="pl-PL"/>
          <w14:ligatures w14:val="none"/>
        </w:rPr>
        <w:t>t</w:t>
      </w:r>
      <w:r w:rsidR="00F62CE0" w:rsidRPr="00281886">
        <w:rPr>
          <w:rFonts w:eastAsia="Calibri" w:cstheme="minorHAnsi"/>
          <w:color w:val="000000"/>
          <w:kern w:val="0"/>
          <w:sz w:val="24"/>
          <w:szCs w:val="24"/>
          <w:lang w:val="pl-PL"/>
          <w14:ligatures w14:val="none"/>
        </w:rPr>
        <w:t>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omogu</w:t>
      </w:r>
      <w:r w:rsidRPr="00281886">
        <w:rPr>
          <w:rFonts w:eastAsia="Calibri" w:cstheme="minorHAnsi"/>
          <w:color w:val="000000"/>
          <w:kern w:val="0"/>
          <w:sz w:val="24"/>
          <w:szCs w:val="24"/>
          <w:lang w:val="sr-Latn-ME"/>
          <w14:ligatures w14:val="none"/>
        </w:rPr>
        <w:t>ć</w:t>
      </w:r>
      <w:r w:rsidRPr="00281886">
        <w:rPr>
          <w:rFonts w:eastAsia="Calibri" w:cstheme="minorHAnsi"/>
          <w:color w:val="000000"/>
          <w:kern w:val="0"/>
          <w:sz w:val="24"/>
          <w:szCs w:val="24"/>
          <w:lang w:val="pl-PL"/>
          <w14:ligatures w14:val="none"/>
        </w:rPr>
        <w:t>ava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slobodno</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kretanje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robe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usluga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ljudi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kapitala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w:t>
      </w:r>
      <w:r w:rsidRPr="00281886">
        <w:rPr>
          <w:rFonts w:eastAsia="Calibri" w:cstheme="minorHAnsi"/>
          <w:color w:val="000000"/>
          <w:kern w:val="0"/>
          <w:sz w:val="24"/>
          <w:szCs w:val="24"/>
          <w:lang w:val="sr-Latn-ME"/>
          <w14:ligatures w14:val="none"/>
        </w:rPr>
        <w:t xml:space="preserve"> š</w:t>
      </w:r>
      <w:r w:rsidRPr="00281886">
        <w:rPr>
          <w:rFonts w:eastAsia="Calibri" w:cstheme="minorHAnsi"/>
          <w:color w:val="000000"/>
          <w:kern w:val="0"/>
          <w:sz w:val="24"/>
          <w:szCs w:val="24"/>
          <w:lang w:val="pl-PL"/>
          <w14:ligatures w14:val="none"/>
        </w:rPr>
        <w:t>est</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zemalja</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Jugoisto</w:t>
      </w:r>
      <w:r w:rsidRPr="00281886">
        <w:rPr>
          <w:rFonts w:eastAsia="Calibri" w:cstheme="minorHAnsi"/>
          <w:color w:val="000000"/>
          <w:kern w:val="0"/>
          <w:sz w:val="24"/>
          <w:szCs w:val="24"/>
          <w:lang w:val="sr-Latn-ME"/>
          <w14:ligatures w14:val="none"/>
        </w:rPr>
        <w:t>č</w:t>
      </w:r>
      <w:r w:rsidRPr="00281886">
        <w:rPr>
          <w:rFonts w:eastAsia="Calibri" w:cstheme="minorHAnsi"/>
          <w:color w:val="000000"/>
          <w:kern w:val="0"/>
          <w:sz w:val="24"/>
          <w:szCs w:val="24"/>
          <w:lang w:val="pl-PL"/>
          <w14:ligatures w14:val="none"/>
        </w:rPr>
        <w:t>ne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Evrope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koje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nijesu</w:t>
      </w:r>
      <w:r w:rsidRPr="00281886">
        <w:rPr>
          <w:rFonts w:eastAsia="Calibri" w:cstheme="minorHAnsi"/>
          <w:color w:val="000000"/>
          <w:kern w:val="0"/>
          <w:sz w:val="24"/>
          <w:szCs w:val="24"/>
          <w:lang w:val="sr-Latn-ME"/>
          <w14:ligatures w14:val="none"/>
        </w:rPr>
        <w:t xml:space="preserve"> č</w:t>
      </w:r>
      <w:r w:rsidRPr="00281886">
        <w:rPr>
          <w:rFonts w:eastAsia="Calibri" w:cstheme="minorHAnsi"/>
          <w:color w:val="000000"/>
          <w:kern w:val="0"/>
          <w:sz w:val="24"/>
          <w:szCs w:val="24"/>
          <w:lang w:val="pl-PL"/>
          <w14:ligatures w14:val="none"/>
        </w:rPr>
        <w:t>lanice</w:t>
      </w:r>
      <w:r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EU</w:t>
      </w:r>
      <w:r w:rsidRPr="00281886">
        <w:rPr>
          <w:rFonts w:eastAsia="Calibri" w:cstheme="minorHAnsi"/>
          <w:color w:val="000000"/>
          <w:kern w:val="0"/>
          <w:sz w:val="24"/>
          <w:szCs w:val="24"/>
          <w:lang w:val="sr-Latn-ME"/>
          <w14:ligatures w14:val="none"/>
        </w:rPr>
        <w:t xml:space="preserve">. </w:t>
      </w:r>
    </w:p>
    <w:p w14:paraId="7211E90D"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4715370D"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6032F346"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2C40CA61"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60D92725"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10447E81"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5440B9AD"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0B898C29"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1CBE2064"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1123FB70"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4E46FEFF"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42690B78"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5C741916"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08AB8994" w14:textId="77777777" w:rsidR="00E219EC" w:rsidRDefault="00E219EC" w:rsidP="00E21F32">
      <w:pPr>
        <w:spacing w:after="150" w:line="276" w:lineRule="auto"/>
        <w:jc w:val="both"/>
        <w:rPr>
          <w:rFonts w:eastAsia="Calibri" w:cstheme="minorHAnsi"/>
          <w:color w:val="000000"/>
          <w:kern w:val="0"/>
          <w:sz w:val="24"/>
          <w:szCs w:val="24"/>
          <w:lang w:val="sr-Latn-ME"/>
          <w14:ligatures w14:val="none"/>
        </w:rPr>
      </w:pPr>
    </w:p>
    <w:p w14:paraId="18B1B565" w14:textId="77777777" w:rsidR="00E219EC" w:rsidRPr="00092DF7" w:rsidRDefault="00E219EC" w:rsidP="00E21F32">
      <w:pPr>
        <w:spacing w:after="150" w:line="276" w:lineRule="auto"/>
        <w:jc w:val="both"/>
        <w:rPr>
          <w:rFonts w:eastAsia="Calibri" w:cstheme="minorHAnsi"/>
          <w:color w:val="000000"/>
          <w:kern w:val="0"/>
          <w:sz w:val="24"/>
          <w:szCs w:val="24"/>
          <w:lang w:val="sr-Latn-ME"/>
          <w14:ligatures w14:val="none"/>
        </w:rPr>
      </w:pPr>
    </w:p>
    <w:p w14:paraId="3805ABDE" w14:textId="18567292" w:rsidR="00680BA6" w:rsidRPr="00092DF7" w:rsidRDefault="00092DF7" w:rsidP="002A3B4E">
      <w:pPr>
        <w:pStyle w:val="Heading1"/>
        <w:rPr>
          <w:rFonts w:eastAsia="Calibri"/>
          <w:lang w:val="pl-PL"/>
        </w:rPr>
      </w:pPr>
      <w:bookmarkStart w:id="4" w:name="_Toc147990143"/>
      <w:r w:rsidRPr="00092DF7">
        <w:rPr>
          <w:rFonts w:eastAsia="Calibri"/>
          <w:lang w:val="pl-PL"/>
        </w:rPr>
        <w:lastRenderedPageBreak/>
        <w:t>2.</w:t>
      </w:r>
      <w:r w:rsidR="00942088" w:rsidRPr="00092DF7">
        <w:rPr>
          <w:rFonts w:eastAsia="Calibri"/>
          <w:lang w:val="pl-PL"/>
        </w:rPr>
        <w:t xml:space="preserve"> </w:t>
      </w:r>
      <w:r w:rsidR="00C379A9" w:rsidRPr="00092DF7">
        <w:rPr>
          <w:rFonts w:eastAsia="Calibri"/>
          <w:lang w:val="pl-PL"/>
        </w:rPr>
        <w:t>OPIS</w:t>
      </w:r>
      <w:r w:rsidR="00680BA6" w:rsidRPr="00092DF7">
        <w:rPr>
          <w:rFonts w:eastAsia="Calibri"/>
          <w:lang w:val="pl-PL"/>
        </w:rPr>
        <w:t xml:space="preserve"> POSTOJEĆEG STANJA</w:t>
      </w:r>
      <w:bookmarkEnd w:id="4"/>
    </w:p>
    <w:p w14:paraId="0B4A93EB" w14:textId="483F42C1" w:rsidR="00DF5B5F" w:rsidRPr="00092DF7" w:rsidRDefault="00DF5B5F" w:rsidP="0042027A">
      <w:pPr>
        <w:pStyle w:val="Heading2"/>
        <w:rPr>
          <w:rFonts w:eastAsia="Calibri"/>
          <w:lang w:val="pl-PL"/>
        </w:rPr>
      </w:pPr>
      <w:bookmarkStart w:id="5" w:name="_Toc147990144"/>
      <w:r w:rsidRPr="00092DF7">
        <w:rPr>
          <w:rFonts w:eastAsia="Calibri"/>
          <w:lang w:val="pl-PL"/>
        </w:rPr>
        <w:t>2.1 Ra</w:t>
      </w:r>
      <w:r w:rsidR="005E144E" w:rsidRPr="00092DF7">
        <w:rPr>
          <w:rFonts w:eastAsia="Calibri"/>
          <w:lang w:val="pl-PL"/>
        </w:rPr>
        <w:t>z</w:t>
      </w:r>
      <w:r w:rsidRPr="00092DF7">
        <w:rPr>
          <w:rFonts w:eastAsia="Calibri"/>
          <w:lang w:val="pl-PL"/>
        </w:rPr>
        <w:t>vojni ciklusi cr</w:t>
      </w:r>
      <w:r w:rsidR="00EE3813" w:rsidRPr="00092DF7">
        <w:rPr>
          <w:rFonts w:eastAsia="Calibri"/>
          <w:lang w:val="pl-PL"/>
        </w:rPr>
        <w:t>n</w:t>
      </w:r>
      <w:r w:rsidRPr="00092DF7">
        <w:rPr>
          <w:rFonts w:eastAsia="Calibri"/>
          <w:lang w:val="pl-PL"/>
        </w:rPr>
        <w:t>ogorske ekonomije</w:t>
      </w:r>
      <w:bookmarkEnd w:id="5"/>
    </w:p>
    <w:p w14:paraId="5F9F716C" w14:textId="77777777" w:rsidR="00C22A10" w:rsidRDefault="00B02BCB" w:rsidP="00636E34">
      <w:pPr>
        <w:spacing w:before="100" w:beforeAutospacing="1" w:after="100" w:afterAutospacing="1" w:line="276" w:lineRule="auto"/>
        <w:jc w:val="both"/>
        <w:rPr>
          <w:rFonts w:eastAsia="Calibri" w:cstheme="minorHAnsi"/>
          <w:kern w:val="0"/>
          <w:sz w:val="24"/>
          <w:szCs w:val="24"/>
          <w:lang w:val="sr-Latn-ME"/>
          <w14:ligatures w14:val="none"/>
        </w:rPr>
      </w:pPr>
      <w:r w:rsidRPr="00281886">
        <w:rPr>
          <w:rFonts w:eastAsia="Calibri" w:cstheme="minorHAnsi"/>
          <w:kern w:val="0"/>
          <w:sz w:val="24"/>
          <w:szCs w:val="24"/>
          <w:lang w:val="sr-Latn-ME"/>
          <w14:ligatures w14:val="none"/>
        </w:rPr>
        <w:t xml:space="preserve">Od 2006. godine, Crna Gora je prošla </w:t>
      </w:r>
      <w:r w:rsidR="00944562" w:rsidRPr="00281886">
        <w:rPr>
          <w:rFonts w:eastAsia="Calibri" w:cstheme="minorHAnsi"/>
          <w:kern w:val="0"/>
          <w:sz w:val="24"/>
          <w:szCs w:val="24"/>
          <w:lang w:val="sr-Latn-ME"/>
          <w14:ligatures w14:val="none"/>
        </w:rPr>
        <w:t>više razvojnih ciklusa</w:t>
      </w:r>
      <w:r w:rsidRPr="00281886">
        <w:rPr>
          <w:rFonts w:eastAsia="Calibri" w:cstheme="minorHAnsi"/>
          <w:kern w:val="0"/>
          <w:sz w:val="24"/>
          <w:szCs w:val="24"/>
          <w:lang w:val="sr-Latn-ME"/>
          <w14:ligatures w14:val="none"/>
        </w:rPr>
        <w:t>, odnosno ciklusa ekonomskog buma i pada (</w:t>
      </w:r>
      <w:r w:rsidRPr="00281886">
        <w:rPr>
          <w:rFonts w:eastAsia="Calibri" w:cstheme="minorHAnsi"/>
          <w:i/>
          <w:kern w:val="0"/>
          <w:sz w:val="24"/>
          <w:szCs w:val="24"/>
          <w:lang w:val="sr-Latn-ME"/>
          <w14:ligatures w14:val="none"/>
        </w:rPr>
        <w:t>boom-bust cycle)</w:t>
      </w:r>
      <w:r w:rsidRPr="00281886">
        <w:rPr>
          <w:rFonts w:eastAsia="Calibri" w:cstheme="minorHAnsi"/>
          <w:kern w:val="0"/>
          <w:sz w:val="24"/>
          <w:szCs w:val="24"/>
          <w:lang w:val="sr-Latn-ME"/>
          <w14:ligatures w14:val="none"/>
        </w:rPr>
        <w:t>, sa relativno velikim varijacijama u stopama rasta ekonomije.</w:t>
      </w:r>
      <w:r w:rsidRPr="00281886">
        <w:rPr>
          <w:rFonts w:eastAsia="Calibri" w:cstheme="minorHAnsi"/>
          <w:kern w:val="0"/>
          <w:sz w:val="24"/>
          <w:szCs w:val="24"/>
          <w:vertAlign w:val="superscript"/>
          <w:lang w:val="sr-Latn-ME"/>
          <w14:ligatures w14:val="none"/>
        </w:rPr>
        <w:footnoteReference w:id="2"/>
      </w:r>
      <w:r w:rsidRPr="00281886">
        <w:rPr>
          <w:rFonts w:eastAsia="Calibri" w:cstheme="minorHAnsi"/>
          <w:kern w:val="0"/>
          <w:sz w:val="24"/>
          <w:szCs w:val="24"/>
          <w:lang w:val="sr-Latn-ME"/>
          <w14:ligatures w14:val="none"/>
        </w:rPr>
        <w:t xml:space="preserve"> Prvi ciklus ekonomskog buma od 2006. godine zaustavila je globalna finansijska kriza, koja je dovela do realnog smanjenja BDP-a  od 5,8% </w:t>
      </w:r>
      <w:r w:rsidR="006C691C">
        <w:rPr>
          <w:rFonts w:eastAsia="Calibri" w:cstheme="minorHAnsi"/>
          <w:b/>
          <w:bCs/>
          <w:kern w:val="0"/>
          <w:sz w:val="24"/>
          <w:szCs w:val="24"/>
          <w:lang w:val="sr-Latn-ME"/>
          <w14:ligatures w14:val="none"/>
        </w:rPr>
        <w:t xml:space="preserve"> </w:t>
      </w:r>
      <w:r w:rsidR="006C691C" w:rsidRPr="006C691C">
        <w:rPr>
          <w:rFonts w:eastAsia="Calibri" w:cstheme="minorHAnsi"/>
          <w:kern w:val="0"/>
          <w:sz w:val="24"/>
          <w:szCs w:val="24"/>
          <w:lang w:val="sr-Latn-ME"/>
          <w14:ligatures w14:val="none"/>
        </w:rPr>
        <w:t>u</w:t>
      </w:r>
      <w:r w:rsidR="006C691C">
        <w:rPr>
          <w:rFonts w:eastAsia="Calibri" w:cstheme="minorHAnsi"/>
          <w:b/>
          <w:bCs/>
          <w:kern w:val="0"/>
          <w:sz w:val="24"/>
          <w:szCs w:val="24"/>
          <w:lang w:val="sr-Latn-ME"/>
          <w14:ligatures w14:val="none"/>
        </w:rPr>
        <w:t xml:space="preserve"> </w:t>
      </w:r>
      <w:r w:rsidRPr="00281886">
        <w:rPr>
          <w:rFonts w:eastAsia="Calibri" w:cstheme="minorHAnsi"/>
          <w:kern w:val="0"/>
          <w:sz w:val="24"/>
          <w:szCs w:val="24"/>
          <w:lang w:val="sr-Latn-ME"/>
          <w14:ligatures w14:val="none"/>
        </w:rPr>
        <w:t>2009</w:t>
      </w:r>
      <w:r w:rsidR="006C691C">
        <w:rPr>
          <w:rFonts w:eastAsia="Calibri" w:cstheme="minorHAnsi"/>
          <w:kern w:val="0"/>
          <w:sz w:val="24"/>
          <w:szCs w:val="24"/>
          <w:lang w:val="sr-Latn-ME"/>
          <w14:ligatures w14:val="none"/>
        </w:rPr>
        <w:t>.godini</w:t>
      </w:r>
      <w:r w:rsidRPr="00281886">
        <w:rPr>
          <w:rFonts w:eastAsia="Calibri" w:cstheme="minorHAnsi"/>
          <w:kern w:val="0"/>
          <w:sz w:val="24"/>
          <w:szCs w:val="24"/>
          <w:lang w:val="sr-Latn-ME"/>
          <w14:ligatures w14:val="none"/>
        </w:rPr>
        <w:t xml:space="preserve">. Drugi ciklus zaustavljen je dužničkom krizom u eurozoni koja se prenijela na Crnu Goru, vodeći do negativnog ekonomskog rasta od 2,7% u 2012. Treći ciklus ekonomskog buma započet je 2015. godine i karakterisala ga je prosječna stopa ekonomskog rasta od 3-4%. Međutim, usljed krize izazvane korona virusom ovaj ciklus završen je najvećim padom BDP-a još od vremena 90-tih u iznosu od 15,3% (2020). </w:t>
      </w:r>
      <w:r w:rsidR="00470183" w:rsidRPr="00281886">
        <w:rPr>
          <w:rFonts w:eastAsia="Calibri" w:cstheme="minorHAnsi"/>
          <w:kern w:val="0"/>
          <w:sz w:val="24"/>
          <w:szCs w:val="24"/>
          <w:lang w:val="sr-Latn-ME"/>
          <w14:ligatures w14:val="none"/>
        </w:rPr>
        <w:t>Početak četvrtog ciklusa razvoja crnogorske ekonomije</w:t>
      </w:r>
      <w:r w:rsidR="005546B6">
        <w:rPr>
          <w:rFonts w:eastAsia="Calibri" w:cstheme="minorHAnsi"/>
          <w:kern w:val="0"/>
          <w:sz w:val="24"/>
          <w:szCs w:val="24"/>
          <w:lang w:val="sr-Latn-ME"/>
          <w14:ligatures w14:val="none"/>
        </w:rPr>
        <w:t>, kao perio</w:t>
      </w:r>
      <w:r w:rsidR="00291A64">
        <w:rPr>
          <w:rFonts w:eastAsia="Calibri" w:cstheme="minorHAnsi"/>
          <w:kern w:val="0"/>
          <w:sz w:val="24"/>
          <w:szCs w:val="24"/>
          <w:lang w:val="sr-Latn-ME"/>
          <w14:ligatures w14:val="none"/>
        </w:rPr>
        <w:t>d</w:t>
      </w:r>
      <w:r w:rsidR="005546B6">
        <w:rPr>
          <w:rFonts w:eastAsia="Calibri" w:cstheme="minorHAnsi"/>
          <w:kern w:val="0"/>
          <w:sz w:val="24"/>
          <w:szCs w:val="24"/>
          <w:lang w:val="sr-Latn-ME"/>
          <w14:ligatures w14:val="none"/>
        </w:rPr>
        <w:t xml:space="preserve"> oporavka  od posljedica COVID-19 pandemije,  </w:t>
      </w:r>
      <w:r w:rsidR="00470183" w:rsidRPr="00281886">
        <w:rPr>
          <w:rFonts w:eastAsia="Calibri" w:cstheme="minorHAnsi"/>
          <w:kern w:val="0"/>
          <w:sz w:val="24"/>
          <w:szCs w:val="24"/>
          <w:lang w:val="sr-Latn-ME"/>
          <w14:ligatures w14:val="none"/>
        </w:rPr>
        <w:t xml:space="preserve"> karakteriše sna</w:t>
      </w:r>
      <w:r w:rsidRPr="00281886">
        <w:rPr>
          <w:rFonts w:eastAsia="Calibri" w:cstheme="minorHAnsi"/>
          <w:kern w:val="0"/>
          <w:sz w:val="24"/>
          <w:szCs w:val="24"/>
          <w:lang w:val="sr-Latn-ME"/>
          <w14:ligatures w14:val="none"/>
        </w:rPr>
        <w:t>žan ekonomski rast  od 13% u 2021.</w:t>
      </w:r>
      <w:r w:rsidR="00C55209"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 xml:space="preserve">i </w:t>
      </w:r>
      <w:r w:rsidR="00C55209" w:rsidRPr="00281886">
        <w:rPr>
          <w:rFonts w:eastAsia="Calibri" w:cstheme="minorHAnsi"/>
          <w:kern w:val="0"/>
          <w:sz w:val="24"/>
          <w:szCs w:val="24"/>
          <w:lang w:val="sr-Latn-ME"/>
          <w14:ligatures w14:val="none"/>
        </w:rPr>
        <w:t>6,</w:t>
      </w:r>
      <w:r w:rsidR="001F7DF6">
        <w:rPr>
          <w:rFonts w:eastAsia="Calibri" w:cstheme="minorHAnsi"/>
          <w:kern w:val="0"/>
          <w:sz w:val="24"/>
          <w:szCs w:val="24"/>
          <w:lang w:val="sr-Latn-ME"/>
          <w14:ligatures w14:val="none"/>
        </w:rPr>
        <w:t>4</w:t>
      </w:r>
      <w:r w:rsidRPr="00281886">
        <w:rPr>
          <w:rFonts w:eastAsia="Calibri" w:cstheme="minorHAnsi"/>
          <w:kern w:val="0"/>
          <w:sz w:val="24"/>
          <w:szCs w:val="24"/>
          <w:lang w:val="sr-Latn-ME"/>
          <w14:ligatures w14:val="none"/>
        </w:rPr>
        <w:t>% u 2022. godini</w:t>
      </w:r>
      <w:r w:rsidR="005546B6">
        <w:rPr>
          <w:rFonts w:eastAsia="Calibri" w:cstheme="minorHAnsi"/>
          <w:kern w:val="0"/>
          <w:sz w:val="24"/>
          <w:szCs w:val="24"/>
          <w:lang w:val="sr-Latn-ME"/>
          <w14:ligatures w14:val="none"/>
        </w:rPr>
        <w:t xml:space="preserve">. Procijenjeni rast ekonomije u 2023. je oko 3%.  </w:t>
      </w:r>
    </w:p>
    <w:p w14:paraId="2AE1F349" w14:textId="003A8225" w:rsidR="001D0030" w:rsidRDefault="005546B6" w:rsidP="00636E34">
      <w:pPr>
        <w:spacing w:before="100" w:beforeAutospacing="1" w:after="100" w:afterAutospacing="1" w:line="276" w:lineRule="auto"/>
        <w:jc w:val="both"/>
        <w:rPr>
          <w:rFonts w:eastAsia="Calibri" w:cstheme="minorHAnsi"/>
          <w:kern w:val="0"/>
          <w:sz w:val="24"/>
          <w:szCs w:val="24"/>
          <w:lang w:val="sr-Latn-ME"/>
          <w14:ligatures w14:val="none"/>
        </w:rPr>
      </w:pPr>
      <w:r>
        <w:rPr>
          <w:rFonts w:eastAsia="Calibri" w:cstheme="minorHAnsi"/>
          <w:kern w:val="0"/>
          <w:sz w:val="24"/>
          <w:szCs w:val="24"/>
          <w:lang w:val="sr-Latn-ME"/>
          <w14:ligatures w14:val="none"/>
        </w:rPr>
        <w:t xml:space="preserve">Posmatrano od </w:t>
      </w:r>
      <w:r w:rsidR="00B02BCB" w:rsidRPr="00281886">
        <w:rPr>
          <w:rFonts w:eastAsia="Calibri" w:cstheme="minorHAnsi"/>
          <w:kern w:val="0"/>
          <w:sz w:val="24"/>
          <w:szCs w:val="24"/>
          <w:lang w:val="sr-Latn-ME"/>
          <w14:ligatures w14:val="none"/>
        </w:rPr>
        <w:t xml:space="preserve">obnove nezavisnosti Crne Gore </w:t>
      </w:r>
      <w:r>
        <w:rPr>
          <w:rFonts w:eastAsia="Calibri" w:cstheme="minorHAnsi"/>
          <w:kern w:val="0"/>
          <w:sz w:val="24"/>
          <w:szCs w:val="24"/>
          <w:lang w:val="sr-Latn-ME"/>
          <w14:ligatures w14:val="none"/>
        </w:rPr>
        <w:t xml:space="preserve">2006. </w:t>
      </w:r>
      <w:r w:rsidR="00B02BCB" w:rsidRPr="00281886">
        <w:rPr>
          <w:rFonts w:eastAsia="Calibri" w:cstheme="minorHAnsi"/>
          <w:kern w:val="0"/>
          <w:sz w:val="24"/>
          <w:szCs w:val="24"/>
          <w:lang w:val="sr-Latn-ME"/>
          <w14:ligatures w14:val="none"/>
        </w:rPr>
        <w:t xml:space="preserve">pa do </w:t>
      </w:r>
      <w:r>
        <w:rPr>
          <w:rFonts w:eastAsia="Calibri" w:cstheme="minorHAnsi"/>
          <w:kern w:val="0"/>
          <w:sz w:val="24"/>
          <w:szCs w:val="24"/>
          <w:lang w:val="sr-Latn-ME"/>
          <w14:ligatures w14:val="none"/>
        </w:rPr>
        <w:t>kraja 2022.</w:t>
      </w:r>
      <w:r w:rsidR="00863857">
        <w:rPr>
          <w:rFonts w:eastAsia="Calibri" w:cstheme="minorHAnsi"/>
          <w:kern w:val="0"/>
          <w:sz w:val="24"/>
          <w:szCs w:val="24"/>
          <w:lang w:val="sr-Latn-ME"/>
          <w14:ligatures w14:val="none"/>
        </w:rPr>
        <w:t xml:space="preserve"> </w:t>
      </w:r>
      <w:r>
        <w:rPr>
          <w:rFonts w:eastAsia="Calibri" w:cstheme="minorHAnsi"/>
          <w:kern w:val="0"/>
          <w:sz w:val="24"/>
          <w:szCs w:val="24"/>
          <w:lang w:val="sr-Latn-ME"/>
          <w14:ligatures w14:val="none"/>
        </w:rPr>
        <w:t>godine</w:t>
      </w:r>
      <w:r w:rsidR="00B02BCB" w:rsidRPr="00281886">
        <w:rPr>
          <w:rFonts w:eastAsia="Calibri" w:cstheme="minorHAnsi"/>
          <w:kern w:val="0"/>
          <w:sz w:val="24"/>
          <w:szCs w:val="24"/>
          <w:lang w:val="sr-Latn-ME"/>
          <w14:ligatures w14:val="none"/>
        </w:rPr>
        <w:t xml:space="preserve">, svaki novi ciklus investicionog buma u ekonomiji vodio je povećanju BDP </w:t>
      </w:r>
      <w:r w:rsidR="00B02BCB" w:rsidRPr="00281886">
        <w:rPr>
          <w:rFonts w:eastAsia="Calibri" w:cstheme="minorHAnsi"/>
          <w:i/>
          <w:kern w:val="0"/>
          <w:sz w:val="24"/>
          <w:szCs w:val="24"/>
          <w:lang w:val="sr-Latn-ME"/>
          <w14:ligatures w14:val="none"/>
        </w:rPr>
        <w:t>per capita</w:t>
      </w:r>
      <w:r w:rsidR="00B02BCB" w:rsidRPr="00281886">
        <w:rPr>
          <w:rFonts w:eastAsia="Calibri" w:cstheme="minorHAnsi"/>
          <w:kern w:val="0"/>
          <w:sz w:val="24"/>
          <w:szCs w:val="24"/>
          <w:lang w:val="sr-Latn-ME"/>
          <w14:ligatures w14:val="none"/>
        </w:rPr>
        <w:t xml:space="preserve"> i kvaliteta života građana</w:t>
      </w:r>
      <w:r>
        <w:rPr>
          <w:rFonts w:eastAsia="Calibri" w:cstheme="minorHAnsi"/>
          <w:kern w:val="0"/>
          <w:sz w:val="24"/>
          <w:szCs w:val="24"/>
          <w:lang w:val="sr-Latn-ME"/>
          <w14:ligatures w14:val="none"/>
        </w:rPr>
        <w:t xml:space="preserve">. Međutim, </w:t>
      </w:r>
      <w:r w:rsidR="00B02BCB" w:rsidRPr="00281886">
        <w:rPr>
          <w:rFonts w:eastAsia="Calibri" w:cstheme="minorHAnsi"/>
          <w:kern w:val="0"/>
          <w:sz w:val="24"/>
          <w:szCs w:val="24"/>
          <w:lang w:val="sr-Latn-ME"/>
          <w14:ligatures w14:val="none"/>
        </w:rPr>
        <w:t xml:space="preserve"> zbog sporijeg rasta faktorske produktivnosti i rasta ekonomije ispod svog potencijala, usljed sturkturnih izazova, povećanje životnog standarda građana pratilo i povećanje fiskalne i eksterne neravnoteže crnogorske ekonomije. </w:t>
      </w:r>
      <w:r w:rsidR="00944562" w:rsidRPr="00281886">
        <w:rPr>
          <w:rFonts w:eastAsia="Calibri" w:cstheme="minorHAnsi"/>
          <w:kern w:val="0"/>
          <w:sz w:val="24"/>
          <w:szCs w:val="24"/>
          <w:lang w:val="sr-Latn-ME"/>
          <w14:ligatures w14:val="none"/>
        </w:rPr>
        <w:t>Fiskalnu politiku u posmatranom periodu su karakterisale česte promjene poreskih stopa i akciza, regulatorne barijere i brojni parafiskalni nameti.</w:t>
      </w:r>
      <w:r w:rsidR="00863857">
        <w:rPr>
          <w:rFonts w:eastAsia="Calibri" w:cstheme="minorHAnsi"/>
          <w:kern w:val="0"/>
          <w:sz w:val="24"/>
          <w:szCs w:val="24"/>
          <w:lang w:val="sr-Latn-ME"/>
          <w14:ligatures w14:val="none"/>
        </w:rPr>
        <w:t xml:space="preserve"> </w:t>
      </w:r>
      <w:r w:rsidR="00944562" w:rsidRPr="00281886">
        <w:rPr>
          <w:rFonts w:eastAsia="Calibri" w:cstheme="minorHAnsi"/>
          <w:kern w:val="0"/>
          <w:sz w:val="24"/>
          <w:szCs w:val="24"/>
          <w:lang w:val="sr-Latn-ME"/>
          <w14:ligatures w14:val="none"/>
        </w:rPr>
        <w:t>Uz rigidno ra</w:t>
      </w:r>
      <w:r w:rsidR="0008727F" w:rsidRPr="00281886">
        <w:rPr>
          <w:rFonts w:eastAsia="Calibri" w:cstheme="minorHAnsi"/>
          <w:kern w:val="0"/>
          <w:sz w:val="24"/>
          <w:szCs w:val="24"/>
          <w:lang w:val="sr-Latn-ME"/>
          <w14:ligatures w14:val="none"/>
        </w:rPr>
        <w:t>d</w:t>
      </w:r>
      <w:r w:rsidR="00944562" w:rsidRPr="00281886">
        <w:rPr>
          <w:rFonts w:eastAsia="Calibri" w:cstheme="minorHAnsi"/>
          <w:kern w:val="0"/>
          <w:sz w:val="24"/>
          <w:szCs w:val="24"/>
          <w:lang w:val="sr-Latn-ME"/>
          <w14:ligatures w14:val="none"/>
        </w:rPr>
        <w:t>no zakonodavstvo</w:t>
      </w:r>
      <w:r w:rsidR="0008727F" w:rsidRPr="00281886">
        <w:rPr>
          <w:rFonts w:eastAsia="Calibri" w:cstheme="minorHAnsi"/>
          <w:kern w:val="0"/>
          <w:sz w:val="24"/>
          <w:szCs w:val="24"/>
          <w:lang w:val="sr-Latn-ME"/>
          <w14:ligatures w14:val="none"/>
        </w:rPr>
        <w:t xml:space="preserve"> i ograničene administrativne kapacitete, </w:t>
      </w:r>
      <w:r w:rsidR="00C55209" w:rsidRPr="00281886">
        <w:rPr>
          <w:rFonts w:eastAsia="Calibri" w:cstheme="minorHAnsi"/>
          <w:kern w:val="0"/>
          <w:sz w:val="24"/>
          <w:szCs w:val="24"/>
          <w:lang w:val="sr-Latn-ME"/>
          <w14:ligatures w14:val="none"/>
        </w:rPr>
        <w:t>na</w:t>
      </w:r>
      <w:r w:rsidR="0008727F" w:rsidRPr="00281886">
        <w:rPr>
          <w:rFonts w:eastAsia="Calibri" w:cstheme="minorHAnsi"/>
          <w:kern w:val="0"/>
          <w:sz w:val="24"/>
          <w:szCs w:val="24"/>
          <w:lang w:val="sr-Latn-ME"/>
          <w14:ligatures w14:val="none"/>
        </w:rPr>
        <w:t xml:space="preserve">vedeno je uticalo na postojanje neformalne ekonomije. </w:t>
      </w:r>
    </w:p>
    <w:p w14:paraId="47A3CC58" w14:textId="77777777" w:rsidR="00E219EC"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656FC8F0" w14:textId="77777777" w:rsidR="00E219EC"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1EEE0B33" w14:textId="77777777" w:rsidR="00E219EC"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34697D4F" w14:textId="77777777" w:rsidR="00E219EC"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67FF58AF" w14:textId="77777777" w:rsidR="00E219EC"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19CB2537" w14:textId="77777777" w:rsidR="00E219EC"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658A1A91" w14:textId="77777777" w:rsidR="00E219EC" w:rsidRPr="00281886" w:rsidRDefault="00E219EC" w:rsidP="00636E34">
      <w:pPr>
        <w:spacing w:before="100" w:beforeAutospacing="1" w:after="100" w:afterAutospacing="1" w:line="276" w:lineRule="auto"/>
        <w:jc w:val="both"/>
        <w:rPr>
          <w:rFonts w:eastAsia="Calibri" w:cstheme="minorHAnsi"/>
          <w:kern w:val="0"/>
          <w:sz w:val="24"/>
          <w:szCs w:val="24"/>
          <w:lang w:val="sr-Latn-ME"/>
          <w14:ligatures w14:val="none"/>
        </w:rPr>
      </w:pPr>
    </w:p>
    <w:p w14:paraId="37770EF2" w14:textId="74E25077" w:rsidR="00B02BCB" w:rsidRPr="00092DF7" w:rsidRDefault="00B02BCB" w:rsidP="00B02BCB">
      <w:pPr>
        <w:spacing w:before="100" w:beforeAutospacing="1" w:after="100" w:afterAutospacing="1" w:line="240" w:lineRule="auto"/>
        <w:jc w:val="both"/>
        <w:rPr>
          <w:rFonts w:eastAsia="Calibri" w:cstheme="minorHAnsi"/>
          <w:b/>
          <w:color w:val="002060"/>
          <w:kern w:val="0"/>
          <w:sz w:val="24"/>
          <w:szCs w:val="24"/>
          <w:lang w:val="sr-Latn-ME"/>
          <w14:ligatures w14:val="none"/>
        </w:rPr>
      </w:pPr>
      <w:r w:rsidRPr="00092DF7">
        <w:rPr>
          <w:rFonts w:eastAsia="Calibri" w:cstheme="minorHAnsi"/>
          <w:b/>
          <w:color w:val="002060"/>
          <w:kern w:val="0"/>
          <w:sz w:val="24"/>
          <w:szCs w:val="24"/>
          <w:lang w:val="sr-Latn-ME"/>
          <w14:ligatures w14:val="none"/>
        </w:rPr>
        <w:lastRenderedPageBreak/>
        <w:t xml:space="preserve">Grafik 1:  Promjenjivost stopa ekonomskog rasta u Crnoj Gori u odnosu na ostale male ekonomije, ZB6 i </w:t>
      </w:r>
      <w:r w:rsidR="0043756E" w:rsidRPr="00092DF7">
        <w:rPr>
          <w:rFonts w:eastAsia="Calibri" w:cstheme="minorHAnsi"/>
          <w:b/>
          <w:color w:val="002060"/>
          <w:kern w:val="0"/>
          <w:sz w:val="24"/>
          <w:szCs w:val="24"/>
          <w:lang w:val="sr-Latn-ME"/>
          <w14:ligatures w14:val="none"/>
        </w:rPr>
        <w:t>EU</w:t>
      </w:r>
      <w:r w:rsidR="0001557A">
        <w:rPr>
          <w:rFonts w:eastAsia="Calibri" w:cstheme="minorHAnsi"/>
          <w:b/>
          <w:color w:val="002060"/>
          <w:kern w:val="0"/>
          <w:sz w:val="24"/>
          <w:szCs w:val="24"/>
          <w:lang w:val="sr-Latn-ME"/>
          <w14:ligatures w14:val="none"/>
        </w:rPr>
        <w:t>-</w:t>
      </w:r>
      <w:r w:rsidR="0043756E" w:rsidRPr="00092DF7">
        <w:rPr>
          <w:rFonts w:eastAsia="Calibri" w:cstheme="minorHAnsi"/>
          <w:b/>
          <w:color w:val="002060"/>
          <w:kern w:val="0"/>
          <w:sz w:val="24"/>
          <w:szCs w:val="24"/>
          <w:lang w:val="sr-Latn-ME"/>
          <w14:ligatures w14:val="none"/>
        </w:rPr>
        <w:t>27</w:t>
      </w:r>
      <w:r w:rsidR="00EE3813" w:rsidRPr="00092DF7">
        <w:rPr>
          <w:rFonts w:eastAsia="Calibri" w:cstheme="minorHAnsi"/>
          <w:b/>
          <w:color w:val="002060"/>
          <w:kern w:val="0"/>
          <w:sz w:val="24"/>
          <w:szCs w:val="24"/>
          <w:lang w:val="sr-Latn-ME"/>
          <w14:ligatures w14:val="none"/>
        </w:rPr>
        <w:t xml:space="preserve"> tokom ekonomskih ciklusa</w:t>
      </w:r>
    </w:p>
    <w:p w14:paraId="6D852E6E" w14:textId="0C80450A" w:rsidR="00B02BCB" w:rsidRPr="00F62CE0" w:rsidRDefault="0062630F" w:rsidP="00B02BCB">
      <w:pPr>
        <w:spacing w:before="100" w:beforeAutospacing="1" w:after="100" w:afterAutospacing="1" w:line="240" w:lineRule="auto"/>
        <w:jc w:val="both"/>
        <w:rPr>
          <w:rFonts w:eastAsia="Calibri" w:cstheme="minorHAnsi"/>
          <w:b/>
          <w:color w:val="4472C4"/>
          <w:kern w:val="0"/>
          <w:lang w:val="sr-Latn-ME"/>
          <w14:ligatures w14:val="none"/>
        </w:rPr>
      </w:pPr>
      <w:r>
        <w:rPr>
          <w:noProof/>
        </w:rPr>
        <w:drawing>
          <wp:inline distT="0" distB="0" distL="0" distR="0" wp14:anchorId="2FE54E73" wp14:editId="07CACFC1">
            <wp:extent cx="5958840" cy="2964180"/>
            <wp:effectExtent l="0" t="0" r="3810" b="7620"/>
            <wp:docPr id="523499863" name="Chart 1">
              <a:extLst xmlns:a="http://schemas.openxmlformats.org/drawingml/2006/main">
                <a:ext uri="{FF2B5EF4-FFF2-40B4-BE49-F238E27FC236}">
                  <a16:creationId xmlns:a16="http://schemas.microsoft.com/office/drawing/2014/main" id="{0066B619-6317-165F-E4F5-BF153064F6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E8A6AE" w14:textId="423E66DF" w:rsidR="00B1232E" w:rsidRPr="00281886" w:rsidRDefault="00B02BCB" w:rsidP="00B02BCB">
      <w:pPr>
        <w:spacing w:before="100" w:beforeAutospacing="1" w:after="100" w:afterAutospacing="1" w:line="240" w:lineRule="auto"/>
        <w:jc w:val="both"/>
        <w:rPr>
          <w:rFonts w:eastAsia="Calibri" w:cstheme="minorHAnsi"/>
          <w:i/>
          <w:kern w:val="0"/>
          <w:lang w:val="sr-Latn-ME"/>
          <w14:ligatures w14:val="none"/>
        </w:rPr>
      </w:pPr>
      <w:r w:rsidRPr="00281886">
        <w:rPr>
          <w:rFonts w:eastAsia="Calibri" w:cstheme="minorHAnsi"/>
          <w:b/>
          <w:color w:val="4472C4"/>
          <w:kern w:val="0"/>
          <w:lang w:val="sr-Latn-ME"/>
          <w14:ligatures w14:val="none"/>
        </w:rPr>
        <w:t xml:space="preserve"> </w:t>
      </w:r>
      <w:r w:rsidRPr="00281886">
        <w:rPr>
          <w:rFonts w:eastAsia="Calibri" w:cstheme="minorHAnsi"/>
          <w:i/>
          <w:kern w:val="0"/>
          <w:lang w:val="sr-Latn-ME"/>
          <w14:ligatures w14:val="none"/>
        </w:rPr>
        <w:t>Izvor: Svjetska banka</w:t>
      </w:r>
      <w:r w:rsidR="00D74EB5">
        <w:rPr>
          <w:rFonts w:eastAsia="Calibri" w:cstheme="minorHAnsi"/>
          <w:i/>
          <w:kern w:val="0"/>
          <w:lang w:val="sr-Latn-ME"/>
          <w14:ligatures w14:val="none"/>
        </w:rPr>
        <w:t xml:space="preserve"> i Ministarstvo finansija</w:t>
      </w:r>
    </w:p>
    <w:p w14:paraId="1E7F0164" w14:textId="77FDC78C" w:rsidR="0043756E" w:rsidRPr="00B67D63" w:rsidRDefault="00092DF7" w:rsidP="00B02BCB">
      <w:pPr>
        <w:spacing w:before="100" w:beforeAutospacing="1" w:after="100" w:afterAutospacing="1" w:line="240" w:lineRule="auto"/>
        <w:jc w:val="both"/>
        <w:rPr>
          <w:rFonts w:eastAsia="Calibri" w:cstheme="minorHAnsi"/>
          <w:iCs/>
          <w:color w:val="002060"/>
          <w:kern w:val="0"/>
          <w:sz w:val="24"/>
          <w:szCs w:val="24"/>
          <w:lang w:val="sr-Latn-ME"/>
          <w14:ligatures w14:val="none"/>
        </w:rPr>
      </w:pPr>
      <w:bookmarkStart w:id="6" w:name="_Hlk145576267"/>
      <w:r w:rsidRPr="00B67D63">
        <w:rPr>
          <w:rFonts w:eastAsia="Calibri" w:cstheme="minorHAnsi"/>
          <w:iCs/>
          <w:color w:val="002060"/>
          <w:kern w:val="0"/>
          <w:sz w:val="24"/>
          <w:szCs w:val="24"/>
          <w:lang w:val="sr-Latn-ME"/>
          <w14:ligatures w14:val="none"/>
        </w:rPr>
        <w:t xml:space="preserve">2.1.1 </w:t>
      </w:r>
      <w:r w:rsidR="005E144E" w:rsidRPr="00B67D63">
        <w:rPr>
          <w:rFonts w:eastAsia="Calibri" w:cstheme="minorHAnsi"/>
          <w:iCs/>
          <w:color w:val="002060"/>
          <w:kern w:val="0"/>
          <w:sz w:val="24"/>
          <w:szCs w:val="24"/>
          <w:lang w:val="sr-Latn-ME"/>
          <w14:ligatures w14:val="none"/>
        </w:rPr>
        <w:t>Uticaj ekonomskih ciklusa na zaposlenost</w:t>
      </w:r>
    </w:p>
    <w:bookmarkEnd w:id="6"/>
    <w:p w14:paraId="7156A5CA" w14:textId="1F0F2DE6" w:rsidR="00A10719" w:rsidRPr="001F7DF6" w:rsidRDefault="00B02BCB" w:rsidP="001F7DF6">
      <w:pPr>
        <w:spacing w:before="100" w:beforeAutospacing="1" w:after="100" w:afterAutospacing="1" w:line="276" w:lineRule="auto"/>
        <w:jc w:val="both"/>
        <w:rPr>
          <w:rFonts w:eastAsia="Calibri" w:cstheme="minorHAnsi"/>
          <w:iCs/>
          <w:kern w:val="0"/>
          <w:sz w:val="24"/>
          <w:szCs w:val="24"/>
          <w:lang w:val="sr-Latn-ME"/>
          <w14:ligatures w14:val="none"/>
        </w:rPr>
      </w:pPr>
      <w:r w:rsidRPr="00281886">
        <w:rPr>
          <w:rFonts w:eastAsia="Calibri" w:cstheme="minorHAnsi"/>
          <w:iCs/>
          <w:kern w:val="0"/>
          <w:sz w:val="24"/>
          <w:szCs w:val="24"/>
          <w:lang w:val="sr-Latn-ME"/>
          <w14:ligatures w14:val="none"/>
        </w:rPr>
        <w:t>Zaposlenost je uglavnom pratila ekonomske cikluse i rasla u periodima ekonomskog buma, naročito od 2015.</w:t>
      </w:r>
      <w:r w:rsidR="00E2637C">
        <w:rPr>
          <w:rFonts w:eastAsia="Calibri" w:cstheme="minorHAnsi"/>
          <w:iCs/>
          <w:kern w:val="0"/>
          <w:sz w:val="24"/>
          <w:szCs w:val="24"/>
          <w:lang w:val="sr-Latn-ME"/>
          <w14:ligatures w14:val="none"/>
        </w:rPr>
        <w:t xml:space="preserve"> </w:t>
      </w:r>
      <w:r w:rsidRPr="00281886">
        <w:rPr>
          <w:rFonts w:eastAsia="Calibri" w:cstheme="minorHAnsi"/>
          <w:iCs/>
          <w:kern w:val="0"/>
          <w:sz w:val="24"/>
          <w:szCs w:val="24"/>
          <w:lang w:val="sr-Latn-ME"/>
          <w14:ligatures w14:val="none"/>
        </w:rPr>
        <w:t xml:space="preserve">godine, </w:t>
      </w:r>
      <w:r w:rsidR="00466AD3">
        <w:rPr>
          <w:rFonts w:eastAsia="Calibri" w:cstheme="minorHAnsi"/>
          <w:iCs/>
          <w:kern w:val="0"/>
          <w:sz w:val="24"/>
          <w:szCs w:val="24"/>
          <w:lang w:val="sr-Latn-ME"/>
          <w14:ligatures w14:val="none"/>
        </w:rPr>
        <w:t xml:space="preserve">a </w:t>
      </w:r>
      <w:r w:rsidRPr="00281886">
        <w:rPr>
          <w:rFonts w:eastAsia="Calibri" w:cstheme="minorHAnsi"/>
          <w:iCs/>
          <w:kern w:val="0"/>
          <w:sz w:val="24"/>
          <w:szCs w:val="24"/>
          <w:lang w:val="sr-Latn-ME"/>
          <w14:ligatures w14:val="none"/>
        </w:rPr>
        <w:t>drastično</w:t>
      </w:r>
      <w:r w:rsidR="00466AD3">
        <w:rPr>
          <w:rFonts w:eastAsia="Calibri" w:cstheme="minorHAnsi"/>
          <w:iCs/>
          <w:kern w:val="0"/>
          <w:sz w:val="24"/>
          <w:szCs w:val="24"/>
          <w:lang w:val="sr-Latn-ME"/>
          <w14:ligatures w14:val="none"/>
        </w:rPr>
        <w:t xml:space="preserve"> je</w:t>
      </w:r>
      <w:r w:rsidRPr="00281886">
        <w:rPr>
          <w:rFonts w:eastAsia="Calibri" w:cstheme="minorHAnsi"/>
          <w:iCs/>
          <w:kern w:val="0"/>
          <w:sz w:val="24"/>
          <w:szCs w:val="24"/>
          <w:lang w:val="sr-Latn-ME"/>
          <w14:ligatures w14:val="none"/>
        </w:rPr>
        <w:t xml:space="preserve"> smanjenja u 2020.</w:t>
      </w:r>
      <w:r w:rsidR="00D65836">
        <w:rPr>
          <w:rFonts w:eastAsia="Calibri" w:cstheme="minorHAnsi"/>
          <w:iCs/>
          <w:kern w:val="0"/>
          <w:sz w:val="24"/>
          <w:szCs w:val="24"/>
          <w:lang w:val="sr-Latn-ME"/>
          <w14:ligatures w14:val="none"/>
        </w:rPr>
        <w:t xml:space="preserve"> </w:t>
      </w:r>
      <w:r w:rsidRPr="00281886">
        <w:rPr>
          <w:rFonts w:eastAsia="Calibri" w:cstheme="minorHAnsi"/>
          <w:iCs/>
          <w:kern w:val="0"/>
          <w:sz w:val="24"/>
          <w:szCs w:val="24"/>
          <w:lang w:val="sr-Latn-ME"/>
          <w14:ligatures w14:val="none"/>
        </w:rPr>
        <w:t xml:space="preserve">godini, usljed </w:t>
      </w:r>
      <w:r w:rsidR="00466AD3">
        <w:rPr>
          <w:rFonts w:eastAsia="Calibri" w:cstheme="minorHAnsi"/>
          <w:iCs/>
          <w:kern w:val="0"/>
          <w:sz w:val="24"/>
          <w:szCs w:val="24"/>
          <w:lang w:val="sr-Latn-ME"/>
          <w14:ligatures w14:val="none"/>
        </w:rPr>
        <w:t xml:space="preserve">negativnog ekonomskog rasta </w:t>
      </w:r>
      <w:r w:rsidRPr="00281886">
        <w:rPr>
          <w:rFonts w:eastAsia="Calibri" w:cstheme="minorHAnsi"/>
          <w:iCs/>
          <w:kern w:val="0"/>
          <w:sz w:val="24"/>
          <w:szCs w:val="24"/>
          <w:lang w:val="sr-Latn-ME"/>
          <w14:ligatures w14:val="none"/>
        </w:rPr>
        <w:t xml:space="preserve"> uzrokovanog </w:t>
      </w:r>
      <w:r w:rsidR="00466AD3">
        <w:rPr>
          <w:rFonts w:eastAsia="Calibri" w:cstheme="minorHAnsi"/>
          <w:iCs/>
          <w:kern w:val="0"/>
          <w:sz w:val="24"/>
          <w:szCs w:val="24"/>
          <w:lang w:val="sr-Latn-ME"/>
          <w14:ligatures w14:val="none"/>
        </w:rPr>
        <w:t xml:space="preserve">COVID-19 </w:t>
      </w:r>
      <w:r w:rsidRPr="00281886">
        <w:rPr>
          <w:rFonts w:eastAsia="Calibri" w:cstheme="minorHAnsi"/>
          <w:iCs/>
          <w:kern w:val="0"/>
          <w:sz w:val="24"/>
          <w:szCs w:val="24"/>
          <w:lang w:val="sr-Latn-ME"/>
          <w14:ligatures w14:val="none"/>
        </w:rPr>
        <w:t>pandemijom.</w:t>
      </w:r>
      <w:r w:rsidR="00466AD3">
        <w:rPr>
          <w:rFonts w:eastAsia="Calibri" w:cstheme="minorHAnsi"/>
          <w:iCs/>
          <w:kern w:val="0"/>
          <w:sz w:val="24"/>
          <w:szCs w:val="24"/>
          <w:lang w:val="sr-Latn-ME"/>
          <w14:ligatures w14:val="none"/>
        </w:rPr>
        <w:t xml:space="preserve"> </w:t>
      </w:r>
      <w:r w:rsidR="00C55209" w:rsidRPr="00281886">
        <w:rPr>
          <w:rFonts w:eastAsia="Calibri" w:cstheme="minorHAnsi"/>
          <w:iCs/>
          <w:kern w:val="0"/>
          <w:sz w:val="24"/>
          <w:szCs w:val="24"/>
          <w:lang w:val="sr-Latn-ME"/>
          <w14:ligatures w14:val="none"/>
        </w:rPr>
        <w:t>Zaposlenost je ponovo počela značajnije da raste od 2022.</w:t>
      </w:r>
      <w:r w:rsidR="00863857">
        <w:rPr>
          <w:rFonts w:eastAsia="Calibri" w:cstheme="minorHAnsi"/>
          <w:iCs/>
          <w:kern w:val="0"/>
          <w:sz w:val="24"/>
          <w:szCs w:val="24"/>
          <w:lang w:val="sr-Latn-ME"/>
          <w14:ligatures w14:val="none"/>
        </w:rPr>
        <w:t xml:space="preserve"> </w:t>
      </w:r>
      <w:r w:rsidR="00C55209" w:rsidRPr="00281886">
        <w:rPr>
          <w:rFonts w:eastAsia="Calibri" w:cstheme="minorHAnsi"/>
          <w:iCs/>
          <w:kern w:val="0"/>
          <w:sz w:val="24"/>
          <w:szCs w:val="24"/>
          <w:lang w:val="sr-Latn-ME"/>
          <w14:ligatures w14:val="none"/>
        </w:rPr>
        <w:t>godine, sa reformom poreske pol</w:t>
      </w:r>
      <w:r w:rsidR="00466AD3">
        <w:rPr>
          <w:rFonts w:eastAsia="Calibri" w:cstheme="minorHAnsi"/>
          <w:iCs/>
          <w:kern w:val="0"/>
          <w:sz w:val="24"/>
          <w:szCs w:val="24"/>
          <w:lang w:val="sr-Latn-ME"/>
          <w14:ligatures w14:val="none"/>
        </w:rPr>
        <w:t>iti</w:t>
      </w:r>
      <w:r w:rsidR="00C55209" w:rsidRPr="00281886">
        <w:rPr>
          <w:rFonts w:eastAsia="Calibri" w:cstheme="minorHAnsi"/>
          <w:iCs/>
          <w:kern w:val="0"/>
          <w:sz w:val="24"/>
          <w:szCs w:val="24"/>
          <w:lang w:val="sr-Latn-ME"/>
          <w14:ligatures w14:val="none"/>
        </w:rPr>
        <w:t xml:space="preserve">ke usljed smanjenja poreskog </w:t>
      </w:r>
      <w:r w:rsidR="00C55209" w:rsidRPr="00B1232E">
        <w:rPr>
          <w:rFonts w:eastAsia="Calibri" w:cstheme="minorHAnsi"/>
          <w:iCs/>
          <w:kern w:val="0"/>
          <w:sz w:val="24"/>
          <w:szCs w:val="24"/>
          <w:lang w:val="sr-Latn-ME"/>
          <w14:ligatures w14:val="none"/>
        </w:rPr>
        <w:t>opterećenja rada kroz Program „Evropa sad“</w:t>
      </w:r>
      <w:r w:rsidR="007A0CC4" w:rsidRPr="00B1232E">
        <w:rPr>
          <w:rFonts w:eastAsia="Calibri" w:cstheme="minorHAnsi"/>
          <w:iCs/>
          <w:kern w:val="0"/>
          <w:sz w:val="24"/>
          <w:szCs w:val="24"/>
          <w:lang w:val="sr-Latn-ME"/>
          <w14:ligatures w14:val="none"/>
        </w:rPr>
        <w:t>, kao i oporavkom ekonomske aktivnosti nakon pandemije</w:t>
      </w:r>
      <w:r w:rsidR="00C55209" w:rsidRPr="00B1232E">
        <w:rPr>
          <w:rFonts w:eastAsia="Calibri" w:cstheme="minorHAnsi"/>
          <w:iCs/>
          <w:kern w:val="0"/>
          <w:sz w:val="24"/>
          <w:szCs w:val="24"/>
          <w:lang w:val="sr-Latn-ME"/>
          <w14:ligatures w14:val="none"/>
        </w:rPr>
        <w:t xml:space="preserve">. </w:t>
      </w:r>
      <w:r w:rsidR="00A72731" w:rsidRPr="00B1232E">
        <w:rPr>
          <w:rFonts w:eastAsia="Calibri" w:cstheme="minorHAnsi"/>
          <w:iCs/>
          <w:kern w:val="0"/>
          <w:sz w:val="24"/>
          <w:szCs w:val="24"/>
          <w:lang w:val="sr-Latn-ME"/>
          <w14:ligatures w14:val="none"/>
        </w:rPr>
        <w:t>U</w:t>
      </w:r>
      <w:r w:rsidR="00A84AB8" w:rsidRPr="00B1232E">
        <w:rPr>
          <w:rFonts w:eastAsia="Calibri" w:cstheme="minorHAnsi"/>
          <w:iCs/>
          <w:kern w:val="0"/>
          <w:sz w:val="24"/>
          <w:szCs w:val="24"/>
          <w:lang w:val="sr-Latn-ME"/>
          <w14:ligatures w14:val="none"/>
        </w:rPr>
        <w:t xml:space="preserve">kupan </w:t>
      </w:r>
      <w:r w:rsidR="009065CD" w:rsidRPr="00B1232E">
        <w:rPr>
          <w:rFonts w:eastAsia="Calibri" w:cstheme="minorHAnsi"/>
          <w:iCs/>
          <w:kern w:val="0"/>
          <w:sz w:val="24"/>
          <w:szCs w:val="24"/>
          <w:lang w:val="sr-Latn-ME"/>
          <w14:ligatures w14:val="none"/>
        </w:rPr>
        <w:t>broj zap</w:t>
      </w:r>
      <w:r w:rsidR="00E2637C" w:rsidRPr="00B1232E">
        <w:rPr>
          <w:rFonts w:eastAsia="Calibri" w:cstheme="minorHAnsi"/>
          <w:iCs/>
          <w:kern w:val="0"/>
          <w:sz w:val="24"/>
          <w:szCs w:val="24"/>
          <w:lang w:val="sr-Latn-ME"/>
          <w14:ligatures w14:val="none"/>
        </w:rPr>
        <w:t>os</w:t>
      </w:r>
      <w:r w:rsidR="009065CD" w:rsidRPr="00B1232E">
        <w:rPr>
          <w:rFonts w:eastAsia="Calibri" w:cstheme="minorHAnsi"/>
          <w:iCs/>
          <w:kern w:val="0"/>
          <w:sz w:val="24"/>
          <w:szCs w:val="24"/>
          <w:lang w:val="sr-Latn-ME"/>
          <w14:ligatures w14:val="none"/>
        </w:rPr>
        <w:t xml:space="preserve">lenih </w:t>
      </w:r>
      <w:r w:rsidR="00A72731" w:rsidRPr="00B1232E">
        <w:rPr>
          <w:rFonts w:eastAsia="Calibri" w:cstheme="minorHAnsi"/>
          <w:iCs/>
          <w:kern w:val="0"/>
          <w:sz w:val="24"/>
          <w:szCs w:val="24"/>
          <w:lang w:val="sr-Latn-ME"/>
          <w14:ligatures w14:val="none"/>
        </w:rPr>
        <w:t>prema administrativnom izvoru, prema podacima Monstata, od 2019. značajno prati trend broja zaposlenih</w:t>
      </w:r>
      <w:r w:rsidR="009065CD" w:rsidRPr="00B1232E">
        <w:rPr>
          <w:rFonts w:eastAsia="Calibri" w:cstheme="minorHAnsi"/>
          <w:iCs/>
          <w:kern w:val="0"/>
          <w:sz w:val="24"/>
          <w:szCs w:val="24"/>
          <w:lang w:val="sr-Latn-ME"/>
          <w14:ligatures w14:val="none"/>
        </w:rPr>
        <w:t xml:space="preserve"> prema </w:t>
      </w:r>
      <w:r w:rsidR="00A84AB8" w:rsidRPr="00B1232E">
        <w:rPr>
          <w:rFonts w:eastAsia="Calibri" w:cstheme="minorHAnsi"/>
          <w:iCs/>
          <w:kern w:val="0"/>
          <w:sz w:val="24"/>
          <w:szCs w:val="24"/>
          <w:lang w:val="sr-Latn-ME"/>
          <w14:ligatures w14:val="none"/>
        </w:rPr>
        <w:t>A</w:t>
      </w:r>
      <w:r w:rsidR="009065CD" w:rsidRPr="00B1232E">
        <w:rPr>
          <w:rFonts w:eastAsia="Calibri" w:cstheme="minorHAnsi"/>
          <w:iCs/>
          <w:kern w:val="0"/>
          <w:sz w:val="24"/>
          <w:szCs w:val="24"/>
          <w:lang w:val="sr-Latn-ME"/>
          <w14:ligatures w14:val="none"/>
        </w:rPr>
        <w:t>nketi</w:t>
      </w:r>
      <w:r w:rsidR="00A84AB8" w:rsidRPr="00B1232E">
        <w:rPr>
          <w:rFonts w:eastAsia="Calibri" w:cstheme="minorHAnsi"/>
          <w:iCs/>
          <w:kern w:val="0"/>
          <w:sz w:val="24"/>
          <w:szCs w:val="24"/>
          <w:lang w:val="sr-Latn-ME"/>
          <w14:ligatures w14:val="none"/>
        </w:rPr>
        <w:t xml:space="preserve"> o radnoj snazi</w:t>
      </w:r>
      <w:r w:rsidR="00A72731" w:rsidRPr="00B1232E">
        <w:rPr>
          <w:rFonts w:eastAsia="Calibri" w:cstheme="minorHAnsi"/>
          <w:iCs/>
          <w:kern w:val="0"/>
          <w:sz w:val="24"/>
          <w:szCs w:val="24"/>
          <w:lang w:val="sr-Latn-ME"/>
          <w14:ligatures w14:val="none"/>
        </w:rPr>
        <w:t xml:space="preserve">. Približavanje podataka o broju zaposlenih prema administrativnom i anketnom izvoru </w:t>
      </w:r>
      <w:r w:rsidR="006E4194" w:rsidRPr="00B1232E">
        <w:rPr>
          <w:rFonts w:eastAsia="Calibri" w:cstheme="minorHAnsi"/>
          <w:iCs/>
          <w:kern w:val="0"/>
          <w:sz w:val="24"/>
          <w:szCs w:val="24"/>
          <w:lang w:val="sr-Latn-ME"/>
          <w14:ligatures w14:val="none"/>
        </w:rPr>
        <w:t xml:space="preserve">je naročito evidentno </w:t>
      </w:r>
      <w:r w:rsidR="00A72731" w:rsidRPr="00B1232E">
        <w:rPr>
          <w:rFonts w:eastAsia="Calibri" w:cstheme="minorHAnsi"/>
          <w:iCs/>
          <w:kern w:val="0"/>
          <w:sz w:val="24"/>
          <w:szCs w:val="24"/>
          <w:lang w:val="sr-Latn-ME"/>
          <w14:ligatures w14:val="none"/>
        </w:rPr>
        <w:t>od 2021,</w:t>
      </w:r>
      <w:r w:rsidR="009065CD" w:rsidRPr="00B1232E">
        <w:rPr>
          <w:rFonts w:eastAsia="Calibri" w:cstheme="minorHAnsi"/>
          <w:iCs/>
          <w:kern w:val="0"/>
          <w:sz w:val="24"/>
          <w:szCs w:val="24"/>
          <w:lang w:val="sr-Latn-ME"/>
          <w14:ligatures w14:val="none"/>
        </w:rPr>
        <w:t xml:space="preserve"> ukazuje da je došlo do formalizacije određenog broja radnih mjesta</w:t>
      </w:r>
      <w:r w:rsidR="00A72731" w:rsidRPr="00B1232E">
        <w:rPr>
          <w:rFonts w:eastAsia="Calibri" w:cstheme="minorHAnsi"/>
          <w:iCs/>
          <w:kern w:val="0"/>
          <w:sz w:val="24"/>
          <w:szCs w:val="24"/>
          <w:lang w:val="sr-Latn-ME"/>
          <w14:ligatures w14:val="none"/>
        </w:rPr>
        <w:t xml:space="preserve"> (vidjeti grafik br. 2)</w:t>
      </w:r>
      <w:r w:rsidR="009065CD" w:rsidRPr="00B1232E">
        <w:rPr>
          <w:rFonts w:eastAsia="Calibri" w:cstheme="minorHAnsi"/>
          <w:iCs/>
          <w:kern w:val="0"/>
          <w:sz w:val="24"/>
          <w:szCs w:val="24"/>
          <w:lang w:val="sr-Latn-ME"/>
          <w14:ligatures w14:val="none"/>
        </w:rPr>
        <w:t xml:space="preserve">. </w:t>
      </w:r>
      <w:r w:rsidR="009065CD" w:rsidRPr="00281886">
        <w:rPr>
          <w:rFonts w:eastAsia="Calibri" w:cstheme="minorHAnsi"/>
          <w:iCs/>
          <w:kern w:val="0"/>
          <w:sz w:val="24"/>
          <w:szCs w:val="24"/>
          <w:lang w:val="sr-Latn-ME"/>
          <w14:ligatures w14:val="none"/>
        </w:rPr>
        <w:t>To potvr</w:t>
      </w:r>
      <w:r w:rsidR="00863857">
        <w:rPr>
          <w:rFonts w:eastAsia="Calibri" w:cstheme="minorHAnsi"/>
          <w:iCs/>
          <w:kern w:val="0"/>
          <w:sz w:val="24"/>
          <w:szCs w:val="24"/>
          <w:lang w:val="sr-Latn-ME"/>
          <w14:ligatures w14:val="none"/>
        </w:rPr>
        <w:t>đ</w:t>
      </w:r>
      <w:r w:rsidR="009065CD" w:rsidRPr="00281886">
        <w:rPr>
          <w:rFonts w:eastAsia="Calibri" w:cstheme="minorHAnsi"/>
          <w:iCs/>
          <w:kern w:val="0"/>
          <w:sz w:val="24"/>
          <w:szCs w:val="24"/>
          <w:lang w:val="sr-Latn-ME"/>
          <w14:ligatures w14:val="none"/>
        </w:rPr>
        <w:t>uju i p</w:t>
      </w:r>
      <w:r w:rsidR="00466AD3">
        <w:rPr>
          <w:rFonts w:eastAsia="Calibri" w:cstheme="minorHAnsi"/>
          <w:iCs/>
          <w:kern w:val="0"/>
          <w:sz w:val="24"/>
          <w:szCs w:val="24"/>
          <w:lang w:val="sr-Latn-ME"/>
          <w14:ligatures w14:val="none"/>
        </w:rPr>
        <w:t>od</w:t>
      </w:r>
      <w:r w:rsidR="009065CD" w:rsidRPr="00281886">
        <w:rPr>
          <w:rFonts w:eastAsia="Calibri" w:cstheme="minorHAnsi"/>
          <w:iCs/>
          <w:kern w:val="0"/>
          <w:sz w:val="24"/>
          <w:szCs w:val="24"/>
          <w:lang w:val="sr-Latn-ME"/>
          <w14:ligatures w14:val="none"/>
        </w:rPr>
        <w:t xml:space="preserve">aci o </w:t>
      </w:r>
      <w:r w:rsidR="00A72731">
        <w:rPr>
          <w:rFonts w:eastAsia="Calibri" w:cstheme="minorHAnsi"/>
          <w:iCs/>
          <w:kern w:val="0"/>
          <w:sz w:val="24"/>
          <w:szCs w:val="24"/>
          <w:lang w:val="sr-Latn-ME"/>
          <w14:ligatures w14:val="none"/>
        </w:rPr>
        <w:t xml:space="preserve">povećanoj </w:t>
      </w:r>
      <w:r w:rsidR="009065CD" w:rsidRPr="00281886">
        <w:rPr>
          <w:rFonts w:eastAsia="Calibri" w:cstheme="minorHAnsi"/>
          <w:iCs/>
          <w:kern w:val="0"/>
          <w:sz w:val="24"/>
          <w:szCs w:val="24"/>
          <w:lang w:val="sr-Latn-ME"/>
          <w14:ligatures w14:val="none"/>
        </w:rPr>
        <w:t>naplati doprinosa od PIO</w:t>
      </w:r>
      <w:r w:rsidR="00466AD3">
        <w:rPr>
          <w:rFonts w:eastAsia="Calibri" w:cstheme="minorHAnsi"/>
          <w:iCs/>
          <w:kern w:val="0"/>
          <w:sz w:val="24"/>
          <w:szCs w:val="24"/>
          <w:lang w:val="sr-Latn-ME"/>
          <w14:ligatures w14:val="none"/>
        </w:rPr>
        <w:t xml:space="preserve">, o čemu je više opisano u </w:t>
      </w:r>
      <w:r w:rsidR="00466AD3" w:rsidRPr="00567F61">
        <w:rPr>
          <w:rFonts w:eastAsia="Calibri" w:cstheme="minorHAnsi"/>
          <w:iCs/>
          <w:kern w:val="0"/>
          <w:sz w:val="24"/>
          <w:szCs w:val="24"/>
          <w:lang w:val="sr-Latn-ME"/>
          <w14:ligatures w14:val="none"/>
        </w:rPr>
        <w:t xml:space="preserve">poglavlju </w:t>
      </w:r>
      <w:r w:rsidR="00567F61" w:rsidRPr="00567F61">
        <w:rPr>
          <w:rFonts w:eastAsia="Calibri" w:cstheme="minorHAnsi"/>
          <w:iCs/>
          <w:kern w:val="0"/>
          <w:sz w:val="24"/>
          <w:szCs w:val="24"/>
          <w:lang w:val="sr-Latn-ME"/>
          <w14:ligatures w14:val="none"/>
        </w:rPr>
        <w:t>2.</w:t>
      </w:r>
      <w:r w:rsidR="005F7D91">
        <w:rPr>
          <w:rFonts w:eastAsia="Calibri" w:cstheme="minorHAnsi"/>
          <w:iCs/>
          <w:kern w:val="0"/>
          <w:sz w:val="24"/>
          <w:szCs w:val="24"/>
          <w:lang w:val="sr-Latn-ME"/>
          <w14:ligatures w14:val="none"/>
        </w:rPr>
        <w:t>3</w:t>
      </w:r>
      <w:r w:rsidR="009065CD" w:rsidRPr="00567F61">
        <w:rPr>
          <w:rFonts w:eastAsia="Calibri" w:cstheme="minorHAnsi"/>
          <w:iCs/>
          <w:kern w:val="0"/>
          <w:sz w:val="24"/>
          <w:szCs w:val="24"/>
          <w:lang w:val="sr-Latn-ME"/>
          <w14:ligatures w14:val="none"/>
        </w:rPr>
        <w:t>.</w:t>
      </w:r>
    </w:p>
    <w:p w14:paraId="5421A7D8" w14:textId="58453FBD" w:rsidR="00B02BCB" w:rsidRPr="00B02BCB" w:rsidRDefault="00A72731" w:rsidP="00B02BCB">
      <w:pPr>
        <w:spacing w:before="100" w:beforeAutospacing="1" w:after="100" w:afterAutospacing="1" w:line="240" w:lineRule="auto"/>
        <w:jc w:val="both"/>
        <w:rPr>
          <w:rFonts w:ascii="Calibri" w:eastAsia="Calibri" w:hAnsi="Calibri" w:cs="Calibri"/>
          <w:iCs/>
          <w:kern w:val="0"/>
          <w:sz w:val="26"/>
          <w:szCs w:val="26"/>
          <w:lang w:val="sr-Latn-ME"/>
          <w14:ligatures w14:val="none"/>
        </w:rPr>
      </w:pPr>
      <w:r>
        <w:rPr>
          <w:noProof/>
        </w:rPr>
        <w:lastRenderedPageBreak/>
        <w:drawing>
          <wp:inline distT="0" distB="0" distL="0" distR="0" wp14:anchorId="73AB1DE2" wp14:editId="1E637000">
            <wp:extent cx="5974080" cy="2743200"/>
            <wp:effectExtent l="0" t="0" r="7620" b="0"/>
            <wp:docPr id="112043249" name="Chart 1">
              <a:extLst xmlns:a="http://schemas.openxmlformats.org/drawingml/2006/main">
                <a:ext uri="{FF2B5EF4-FFF2-40B4-BE49-F238E27FC236}">
                  <a16:creationId xmlns:a16="http://schemas.microsoft.com/office/drawing/2014/main" id="{BDB76EFA-E95F-E520-D525-8D50545309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303218" w14:textId="653FB01A" w:rsidR="00B1232E" w:rsidRPr="00BF69E2" w:rsidRDefault="00B02BCB" w:rsidP="00B02BCB">
      <w:pPr>
        <w:spacing w:before="100" w:beforeAutospacing="1" w:after="100" w:afterAutospacing="1" w:line="240" w:lineRule="auto"/>
        <w:jc w:val="both"/>
        <w:rPr>
          <w:rFonts w:ascii="Calibri Light" w:eastAsia="Calibri" w:hAnsi="Calibri Light" w:cs="Calibri Light"/>
          <w:bCs/>
          <w:i/>
          <w:kern w:val="0"/>
          <w:lang w:val="sr-Latn-ME"/>
          <w14:ligatures w14:val="none"/>
        </w:rPr>
      </w:pPr>
      <w:r w:rsidRPr="00BF69E2">
        <w:rPr>
          <w:rFonts w:ascii="Calibri Light" w:eastAsia="Calibri" w:hAnsi="Calibri Light" w:cs="Calibri Light"/>
          <w:bCs/>
          <w:i/>
          <w:kern w:val="0"/>
          <w:lang w:val="sr-Latn-ME"/>
          <w14:ligatures w14:val="none"/>
        </w:rPr>
        <w:t>Izvor: Monstat</w:t>
      </w:r>
      <w:r w:rsidR="00647C98" w:rsidRPr="00BF69E2">
        <w:rPr>
          <w:rFonts w:ascii="Calibri Light" w:eastAsia="Calibri" w:hAnsi="Calibri Light" w:cs="Calibri Light"/>
          <w:bCs/>
          <w:i/>
          <w:kern w:val="0"/>
          <w:lang w:val="sr-Latn-ME"/>
          <w14:ligatures w14:val="none"/>
        </w:rPr>
        <w:t xml:space="preserve">, administrativni </w:t>
      </w:r>
      <w:r w:rsidR="00A72731" w:rsidRPr="00BF69E2">
        <w:rPr>
          <w:rFonts w:ascii="Calibri Light" w:eastAsia="Calibri" w:hAnsi="Calibri Light" w:cs="Calibri Light"/>
          <w:bCs/>
          <w:i/>
          <w:kern w:val="0"/>
          <w:lang w:val="sr-Latn-ME"/>
          <w14:ligatures w14:val="none"/>
        </w:rPr>
        <w:t xml:space="preserve">i anketni </w:t>
      </w:r>
      <w:r w:rsidR="00647C98" w:rsidRPr="00BF69E2">
        <w:rPr>
          <w:rFonts w:ascii="Calibri Light" w:eastAsia="Calibri" w:hAnsi="Calibri Light" w:cs="Calibri Light"/>
          <w:bCs/>
          <w:i/>
          <w:kern w:val="0"/>
          <w:lang w:val="sr-Latn-ME"/>
          <w14:ligatures w14:val="none"/>
        </w:rPr>
        <w:t>podaci o zaposlenosti</w:t>
      </w:r>
      <w:r w:rsidR="00A72731" w:rsidRPr="00BF69E2">
        <w:rPr>
          <w:rFonts w:ascii="Calibri Light" w:eastAsia="Calibri" w:hAnsi="Calibri Light" w:cs="Calibri Light"/>
          <w:bCs/>
          <w:i/>
          <w:kern w:val="0"/>
          <w:lang w:val="sr-Latn-ME"/>
          <w14:ligatures w14:val="none"/>
        </w:rPr>
        <w:t>. Napomena, u 2021.</w:t>
      </w:r>
      <w:r w:rsidR="00B67D63">
        <w:rPr>
          <w:rFonts w:ascii="Calibri Light" w:eastAsia="Calibri" w:hAnsi="Calibri Light" w:cs="Calibri Light"/>
          <w:bCs/>
          <w:i/>
          <w:kern w:val="0"/>
          <w:lang w:val="sr-Latn-ME"/>
          <w14:ligatures w14:val="none"/>
        </w:rPr>
        <w:t xml:space="preserve"> </w:t>
      </w:r>
      <w:r w:rsidR="00A72731" w:rsidRPr="00BF69E2">
        <w:rPr>
          <w:rFonts w:ascii="Calibri Light" w:eastAsia="Calibri" w:hAnsi="Calibri Light" w:cs="Calibri Light"/>
          <w:bCs/>
          <w:i/>
          <w:kern w:val="0"/>
          <w:lang w:val="sr-Latn-ME"/>
          <w14:ligatures w14:val="none"/>
        </w:rPr>
        <w:t>godini je izmijenjena metodoologija za ARS</w:t>
      </w:r>
    </w:p>
    <w:p w14:paraId="4A7235F5" w14:textId="5292C17B" w:rsidR="00B02BCB" w:rsidRPr="00B67D63" w:rsidRDefault="00092DF7" w:rsidP="00680BA6">
      <w:pPr>
        <w:spacing w:after="150" w:line="276" w:lineRule="auto"/>
        <w:jc w:val="both"/>
        <w:rPr>
          <w:rFonts w:eastAsia="Calibri" w:cstheme="minorHAnsi"/>
          <w:color w:val="002060"/>
          <w:kern w:val="0"/>
          <w:sz w:val="24"/>
          <w:szCs w:val="24"/>
          <w:lang w:val="pl-PL"/>
          <w14:ligatures w14:val="none"/>
        </w:rPr>
      </w:pPr>
      <w:bookmarkStart w:id="7" w:name="_Hlk145576986"/>
      <w:r w:rsidRPr="00B67D63">
        <w:rPr>
          <w:rFonts w:eastAsia="Calibri" w:cstheme="minorHAnsi"/>
          <w:color w:val="002060"/>
          <w:kern w:val="0"/>
          <w:sz w:val="24"/>
          <w:szCs w:val="24"/>
          <w:lang w:val="pl-PL"/>
          <w14:ligatures w14:val="none"/>
        </w:rPr>
        <w:t xml:space="preserve">2.1.2 </w:t>
      </w:r>
      <w:r w:rsidR="005E144E" w:rsidRPr="00B67D63">
        <w:rPr>
          <w:rFonts w:eastAsia="Calibri" w:cstheme="minorHAnsi"/>
          <w:color w:val="002060"/>
          <w:kern w:val="0"/>
          <w:sz w:val="24"/>
          <w:szCs w:val="24"/>
          <w:lang w:val="pl-PL"/>
          <w14:ligatures w14:val="none"/>
        </w:rPr>
        <w:t xml:space="preserve">Uticaj ekonomskih ciklusa na prihode </w:t>
      </w:r>
      <w:r w:rsidR="001C0B69" w:rsidRPr="00B67D63">
        <w:rPr>
          <w:rFonts w:eastAsia="Calibri" w:cstheme="minorHAnsi"/>
          <w:color w:val="002060"/>
          <w:kern w:val="0"/>
          <w:sz w:val="24"/>
          <w:szCs w:val="24"/>
          <w:lang w:val="pl-PL"/>
          <w14:ligatures w14:val="none"/>
        </w:rPr>
        <w:t xml:space="preserve">i rashode </w:t>
      </w:r>
      <w:r w:rsidR="005E144E" w:rsidRPr="00B67D63">
        <w:rPr>
          <w:rFonts w:eastAsia="Calibri" w:cstheme="minorHAnsi"/>
          <w:color w:val="002060"/>
          <w:kern w:val="0"/>
          <w:sz w:val="24"/>
          <w:szCs w:val="24"/>
          <w:lang w:val="pl-PL"/>
          <w14:ligatures w14:val="none"/>
        </w:rPr>
        <w:t>budžeta</w:t>
      </w:r>
    </w:p>
    <w:bookmarkEnd w:id="7"/>
    <w:p w14:paraId="3E04C9B6" w14:textId="2EE03AD0" w:rsidR="004C18BA" w:rsidRDefault="004C18BA" w:rsidP="00BF69E2">
      <w:pPr>
        <w:spacing w:after="0" w:line="276" w:lineRule="auto"/>
        <w:jc w:val="both"/>
        <w:rPr>
          <w:rFonts w:eastAsia="Calibri" w:cstheme="minorHAnsi"/>
          <w:kern w:val="0"/>
          <w:sz w:val="24"/>
          <w:szCs w:val="24"/>
          <w:lang w:val="sr-Latn-ME"/>
          <w14:ligatures w14:val="none"/>
        </w:rPr>
      </w:pPr>
      <w:r w:rsidRPr="00BB74A1">
        <w:rPr>
          <w:rFonts w:eastAsia="Calibri" w:cstheme="minorHAnsi"/>
          <w:b/>
          <w:bCs/>
          <w:kern w:val="0"/>
          <w:sz w:val="24"/>
          <w:szCs w:val="24"/>
          <w:lang w:val="sr-Latn-ME"/>
          <w14:ligatures w14:val="none"/>
        </w:rPr>
        <w:t>U p</w:t>
      </w:r>
      <w:r w:rsidR="00FF212F" w:rsidRPr="00BB74A1">
        <w:rPr>
          <w:rFonts w:eastAsia="Calibri" w:cstheme="minorHAnsi"/>
          <w:b/>
          <w:bCs/>
          <w:kern w:val="0"/>
          <w:sz w:val="24"/>
          <w:szCs w:val="24"/>
          <w:lang w:val="sr-Latn-ME"/>
          <w14:ligatures w14:val="none"/>
        </w:rPr>
        <w:t>eriodu 2012-20</w:t>
      </w:r>
      <w:r w:rsidR="005D33C2" w:rsidRPr="00BB74A1">
        <w:rPr>
          <w:rFonts w:eastAsia="Calibri" w:cstheme="minorHAnsi"/>
          <w:b/>
          <w:bCs/>
          <w:kern w:val="0"/>
          <w:sz w:val="24"/>
          <w:szCs w:val="24"/>
          <w:lang w:val="sr-Latn-ME"/>
          <w14:ligatures w14:val="none"/>
        </w:rPr>
        <w:t>21</w:t>
      </w:r>
      <w:r w:rsidR="00FF212F" w:rsidRPr="00BB74A1">
        <w:rPr>
          <w:rFonts w:eastAsia="Calibri" w:cstheme="minorHAnsi"/>
          <w:b/>
          <w:bCs/>
          <w:kern w:val="0"/>
          <w:sz w:val="24"/>
          <w:szCs w:val="24"/>
          <w:lang w:val="sr-Latn-ME"/>
          <w14:ligatures w14:val="none"/>
        </w:rPr>
        <w:t>.</w:t>
      </w:r>
      <w:r w:rsidR="00A84AB8">
        <w:rPr>
          <w:rFonts w:eastAsia="Calibri" w:cstheme="minorHAnsi"/>
          <w:b/>
          <w:bCs/>
          <w:kern w:val="0"/>
          <w:sz w:val="24"/>
          <w:szCs w:val="24"/>
          <w:lang w:val="sr-Latn-ME"/>
          <w14:ligatures w14:val="none"/>
        </w:rPr>
        <w:t xml:space="preserve"> </w:t>
      </w:r>
      <w:r w:rsidR="00FF212F" w:rsidRPr="00BB74A1">
        <w:rPr>
          <w:rFonts w:eastAsia="Calibri" w:cstheme="minorHAnsi"/>
          <w:b/>
          <w:bCs/>
          <w:kern w:val="0"/>
          <w:sz w:val="24"/>
          <w:szCs w:val="24"/>
          <w:lang w:val="sr-Latn-ME"/>
          <w14:ligatures w14:val="none"/>
        </w:rPr>
        <w:t>godina,</w:t>
      </w:r>
      <w:r w:rsidRPr="00BB74A1">
        <w:rPr>
          <w:rFonts w:eastAsia="Calibri" w:cstheme="minorHAnsi"/>
          <w:b/>
          <w:bCs/>
          <w:kern w:val="0"/>
          <w:sz w:val="24"/>
          <w:szCs w:val="24"/>
          <w:lang w:val="sr-Latn-ME"/>
          <w14:ligatures w14:val="none"/>
        </w:rPr>
        <w:t xml:space="preserve"> </w:t>
      </w:r>
      <w:r w:rsidR="001F29E7" w:rsidRPr="00BB74A1">
        <w:rPr>
          <w:rFonts w:eastAsia="Calibri" w:cstheme="minorHAnsi"/>
          <w:b/>
          <w:bCs/>
          <w:kern w:val="0"/>
          <w:sz w:val="24"/>
          <w:szCs w:val="24"/>
          <w:lang w:val="sr-Latn-ME"/>
          <w14:ligatures w14:val="none"/>
        </w:rPr>
        <w:t xml:space="preserve">izvorni </w:t>
      </w:r>
      <w:r w:rsidRPr="00BB74A1">
        <w:rPr>
          <w:rFonts w:eastAsia="Calibri" w:cstheme="minorHAnsi"/>
          <w:b/>
          <w:bCs/>
          <w:kern w:val="0"/>
          <w:sz w:val="24"/>
          <w:szCs w:val="24"/>
          <w:lang w:val="sr-Latn-ME"/>
          <w14:ligatures w14:val="none"/>
        </w:rPr>
        <w:t xml:space="preserve">prihodi </w:t>
      </w:r>
      <w:r w:rsidR="001F29E7" w:rsidRPr="00BB74A1">
        <w:rPr>
          <w:rFonts w:eastAsia="Calibri" w:cstheme="minorHAnsi"/>
          <w:b/>
          <w:bCs/>
          <w:kern w:val="0"/>
          <w:sz w:val="24"/>
          <w:szCs w:val="24"/>
          <w:lang w:val="sr-Latn-ME"/>
          <w14:ligatures w14:val="none"/>
        </w:rPr>
        <w:t xml:space="preserve">budžeta </w:t>
      </w:r>
      <w:r w:rsidRPr="00BB74A1">
        <w:rPr>
          <w:rFonts w:eastAsia="Calibri" w:cstheme="minorHAnsi"/>
          <w:b/>
          <w:bCs/>
          <w:kern w:val="0"/>
          <w:sz w:val="24"/>
          <w:szCs w:val="24"/>
          <w:lang w:val="sr-Latn-ME"/>
          <w14:ligatures w14:val="none"/>
        </w:rPr>
        <w:t>su</w:t>
      </w:r>
      <w:r w:rsidR="00A03DDB" w:rsidRPr="00BB74A1">
        <w:rPr>
          <w:rFonts w:eastAsia="Calibri" w:cstheme="minorHAnsi"/>
          <w:b/>
          <w:bCs/>
          <w:kern w:val="0"/>
          <w:sz w:val="24"/>
          <w:szCs w:val="24"/>
          <w:lang w:val="sr-Latn-ME"/>
          <w14:ligatures w14:val="none"/>
        </w:rPr>
        <w:t xml:space="preserve"> </w:t>
      </w:r>
      <w:r w:rsidR="005D33C2" w:rsidRPr="00BB74A1">
        <w:rPr>
          <w:rFonts w:eastAsia="Calibri" w:cstheme="minorHAnsi"/>
          <w:b/>
          <w:bCs/>
          <w:kern w:val="0"/>
          <w:sz w:val="24"/>
          <w:szCs w:val="24"/>
          <w:lang w:val="sr-Latn-ME"/>
          <w14:ligatures w14:val="none"/>
        </w:rPr>
        <w:t xml:space="preserve">u prosjeku bili između </w:t>
      </w:r>
      <w:r w:rsidR="00FF212F" w:rsidRPr="00BB74A1">
        <w:rPr>
          <w:rFonts w:eastAsia="Calibri" w:cstheme="minorHAnsi"/>
          <w:b/>
          <w:bCs/>
          <w:kern w:val="0"/>
          <w:sz w:val="24"/>
          <w:szCs w:val="24"/>
          <w:lang w:val="sr-Latn-ME"/>
          <w14:ligatures w14:val="none"/>
        </w:rPr>
        <w:t xml:space="preserve"> 3</w:t>
      </w:r>
      <w:r w:rsidR="005D33C2" w:rsidRPr="00BB74A1">
        <w:rPr>
          <w:rFonts w:eastAsia="Calibri" w:cstheme="minorHAnsi"/>
          <w:b/>
          <w:bCs/>
          <w:kern w:val="0"/>
          <w:sz w:val="24"/>
          <w:szCs w:val="24"/>
          <w:lang w:val="sr-Latn-ME"/>
          <w14:ligatures w14:val="none"/>
        </w:rPr>
        <w:t>7</w:t>
      </w:r>
      <w:r w:rsidR="00FF212F" w:rsidRPr="00BB74A1">
        <w:rPr>
          <w:rFonts w:eastAsia="Calibri" w:cstheme="minorHAnsi"/>
          <w:b/>
          <w:bCs/>
          <w:kern w:val="0"/>
          <w:sz w:val="24"/>
          <w:szCs w:val="24"/>
          <w:lang w:val="sr-Latn-ME"/>
          <w14:ligatures w14:val="none"/>
        </w:rPr>
        <w:t>-39% BDP</w:t>
      </w:r>
      <w:r w:rsidR="00BB74A1">
        <w:rPr>
          <w:rFonts w:eastAsia="Calibri" w:cstheme="minorHAnsi"/>
          <w:kern w:val="0"/>
          <w:sz w:val="24"/>
          <w:szCs w:val="24"/>
          <w:lang w:val="sr-Latn-ME"/>
          <w14:ligatures w14:val="none"/>
        </w:rPr>
        <w:t xml:space="preserve">, </w:t>
      </w:r>
      <w:r w:rsidR="00BB74A1" w:rsidRPr="00BB74A1">
        <w:rPr>
          <w:rFonts w:eastAsia="Calibri" w:cstheme="minorHAnsi"/>
          <w:b/>
          <w:bCs/>
          <w:kern w:val="0"/>
          <w:sz w:val="24"/>
          <w:szCs w:val="24"/>
          <w:lang w:val="sr-Latn-ME"/>
          <w14:ligatures w14:val="none"/>
        </w:rPr>
        <w:t>što je blizu EU prosjeka.</w:t>
      </w:r>
      <w:r w:rsidR="001F29E7" w:rsidRPr="00281886">
        <w:rPr>
          <w:rFonts w:eastAsia="Calibri" w:cstheme="minorHAnsi"/>
          <w:kern w:val="0"/>
          <w:sz w:val="24"/>
          <w:szCs w:val="24"/>
          <w:lang w:val="sr-Latn-ME"/>
          <w14:ligatures w14:val="none"/>
        </w:rPr>
        <w:t xml:space="preserve"> U 2022.</w:t>
      </w:r>
      <w:r w:rsidR="00CC5B95">
        <w:rPr>
          <w:rFonts w:eastAsia="Calibri" w:cstheme="minorHAnsi"/>
          <w:kern w:val="0"/>
          <w:sz w:val="24"/>
          <w:szCs w:val="24"/>
          <w:lang w:val="sr-Latn-ME"/>
          <w14:ligatures w14:val="none"/>
        </w:rPr>
        <w:t xml:space="preserve"> </w:t>
      </w:r>
      <w:r w:rsidR="001F29E7" w:rsidRPr="00281886">
        <w:rPr>
          <w:rFonts w:eastAsia="Calibri" w:cstheme="minorHAnsi"/>
          <w:kern w:val="0"/>
          <w:sz w:val="24"/>
          <w:szCs w:val="24"/>
          <w:lang w:val="sr-Latn-ME"/>
          <w14:ligatures w14:val="none"/>
        </w:rPr>
        <w:t xml:space="preserve">godini, </w:t>
      </w:r>
      <w:r w:rsidR="00FF212F" w:rsidRPr="00281886">
        <w:rPr>
          <w:rFonts w:eastAsia="Calibri" w:cstheme="minorHAnsi"/>
          <w:kern w:val="0"/>
          <w:sz w:val="24"/>
          <w:szCs w:val="24"/>
          <w:lang w:val="sr-Latn-ME"/>
          <w14:ligatures w14:val="none"/>
        </w:rPr>
        <w:t>kada je nivo BDP vraćen na pretkrizni period, usljed kratkoročih efekata reforme poreske politike (tj. ukidanja doprinosa na obavezn</w:t>
      </w:r>
      <w:r w:rsidR="00EE4035">
        <w:rPr>
          <w:rFonts w:eastAsia="Calibri" w:cstheme="minorHAnsi"/>
          <w:kern w:val="0"/>
          <w:sz w:val="24"/>
          <w:szCs w:val="24"/>
          <w:lang w:val="sr-Latn-ME"/>
          <w14:ligatures w14:val="none"/>
        </w:rPr>
        <w:t>o</w:t>
      </w:r>
      <w:r w:rsidR="00FF212F" w:rsidRPr="00281886">
        <w:rPr>
          <w:rFonts w:eastAsia="Calibri" w:cstheme="minorHAnsi"/>
          <w:kern w:val="0"/>
          <w:sz w:val="24"/>
          <w:szCs w:val="24"/>
          <w:lang w:val="sr-Latn-ME"/>
          <w14:ligatures w14:val="none"/>
        </w:rPr>
        <w:t xml:space="preserve"> z</w:t>
      </w:r>
      <w:r w:rsidR="00B1232E">
        <w:rPr>
          <w:rFonts w:eastAsia="Calibri" w:cstheme="minorHAnsi"/>
          <w:kern w:val="0"/>
          <w:sz w:val="24"/>
          <w:szCs w:val="24"/>
          <w:lang w:val="sr-Latn-ME"/>
          <w14:ligatures w14:val="none"/>
        </w:rPr>
        <w:t>d</w:t>
      </w:r>
      <w:r w:rsidR="00FF212F" w:rsidRPr="00281886">
        <w:rPr>
          <w:rFonts w:eastAsia="Calibri" w:cstheme="minorHAnsi"/>
          <w:kern w:val="0"/>
          <w:sz w:val="24"/>
          <w:szCs w:val="24"/>
          <w:lang w:val="sr-Latn-ME"/>
          <w14:ligatures w14:val="none"/>
        </w:rPr>
        <w:t>ravstveno osiguranje, kao i uvo</w:t>
      </w:r>
      <w:r w:rsidR="00B1232E">
        <w:rPr>
          <w:rFonts w:eastAsia="Calibri" w:cstheme="minorHAnsi"/>
          <w:kern w:val="0"/>
          <w:sz w:val="24"/>
          <w:szCs w:val="24"/>
          <w:lang w:val="sr-Latn-ME"/>
          <w14:ligatures w14:val="none"/>
        </w:rPr>
        <w:t>đ</w:t>
      </w:r>
      <w:r w:rsidR="005D33C2">
        <w:rPr>
          <w:rFonts w:eastAsia="Calibri" w:cstheme="minorHAnsi"/>
          <w:kern w:val="0"/>
          <w:sz w:val="24"/>
          <w:szCs w:val="24"/>
          <w:lang w:val="sr-Latn-ME"/>
          <w14:ligatures w14:val="none"/>
        </w:rPr>
        <w:t>en</w:t>
      </w:r>
      <w:r w:rsidR="00FF212F" w:rsidRPr="00281886">
        <w:rPr>
          <w:rFonts w:eastAsia="Calibri" w:cstheme="minorHAnsi"/>
          <w:kern w:val="0"/>
          <w:sz w:val="24"/>
          <w:szCs w:val="24"/>
          <w:lang w:val="sr-Latn-ME"/>
          <w14:ligatures w14:val="none"/>
        </w:rPr>
        <w:t>ja nulte stope p</w:t>
      </w:r>
      <w:r w:rsidR="005D33C2">
        <w:rPr>
          <w:rFonts w:eastAsia="Calibri" w:cstheme="minorHAnsi"/>
          <w:kern w:val="0"/>
          <w:sz w:val="24"/>
          <w:szCs w:val="24"/>
          <w:lang w:val="sr-Latn-ME"/>
          <w14:ligatures w14:val="none"/>
        </w:rPr>
        <w:t>or</w:t>
      </w:r>
      <w:r w:rsidR="00FF212F" w:rsidRPr="00281886">
        <w:rPr>
          <w:rFonts w:eastAsia="Calibri" w:cstheme="minorHAnsi"/>
          <w:kern w:val="0"/>
          <w:sz w:val="24"/>
          <w:szCs w:val="24"/>
          <w:lang w:val="sr-Latn-ME"/>
          <w14:ligatures w14:val="none"/>
        </w:rPr>
        <w:t>eza na d</w:t>
      </w:r>
      <w:r w:rsidR="00CC5B95">
        <w:rPr>
          <w:rFonts w:eastAsia="Calibri" w:cstheme="minorHAnsi"/>
          <w:kern w:val="0"/>
          <w:sz w:val="24"/>
          <w:szCs w:val="24"/>
          <w:lang w:val="sr-Latn-ME"/>
          <w14:ligatures w14:val="none"/>
        </w:rPr>
        <w:t>ohodak</w:t>
      </w:r>
      <w:r w:rsidR="00FF212F" w:rsidRPr="00281886">
        <w:rPr>
          <w:rFonts w:eastAsia="Calibri" w:cstheme="minorHAnsi"/>
          <w:kern w:val="0"/>
          <w:sz w:val="24"/>
          <w:szCs w:val="24"/>
          <w:lang w:val="sr-Latn-ME"/>
          <w14:ligatures w14:val="none"/>
        </w:rPr>
        <w:t xml:space="preserve"> fizi</w:t>
      </w:r>
      <w:r w:rsidR="00AC7CAF">
        <w:rPr>
          <w:rFonts w:eastAsia="Calibri" w:cstheme="minorHAnsi"/>
          <w:kern w:val="0"/>
          <w:sz w:val="24"/>
          <w:szCs w:val="24"/>
          <w:lang w:val="sr-Latn-ME"/>
          <w14:ligatures w14:val="none"/>
        </w:rPr>
        <w:t>č</w:t>
      </w:r>
      <w:r w:rsidR="00FF212F" w:rsidRPr="00281886">
        <w:rPr>
          <w:rFonts w:eastAsia="Calibri" w:cstheme="minorHAnsi"/>
          <w:kern w:val="0"/>
          <w:sz w:val="24"/>
          <w:szCs w:val="24"/>
          <w:lang w:val="sr-Latn-ME"/>
          <w14:ligatures w14:val="none"/>
        </w:rPr>
        <w:t xml:space="preserve">kih lica na bruto zarade </w:t>
      </w:r>
      <w:r w:rsidR="005D33C2">
        <w:rPr>
          <w:rFonts w:eastAsia="Calibri" w:cstheme="minorHAnsi"/>
          <w:kern w:val="0"/>
          <w:sz w:val="24"/>
          <w:szCs w:val="24"/>
          <w:lang w:val="sr-Latn-ME"/>
          <w14:ligatures w14:val="none"/>
        </w:rPr>
        <w:t>do</w:t>
      </w:r>
      <w:r w:rsidR="00FF212F" w:rsidRPr="00281886">
        <w:rPr>
          <w:rFonts w:eastAsia="Calibri" w:cstheme="minorHAnsi"/>
          <w:kern w:val="0"/>
          <w:sz w:val="24"/>
          <w:szCs w:val="24"/>
          <w:lang w:val="sr-Latn-ME"/>
          <w14:ligatures w14:val="none"/>
        </w:rPr>
        <w:t xml:space="preserve"> 700 eura), izvorni prihodi </w:t>
      </w:r>
      <w:r w:rsidR="005D33C2">
        <w:rPr>
          <w:rFonts w:eastAsia="Calibri" w:cstheme="minorHAnsi"/>
          <w:kern w:val="0"/>
          <w:sz w:val="24"/>
          <w:szCs w:val="24"/>
          <w:lang w:val="sr-Latn-ME"/>
          <w14:ligatures w14:val="none"/>
        </w:rPr>
        <w:t xml:space="preserve">centralnog </w:t>
      </w:r>
      <w:r w:rsidR="00FF212F" w:rsidRPr="00281886">
        <w:rPr>
          <w:rFonts w:eastAsia="Calibri" w:cstheme="minorHAnsi"/>
          <w:kern w:val="0"/>
          <w:sz w:val="24"/>
          <w:szCs w:val="24"/>
          <w:lang w:val="sr-Latn-ME"/>
          <w14:ligatures w14:val="none"/>
        </w:rPr>
        <w:t>budžeta su smanjeni na oko 35% BDP</w:t>
      </w:r>
      <w:r w:rsidR="001B558D"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 xml:space="preserve"> </w:t>
      </w:r>
      <w:r w:rsidR="001B558D" w:rsidRPr="00281886">
        <w:rPr>
          <w:rFonts w:eastAsia="Calibri" w:cstheme="minorHAnsi"/>
          <w:kern w:val="0"/>
          <w:sz w:val="24"/>
          <w:szCs w:val="24"/>
          <w:lang w:val="sr-Latn-ME"/>
          <w14:ligatures w14:val="none"/>
        </w:rPr>
        <w:t xml:space="preserve">Kao </w:t>
      </w:r>
      <w:r w:rsidRPr="00281886">
        <w:rPr>
          <w:rFonts w:eastAsia="Calibri" w:cstheme="minorHAnsi"/>
          <w:kern w:val="0"/>
          <w:sz w:val="24"/>
          <w:szCs w:val="24"/>
          <w:lang w:val="sr-Latn-ME"/>
          <w14:ligatures w14:val="none"/>
        </w:rPr>
        <w:t xml:space="preserve"> kompenzatorn</w:t>
      </w:r>
      <w:r w:rsidR="001B558D" w:rsidRPr="00281886">
        <w:rPr>
          <w:rFonts w:eastAsia="Calibri" w:cstheme="minorHAnsi"/>
          <w:kern w:val="0"/>
          <w:sz w:val="24"/>
          <w:szCs w:val="24"/>
          <w:lang w:val="sr-Latn-ME"/>
          <w14:ligatures w14:val="none"/>
        </w:rPr>
        <w:t>e</w:t>
      </w:r>
      <w:r w:rsidRPr="00281886">
        <w:rPr>
          <w:rFonts w:eastAsia="Calibri" w:cstheme="minorHAnsi"/>
          <w:kern w:val="0"/>
          <w:sz w:val="24"/>
          <w:szCs w:val="24"/>
          <w:lang w:val="sr-Latn-ME"/>
          <w14:ligatures w14:val="none"/>
        </w:rPr>
        <w:t xml:space="preserve"> mjer</w:t>
      </w:r>
      <w:r w:rsidR="001B558D" w:rsidRPr="00281886">
        <w:rPr>
          <w:rFonts w:eastAsia="Calibri" w:cstheme="minorHAnsi"/>
          <w:kern w:val="0"/>
          <w:sz w:val="24"/>
          <w:szCs w:val="24"/>
          <w:lang w:val="sr-Latn-ME"/>
          <w14:ligatures w14:val="none"/>
        </w:rPr>
        <w:t>e</w:t>
      </w:r>
      <w:r w:rsidR="00FF212F" w:rsidRPr="00281886">
        <w:rPr>
          <w:rFonts w:eastAsia="Calibri" w:cstheme="minorHAnsi"/>
          <w:kern w:val="0"/>
          <w:sz w:val="24"/>
          <w:szCs w:val="24"/>
          <w:lang w:val="sr-Latn-ME"/>
          <w14:ligatures w14:val="none"/>
        </w:rPr>
        <w:t xml:space="preserve"> ukidanja ili smanjenja pojedinih kategorija poreza i doprinosa, </w:t>
      </w:r>
      <w:r w:rsidRPr="00281886">
        <w:rPr>
          <w:rFonts w:eastAsia="Calibri" w:cstheme="minorHAnsi"/>
          <w:kern w:val="0"/>
          <w:sz w:val="24"/>
          <w:szCs w:val="24"/>
          <w:lang w:val="sr-Latn-ME"/>
          <w14:ligatures w14:val="none"/>
        </w:rPr>
        <w:t xml:space="preserve">uvedeno </w:t>
      </w:r>
      <w:r w:rsidR="001B558D" w:rsidRPr="00281886">
        <w:rPr>
          <w:rFonts w:eastAsia="Calibri" w:cstheme="minorHAnsi"/>
          <w:kern w:val="0"/>
          <w:sz w:val="24"/>
          <w:szCs w:val="24"/>
          <w:lang w:val="sr-Latn-ME"/>
          <w14:ligatures w14:val="none"/>
        </w:rPr>
        <w:t xml:space="preserve">je </w:t>
      </w:r>
      <w:r w:rsidR="00395A2B">
        <w:rPr>
          <w:rFonts w:eastAsia="Calibri" w:cstheme="minorHAnsi"/>
          <w:kern w:val="0"/>
          <w:sz w:val="24"/>
          <w:szCs w:val="24"/>
          <w:lang w:val="sr-Latn-ME"/>
          <w14:ligatures w14:val="none"/>
        </w:rPr>
        <w:t xml:space="preserve">progresivno </w:t>
      </w:r>
      <w:r w:rsidRPr="00281886">
        <w:rPr>
          <w:rFonts w:eastAsia="Calibri" w:cstheme="minorHAnsi"/>
          <w:kern w:val="0"/>
          <w:sz w:val="24"/>
          <w:szCs w:val="24"/>
          <w:lang w:val="sr-Latn-ME"/>
          <w14:ligatures w14:val="none"/>
        </w:rPr>
        <w:t>oporezivanje dohotka</w:t>
      </w:r>
      <w:r w:rsidR="001B558D" w:rsidRPr="00281886">
        <w:rPr>
          <w:rFonts w:eastAsia="Calibri" w:cstheme="minorHAnsi"/>
          <w:kern w:val="0"/>
          <w:sz w:val="24"/>
          <w:szCs w:val="24"/>
          <w:lang w:val="sr-Latn-ME"/>
          <w14:ligatures w14:val="none"/>
        </w:rPr>
        <w:t xml:space="preserve"> iznad 700 eura bruto, kao </w:t>
      </w:r>
      <w:r w:rsidRPr="00281886">
        <w:rPr>
          <w:rFonts w:eastAsia="Calibri" w:cstheme="minorHAnsi"/>
          <w:kern w:val="0"/>
          <w:sz w:val="24"/>
          <w:szCs w:val="24"/>
          <w:lang w:val="sr-Latn-ME"/>
          <w14:ligatures w14:val="none"/>
        </w:rPr>
        <w:t xml:space="preserve"> i </w:t>
      </w:r>
      <w:r w:rsidR="00FF212F" w:rsidRPr="00281886">
        <w:rPr>
          <w:rFonts w:eastAsia="Calibri" w:cstheme="minorHAnsi"/>
          <w:kern w:val="0"/>
          <w:sz w:val="24"/>
          <w:szCs w:val="24"/>
          <w:lang w:val="sr-Latn-ME"/>
          <w14:ligatures w14:val="none"/>
        </w:rPr>
        <w:t xml:space="preserve">progresivno oporezivanje </w:t>
      </w:r>
      <w:r w:rsidRPr="00281886">
        <w:rPr>
          <w:rFonts w:eastAsia="Calibri" w:cstheme="minorHAnsi"/>
          <w:kern w:val="0"/>
          <w:sz w:val="24"/>
          <w:szCs w:val="24"/>
          <w:lang w:val="sr-Latn-ME"/>
          <w14:ligatures w14:val="none"/>
        </w:rPr>
        <w:t>dobiti</w:t>
      </w:r>
      <w:r w:rsidR="001B558D" w:rsidRPr="00281886">
        <w:rPr>
          <w:rFonts w:eastAsia="Calibri" w:cstheme="minorHAnsi"/>
          <w:kern w:val="0"/>
          <w:sz w:val="24"/>
          <w:szCs w:val="24"/>
          <w:lang w:val="sr-Latn-ME"/>
          <w14:ligatures w14:val="none"/>
        </w:rPr>
        <w:t>. Pored toga,  inflacija i povećanje ekonomske akivn</w:t>
      </w:r>
      <w:r w:rsidR="00FF212F" w:rsidRPr="00281886">
        <w:rPr>
          <w:rFonts w:eastAsia="Calibri" w:cstheme="minorHAnsi"/>
          <w:kern w:val="0"/>
          <w:sz w:val="24"/>
          <w:szCs w:val="24"/>
          <w:lang w:val="sr-Latn-ME"/>
          <w14:ligatures w14:val="none"/>
        </w:rPr>
        <w:t>osti</w:t>
      </w:r>
      <w:r w:rsidR="001B558D" w:rsidRPr="00281886">
        <w:rPr>
          <w:rFonts w:eastAsia="Calibri" w:cstheme="minorHAnsi"/>
          <w:kern w:val="0"/>
          <w:sz w:val="24"/>
          <w:szCs w:val="24"/>
          <w:lang w:val="sr-Latn-ME"/>
          <w14:ligatures w14:val="none"/>
        </w:rPr>
        <w:t xml:space="preserve"> uticali </w:t>
      </w:r>
      <w:r w:rsidR="00EE4035">
        <w:rPr>
          <w:rFonts w:eastAsia="Calibri" w:cstheme="minorHAnsi"/>
          <w:kern w:val="0"/>
          <w:sz w:val="24"/>
          <w:szCs w:val="24"/>
          <w:lang w:val="sr-Latn-ME"/>
          <w14:ligatures w14:val="none"/>
        </w:rPr>
        <w:t xml:space="preserve">su </w:t>
      </w:r>
      <w:r w:rsidR="001B558D" w:rsidRPr="00281886">
        <w:rPr>
          <w:rFonts w:eastAsia="Calibri" w:cstheme="minorHAnsi"/>
          <w:kern w:val="0"/>
          <w:sz w:val="24"/>
          <w:szCs w:val="24"/>
          <w:lang w:val="sr-Latn-ME"/>
          <w14:ligatures w14:val="none"/>
        </w:rPr>
        <w:t>na povećanje prihoda od PDV-a u 2022. i 2023.</w:t>
      </w:r>
      <w:r w:rsidR="00FF212F" w:rsidRPr="00281886">
        <w:rPr>
          <w:rFonts w:eastAsia="Calibri" w:cstheme="minorHAnsi"/>
          <w:kern w:val="0"/>
          <w:sz w:val="24"/>
          <w:szCs w:val="24"/>
          <w:lang w:val="sr-Latn-ME"/>
          <w14:ligatures w14:val="none"/>
        </w:rPr>
        <w:t xml:space="preserve"> </w:t>
      </w:r>
      <w:r w:rsidR="001B558D" w:rsidRPr="00281886">
        <w:rPr>
          <w:rFonts w:eastAsia="Calibri" w:cstheme="minorHAnsi"/>
          <w:kern w:val="0"/>
          <w:sz w:val="24"/>
          <w:szCs w:val="24"/>
          <w:lang w:val="sr-Latn-ME"/>
          <w14:ligatures w14:val="none"/>
        </w:rPr>
        <w:t xml:space="preserve">godini, što je značajno nadomjestilo gubitak </w:t>
      </w:r>
      <w:r w:rsidR="00FF212F" w:rsidRPr="00281886">
        <w:rPr>
          <w:rFonts w:eastAsia="Calibri" w:cstheme="minorHAnsi"/>
          <w:kern w:val="0"/>
          <w:sz w:val="24"/>
          <w:szCs w:val="24"/>
          <w:lang w:val="sr-Latn-ME"/>
          <w14:ligatures w14:val="none"/>
        </w:rPr>
        <w:t>pr</w:t>
      </w:r>
      <w:r w:rsidR="001B558D" w:rsidRPr="00281886">
        <w:rPr>
          <w:rFonts w:eastAsia="Calibri" w:cstheme="minorHAnsi"/>
          <w:kern w:val="0"/>
          <w:sz w:val="24"/>
          <w:szCs w:val="24"/>
          <w:lang w:val="sr-Latn-ME"/>
          <w14:ligatures w14:val="none"/>
        </w:rPr>
        <w:t>ihoda od doprin</w:t>
      </w:r>
      <w:r w:rsidR="00FF212F" w:rsidRPr="00281886">
        <w:rPr>
          <w:rFonts w:eastAsia="Calibri" w:cstheme="minorHAnsi"/>
          <w:kern w:val="0"/>
          <w:sz w:val="24"/>
          <w:szCs w:val="24"/>
          <w:lang w:val="sr-Latn-ME"/>
          <w14:ligatures w14:val="none"/>
        </w:rPr>
        <w:t>osa</w:t>
      </w:r>
      <w:r w:rsidR="001B558D" w:rsidRPr="00281886">
        <w:rPr>
          <w:rFonts w:eastAsia="Calibri" w:cstheme="minorHAnsi"/>
          <w:kern w:val="0"/>
          <w:sz w:val="24"/>
          <w:szCs w:val="24"/>
          <w:lang w:val="sr-Latn-ME"/>
          <w14:ligatures w14:val="none"/>
        </w:rPr>
        <w:t xml:space="preserve"> na zdravstvo i dijela prihod</w:t>
      </w:r>
      <w:r w:rsidR="00FF212F" w:rsidRPr="00281886">
        <w:rPr>
          <w:rFonts w:eastAsia="Calibri" w:cstheme="minorHAnsi"/>
          <w:kern w:val="0"/>
          <w:sz w:val="24"/>
          <w:szCs w:val="24"/>
          <w:lang w:val="sr-Latn-ME"/>
          <w14:ligatures w14:val="none"/>
        </w:rPr>
        <w:t>a</w:t>
      </w:r>
      <w:r w:rsidR="001B558D" w:rsidRPr="00281886">
        <w:rPr>
          <w:rFonts w:eastAsia="Calibri" w:cstheme="minorHAnsi"/>
          <w:kern w:val="0"/>
          <w:sz w:val="24"/>
          <w:szCs w:val="24"/>
          <w:lang w:val="sr-Latn-ME"/>
          <w14:ligatures w14:val="none"/>
        </w:rPr>
        <w:t xml:space="preserve"> od poreza na dohodak fizičkih lica. Smanjenjem pore</w:t>
      </w:r>
      <w:r w:rsidR="0048506E" w:rsidRPr="00281886">
        <w:rPr>
          <w:rFonts w:eastAsia="Calibri" w:cstheme="minorHAnsi"/>
          <w:kern w:val="0"/>
          <w:sz w:val="24"/>
          <w:szCs w:val="24"/>
          <w:lang w:val="sr-Latn-ME"/>
          <w14:ligatures w14:val="none"/>
        </w:rPr>
        <w:t>sk</w:t>
      </w:r>
      <w:r w:rsidR="001B558D" w:rsidRPr="00281886">
        <w:rPr>
          <w:rFonts w:eastAsia="Calibri" w:cstheme="minorHAnsi"/>
          <w:kern w:val="0"/>
          <w:sz w:val="24"/>
          <w:szCs w:val="24"/>
          <w:lang w:val="sr-Latn-ME"/>
          <w14:ligatures w14:val="none"/>
        </w:rPr>
        <w:t>og opterećenja rada je proširena p</w:t>
      </w:r>
      <w:r w:rsidR="0048506E" w:rsidRPr="00281886">
        <w:rPr>
          <w:rFonts w:eastAsia="Calibri" w:cstheme="minorHAnsi"/>
          <w:kern w:val="0"/>
          <w:sz w:val="24"/>
          <w:szCs w:val="24"/>
          <w:lang w:val="sr-Latn-ME"/>
          <w14:ligatures w14:val="none"/>
        </w:rPr>
        <w:t>oreska</w:t>
      </w:r>
      <w:r w:rsidR="001B558D" w:rsidRPr="00281886">
        <w:rPr>
          <w:rFonts w:eastAsia="Calibri" w:cstheme="minorHAnsi"/>
          <w:kern w:val="0"/>
          <w:sz w:val="24"/>
          <w:szCs w:val="24"/>
          <w:lang w:val="sr-Latn-ME"/>
          <w14:ligatures w14:val="none"/>
        </w:rPr>
        <w:t xml:space="preserve"> osnovica, što s</w:t>
      </w:r>
      <w:r w:rsidR="00051D3A">
        <w:rPr>
          <w:rFonts w:eastAsia="Calibri" w:cstheme="minorHAnsi"/>
          <w:kern w:val="0"/>
          <w:sz w:val="24"/>
          <w:szCs w:val="24"/>
          <w:lang w:val="sr-Latn-ME"/>
          <w14:ligatures w14:val="none"/>
        </w:rPr>
        <w:t>e</w:t>
      </w:r>
      <w:r w:rsidR="001B558D" w:rsidRPr="00281886">
        <w:rPr>
          <w:rFonts w:eastAsia="Calibri" w:cstheme="minorHAnsi"/>
          <w:kern w:val="0"/>
          <w:sz w:val="24"/>
          <w:szCs w:val="24"/>
          <w:lang w:val="sr-Latn-ME"/>
          <w14:ligatures w14:val="none"/>
        </w:rPr>
        <w:t xml:space="preserve"> </w:t>
      </w:r>
      <w:r w:rsidR="00395A2B">
        <w:rPr>
          <w:rFonts w:eastAsia="Calibri" w:cstheme="minorHAnsi"/>
          <w:kern w:val="0"/>
          <w:sz w:val="24"/>
          <w:szCs w:val="24"/>
          <w:lang w:val="sr-Latn-ME"/>
          <w14:ligatures w14:val="none"/>
        </w:rPr>
        <w:t xml:space="preserve">dijelom </w:t>
      </w:r>
      <w:r w:rsidR="0048506E" w:rsidRPr="00281886">
        <w:rPr>
          <w:rFonts w:eastAsia="Calibri" w:cstheme="minorHAnsi"/>
          <w:kern w:val="0"/>
          <w:sz w:val="24"/>
          <w:szCs w:val="24"/>
          <w:lang w:val="sr-Latn-ME"/>
          <w14:ligatures w14:val="none"/>
        </w:rPr>
        <w:t>r</w:t>
      </w:r>
      <w:r w:rsidR="001B558D" w:rsidRPr="00281886">
        <w:rPr>
          <w:rFonts w:eastAsia="Calibri" w:cstheme="minorHAnsi"/>
          <w:kern w:val="0"/>
          <w:sz w:val="24"/>
          <w:szCs w:val="24"/>
          <w:lang w:val="sr-Latn-ME"/>
          <w14:ligatures w14:val="none"/>
        </w:rPr>
        <w:t>ef</w:t>
      </w:r>
      <w:r w:rsidR="00EE4035">
        <w:rPr>
          <w:rFonts w:eastAsia="Calibri" w:cstheme="minorHAnsi"/>
          <w:kern w:val="0"/>
          <w:sz w:val="24"/>
          <w:szCs w:val="24"/>
          <w:lang w:val="sr-Latn-ME"/>
          <w14:ligatures w14:val="none"/>
        </w:rPr>
        <w:t>l</w:t>
      </w:r>
      <w:r w:rsidR="001B558D" w:rsidRPr="00281886">
        <w:rPr>
          <w:rFonts w:eastAsia="Calibri" w:cstheme="minorHAnsi"/>
          <w:kern w:val="0"/>
          <w:sz w:val="24"/>
          <w:szCs w:val="24"/>
          <w:lang w:val="sr-Latn-ME"/>
          <w14:ligatures w14:val="none"/>
        </w:rPr>
        <w:t>ektuje u većem broju zap</w:t>
      </w:r>
      <w:r w:rsidR="00EE4035">
        <w:rPr>
          <w:rFonts w:eastAsia="Calibri" w:cstheme="minorHAnsi"/>
          <w:kern w:val="0"/>
          <w:sz w:val="24"/>
          <w:szCs w:val="24"/>
          <w:lang w:val="sr-Latn-ME"/>
          <w14:ligatures w14:val="none"/>
        </w:rPr>
        <w:t>os</w:t>
      </w:r>
      <w:r w:rsidR="001B558D" w:rsidRPr="00281886">
        <w:rPr>
          <w:rFonts w:eastAsia="Calibri" w:cstheme="minorHAnsi"/>
          <w:kern w:val="0"/>
          <w:sz w:val="24"/>
          <w:szCs w:val="24"/>
          <w:lang w:val="sr-Latn-ME"/>
          <w14:ligatures w14:val="none"/>
        </w:rPr>
        <w:t>lenih</w:t>
      </w:r>
      <w:r w:rsidR="00334BDF">
        <w:rPr>
          <w:rFonts w:eastAsia="Calibri" w:cstheme="minorHAnsi"/>
          <w:kern w:val="0"/>
          <w:sz w:val="24"/>
          <w:szCs w:val="24"/>
          <w:lang w:val="sr-Latn-ME"/>
          <w14:ligatures w14:val="none"/>
        </w:rPr>
        <w:t xml:space="preserve"> prema administrativnim podacima Monstata</w:t>
      </w:r>
      <w:r w:rsidR="001B558D" w:rsidRPr="00281886">
        <w:rPr>
          <w:rFonts w:eastAsia="Calibri" w:cstheme="minorHAnsi"/>
          <w:kern w:val="0"/>
          <w:sz w:val="24"/>
          <w:szCs w:val="24"/>
          <w:lang w:val="sr-Latn-ME"/>
          <w14:ligatures w14:val="none"/>
        </w:rPr>
        <w:t>, a time i po</w:t>
      </w:r>
      <w:r w:rsidR="00EE4035">
        <w:rPr>
          <w:rFonts w:eastAsia="Calibri" w:cstheme="minorHAnsi"/>
          <w:kern w:val="0"/>
          <w:sz w:val="24"/>
          <w:szCs w:val="24"/>
          <w:lang w:val="sr-Latn-ME"/>
          <w14:ligatures w14:val="none"/>
        </w:rPr>
        <w:t>v</w:t>
      </w:r>
      <w:r w:rsidR="001B558D" w:rsidRPr="00281886">
        <w:rPr>
          <w:rFonts w:eastAsia="Calibri" w:cstheme="minorHAnsi"/>
          <w:kern w:val="0"/>
          <w:sz w:val="24"/>
          <w:szCs w:val="24"/>
          <w:lang w:val="sr-Latn-ME"/>
          <w14:ligatures w14:val="none"/>
        </w:rPr>
        <w:t xml:space="preserve">ećanim prihodima od doprinosa za </w:t>
      </w:r>
      <w:r w:rsidR="00EE4035">
        <w:rPr>
          <w:rFonts w:eastAsia="Calibri" w:cstheme="minorHAnsi"/>
          <w:kern w:val="0"/>
          <w:sz w:val="24"/>
          <w:szCs w:val="24"/>
          <w:lang w:val="sr-Latn-ME"/>
          <w14:ligatures w14:val="none"/>
        </w:rPr>
        <w:t>o</w:t>
      </w:r>
      <w:r w:rsidR="001B558D" w:rsidRPr="00281886">
        <w:rPr>
          <w:rFonts w:eastAsia="Calibri" w:cstheme="minorHAnsi"/>
          <w:kern w:val="0"/>
          <w:sz w:val="24"/>
          <w:szCs w:val="24"/>
          <w:lang w:val="sr-Latn-ME"/>
          <w14:ligatures w14:val="none"/>
        </w:rPr>
        <w:t>bavezno penzijsko osiguranje.</w:t>
      </w:r>
      <w:r w:rsidR="00FF212F" w:rsidRPr="00281886">
        <w:rPr>
          <w:rFonts w:eastAsia="Calibri" w:cstheme="minorHAnsi"/>
          <w:kern w:val="0"/>
          <w:sz w:val="24"/>
          <w:szCs w:val="24"/>
          <w:lang w:val="sr-Latn-ME"/>
          <w14:ligatures w14:val="none"/>
        </w:rPr>
        <w:t xml:space="preserve"> </w:t>
      </w:r>
      <w:r w:rsidR="0048506E" w:rsidRPr="00281886">
        <w:rPr>
          <w:rFonts w:eastAsia="Calibri" w:cstheme="minorHAnsi"/>
          <w:kern w:val="0"/>
          <w:sz w:val="24"/>
          <w:szCs w:val="24"/>
          <w:lang w:val="sr-Latn-ME"/>
          <w14:ligatures w14:val="none"/>
        </w:rPr>
        <w:t xml:space="preserve">Zvanična procjena </w:t>
      </w:r>
      <w:r w:rsidR="005D33C2">
        <w:rPr>
          <w:rFonts w:eastAsia="Calibri" w:cstheme="minorHAnsi"/>
          <w:kern w:val="0"/>
          <w:sz w:val="24"/>
          <w:szCs w:val="24"/>
          <w:lang w:val="sr-Latn-ME"/>
          <w14:ligatures w14:val="none"/>
        </w:rPr>
        <w:t>M</w:t>
      </w:r>
      <w:r w:rsidR="0048506E" w:rsidRPr="00281886">
        <w:rPr>
          <w:rFonts w:eastAsia="Calibri" w:cstheme="minorHAnsi"/>
          <w:kern w:val="0"/>
          <w:sz w:val="24"/>
          <w:szCs w:val="24"/>
          <w:lang w:val="sr-Latn-ME"/>
          <w14:ligatures w14:val="none"/>
        </w:rPr>
        <w:t>inistarstva finansija je da će se iz</w:t>
      </w:r>
      <w:r w:rsidR="00EE4035">
        <w:rPr>
          <w:rFonts w:eastAsia="Calibri" w:cstheme="minorHAnsi"/>
          <w:kern w:val="0"/>
          <w:sz w:val="24"/>
          <w:szCs w:val="24"/>
          <w:lang w:val="sr-Latn-ME"/>
          <w14:ligatures w14:val="none"/>
        </w:rPr>
        <w:t>v</w:t>
      </w:r>
      <w:r w:rsidR="0048506E" w:rsidRPr="00281886">
        <w:rPr>
          <w:rFonts w:eastAsia="Calibri" w:cstheme="minorHAnsi"/>
          <w:kern w:val="0"/>
          <w:sz w:val="24"/>
          <w:szCs w:val="24"/>
          <w:lang w:val="sr-Latn-ME"/>
          <w14:ligatures w14:val="none"/>
        </w:rPr>
        <w:t xml:space="preserve">orni </w:t>
      </w:r>
      <w:r w:rsidR="00062CBF" w:rsidRPr="00281886">
        <w:rPr>
          <w:rFonts w:eastAsia="Calibri" w:cstheme="minorHAnsi"/>
          <w:kern w:val="0"/>
          <w:sz w:val="24"/>
          <w:szCs w:val="24"/>
          <w:lang w:val="sr-Latn-ME"/>
          <w14:ligatures w14:val="none"/>
        </w:rPr>
        <w:t>pr</w:t>
      </w:r>
      <w:r w:rsidR="0048506E" w:rsidRPr="00281886">
        <w:rPr>
          <w:rFonts w:eastAsia="Calibri" w:cstheme="minorHAnsi"/>
          <w:kern w:val="0"/>
          <w:sz w:val="24"/>
          <w:szCs w:val="24"/>
          <w:lang w:val="sr-Latn-ME"/>
          <w14:ligatures w14:val="none"/>
        </w:rPr>
        <w:t xml:space="preserve">ihodi </w:t>
      </w:r>
      <w:r w:rsidR="005D33C2">
        <w:rPr>
          <w:rFonts w:eastAsia="Calibri" w:cstheme="minorHAnsi"/>
          <w:kern w:val="0"/>
          <w:sz w:val="24"/>
          <w:szCs w:val="24"/>
          <w:lang w:val="sr-Latn-ME"/>
          <w14:ligatures w14:val="none"/>
        </w:rPr>
        <w:t xml:space="preserve">centralnog budžeta </w:t>
      </w:r>
      <w:r w:rsidR="0048506E" w:rsidRPr="00281886">
        <w:rPr>
          <w:rFonts w:eastAsia="Calibri" w:cstheme="minorHAnsi"/>
          <w:kern w:val="0"/>
          <w:sz w:val="24"/>
          <w:szCs w:val="24"/>
          <w:lang w:val="sr-Latn-ME"/>
          <w14:ligatures w14:val="none"/>
        </w:rPr>
        <w:t>u 2023.godini povećati na oko 36,6% BDP</w:t>
      </w:r>
      <w:r w:rsidR="005D33C2">
        <w:rPr>
          <w:rFonts w:eastAsia="Calibri" w:cstheme="minorHAnsi"/>
          <w:kern w:val="0"/>
          <w:sz w:val="24"/>
          <w:szCs w:val="24"/>
          <w:lang w:val="sr-Latn-ME"/>
          <w14:ligatures w14:val="none"/>
        </w:rPr>
        <w:t>.</w:t>
      </w:r>
      <w:r w:rsidR="00AA1C54" w:rsidRPr="00281886">
        <w:rPr>
          <w:rFonts w:eastAsia="Calibri" w:cstheme="minorHAnsi"/>
          <w:kern w:val="0"/>
          <w:sz w:val="24"/>
          <w:szCs w:val="24"/>
          <w:lang w:val="sr-Latn-ME"/>
          <w14:ligatures w14:val="none"/>
        </w:rPr>
        <w:t xml:space="preserve"> Iako je</w:t>
      </w:r>
      <w:r w:rsidR="00334BDF">
        <w:rPr>
          <w:rFonts w:eastAsia="Calibri" w:cstheme="minorHAnsi"/>
          <w:kern w:val="0"/>
          <w:sz w:val="24"/>
          <w:szCs w:val="24"/>
          <w:lang w:val="sr-Latn-ME"/>
          <w14:ligatures w14:val="none"/>
        </w:rPr>
        <w:t xml:space="preserve"> u 2022.godini</w:t>
      </w:r>
      <w:r w:rsidR="00AA1C54" w:rsidRPr="00281886">
        <w:rPr>
          <w:rFonts w:eastAsia="Calibri" w:cstheme="minorHAnsi"/>
          <w:kern w:val="0"/>
          <w:sz w:val="24"/>
          <w:szCs w:val="24"/>
          <w:lang w:val="sr-Latn-ME"/>
          <w14:ligatures w14:val="none"/>
        </w:rPr>
        <w:t xml:space="preserve"> došlo do pa</w:t>
      </w:r>
      <w:r w:rsidR="00EE4035">
        <w:rPr>
          <w:rFonts w:eastAsia="Calibri" w:cstheme="minorHAnsi"/>
          <w:kern w:val="0"/>
          <w:sz w:val="24"/>
          <w:szCs w:val="24"/>
          <w:lang w:val="sr-Latn-ME"/>
          <w14:ligatures w14:val="none"/>
        </w:rPr>
        <w:t>d</w:t>
      </w:r>
      <w:r w:rsidR="00AA1C54" w:rsidRPr="00281886">
        <w:rPr>
          <w:rFonts w:eastAsia="Calibri" w:cstheme="minorHAnsi"/>
          <w:kern w:val="0"/>
          <w:sz w:val="24"/>
          <w:szCs w:val="24"/>
          <w:lang w:val="sr-Latn-ME"/>
          <w14:ligatures w14:val="none"/>
        </w:rPr>
        <w:t>a prihoda</w:t>
      </w:r>
      <w:r w:rsidR="005D33C2">
        <w:rPr>
          <w:rFonts w:eastAsia="Calibri" w:cstheme="minorHAnsi"/>
          <w:kern w:val="0"/>
          <w:sz w:val="24"/>
          <w:szCs w:val="24"/>
          <w:lang w:val="sr-Latn-ME"/>
          <w14:ligatures w14:val="none"/>
        </w:rPr>
        <w:t xml:space="preserve"> centralnog budžeta</w:t>
      </w:r>
      <w:r w:rsidR="00AA1C54" w:rsidRPr="00281886">
        <w:rPr>
          <w:rFonts w:eastAsia="Calibri" w:cstheme="minorHAnsi"/>
          <w:kern w:val="0"/>
          <w:sz w:val="24"/>
          <w:szCs w:val="24"/>
          <w:lang w:val="sr-Latn-ME"/>
          <w14:ligatures w14:val="none"/>
        </w:rPr>
        <w:t xml:space="preserve"> u odnosu </w:t>
      </w:r>
      <w:r w:rsidR="007E76F2" w:rsidRPr="00281886">
        <w:rPr>
          <w:rFonts w:eastAsia="Calibri" w:cstheme="minorHAnsi"/>
          <w:kern w:val="0"/>
          <w:sz w:val="24"/>
          <w:szCs w:val="24"/>
          <w:lang w:val="sr-Latn-ME"/>
          <w14:ligatures w14:val="none"/>
        </w:rPr>
        <w:t>B</w:t>
      </w:r>
      <w:r w:rsidR="00AA1C54" w:rsidRPr="00281886">
        <w:rPr>
          <w:rFonts w:eastAsia="Calibri" w:cstheme="minorHAnsi"/>
          <w:kern w:val="0"/>
          <w:sz w:val="24"/>
          <w:szCs w:val="24"/>
          <w:lang w:val="sr-Latn-ME"/>
          <w14:ligatures w14:val="none"/>
        </w:rPr>
        <w:t>DP</w:t>
      </w:r>
      <w:r w:rsidR="00A84AB8">
        <w:rPr>
          <w:rFonts w:eastAsia="Calibri" w:cstheme="minorHAnsi"/>
          <w:kern w:val="0"/>
          <w:sz w:val="24"/>
          <w:szCs w:val="24"/>
          <w:lang w:val="sr-Latn-ME"/>
          <w14:ligatures w14:val="none"/>
        </w:rPr>
        <w:t xml:space="preserve"> u odnosu na prethodne godine (vidjeti grafik br.3)</w:t>
      </w:r>
      <w:r w:rsidR="00334BDF">
        <w:rPr>
          <w:rFonts w:eastAsia="Calibri" w:cstheme="minorHAnsi"/>
          <w:kern w:val="0"/>
          <w:sz w:val="24"/>
          <w:szCs w:val="24"/>
          <w:lang w:val="sr-Latn-ME"/>
          <w14:ligatures w14:val="none"/>
        </w:rPr>
        <w:t xml:space="preserve">, </w:t>
      </w:r>
      <w:r w:rsidR="007E6B08">
        <w:rPr>
          <w:rFonts w:eastAsia="Calibri" w:cstheme="minorHAnsi"/>
          <w:kern w:val="0"/>
          <w:sz w:val="24"/>
          <w:szCs w:val="24"/>
          <w:lang w:val="sr-Latn-ME"/>
          <w14:ligatures w14:val="none"/>
        </w:rPr>
        <w:t>usljed</w:t>
      </w:r>
      <w:r w:rsidR="00334BDF">
        <w:rPr>
          <w:rFonts w:eastAsia="Calibri" w:cstheme="minorHAnsi"/>
          <w:kern w:val="0"/>
          <w:sz w:val="24"/>
          <w:szCs w:val="24"/>
          <w:lang w:val="sr-Latn-ME"/>
          <w14:ligatures w14:val="none"/>
        </w:rPr>
        <w:t xml:space="preserve"> snažnog rasta BDP, </w:t>
      </w:r>
      <w:r w:rsidR="007E6B08">
        <w:rPr>
          <w:rFonts w:eastAsia="Calibri" w:cstheme="minorHAnsi"/>
          <w:kern w:val="0"/>
          <w:sz w:val="24"/>
          <w:szCs w:val="24"/>
          <w:lang w:val="sr-Latn-ME"/>
          <w14:ligatures w14:val="none"/>
        </w:rPr>
        <w:t xml:space="preserve">kao i </w:t>
      </w:r>
      <w:r w:rsidR="00334BDF">
        <w:rPr>
          <w:rFonts w:eastAsia="Calibri" w:cstheme="minorHAnsi"/>
          <w:kern w:val="0"/>
          <w:sz w:val="24"/>
          <w:szCs w:val="24"/>
          <w:lang w:val="sr-Latn-ME"/>
          <w14:ligatures w14:val="none"/>
        </w:rPr>
        <w:t>zbog uvođenja neoporezivog dijela dohotka i ukidanja doprinosa na obavezno zdravstveno osiguranje</w:t>
      </w:r>
      <w:r w:rsidR="005D33C2">
        <w:rPr>
          <w:rFonts w:eastAsia="Calibri" w:cstheme="minorHAnsi"/>
          <w:kern w:val="0"/>
          <w:sz w:val="24"/>
          <w:szCs w:val="24"/>
          <w:lang w:val="sr-Latn-ME"/>
          <w14:ligatures w14:val="none"/>
        </w:rPr>
        <w:t>,</w:t>
      </w:r>
      <w:r w:rsidR="00AA1C54" w:rsidRPr="00281886">
        <w:rPr>
          <w:rFonts w:eastAsia="Calibri" w:cstheme="minorHAnsi"/>
          <w:kern w:val="0"/>
          <w:sz w:val="24"/>
          <w:szCs w:val="24"/>
          <w:lang w:val="sr-Latn-ME"/>
          <w14:ligatures w14:val="none"/>
        </w:rPr>
        <w:t xml:space="preserve"> </w:t>
      </w:r>
      <w:r w:rsidR="007E76F2" w:rsidRPr="00CB06A6">
        <w:rPr>
          <w:rFonts w:eastAsia="Calibri" w:cstheme="minorHAnsi"/>
          <w:kern w:val="0"/>
          <w:sz w:val="24"/>
          <w:szCs w:val="24"/>
          <w:lang w:val="sr-Latn-ME"/>
          <w14:ligatures w14:val="none"/>
        </w:rPr>
        <w:t>smanjenje poreskog</w:t>
      </w:r>
      <w:r w:rsidR="00AA1C54" w:rsidRPr="00CB06A6">
        <w:rPr>
          <w:rFonts w:eastAsia="Calibri" w:cstheme="minorHAnsi"/>
          <w:kern w:val="0"/>
          <w:sz w:val="24"/>
          <w:szCs w:val="24"/>
          <w:lang w:val="sr-Latn-ME"/>
          <w14:ligatures w14:val="none"/>
        </w:rPr>
        <w:t xml:space="preserve"> opterećenja rada je doprini</w:t>
      </w:r>
      <w:r w:rsidR="00062CBF" w:rsidRPr="00CB06A6">
        <w:rPr>
          <w:rFonts w:eastAsia="Calibri" w:cstheme="minorHAnsi"/>
          <w:kern w:val="0"/>
          <w:sz w:val="24"/>
          <w:szCs w:val="24"/>
          <w:lang w:val="sr-Latn-ME"/>
          <w14:ligatures w14:val="none"/>
        </w:rPr>
        <w:t>jelo</w:t>
      </w:r>
      <w:r w:rsidR="00AA1C54" w:rsidRPr="00CB06A6">
        <w:rPr>
          <w:rFonts w:eastAsia="Calibri" w:cstheme="minorHAnsi"/>
          <w:kern w:val="0"/>
          <w:sz w:val="24"/>
          <w:szCs w:val="24"/>
          <w:lang w:val="sr-Latn-ME"/>
          <w14:ligatures w14:val="none"/>
        </w:rPr>
        <w:t xml:space="preserve"> povećanju formalne zaposlenosti i  </w:t>
      </w:r>
      <w:r w:rsidR="00334BDF" w:rsidRPr="00CB06A6">
        <w:rPr>
          <w:rFonts w:eastAsia="Calibri" w:cstheme="minorHAnsi"/>
          <w:kern w:val="0"/>
          <w:sz w:val="24"/>
          <w:szCs w:val="24"/>
          <w:lang w:val="sr-Latn-ME"/>
          <w14:ligatures w14:val="none"/>
        </w:rPr>
        <w:t>povećanom prijavljivanju prihoda preduzeća</w:t>
      </w:r>
      <w:r w:rsidR="00231557" w:rsidRPr="00CB06A6">
        <w:rPr>
          <w:rFonts w:eastAsia="Calibri" w:cstheme="minorHAnsi"/>
          <w:kern w:val="0"/>
          <w:sz w:val="24"/>
          <w:szCs w:val="24"/>
          <w:lang w:val="sr-Latn-ME"/>
          <w14:ligatures w14:val="none"/>
        </w:rPr>
        <w:t xml:space="preserve"> (za više detalja vidjeti dio 2.3</w:t>
      </w:r>
      <w:r w:rsidR="00705949" w:rsidRPr="00CB06A6">
        <w:rPr>
          <w:rFonts w:eastAsia="Calibri" w:cstheme="minorHAnsi"/>
          <w:kern w:val="0"/>
          <w:sz w:val="24"/>
          <w:szCs w:val="24"/>
          <w:lang w:val="sr-Latn-ME"/>
          <w14:ligatures w14:val="none"/>
        </w:rPr>
        <w:t>)</w:t>
      </w:r>
      <w:r w:rsidR="00E2637C">
        <w:rPr>
          <w:rFonts w:eastAsia="Calibri" w:cstheme="minorHAnsi"/>
          <w:kern w:val="0"/>
          <w:sz w:val="24"/>
          <w:szCs w:val="24"/>
          <w:lang w:val="sr-Latn-ME"/>
          <w14:ligatures w14:val="none"/>
        </w:rPr>
        <w:t xml:space="preserve">. To </w:t>
      </w:r>
      <w:r w:rsidR="00AA1C54" w:rsidRPr="00281886">
        <w:rPr>
          <w:rFonts w:eastAsia="Calibri" w:cstheme="minorHAnsi"/>
          <w:kern w:val="0"/>
          <w:sz w:val="24"/>
          <w:szCs w:val="24"/>
          <w:lang w:val="sr-Latn-ME"/>
          <w14:ligatures w14:val="none"/>
        </w:rPr>
        <w:t>ukazuje da će</w:t>
      </w:r>
      <w:r w:rsidR="00A13179">
        <w:rPr>
          <w:rFonts w:eastAsia="Calibri" w:cstheme="minorHAnsi"/>
          <w:kern w:val="0"/>
          <w:sz w:val="24"/>
          <w:szCs w:val="24"/>
          <w:lang w:val="sr-Latn-ME"/>
          <w14:ligatures w14:val="none"/>
        </w:rPr>
        <w:t xml:space="preserve"> </w:t>
      </w:r>
      <w:r w:rsidR="00AA1C54" w:rsidRPr="00281886">
        <w:rPr>
          <w:rFonts w:eastAsia="Calibri" w:cstheme="minorHAnsi"/>
          <w:kern w:val="0"/>
          <w:sz w:val="24"/>
          <w:szCs w:val="24"/>
          <w:lang w:val="sr-Latn-ME"/>
          <w14:ligatures w14:val="none"/>
        </w:rPr>
        <w:t>se poreska baza širi</w:t>
      </w:r>
      <w:r w:rsidR="007E76F2" w:rsidRPr="00281886">
        <w:rPr>
          <w:rFonts w:eastAsia="Calibri" w:cstheme="minorHAnsi"/>
          <w:kern w:val="0"/>
          <w:sz w:val="24"/>
          <w:szCs w:val="24"/>
          <w:lang w:val="sr-Latn-ME"/>
          <w14:ligatures w14:val="none"/>
        </w:rPr>
        <w:t>ti</w:t>
      </w:r>
      <w:r w:rsidR="00AA1C54" w:rsidRPr="00281886">
        <w:rPr>
          <w:rFonts w:eastAsia="Calibri" w:cstheme="minorHAnsi"/>
          <w:kern w:val="0"/>
          <w:sz w:val="24"/>
          <w:szCs w:val="24"/>
          <w:lang w:val="sr-Latn-ME"/>
          <w14:ligatures w14:val="none"/>
        </w:rPr>
        <w:t xml:space="preserve"> u na dugi rok </w:t>
      </w:r>
      <w:r w:rsidR="00AA1C54" w:rsidRPr="00CB06A6">
        <w:rPr>
          <w:rFonts w:eastAsia="Calibri" w:cstheme="minorHAnsi"/>
          <w:kern w:val="0"/>
          <w:sz w:val="24"/>
          <w:szCs w:val="24"/>
          <w:lang w:val="sr-Latn-ME"/>
          <w14:ligatures w14:val="none"/>
        </w:rPr>
        <w:t xml:space="preserve">i time </w:t>
      </w:r>
      <w:r w:rsidR="00BA7951" w:rsidRPr="00CB06A6">
        <w:rPr>
          <w:rFonts w:eastAsia="Calibri" w:cstheme="minorHAnsi"/>
          <w:kern w:val="0"/>
          <w:sz w:val="24"/>
          <w:szCs w:val="24"/>
          <w:lang w:val="sr-Latn-ME"/>
          <w14:ligatures w14:val="none"/>
        </w:rPr>
        <w:t>će se postepeno</w:t>
      </w:r>
      <w:r w:rsidR="007E76F2" w:rsidRPr="00CB06A6">
        <w:rPr>
          <w:rFonts w:eastAsia="Calibri" w:cstheme="minorHAnsi"/>
          <w:kern w:val="0"/>
          <w:sz w:val="24"/>
          <w:szCs w:val="24"/>
          <w:lang w:val="sr-Latn-ME"/>
          <w14:ligatures w14:val="none"/>
        </w:rPr>
        <w:t xml:space="preserve"> </w:t>
      </w:r>
      <w:r w:rsidR="00AA1C54" w:rsidRPr="00CB06A6">
        <w:rPr>
          <w:rFonts w:eastAsia="Calibri" w:cstheme="minorHAnsi"/>
          <w:kern w:val="0"/>
          <w:sz w:val="24"/>
          <w:szCs w:val="24"/>
          <w:lang w:val="sr-Latn-ME"/>
          <w14:ligatures w14:val="none"/>
        </w:rPr>
        <w:t xml:space="preserve"> nadomje</w:t>
      </w:r>
      <w:r w:rsidR="00E2637C" w:rsidRPr="00CB06A6">
        <w:rPr>
          <w:rFonts w:eastAsia="Calibri" w:cstheme="minorHAnsi"/>
          <w:kern w:val="0"/>
          <w:sz w:val="24"/>
          <w:szCs w:val="24"/>
          <w:lang w:val="sr-Latn-ME"/>
          <w14:ligatures w14:val="none"/>
        </w:rPr>
        <w:t xml:space="preserve">stiti </w:t>
      </w:r>
      <w:r w:rsidR="007E76F2" w:rsidRPr="00CB06A6">
        <w:rPr>
          <w:rFonts w:eastAsia="Calibri" w:cstheme="minorHAnsi"/>
          <w:kern w:val="0"/>
          <w:sz w:val="24"/>
          <w:szCs w:val="24"/>
          <w:lang w:val="sr-Latn-ME"/>
          <w14:ligatures w14:val="none"/>
        </w:rPr>
        <w:t>3-4</w:t>
      </w:r>
      <w:r w:rsidR="00AA1C54" w:rsidRPr="00CB06A6">
        <w:rPr>
          <w:rFonts w:eastAsia="Calibri" w:cstheme="minorHAnsi"/>
          <w:kern w:val="0"/>
          <w:sz w:val="24"/>
          <w:szCs w:val="24"/>
          <w:lang w:val="sr-Latn-ME"/>
          <w14:ligatures w14:val="none"/>
        </w:rPr>
        <w:t xml:space="preserve">% BDP  </w:t>
      </w:r>
      <w:r w:rsidR="005D33C2" w:rsidRPr="00CB06A6">
        <w:rPr>
          <w:rFonts w:eastAsia="Calibri" w:cstheme="minorHAnsi"/>
          <w:kern w:val="0"/>
          <w:sz w:val="24"/>
          <w:szCs w:val="24"/>
          <w:lang w:val="sr-Latn-ME"/>
          <w14:ligatures w14:val="none"/>
        </w:rPr>
        <w:t xml:space="preserve">prihoda koji su izgubljeni ukidanjem doprinosa na obavezno zdravstveno osiguranje, </w:t>
      </w:r>
      <w:r w:rsidR="00BA7951" w:rsidRPr="00CB06A6">
        <w:rPr>
          <w:rFonts w:eastAsia="Calibri" w:cstheme="minorHAnsi"/>
          <w:kern w:val="0"/>
          <w:sz w:val="24"/>
          <w:szCs w:val="24"/>
          <w:lang w:val="sr-Latn-ME"/>
          <w14:ligatures w14:val="none"/>
        </w:rPr>
        <w:t xml:space="preserve">kroz </w:t>
      </w:r>
      <w:r w:rsidR="00334BDF" w:rsidRPr="00CB06A6">
        <w:rPr>
          <w:rFonts w:eastAsia="Calibri" w:cstheme="minorHAnsi"/>
          <w:kern w:val="0"/>
          <w:sz w:val="24"/>
          <w:szCs w:val="24"/>
          <w:lang w:val="sr-Latn-ME"/>
          <w14:ligatures w14:val="none"/>
        </w:rPr>
        <w:t xml:space="preserve">poresku refomu koja je implementirana </w:t>
      </w:r>
      <w:r w:rsidR="007E6B08" w:rsidRPr="00CB06A6">
        <w:rPr>
          <w:rFonts w:eastAsia="Calibri" w:cstheme="minorHAnsi"/>
          <w:kern w:val="0"/>
          <w:sz w:val="24"/>
          <w:szCs w:val="24"/>
          <w:lang w:val="sr-Latn-ME"/>
          <w14:ligatures w14:val="none"/>
        </w:rPr>
        <w:t xml:space="preserve">u januaru </w:t>
      </w:r>
      <w:r w:rsidR="00334BDF" w:rsidRPr="00CB06A6">
        <w:rPr>
          <w:rFonts w:eastAsia="Calibri" w:cstheme="minorHAnsi"/>
          <w:kern w:val="0"/>
          <w:sz w:val="24"/>
          <w:szCs w:val="24"/>
          <w:lang w:val="sr-Latn-ME"/>
          <w14:ligatures w14:val="none"/>
        </w:rPr>
        <w:t xml:space="preserve"> 2022.</w:t>
      </w:r>
      <w:r w:rsidR="007E6B08" w:rsidRPr="00CB06A6">
        <w:rPr>
          <w:rFonts w:eastAsia="Calibri" w:cstheme="minorHAnsi"/>
          <w:kern w:val="0"/>
          <w:sz w:val="24"/>
          <w:szCs w:val="24"/>
          <w:lang w:val="sr-Latn-ME"/>
          <w14:ligatures w14:val="none"/>
        </w:rPr>
        <w:t xml:space="preserve"> </w:t>
      </w:r>
      <w:r w:rsidR="00334BDF" w:rsidRPr="00CB06A6">
        <w:rPr>
          <w:rFonts w:eastAsia="Calibri" w:cstheme="minorHAnsi"/>
          <w:kern w:val="0"/>
          <w:sz w:val="24"/>
          <w:szCs w:val="24"/>
          <w:lang w:val="sr-Latn-ME"/>
          <w14:ligatures w14:val="none"/>
        </w:rPr>
        <w:t>godine</w:t>
      </w:r>
      <w:r w:rsidR="00A84AB8" w:rsidRPr="00CB06A6">
        <w:rPr>
          <w:rFonts w:eastAsia="Calibri" w:cstheme="minorHAnsi"/>
          <w:kern w:val="0"/>
          <w:sz w:val="24"/>
          <w:szCs w:val="24"/>
          <w:lang w:val="sr-Latn-ME"/>
          <w14:ligatures w14:val="none"/>
        </w:rPr>
        <w:t xml:space="preserve"> (vidjeti grafik br. 3)</w:t>
      </w:r>
      <w:r w:rsidR="00334BDF" w:rsidRPr="00CB06A6">
        <w:rPr>
          <w:rFonts w:eastAsia="Calibri" w:cstheme="minorHAnsi"/>
          <w:kern w:val="0"/>
          <w:sz w:val="24"/>
          <w:szCs w:val="24"/>
          <w:lang w:val="sr-Latn-ME"/>
          <w14:ligatures w14:val="none"/>
        </w:rPr>
        <w:t>.</w:t>
      </w:r>
      <w:r w:rsidR="00BA7951" w:rsidRPr="00CB06A6">
        <w:rPr>
          <w:rFonts w:eastAsia="Calibri" w:cstheme="minorHAnsi"/>
          <w:kern w:val="0"/>
          <w:sz w:val="24"/>
          <w:szCs w:val="24"/>
          <w:lang w:val="sr-Latn-ME"/>
          <w14:ligatures w14:val="none"/>
        </w:rPr>
        <w:t xml:space="preserve"> </w:t>
      </w:r>
      <w:r w:rsidR="005D33C2" w:rsidRPr="00CB06A6">
        <w:rPr>
          <w:rFonts w:eastAsia="Calibri" w:cstheme="minorHAnsi"/>
          <w:kern w:val="0"/>
          <w:sz w:val="24"/>
          <w:szCs w:val="24"/>
          <w:lang w:val="sr-Latn-ME"/>
          <w14:ligatures w14:val="none"/>
        </w:rPr>
        <w:t xml:space="preserve"> </w:t>
      </w:r>
      <w:r w:rsidR="00BA7951" w:rsidRPr="00CB06A6">
        <w:rPr>
          <w:rFonts w:eastAsia="Calibri" w:cstheme="minorHAnsi"/>
          <w:kern w:val="0"/>
          <w:sz w:val="24"/>
          <w:szCs w:val="24"/>
          <w:lang w:val="sr-Latn-ME"/>
          <w14:ligatures w14:val="none"/>
        </w:rPr>
        <w:t xml:space="preserve">Takođe, </w:t>
      </w:r>
      <w:r w:rsidR="005D33C2" w:rsidRPr="00CB06A6">
        <w:rPr>
          <w:rFonts w:eastAsia="Calibri" w:cstheme="minorHAnsi"/>
          <w:kern w:val="0"/>
          <w:sz w:val="24"/>
          <w:szCs w:val="24"/>
          <w:lang w:val="sr-Latn-ME"/>
          <w14:ligatures w14:val="none"/>
        </w:rPr>
        <w:t xml:space="preserve"> </w:t>
      </w:r>
      <w:r w:rsidR="00334BDF" w:rsidRPr="00CB06A6">
        <w:rPr>
          <w:rFonts w:eastAsia="Calibri" w:cstheme="minorHAnsi"/>
          <w:kern w:val="0"/>
          <w:sz w:val="24"/>
          <w:szCs w:val="24"/>
          <w:lang w:val="sr-Latn-ME"/>
          <w14:ligatures w14:val="none"/>
        </w:rPr>
        <w:t xml:space="preserve">budući da </w:t>
      </w:r>
      <w:r w:rsidR="00334BDF" w:rsidRPr="00CB06A6">
        <w:rPr>
          <w:rFonts w:eastAsia="Calibri" w:cstheme="minorHAnsi"/>
          <w:kern w:val="0"/>
          <w:sz w:val="24"/>
          <w:szCs w:val="24"/>
          <w:lang w:val="sr-Latn-ME"/>
          <w14:ligatures w14:val="none"/>
        </w:rPr>
        <w:lastRenderedPageBreak/>
        <w:t xml:space="preserve">su ovom </w:t>
      </w:r>
      <w:r w:rsidR="005D33C2" w:rsidRPr="00CB06A6">
        <w:rPr>
          <w:rFonts w:eastAsia="Calibri" w:cstheme="minorHAnsi"/>
          <w:kern w:val="0"/>
          <w:sz w:val="24"/>
          <w:szCs w:val="24"/>
          <w:lang w:val="sr-Latn-ME"/>
          <w14:ligatures w14:val="none"/>
        </w:rPr>
        <w:t>reform</w:t>
      </w:r>
      <w:r w:rsidR="00BA7951" w:rsidRPr="00CB06A6">
        <w:rPr>
          <w:rFonts w:eastAsia="Calibri" w:cstheme="minorHAnsi"/>
          <w:kern w:val="0"/>
          <w:sz w:val="24"/>
          <w:szCs w:val="24"/>
          <w:lang w:val="sr-Latn-ME"/>
          <w14:ligatures w14:val="none"/>
        </w:rPr>
        <w:t>om</w:t>
      </w:r>
      <w:r w:rsidR="005D33C2" w:rsidRPr="00CB06A6">
        <w:rPr>
          <w:rFonts w:eastAsia="Calibri" w:cstheme="minorHAnsi"/>
          <w:kern w:val="0"/>
          <w:sz w:val="24"/>
          <w:szCs w:val="24"/>
          <w:lang w:val="sr-Latn-ME"/>
          <w14:ligatures w14:val="none"/>
        </w:rPr>
        <w:t xml:space="preserve"> </w:t>
      </w:r>
      <w:r w:rsidR="00BA7951" w:rsidRPr="00CB06A6">
        <w:rPr>
          <w:rFonts w:eastAsia="Calibri" w:cstheme="minorHAnsi"/>
          <w:kern w:val="0"/>
          <w:sz w:val="24"/>
          <w:szCs w:val="24"/>
          <w:lang w:val="sr-Latn-ME"/>
          <w14:ligatures w14:val="none"/>
        </w:rPr>
        <w:t xml:space="preserve">značajno </w:t>
      </w:r>
      <w:r w:rsidR="005D33C2" w:rsidRPr="00CB06A6">
        <w:rPr>
          <w:rFonts w:eastAsia="Calibri" w:cstheme="minorHAnsi"/>
          <w:kern w:val="0"/>
          <w:sz w:val="24"/>
          <w:szCs w:val="24"/>
          <w:lang w:val="sr-Latn-ME"/>
          <w14:ligatures w14:val="none"/>
        </w:rPr>
        <w:t xml:space="preserve">smanjeni </w:t>
      </w:r>
      <w:r w:rsidR="00BA7951" w:rsidRPr="00CB06A6">
        <w:rPr>
          <w:rFonts w:eastAsia="Calibri" w:cstheme="minorHAnsi"/>
          <w:kern w:val="0"/>
          <w:sz w:val="24"/>
          <w:szCs w:val="24"/>
          <w:lang w:val="sr-Latn-ME"/>
          <w14:ligatures w14:val="none"/>
        </w:rPr>
        <w:t xml:space="preserve">prihodi od poreza na dohodak fizičkih lica </w:t>
      </w:r>
      <w:r w:rsidR="005D33C2" w:rsidRPr="00CB06A6">
        <w:rPr>
          <w:rFonts w:eastAsia="Calibri" w:cstheme="minorHAnsi"/>
          <w:kern w:val="0"/>
          <w:sz w:val="24"/>
          <w:szCs w:val="24"/>
          <w:lang w:val="sr-Latn-ME"/>
          <w14:ligatures w14:val="none"/>
        </w:rPr>
        <w:t>u 2022.</w:t>
      </w:r>
      <w:r w:rsidR="007E6B08" w:rsidRPr="00CB06A6">
        <w:rPr>
          <w:rFonts w:eastAsia="Calibri" w:cstheme="minorHAnsi"/>
          <w:kern w:val="0"/>
          <w:sz w:val="24"/>
          <w:szCs w:val="24"/>
          <w:lang w:val="sr-Latn-ME"/>
          <w14:ligatures w14:val="none"/>
        </w:rPr>
        <w:t xml:space="preserve"> </w:t>
      </w:r>
      <w:r w:rsidR="005D33C2" w:rsidRPr="00CB06A6">
        <w:rPr>
          <w:rFonts w:eastAsia="Calibri" w:cstheme="minorHAnsi"/>
          <w:kern w:val="0"/>
          <w:sz w:val="24"/>
          <w:szCs w:val="24"/>
          <w:lang w:val="sr-Latn-ME"/>
          <w14:ligatures w14:val="none"/>
        </w:rPr>
        <w:t>godini</w:t>
      </w:r>
      <w:r w:rsidR="00334BDF" w:rsidRPr="00CB06A6">
        <w:rPr>
          <w:rFonts w:eastAsia="Calibri" w:cstheme="minorHAnsi"/>
          <w:kern w:val="0"/>
          <w:sz w:val="24"/>
          <w:szCs w:val="24"/>
          <w:lang w:val="sr-Latn-ME"/>
          <w14:ligatures w14:val="none"/>
        </w:rPr>
        <w:t xml:space="preserve">, smanjeni su izvorni prihodi </w:t>
      </w:r>
      <w:r w:rsidR="00BA7951" w:rsidRPr="00CB06A6">
        <w:rPr>
          <w:rFonts w:eastAsia="Calibri" w:cstheme="minorHAnsi"/>
          <w:kern w:val="0"/>
          <w:sz w:val="24"/>
          <w:szCs w:val="24"/>
          <w:lang w:val="sr-Latn-ME"/>
          <w14:ligatures w14:val="none"/>
        </w:rPr>
        <w:t>jedinica lokalne samouprave</w:t>
      </w:r>
      <w:r w:rsidR="00334BDF" w:rsidRPr="00CB06A6">
        <w:rPr>
          <w:rFonts w:eastAsia="Calibri" w:cstheme="minorHAnsi"/>
          <w:kern w:val="0"/>
          <w:sz w:val="24"/>
          <w:szCs w:val="24"/>
          <w:lang w:val="sr-Latn-ME"/>
          <w14:ligatures w14:val="none"/>
        </w:rPr>
        <w:t>.</w:t>
      </w:r>
      <w:r w:rsidR="007E6B08" w:rsidRPr="00CB06A6">
        <w:rPr>
          <w:rFonts w:eastAsia="Calibri" w:cstheme="minorHAnsi"/>
          <w:kern w:val="0"/>
          <w:sz w:val="24"/>
          <w:szCs w:val="24"/>
          <w:lang w:val="sr-Latn-ME"/>
          <w14:ligatures w14:val="none"/>
        </w:rPr>
        <w:t xml:space="preserve"> </w:t>
      </w:r>
      <w:r w:rsidR="00BA7951" w:rsidRPr="00CB06A6">
        <w:rPr>
          <w:rFonts w:eastAsia="Calibri" w:cstheme="minorHAnsi"/>
          <w:kern w:val="0"/>
          <w:sz w:val="24"/>
          <w:szCs w:val="24"/>
          <w:lang w:val="sr-Latn-ME"/>
          <w14:ligatures w14:val="none"/>
        </w:rPr>
        <w:t xml:space="preserve">Stoga se </w:t>
      </w:r>
      <w:r w:rsidR="00334BDF" w:rsidRPr="00CB06A6">
        <w:rPr>
          <w:rFonts w:eastAsia="Calibri" w:cstheme="minorHAnsi"/>
          <w:kern w:val="0"/>
          <w:sz w:val="24"/>
          <w:szCs w:val="24"/>
          <w:lang w:val="sr-Latn-ME"/>
          <w14:ligatures w14:val="none"/>
        </w:rPr>
        <w:t xml:space="preserve">u 2022. </w:t>
      </w:r>
      <w:r w:rsidR="00BA7951" w:rsidRPr="00CB06A6">
        <w:rPr>
          <w:rFonts w:eastAsia="Calibri" w:cstheme="minorHAnsi"/>
          <w:kern w:val="0"/>
          <w:sz w:val="24"/>
          <w:szCs w:val="24"/>
          <w:lang w:val="sr-Latn-ME"/>
          <w14:ligatures w14:val="none"/>
        </w:rPr>
        <w:t xml:space="preserve">pristupilo izmjenama </w:t>
      </w:r>
      <w:r w:rsidR="005D33C2" w:rsidRPr="00CB06A6">
        <w:rPr>
          <w:rFonts w:eastAsia="Calibri" w:cstheme="minorHAnsi"/>
          <w:kern w:val="0"/>
          <w:sz w:val="24"/>
          <w:szCs w:val="24"/>
          <w:lang w:val="sr-Latn-ME"/>
          <w14:ligatures w14:val="none"/>
        </w:rPr>
        <w:t>Zakona o fi</w:t>
      </w:r>
      <w:r w:rsidR="004844A4" w:rsidRPr="00CB06A6">
        <w:rPr>
          <w:rFonts w:eastAsia="Calibri" w:cstheme="minorHAnsi"/>
          <w:kern w:val="0"/>
          <w:sz w:val="24"/>
          <w:szCs w:val="24"/>
          <w:lang w:val="sr-Latn-ME"/>
          <w14:ligatures w14:val="none"/>
        </w:rPr>
        <w:t>na</w:t>
      </w:r>
      <w:r w:rsidR="005D33C2" w:rsidRPr="00CB06A6">
        <w:rPr>
          <w:rFonts w:eastAsia="Calibri" w:cstheme="minorHAnsi"/>
          <w:kern w:val="0"/>
          <w:sz w:val="24"/>
          <w:szCs w:val="24"/>
          <w:lang w:val="sr-Latn-ME"/>
          <w14:ligatures w14:val="none"/>
        </w:rPr>
        <w:t xml:space="preserve">nsiranju lokalnih samouprava, </w:t>
      </w:r>
      <w:r w:rsidR="00BA7951" w:rsidRPr="00CB06A6">
        <w:rPr>
          <w:rFonts w:eastAsia="Calibri" w:cstheme="minorHAnsi"/>
          <w:kern w:val="0"/>
          <w:sz w:val="24"/>
          <w:szCs w:val="24"/>
          <w:lang w:val="sr-Latn-ME"/>
          <w14:ligatures w14:val="none"/>
        </w:rPr>
        <w:t xml:space="preserve">čime je </w:t>
      </w:r>
      <w:r w:rsidR="001305B4" w:rsidRPr="00CB06A6">
        <w:rPr>
          <w:rFonts w:eastAsia="Calibri" w:cstheme="minorHAnsi"/>
          <w:kern w:val="0"/>
          <w:sz w:val="24"/>
          <w:szCs w:val="24"/>
          <w:lang w:val="sr-Latn-ME"/>
          <w14:ligatures w14:val="none"/>
        </w:rPr>
        <w:t>povećan izn</w:t>
      </w:r>
      <w:r w:rsidR="004844A4" w:rsidRPr="00CB06A6">
        <w:rPr>
          <w:rFonts w:eastAsia="Calibri" w:cstheme="minorHAnsi"/>
          <w:kern w:val="0"/>
          <w:sz w:val="24"/>
          <w:szCs w:val="24"/>
          <w:lang w:val="sr-Latn-ME"/>
          <w14:ligatures w14:val="none"/>
        </w:rPr>
        <w:t>os</w:t>
      </w:r>
      <w:r w:rsidR="001305B4" w:rsidRPr="00CB06A6">
        <w:rPr>
          <w:rFonts w:eastAsia="Calibri" w:cstheme="minorHAnsi"/>
          <w:kern w:val="0"/>
          <w:sz w:val="24"/>
          <w:szCs w:val="24"/>
          <w:lang w:val="sr-Latn-ME"/>
          <w14:ligatures w14:val="none"/>
        </w:rPr>
        <w:t xml:space="preserve"> ustupl</w:t>
      </w:r>
      <w:r w:rsidR="004844A4" w:rsidRPr="00CB06A6">
        <w:rPr>
          <w:rFonts w:eastAsia="Calibri" w:cstheme="minorHAnsi"/>
          <w:kern w:val="0"/>
          <w:sz w:val="24"/>
          <w:szCs w:val="24"/>
          <w:lang w:val="sr-Latn-ME"/>
          <w14:ligatures w14:val="none"/>
        </w:rPr>
        <w:t>jenih</w:t>
      </w:r>
      <w:r w:rsidR="001305B4" w:rsidRPr="00CB06A6">
        <w:rPr>
          <w:rFonts w:eastAsia="Calibri" w:cstheme="minorHAnsi"/>
          <w:kern w:val="0"/>
          <w:sz w:val="24"/>
          <w:szCs w:val="24"/>
          <w:lang w:val="sr-Latn-ME"/>
          <w14:ligatures w14:val="none"/>
        </w:rPr>
        <w:t xml:space="preserve"> prihoda</w:t>
      </w:r>
      <w:r w:rsidR="007E6B08" w:rsidRPr="00CB06A6">
        <w:rPr>
          <w:rFonts w:eastAsia="Calibri" w:cstheme="minorHAnsi"/>
          <w:kern w:val="0"/>
          <w:sz w:val="24"/>
          <w:szCs w:val="24"/>
          <w:lang w:val="sr-Latn-ME"/>
          <w14:ligatures w14:val="none"/>
        </w:rPr>
        <w:t xml:space="preserve"> svim</w:t>
      </w:r>
      <w:r w:rsidR="00BA7951" w:rsidRPr="00CB06A6">
        <w:rPr>
          <w:rFonts w:eastAsia="Calibri" w:cstheme="minorHAnsi"/>
          <w:kern w:val="0"/>
          <w:sz w:val="24"/>
          <w:szCs w:val="24"/>
          <w:lang w:val="sr-Latn-ME"/>
          <w14:ligatures w14:val="none"/>
        </w:rPr>
        <w:t xml:space="preserve"> lokalnim samouprav</w:t>
      </w:r>
      <w:r w:rsidR="007E6B08" w:rsidRPr="00CB06A6">
        <w:rPr>
          <w:rFonts w:eastAsia="Calibri" w:cstheme="minorHAnsi"/>
          <w:kern w:val="0"/>
          <w:sz w:val="24"/>
          <w:szCs w:val="24"/>
          <w:lang w:val="sr-Latn-ME"/>
          <w14:ligatures w14:val="none"/>
        </w:rPr>
        <w:t>ama, ne s</w:t>
      </w:r>
      <w:r w:rsidR="00975DB7" w:rsidRPr="00CB06A6">
        <w:rPr>
          <w:rFonts w:eastAsia="Calibri" w:cstheme="minorHAnsi"/>
          <w:kern w:val="0"/>
          <w:sz w:val="24"/>
          <w:szCs w:val="24"/>
          <w:lang w:val="sr-Latn-ME"/>
          <w14:ligatures w14:val="none"/>
        </w:rPr>
        <w:t>am</w:t>
      </w:r>
      <w:r w:rsidR="007E6B08" w:rsidRPr="00CB06A6">
        <w:rPr>
          <w:rFonts w:eastAsia="Calibri" w:cstheme="minorHAnsi"/>
          <w:kern w:val="0"/>
          <w:sz w:val="24"/>
          <w:szCs w:val="24"/>
          <w:lang w:val="sr-Latn-ME"/>
          <w14:ligatures w14:val="none"/>
        </w:rPr>
        <w:t>o najmanje razvijenim</w:t>
      </w:r>
      <w:r w:rsidR="00BA7951" w:rsidRPr="00CB06A6">
        <w:rPr>
          <w:rFonts w:eastAsia="Calibri" w:cstheme="minorHAnsi"/>
          <w:kern w:val="0"/>
          <w:sz w:val="24"/>
          <w:szCs w:val="24"/>
          <w:lang w:val="sr-Latn-ME"/>
          <w14:ligatures w14:val="none"/>
        </w:rPr>
        <w:t xml:space="preserve">. Takođe, </w:t>
      </w:r>
      <w:r w:rsidR="005D33C2" w:rsidRPr="00CB06A6">
        <w:rPr>
          <w:rFonts w:eastAsia="Calibri" w:cstheme="minorHAnsi"/>
          <w:kern w:val="0"/>
          <w:sz w:val="24"/>
          <w:szCs w:val="24"/>
          <w:lang w:val="sr-Latn-ME"/>
          <w14:ligatures w14:val="none"/>
        </w:rPr>
        <w:t>izmjenama Zakona o porezu na promet neprokretnosti</w:t>
      </w:r>
      <w:r w:rsidR="00A84AB8" w:rsidRPr="00CB06A6">
        <w:rPr>
          <w:rFonts w:eastAsia="Calibri" w:cstheme="minorHAnsi"/>
          <w:kern w:val="0"/>
          <w:sz w:val="24"/>
          <w:szCs w:val="24"/>
          <w:lang w:val="sr-Latn-ME"/>
          <w14:ligatures w14:val="none"/>
        </w:rPr>
        <w:t xml:space="preserve">, je </w:t>
      </w:r>
      <w:r w:rsidR="001305B4" w:rsidRPr="00CB06A6">
        <w:rPr>
          <w:rFonts w:eastAsia="Calibri" w:cstheme="minorHAnsi"/>
          <w:kern w:val="0"/>
          <w:sz w:val="24"/>
          <w:szCs w:val="24"/>
          <w:lang w:val="sr-Latn-ME"/>
          <w14:ligatures w14:val="none"/>
        </w:rPr>
        <w:t xml:space="preserve"> omogućeno da uku</w:t>
      </w:r>
      <w:r w:rsidR="0052133B" w:rsidRPr="00CB06A6">
        <w:rPr>
          <w:rFonts w:eastAsia="Calibri" w:cstheme="minorHAnsi"/>
          <w:kern w:val="0"/>
          <w:sz w:val="24"/>
          <w:szCs w:val="24"/>
          <w:lang w:val="sr-Latn-ME"/>
          <w14:ligatures w14:val="none"/>
        </w:rPr>
        <w:t>p</w:t>
      </w:r>
      <w:r w:rsidR="001305B4" w:rsidRPr="00CB06A6">
        <w:rPr>
          <w:rFonts w:eastAsia="Calibri" w:cstheme="minorHAnsi"/>
          <w:kern w:val="0"/>
          <w:sz w:val="24"/>
          <w:szCs w:val="24"/>
          <w:lang w:val="sr-Latn-ME"/>
          <w14:ligatures w14:val="none"/>
        </w:rPr>
        <w:t>ni prihod od ovog poreza pri</w:t>
      </w:r>
      <w:r w:rsidR="004844A4" w:rsidRPr="00CB06A6">
        <w:rPr>
          <w:rFonts w:eastAsia="Calibri" w:cstheme="minorHAnsi"/>
          <w:kern w:val="0"/>
          <w:sz w:val="24"/>
          <w:szCs w:val="24"/>
          <w:lang w:val="sr-Latn-ME"/>
          <w14:ligatures w14:val="none"/>
        </w:rPr>
        <w:t>pa</w:t>
      </w:r>
      <w:r w:rsidR="001305B4" w:rsidRPr="00CB06A6">
        <w:rPr>
          <w:rFonts w:eastAsia="Calibri" w:cstheme="minorHAnsi"/>
          <w:kern w:val="0"/>
          <w:sz w:val="24"/>
          <w:szCs w:val="24"/>
          <w:lang w:val="sr-Latn-ME"/>
          <w14:ligatures w14:val="none"/>
        </w:rPr>
        <w:t xml:space="preserve">dne jedinicama lokalne samouprave. U tom kontekstu, procjena </w:t>
      </w:r>
      <w:r w:rsidR="00334BDF" w:rsidRPr="00CB06A6">
        <w:rPr>
          <w:rFonts w:eastAsia="Calibri" w:cstheme="minorHAnsi"/>
          <w:kern w:val="0"/>
          <w:sz w:val="24"/>
          <w:szCs w:val="24"/>
          <w:lang w:val="sr-Latn-ME"/>
          <w14:ligatures w14:val="none"/>
        </w:rPr>
        <w:t>Ministarstva finansija o ostva</w:t>
      </w:r>
      <w:r w:rsidR="00A84AB8" w:rsidRPr="00CB06A6">
        <w:rPr>
          <w:rFonts w:eastAsia="Calibri" w:cstheme="minorHAnsi"/>
          <w:kern w:val="0"/>
          <w:sz w:val="24"/>
          <w:szCs w:val="24"/>
          <w:lang w:val="sr-Latn-ME"/>
          <w14:ligatures w14:val="none"/>
        </w:rPr>
        <w:t>r</w:t>
      </w:r>
      <w:r w:rsidR="00334BDF" w:rsidRPr="00CB06A6">
        <w:rPr>
          <w:rFonts w:eastAsia="Calibri" w:cstheme="minorHAnsi"/>
          <w:kern w:val="0"/>
          <w:sz w:val="24"/>
          <w:szCs w:val="24"/>
          <w:lang w:val="sr-Latn-ME"/>
          <w14:ligatures w14:val="none"/>
        </w:rPr>
        <w:t xml:space="preserve">enju </w:t>
      </w:r>
      <w:r w:rsidR="001305B4" w:rsidRPr="00CB06A6">
        <w:rPr>
          <w:rFonts w:eastAsia="Calibri" w:cstheme="minorHAnsi"/>
          <w:kern w:val="0"/>
          <w:sz w:val="24"/>
          <w:szCs w:val="24"/>
          <w:lang w:val="sr-Latn-ME"/>
          <w14:ligatures w14:val="none"/>
        </w:rPr>
        <w:t>izvornih prihoda opšte države za 2023.godinu  je 41,9%</w:t>
      </w:r>
      <w:r w:rsidR="001E2FCB" w:rsidRPr="00CB06A6">
        <w:rPr>
          <w:rFonts w:eastAsia="Calibri" w:cstheme="minorHAnsi"/>
          <w:kern w:val="0"/>
          <w:sz w:val="24"/>
          <w:szCs w:val="24"/>
          <w:lang w:val="sr-Latn-ME"/>
          <w14:ligatures w14:val="none"/>
        </w:rPr>
        <w:t xml:space="preserve"> BDP</w:t>
      </w:r>
      <w:r w:rsidR="001305B4" w:rsidRPr="00CB06A6">
        <w:rPr>
          <w:rFonts w:eastAsia="Calibri" w:cstheme="minorHAnsi"/>
          <w:kern w:val="0"/>
          <w:sz w:val="24"/>
          <w:szCs w:val="24"/>
          <w:lang w:val="sr-Latn-ME"/>
          <w14:ligatures w14:val="none"/>
        </w:rPr>
        <w:t xml:space="preserve">, što </w:t>
      </w:r>
      <w:r w:rsidR="00A84AB8" w:rsidRPr="00CB06A6">
        <w:rPr>
          <w:rFonts w:eastAsia="Calibri" w:cstheme="minorHAnsi"/>
          <w:kern w:val="0"/>
          <w:sz w:val="24"/>
          <w:szCs w:val="24"/>
          <w:lang w:val="sr-Latn-ME"/>
          <w14:ligatures w14:val="none"/>
        </w:rPr>
        <w:t xml:space="preserve">je posljedica </w:t>
      </w:r>
      <w:r w:rsidR="001305B4" w:rsidRPr="00CB06A6">
        <w:rPr>
          <w:rFonts w:eastAsia="Calibri" w:cstheme="minorHAnsi"/>
          <w:kern w:val="0"/>
          <w:sz w:val="24"/>
          <w:szCs w:val="24"/>
          <w:lang w:val="sr-Latn-ME"/>
          <w14:ligatures w14:val="none"/>
        </w:rPr>
        <w:t>ekonomskog rasta</w:t>
      </w:r>
      <w:r w:rsidR="00A84AB8" w:rsidRPr="00CB06A6">
        <w:rPr>
          <w:rFonts w:eastAsia="Calibri" w:cstheme="minorHAnsi"/>
          <w:kern w:val="0"/>
          <w:sz w:val="24"/>
          <w:szCs w:val="24"/>
          <w:lang w:val="sr-Latn-ME"/>
          <w14:ligatures w14:val="none"/>
        </w:rPr>
        <w:t xml:space="preserve"> i inflacije, ali </w:t>
      </w:r>
      <w:r w:rsidR="001305B4" w:rsidRPr="00CB06A6">
        <w:rPr>
          <w:rFonts w:eastAsia="Calibri" w:cstheme="minorHAnsi"/>
          <w:kern w:val="0"/>
          <w:sz w:val="24"/>
          <w:szCs w:val="24"/>
          <w:lang w:val="sr-Latn-ME"/>
          <w14:ligatures w14:val="none"/>
        </w:rPr>
        <w:t>i povećanja registrovane zap</w:t>
      </w:r>
      <w:r w:rsidR="004844A4" w:rsidRPr="00CB06A6">
        <w:rPr>
          <w:rFonts w:eastAsia="Calibri" w:cstheme="minorHAnsi"/>
          <w:kern w:val="0"/>
          <w:sz w:val="24"/>
          <w:szCs w:val="24"/>
          <w:lang w:val="sr-Latn-ME"/>
          <w14:ligatures w14:val="none"/>
        </w:rPr>
        <w:t>os</w:t>
      </w:r>
      <w:r w:rsidR="001305B4" w:rsidRPr="00CB06A6">
        <w:rPr>
          <w:rFonts w:eastAsia="Calibri" w:cstheme="minorHAnsi"/>
          <w:kern w:val="0"/>
          <w:sz w:val="24"/>
          <w:szCs w:val="24"/>
          <w:lang w:val="sr-Latn-ME"/>
          <w14:ligatures w14:val="none"/>
        </w:rPr>
        <w:t xml:space="preserve">lenosti </w:t>
      </w:r>
      <w:r w:rsidR="00975DB7" w:rsidRPr="00CB06A6">
        <w:rPr>
          <w:rFonts w:eastAsia="Calibri" w:cstheme="minorHAnsi"/>
          <w:kern w:val="0"/>
          <w:sz w:val="24"/>
          <w:szCs w:val="24"/>
          <w:lang w:val="sr-Latn-ME"/>
          <w14:ligatures w14:val="none"/>
        </w:rPr>
        <w:t xml:space="preserve">i zarada, </w:t>
      </w:r>
      <w:r w:rsidR="001305B4" w:rsidRPr="00CB06A6">
        <w:rPr>
          <w:rFonts w:eastAsia="Calibri" w:cstheme="minorHAnsi"/>
          <w:kern w:val="0"/>
          <w:sz w:val="24"/>
          <w:szCs w:val="24"/>
          <w:lang w:val="sr-Latn-ME"/>
          <w14:ligatures w14:val="none"/>
        </w:rPr>
        <w:t>nakon poreske reforme</w:t>
      </w:r>
      <w:r w:rsidR="00A84AB8" w:rsidRPr="00CB06A6">
        <w:rPr>
          <w:rFonts w:eastAsia="Calibri" w:cstheme="minorHAnsi"/>
          <w:kern w:val="0"/>
          <w:sz w:val="24"/>
          <w:szCs w:val="24"/>
          <w:lang w:val="sr-Latn-ME"/>
          <w14:ligatures w14:val="none"/>
        </w:rPr>
        <w:t xml:space="preserve">. </w:t>
      </w:r>
      <w:r w:rsidR="00BB74A1" w:rsidRPr="00CB06A6">
        <w:rPr>
          <w:rFonts w:eastAsia="Calibri" w:cstheme="minorHAnsi"/>
          <w:kern w:val="0"/>
          <w:sz w:val="24"/>
          <w:szCs w:val="24"/>
          <w:lang w:val="sr-Latn-ME"/>
          <w14:ligatures w14:val="none"/>
        </w:rPr>
        <w:t>Generalno, Crna Gora je i prije poreske reforme 2022.</w:t>
      </w:r>
      <w:r w:rsidR="00215261" w:rsidRPr="00CB06A6">
        <w:rPr>
          <w:rFonts w:eastAsia="Calibri" w:cstheme="minorHAnsi"/>
          <w:kern w:val="0"/>
          <w:sz w:val="24"/>
          <w:szCs w:val="24"/>
          <w:lang w:val="sr-Latn-ME"/>
          <w14:ligatures w14:val="none"/>
        </w:rPr>
        <w:t xml:space="preserve"> </w:t>
      </w:r>
      <w:r w:rsidR="00BB74A1" w:rsidRPr="00CB06A6">
        <w:rPr>
          <w:rFonts w:eastAsia="Calibri" w:cstheme="minorHAnsi"/>
          <w:kern w:val="0"/>
          <w:sz w:val="24"/>
          <w:szCs w:val="24"/>
          <w:lang w:val="sr-Latn-ME"/>
          <w14:ligatures w14:val="none"/>
        </w:rPr>
        <w:t xml:space="preserve">godine, kao i nakon toga, jedna od zemalja u regionu sa </w:t>
      </w:r>
      <w:r w:rsidR="00BB74A1">
        <w:rPr>
          <w:rFonts w:eastAsia="Calibri" w:cstheme="minorHAnsi"/>
          <w:kern w:val="0"/>
          <w:sz w:val="24"/>
          <w:szCs w:val="24"/>
          <w:lang w:val="sr-Latn-ME"/>
          <w14:ligatures w14:val="none"/>
        </w:rPr>
        <w:t xml:space="preserve">najvišim stepenom naplate izvornih prihoda opšte države u odnosu na BDP (vidjeti grafik broj </w:t>
      </w:r>
      <w:r w:rsidR="004844A4">
        <w:rPr>
          <w:rFonts w:eastAsia="Calibri" w:cstheme="minorHAnsi"/>
          <w:kern w:val="0"/>
          <w:sz w:val="24"/>
          <w:szCs w:val="24"/>
          <w:lang w:val="sr-Latn-ME"/>
          <w14:ligatures w14:val="none"/>
        </w:rPr>
        <w:t>4</w:t>
      </w:r>
      <w:r w:rsidR="00BB74A1">
        <w:rPr>
          <w:rFonts w:eastAsia="Calibri" w:cstheme="minorHAnsi"/>
          <w:kern w:val="0"/>
          <w:sz w:val="24"/>
          <w:szCs w:val="24"/>
          <w:lang w:val="sr-Latn-ME"/>
          <w14:ligatures w14:val="none"/>
        </w:rPr>
        <w:t>), koji je blizu EU prosjeka, što ukazuje na niži stepen prisustva neprijavljenih prihoda u odnosu na pojedine zemlje regiona.</w:t>
      </w:r>
    </w:p>
    <w:p w14:paraId="5BD3BC26" w14:textId="709EEA22" w:rsidR="00301923" w:rsidRPr="00281886" w:rsidRDefault="001305B4" w:rsidP="004C18BA">
      <w:pPr>
        <w:spacing w:after="150" w:line="276" w:lineRule="auto"/>
        <w:jc w:val="both"/>
        <w:rPr>
          <w:rFonts w:eastAsia="Calibri" w:cstheme="minorHAnsi"/>
          <w:kern w:val="0"/>
          <w:sz w:val="24"/>
          <w:szCs w:val="24"/>
          <w:lang w:val="sr-Latn-ME"/>
          <w14:ligatures w14:val="none"/>
        </w:rPr>
      </w:pPr>
      <w:r>
        <w:rPr>
          <w:noProof/>
        </w:rPr>
        <w:drawing>
          <wp:inline distT="0" distB="0" distL="0" distR="0" wp14:anchorId="1B890906" wp14:editId="3CC0B1A2">
            <wp:extent cx="5920740" cy="2575560"/>
            <wp:effectExtent l="0" t="0" r="3810" b="15240"/>
            <wp:docPr id="1947203611" name="Chart 1">
              <a:extLst xmlns:a="http://schemas.openxmlformats.org/drawingml/2006/main">
                <a:ext uri="{FF2B5EF4-FFF2-40B4-BE49-F238E27FC236}">
                  <a16:creationId xmlns:a16="http://schemas.microsoft.com/office/drawing/2014/main" id="{58618AF1-1C1B-11CF-1322-B6F8D76DF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160393" w14:textId="76CF430B" w:rsidR="005D33C2" w:rsidRDefault="005D33C2" w:rsidP="000156DF">
      <w:pPr>
        <w:spacing w:after="150" w:line="276" w:lineRule="auto"/>
        <w:jc w:val="both"/>
        <w:rPr>
          <w:rFonts w:eastAsia="Calibri" w:cstheme="minorHAnsi"/>
          <w:bCs/>
          <w:i/>
          <w:iCs/>
          <w:color w:val="000000"/>
          <w:kern w:val="0"/>
          <w:sz w:val="24"/>
          <w:szCs w:val="24"/>
          <w:lang w:val="sr-Latn-ME"/>
          <w14:ligatures w14:val="none"/>
        </w:rPr>
      </w:pPr>
      <w:r w:rsidRPr="005D33C2">
        <w:rPr>
          <w:rFonts w:eastAsia="Calibri" w:cstheme="minorHAnsi"/>
          <w:bCs/>
          <w:i/>
          <w:iCs/>
          <w:color w:val="000000"/>
          <w:kern w:val="0"/>
          <w:sz w:val="24"/>
          <w:szCs w:val="24"/>
          <w:lang w:val="sr-Latn-ME"/>
          <w14:ligatures w14:val="none"/>
        </w:rPr>
        <w:t>Izvor: Ministarstvo finansija</w:t>
      </w:r>
    </w:p>
    <w:p w14:paraId="62721CD1" w14:textId="327B0B61" w:rsidR="00BB4232" w:rsidRPr="005D33C2" w:rsidRDefault="00D9298B" w:rsidP="000156DF">
      <w:pPr>
        <w:spacing w:after="150" w:line="276" w:lineRule="auto"/>
        <w:jc w:val="both"/>
        <w:rPr>
          <w:rFonts w:eastAsia="Calibri" w:cstheme="minorHAnsi"/>
          <w:bCs/>
          <w:i/>
          <w:iCs/>
          <w:color w:val="000000"/>
          <w:kern w:val="0"/>
          <w:sz w:val="24"/>
          <w:szCs w:val="24"/>
          <w:lang w:val="sr-Latn-ME"/>
          <w14:ligatures w14:val="none"/>
        </w:rPr>
      </w:pPr>
      <w:r>
        <w:rPr>
          <w:noProof/>
        </w:rPr>
        <w:lastRenderedPageBreak/>
        <w:drawing>
          <wp:inline distT="0" distB="0" distL="0" distR="0" wp14:anchorId="35705F15" wp14:editId="3AEA1154">
            <wp:extent cx="5920740" cy="2743200"/>
            <wp:effectExtent l="0" t="0" r="3810" b="0"/>
            <wp:docPr id="2046854120" name="Chart 1">
              <a:extLst xmlns:a="http://schemas.openxmlformats.org/drawingml/2006/main">
                <a:ext uri="{FF2B5EF4-FFF2-40B4-BE49-F238E27FC236}">
                  <a16:creationId xmlns:a16="http://schemas.microsoft.com/office/drawing/2014/main" id="{8FCBE33D-D832-AADA-67D7-F6BFC8024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BB0A27" w14:textId="7ECFD7F7" w:rsidR="00215261" w:rsidRPr="00215261" w:rsidRDefault="00215261" w:rsidP="009364EF">
      <w:pPr>
        <w:spacing w:after="150" w:line="360" w:lineRule="auto"/>
        <w:jc w:val="both"/>
        <w:rPr>
          <w:rFonts w:eastAsia="Calibri" w:cstheme="minorHAnsi"/>
          <w:bCs/>
          <w:i/>
          <w:iCs/>
          <w:color w:val="000000"/>
          <w:kern w:val="0"/>
          <w:sz w:val="24"/>
          <w:szCs w:val="24"/>
          <w:lang w:val="sr-Latn-ME"/>
          <w14:ligatures w14:val="none"/>
        </w:rPr>
      </w:pPr>
      <w:r w:rsidRPr="00215261">
        <w:rPr>
          <w:rFonts w:eastAsia="Calibri" w:cstheme="minorHAnsi"/>
          <w:bCs/>
          <w:i/>
          <w:iCs/>
          <w:color w:val="000000"/>
          <w:kern w:val="0"/>
          <w:sz w:val="24"/>
          <w:szCs w:val="24"/>
          <w:lang w:val="sr-Latn-ME"/>
          <w14:ligatures w14:val="none"/>
        </w:rPr>
        <w:t xml:space="preserve">Izvor: </w:t>
      </w:r>
      <w:r w:rsidR="00D9298B">
        <w:rPr>
          <w:rFonts w:eastAsia="Calibri" w:cstheme="minorHAnsi"/>
          <w:bCs/>
          <w:i/>
          <w:iCs/>
          <w:color w:val="000000"/>
          <w:kern w:val="0"/>
          <w:sz w:val="24"/>
          <w:szCs w:val="24"/>
          <w:lang w:val="sr-Latn-ME"/>
          <w14:ligatures w14:val="none"/>
        </w:rPr>
        <w:t>Vlade regiona, EC</w:t>
      </w:r>
    </w:p>
    <w:p w14:paraId="085A9C68" w14:textId="5F5AA6AD" w:rsidR="007479EB" w:rsidRDefault="000156DF" w:rsidP="00092DF7">
      <w:pPr>
        <w:spacing w:after="150" w:line="360" w:lineRule="auto"/>
        <w:jc w:val="both"/>
        <w:rPr>
          <w:rFonts w:eastAsia="Calibri" w:cstheme="minorHAnsi"/>
          <w:bCs/>
          <w:color w:val="000000"/>
          <w:kern w:val="0"/>
          <w:sz w:val="24"/>
          <w:szCs w:val="24"/>
          <w:lang w:val="sr-Latn-ME"/>
          <w14:ligatures w14:val="none"/>
        </w:rPr>
      </w:pPr>
      <w:r w:rsidRPr="00281886">
        <w:rPr>
          <w:rFonts w:eastAsia="Calibri" w:cstheme="minorHAnsi"/>
          <w:b/>
          <w:color w:val="000000"/>
          <w:kern w:val="0"/>
          <w:sz w:val="24"/>
          <w:szCs w:val="24"/>
          <w:lang w:val="sr-Latn-ME"/>
          <w14:ligatures w14:val="none"/>
        </w:rPr>
        <w:t xml:space="preserve">U </w:t>
      </w:r>
      <w:r w:rsidR="0048506E" w:rsidRPr="00281886">
        <w:rPr>
          <w:rFonts w:eastAsia="Calibri" w:cstheme="minorHAnsi"/>
          <w:b/>
          <w:color w:val="000000"/>
          <w:kern w:val="0"/>
          <w:sz w:val="24"/>
          <w:szCs w:val="24"/>
          <w:lang w:val="sr-Latn-ME"/>
          <w14:ligatures w14:val="none"/>
        </w:rPr>
        <w:t>periodu 201</w:t>
      </w:r>
      <w:r w:rsidR="00482B01">
        <w:rPr>
          <w:rFonts w:eastAsia="Calibri" w:cstheme="minorHAnsi"/>
          <w:b/>
          <w:color w:val="000000"/>
          <w:kern w:val="0"/>
          <w:sz w:val="24"/>
          <w:szCs w:val="24"/>
          <w:lang w:val="sr-Latn-ME"/>
          <w14:ligatures w14:val="none"/>
        </w:rPr>
        <w:t>3</w:t>
      </w:r>
      <w:r w:rsidR="0048506E" w:rsidRPr="00281886">
        <w:rPr>
          <w:rFonts w:eastAsia="Calibri" w:cstheme="minorHAnsi"/>
          <w:b/>
          <w:color w:val="000000"/>
          <w:kern w:val="0"/>
          <w:sz w:val="24"/>
          <w:szCs w:val="24"/>
          <w:lang w:val="sr-Latn-ME"/>
          <w14:ligatures w14:val="none"/>
        </w:rPr>
        <w:t>-201</w:t>
      </w:r>
      <w:r w:rsidR="00636E34">
        <w:rPr>
          <w:rFonts w:eastAsia="Calibri" w:cstheme="minorHAnsi"/>
          <w:b/>
          <w:color w:val="000000"/>
          <w:kern w:val="0"/>
          <w:sz w:val="24"/>
          <w:szCs w:val="24"/>
          <w:lang w:val="sr-Latn-ME"/>
          <w14:ligatures w14:val="none"/>
        </w:rPr>
        <w:t>8</w:t>
      </w:r>
      <w:r w:rsidR="0048506E" w:rsidRPr="00281886">
        <w:rPr>
          <w:rFonts w:eastAsia="Calibri" w:cstheme="minorHAnsi"/>
          <w:b/>
          <w:color w:val="000000"/>
          <w:kern w:val="0"/>
          <w:sz w:val="24"/>
          <w:szCs w:val="24"/>
          <w:lang w:val="sr-Latn-ME"/>
          <w14:ligatures w14:val="none"/>
        </w:rPr>
        <w:t>.</w:t>
      </w:r>
      <w:r w:rsidRPr="00281886">
        <w:rPr>
          <w:rFonts w:eastAsia="Calibri" w:cstheme="minorHAnsi"/>
          <w:b/>
          <w:color w:val="000000"/>
          <w:kern w:val="0"/>
          <w:sz w:val="24"/>
          <w:szCs w:val="24"/>
          <w:lang w:val="sr-Latn-ME"/>
          <w14:ligatures w14:val="none"/>
        </w:rPr>
        <w:t xml:space="preserve"> javna potrošnja u Crnoj Gori u prosjeku je iznosila </w:t>
      </w:r>
      <w:r w:rsidR="00482B01">
        <w:rPr>
          <w:rFonts w:eastAsia="Calibri" w:cstheme="minorHAnsi"/>
          <w:b/>
          <w:color w:val="000000"/>
          <w:kern w:val="0"/>
          <w:sz w:val="24"/>
          <w:szCs w:val="24"/>
          <w:lang w:val="sr-Latn-ME"/>
          <w14:ligatures w14:val="none"/>
        </w:rPr>
        <w:t xml:space="preserve">oko 42,5% </w:t>
      </w:r>
      <w:r w:rsidRPr="00636E34">
        <w:rPr>
          <w:rFonts w:eastAsia="Calibri" w:cstheme="minorHAnsi"/>
          <w:b/>
          <w:color w:val="000000"/>
          <w:kern w:val="0"/>
          <w:sz w:val="24"/>
          <w:szCs w:val="24"/>
          <w:lang w:val="sr-Latn-ME"/>
          <w14:ligatures w14:val="none"/>
        </w:rPr>
        <w:t>BDP,</w:t>
      </w:r>
      <w:r w:rsidRPr="00281886">
        <w:rPr>
          <w:rFonts w:eastAsia="Calibri" w:cstheme="minorHAnsi"/>
          <w:b/>
          <w:color w:val="000000"/>
          <w:kern w:val="0"/>
          <w:sz w:val="24"/>
          <w:szCs w:val="24"/>
          <w:lang w:val="sr-Latn-ME"/>
          <w14:ligatures w14:val="none"/>
        </w:rPr>
        <w:t xml:space="preserve"> </w:t>
      </w:r>
      <w:r w:rsidR="00482B01">
        <w:rPr>
          <w:rFonts w:eastAsia="Calibri" w:cstheme="minorHAnsi"/>
          <w:b/>
          <w:color w:val="000000"/>
          <w:kern w:val="0"/>
          <w:sz w:val="24"/>
          <w:szCs w:val="24"/>
          <w:lang w:val="sr-Latn-ME"/>
          <w14:ligatures w14:val="none"/>
        </w:rPr>
        <w:t>da bi se od 2019.</w:t>
      </w:r>
      <w:r w:rsidR="00975DB7">
        <w:rPr>
          <w:rFonts w:eastAsia="Calibri" w:cstheme="minorHAnsi"/>
          <w:b/>
          <w:color w:val="000000"/>
          <w:kern w:val="0"/>
          <w:sz w:val="24"/>
          <w:szCs w:val="24"/>
          <w:lang w:val="sr-Latn-ME"/>
          <w14:ligatures w14:val="none"/>
        </w:rPr>
        <w:t xml:space="preserve"> </w:t>
      </w:r>
      <w:r w:rsidR="00482B01">
        <w:rPr>
          <w:rFonts w:eastAsia="Calibri" w:cstheme="minorHAnsi"/>
          <w:b/>
          <w:color w:val="000000"/>
          <w:kern w:val="0"/>
          <w:sz w:val="24"/>
          <w:szCs w:val="24"/>
          <w:lang w:val="sr-Latn-ME"/>
          <w14:ligatures w14:val="none"/>
        </w:rPr>
        <w:t xml:space="preserve">godine povećala na oko 45% BDP, </w:t>
      </w:r>
      <w:r w:rsidRPr="00281886">
        <w:rPr>
          <w:rFonts w:eastAsia="Calibri" w:cstheme="minorHAnsi"/>
          <w:b/>
          <w:color w:val="000000"/>
          <w:kern w:val="0"/>
          <w:sz w:val="24"/>
          <w:szCs w:val="24"/>
          <w:lang w:val="sr-Latn-ME"/>
          <w14:ligatures w14:val="none"/>
        </w:rPr>
        <w:t>uz nešto značajnije odstupanje 2020. godine zbog COVID-19 pandemije</w:t>
      </w:r>
      <w:r w:rsidR="00482B01">
        <w:rPr>
          <w:rFonts w:eastAsia="Calibri" w:cstheme="minorHAnsi"/>
          <w:b/>
          <w:color w:val="000000"/>
          <w:kern w:val="0"/>
          <w:sz w:val="24"/>
          <w:szCs w:val="24"/>
          <w:lang w:val="sr-Latn-ME"/>
          <w14:ligatures w14:val="none"/>
        </w:rPr>
        <w:t xml:space="preserve">, dok je u 2021-2022. godini iznosila oko 46% BDP. </w:t>
      </w:r>
      <w:r w:rsidRPr="00281886">
        <w:rPr>
          <w:rFonts w:eastAsia="Calibri" w:cstheme="minorHAnsi"/>
          <w:bCs/>
          <w:color w:val="000000"/>
          <w:kern w:val="0"/>
          <w:sz w:val="24"/>
          <w:szCs w:val="24"/>
          <w:lang w:val="sr-Latn-ME"/>
          <w14:ligatures w14:val="none"/>
        </w:rPr>
        <w:t>U njenoj strukturi je povećano učešće kapitalne potrošnje u periodu 2015-2019</w:t>
      </w:r>
      <w:r w:rsidR="0048506E" w:rsidRPr="00281886">
        <w:rPr>
          <w:rFonts w:eastAsia="Calibri" w:cstheme="minorHAnsi"/>
          <w:bCs/>
          <w:color w:val="000000"/>
          <w:kern w:val="0"/>
          <w:sz w:val="24"/>
          <w:szCs w:val="24"/>
          <w:lang w:val="sr-Latn-ME"/>
          <w14:ligatures w14:val="none"/>
        </w:rPr>
        <w:t>.</w:t>
      </w:r>
      <w:r w:rsidRPr="00281886">
        <w:rPr>
          <w:rFonts w:eastAsia="Calibri" w:cstheme="minorHAnsi"/>
          <w:bCs/>
          <w:color w:val="000000"/>
          <w:kern w:val="0"/>
          <w:sz w:val="24"/>
          <w:szCs w:val="24"/>
          <w:lang w:val="sr-Latn-ME"/>
          <w14:ligatures w14:val="none"/>
        </w:rPr>
        <w:t xml:space="preserve"> usljed </w:t>
      </w:r>
      <w:r w:rsidR="004361F1">
        <w:rPr>
          <w:rFonts w:eastAsia="Calibri" w:cstheme="minorHAnsi"/>
          <w:bCs/>
          <w:color w:val="000000"/>
          <w:kern w:val="0"/>
          <w:sz w:val="24"/>
          <w:szCs w:val="24"/>
          <w:lang w:val="sr-Latn-ME"/>
          <w14:ligatures w14:val="none"/>
        </w:rPr>
        <w:t>početka realizacije</w:t>
      </w:r>
      <w:r w:rsidRPr="00281886">
        <w:rPr>
          <w:rFonts w:eastAsia="Calibri" w:cstheme="minorHAnsi"/>
          <w:bCs/>
          <w:color w:val="000000"/>
          <w:kern w:val="0"/>
          <w:sz w:val="24"/>
          <w:szCs w:val="24"/>
          <w:lang w:val="sr-Latn-ME"/>
          <w14:ligatures w14:val="none"/>
        </w:rPr>
        <w:t xml:space="preserve"> najvećeg kapitalnog projekta</w:t>
      </w:r>
      <w:r w:rsidR="004361F1">
        <w:rPr>
          <w:rFonts w:eastAsia="Calibri" w:cstheme="minorHAnsi"/>
          <w:bCs/>
          <w:color w:val="000000"/>
          <w:kern w:val="0"/>
          <w:sz w:val="24"/>
          <w:szCs w:val="24"/>
          <w:lang w:val="sr-Latn-ME"/>
          <w14:ligatures w14:val="none"/>
        </w:rPr>
        <w:t xml:space="preserve">, auto-puta </w:t>
      </w:r>
      <w:r w:rsidRPr="00281886">
        <w:rPr>
          <w:rFonts w:eastAsia="Calibri" w:cstheme="minorHAnsi"/>
          <w:bCs/>
          <w:color w:val="000000"/>
          <w:kern w:val="0"/>
          <w:sz w:val="24"/>
          <w:szCs w:val="24"/>
          <w:lang w:val="sr-Latn-ME"/>
          <w14:ligatures w14:val="none"/>
        </w:rPr>
        <w:t xml:space="preserve">Bar-Boljare, kao i ulaganja u ostalu saobraćajnu, turističku, energetsku, infrastrukturu u oblasti obrazovanja, zdravstva i drugu infrastrukturu. </w:t>
      </w:r>
      <w:r w:rsidR="001C0B69">
        <w:rPr>
          <w:rFonts w:eastAsia="Calibri" w:cstheme="minorHAnsi"/>
          <w:bCs/>
          <w:color w:val="000000"/>
          <w:kern w:val="0"/>
          <w:sz w:val="24"/>
          <w:szCs w:val="24"/>
          <w:lang w:val="sr-Latn-ME"/>
          <w14:ligatures w14:val="none"/>
        </w:rPr>
        <w:t xml:space="preserve">Kriza, izazvana COVID-19 pandemijom je u Crnoj Gori, kao i u većini drugih zemalja dovela do </w:t>
      </w:r>
      <w:r w:rsidR="00ED41E0">
        <w:rPr>
          <w:rFonts w:eastAsia="Calibri" w:cstheme="minorHAnsi"/>
          <w:bCs/>
          <w:color w:val="000000"/>
          <w:kern w:val="0"/>
          <w:sz w:val="24"/>
          <w:szCs w:val="24"/>
          <w:lang w:val="sr-Latn-ME"/>
          <w14:ligatures w14:val="none"/>
        </w:rPr>
        <w:t>značajnog povećanja tekuće javne potrošnje, na čak 54,5% BDP</w:t>
      </w:r>
      <w:r w:rsidR="004844A4">
        <w:rPr>
          <w:rFonts w:eastAsia="Calibri" w:cstheme="minorHAnsi"/>
          <w:bCs/>
          <w:color w:val="000000"/>
          <w:kern w:val="0"/>
          <w:sz w:val="24"/>
          <w:szCs w:val="24"/>
          <w:lang w:val="sr-Latn-ME"/>
          <w14:ligatures w14:val="none"/>
        </w:rPr>
        <w:t xml:space="preserve"> u 2020. godini</w:t>
      </w:r>
      <w:r w:rsidR="00ED41E0">
        <w:rPr>
          <w:rFonts w:eastAsia="Calibri" w:cstheme="minorHAnsi"/>
          <w:bCs/>
          <w:color w:val="000000"/>
          <w:kern w:val="0"/>
          <w:sz w:val="24"/>
          <w:szCs w:val="24"/>
          <w:lang w:val="sr-Latn-ME"/>
          <w14:ligatures w14:val="none"/>
        </w:rPr>
        <w:t xml:space="preserve"> i deficita javnih finansija.</w:t>
      </w:r>
      <w:r w:rsidR="004361F1">
        <w:rPr>
          <w:rFonts w:eastAsia="Calibri" w:cstheme="minorHAnsi"/>
          <w:bCs/>
          <w:color w:val="000000"/>
          <w:kern w:val="0"/>
          <w:sz w:val="24"/>
          <w:szCs w:val="24"/>
          <w:lang w:val="sr-Latn-ME"/>
          <w14:ligatures w14:val="none"/>
        </w:rPr>
        <w:t xml:space="preserve"> </w:t>
      </w:r>
      <w:r w:rsidRPr="00281886">
        <w:rPr>
          <w:rFonts w:eastAsia="Calibri" w:cstheme="minorHAnsi"/>
          <w:bCs/>
          <w:color w:val="000000"/>
          <w:kern w:val="0"/>
          <w:sz w:val="24"/>
          <w:szCs w:val="24"/>
          <w:lang w:val="sr-Latn-ME"/>
          <w14:ligatures w14:val="none"/>
        </w:rPr>
        <w:t>Ipak, ulaskom u finalnu fazu izgradnje prioritetne dion</w:t>
      </w:r>
      <w:r w:rsidR="00F27B9D">
        <w:rPr>
          <w:rFonts w:eastAsia="Calibri" w:cstheme="minorHAnsi"/>
          <w:bCs/>
          <w:color w:val="000000"/>
          <w:kern w:val="0"/>
          <w:sz w:val="24"/>
          <w:szCs w:val="24"/>
          <w:lang w:val="sr-Latn-ME"/>
          <w14:ligatures w14:val="none"/>
        </w:rPr>
        <w:t>ic</w:t>
      </w:r>
      <w:r w:rsidRPr="00281886">
        <w:rPr>
          <w:rFonts w:eastAsia="Calibri" w:cstheme="minorHAnsi"/>
          <w:bCs/>
          <w:color w:val="000000"/>
          <w:kern w:val="0"/>
          <w:sz w:val="24"/>
          <w:szCs w:val="24"/>
          <w:lang w:val="sr-Latn-ME"/>
          <w14:ligatures w14:val="none"/>
        </w:rPr>
        <w:t xml:space="preserve">e autoputa, od 2021. godine ponovo je smanjeno učešće kapitalnog budžeta u ukupnoj javnoj potrošnji, </w:t>
      </w:r>
      <w:r w:rsidR="004361F1">
        <w:rPr>
          <w:rFonts w:eastAsia="Calibri" w:cstheme="minorHAnsi"/>
          <w:bCs/>
          <w:color w:val="000000"/>
          <w:kern w:val="0"/>
          <w:sz w:val="24"/>
          <w:szCs w:val="24"/>
          <w:lang w:val="sr-Latn-ME"/>
          <w14:ligatures w14:val="none"/>
        </w:rPr>
        <w:t>dok je istovrem</w:t>
      </w:r>
      <w:r w:rsidR="0015369F">
        <w:rPr>
          <w:rFonts w:eastAsia="Calibri" w:cstheme="minorHAnsi"/>
          <w:bCs/>
          <w:color w:val="000000"/>
          <w:kern w:val="0"/>
          <w:sz w:val="24"/>
          <w:szCs w:val="24"/>
          <w:lang w:val="sr-Latn-ME"/>
          <w14:ligatures w14:val="none"/>
        </w:rPr>
        <w:t>en</w:t>
      </w:r>
      <w:r w:rsidR="004361F1">
        <w:rPr>
          <w:rFonts w:eastAsia="Calibri" w:cstheme="minorHAnsi"/>
          <w:bCs/>
          <w:color w:val="000000"/>
          <w:kern w:val="0"/>
          <w:sz w:val="24"/>
          <w:szCs w:val="24"/>
          <w:lang w:val="sr-Latn-ME"/>
          <w14:ligatures w14:val="none"/>
        </w:rPr>
        <w:t xml:space="preserve">o povećana </w:t>
      </w:r>
      <w:r w:rsidRPr="00281886">
        <w:rPr>
          <w:rFonts w:eastAsia="Calibri" w:cstheme="minorHAnsi"/>
          <w:bCs/>
          <w:color w:val="000000"/>
          <w:kern w:val="0"/>
          <w:sz w:val="24"/>
          <w:szCs w:val="24"/>
          <w:lang w:val="sr-Latn-ME"/>
          <w14:ligatures w14:val="none"/>
        </w:rPr>
        <w:t>tekuć</w:t>
      </w:r>
      <w:r w:rsidR="004361F1">
        <w:rPr>
          <w:rFonts w:eastAsia="Calibri" w:cstheme="minorHAnsi"/>
          <w:bCs/>
          <w:color w:val="000000"/>
          <w:kern w:val="0"/>
          <w:sz w:val="24"/>
          <w:szCs w:val="24"/>
          <w:lang w:val="sr-Latn-ME"/>
          <w14:ligatures w14:val="none"/>
        </w:rPr>
        <w:t>a</w:t>
      </w:r>
      <w:r w:rsidRPr="00281886">
        <w:rPr>
          <w:rFonts w:eastAsia="Calibri" w:cstheme="minorHAnsi"/>
          <w:bCs/>
          <w:color w:val="000000"/>
          <w:kern w:val="0"/>
          <w:sz w:val="24"/>
          <w:szCs w:val="24"/>
          <w:lang w:val="sr-Latn-ME"/>
          <w14:ligatures w14:val="none"/>
        </w:rPr>
        <w:t xml:space="preserve"> javn</w:t>
      </w:r>
      <w:r w:rsidR="004361F1">
        <w:rPr>
          <w:rFonts w:eastAsia="Calibri" w:cstheme="minorHAnsi"/>
          <w:bCs/>
          <w:color w:val="000000"/>
          <w:kern w:val="0"/>
          <w:sz w:val="24"/>
          <w:szCs w:val="24"/>
          <w:lang w:val="sr-Latn-ME"/>
          <w14:ligatures w14:val="none"/>
        </w:rPr>
        <w:t>a</w:t>
      </w:r>
      <w:r w:rsidRPr="00281886">
        <w:rPr>
          <w:rFonts w:eastAsia="Calibri" w:cstheme="minorHAnsi"/>
          <w:bCs/>
          <w:color w:val="000000"/>
          <w:kern w:val="0"/>
          <w:sz w:val="24"/>
          <w:szCs w:val="24"/>
          <w:lang w:val="sr-Latn-ME"/>
          <w14:ligatures w14:val="none"/>
        </w:rPr>
        <w:t xml:space="preserve"> potrošnj</w:t>
      </w:r>
      <w:r w:rsidR="004361F1">
        <w:rPr>
          <w:rFonts w:eastAsia="Calibri" w:cstheme="minorHAnsi"/>
          <w:bCs/>
          <w:color w:val="000000"/>
          <w:kern w:val="0"/>
          <w:sz w:val="24"/>
          <w:szCs w:val="24"/>
          <w:lang w:val="sr-Latn-ME"/>
          <w14:ligatures w14:val="none"/>
        </w:rPr>
        <w:t xml:space="preserve">a. </w:t>
      </w:r>
      <w:r w:rsidR="00482B01">
        <w:rPr>
          <w:rFonts w:eastAsia="Calibri" w:cstheme="minorHAnsi"/>
          <w:bCs/>
          <w:color w:val="000000"/>
          <w:kern w:val="0"/>
          <w:sz w:val="24"/>
          <w:szCs w:val="24"/>
          <w:lang w:val="sr-Latn-ME"/>
          <w14:ligatures w14:val="none"/>
        </w:rPr>
        <w:t>Tako je uč</w:t>
      </w:r>
      <w:r w:rsidR="00567F61">
        <w:rPr>
          <w:rFonts w:eastAsia="Calibri" w:cstheme="minorHAnsi"/>
          <w:bCs/>
          <w:color w:val="000000"/>
          <w:kern w:val="0"/>
          <w:sz w:val="24"/>
          <w:szCs w:val="24"/>
          <w:lang w:val="sr-Latn-ME"/>
          <w14:ligatures w14:val="none"/>
        </w:rPr>
        <w:t>ešće</w:t>
      </w:r>
      <w:r w:rsidR="00482B01">
        <w:rPr>
          <w:rFonts w:eastAsia="Calibri" w:cstheme="minorHAnsi"/>
          <w:bCs/>
          <w:color w:val="000000"/>
          <w:kern w:val="0"/>
          <w:sz w:val="24"/>
          <w:szCs w:val="24"/>
          <w:lang w:val="sr-Latn-ME"/>
          <w14:ligatures w14:val="none"/>
        </w:rPr>
        <w:t xml:space="preserve"> ukupne javne </w:t>
      </w:r>
      <w:r w:rsidR="00567F61">
        <w:rPr>
          <w:rFonts w:eastAsia="Calibri" w:cstheme="minorHAnsi"/>
          <w:bCs/>
          <w:color w:val="000000"/>
          <w:kern w:val="0"/>
          <w:sz w:val="24"/>
          <w:szCs w:val="24"/>
          <w:lang w:val="sr-Latn-ME"/>
          <w14:ligatures w14:val="none"/>
        </w:rPr>
        <w:t xml:space="preserve">potrošnje </w:t>
      </w:r>
      <w:r w:rsidR="00482B01">
        <w:rPr>
          <w:rFonts w:eastAsia="Calibri" w:cstheme="minorHAnsi"/>
          <w:bCs/>
          <w:color w:val="000000"/>
          <w:kern w:val="0"/>
          <w:sz w:val="24"/>
          <w:szCs w:val="24"/>
          <w:lang w:val="sr-Latn-ME"/>
          <w14:ligatures w14:val="none"/>
        </w:rPr>
        <w:t>ostalo i dalje visoko,</w:t>
      </w:r>
      <w:r w:rsidR="004361F1" w:rsidRPr="00E556C6">
        <w:rPr>
          <w:rFonts w:eastAsia="Calibri" w:cstheme="minorHAnsi"/>
          <w:bCs/>
          <w:color w:val="000000"/>
          <w:kern w:val="0"/>
          <w:sz w:val="24"/>
          <w:szCs w:val="24"/>
          <w:lang w:val="sr-Latn-ME"/>
          <w14:ligatures w14:val="none"/>
        </w:rPr>
        <w:t xml:space="preserve"> budući da je ona </w:t>
      </w:r>
      <w:r w:rsidR="00022894" w:rsidRPr="00E556C6">
        <w:rPr>
          <w:rFonts w:eastAsia="Calibri" w:cstheme="minorHAnsi"/>
          <w:bCs/>
          <w:color w:val="000000"/>
          <w:kern w:val="0"/>
          <w:sz w:val="24"/>
          <w:szCs w:val="24"/>
          <w:lang w:val="sr-Latn-ME"/>
          <w14:ligatures w14:val="none"/>
        </w:rPr>
        <w:t>u 2021.</w:t>
      </w:r>
      <w:r w:rsidR="00F27B9D">
        <w:rPr>
          <w:rFonts w:eastAsia="Calibri" w:cstheme="minorHAnsi"/>
          <w:bCs/>
          <w:color w:val="000000"/>
          <w:kern w:val="0"/>
          <w:sz w:val="24"/>
          <w:szCs w:val="24"/>
          <w:lang w:val="sr-Latn-ME"/>
          <w14:ligatures w14:val="none"/>
        </w:rPr>
        <w:t xml:space="preserve"> </w:t>
      </w:r>
      <w:r w:rsidR="00022894" w:rsidRPr="00E556C6">
        <w:rPr>
          <w:rFonts w:eastAsia="Calibri" w:cstheme="minorHAnsi"/>
          <w:bCs/>
          <w:color w:val="000000"/>
          <w:kern w:val="0"/>
          <w:sz w:val="24"/>
          <w:szCs w:val="24"/>
          <w:lang w:val="sr-Latn-ME"/>
          <w14:ligatures w14:val="none"/>
        </w:rPr>
        <w:t xml:space="preserve">godini iznosila </w:t>
      </w:r>
      <w:r w:rsidRPr="00E556C6">
        <w:rPr>
          <w:rFonts w:eastAsia="Calibri" w:cstheme="minorHAnsi"/>
          <w:bCs/>
          <w:color w:val="000000"/>
          <w:kern w:val="0"/>
          <w:sz w:val="24"/>
          <w:szCs w:val="24"/>
          <w:lang w:val="sr-Latn-ME"/>
          <w14:ligatures w14:val="none"/>
        </w:rPr>
        <w:t xml:space="preserve"> </w:t>
      </w:r>
      <w:r w:rsidR="00022894" w:rsidRPr="00E556C6">
        <w:rPr>
          <w:rFonts w:eastAsia="Calibri" w:cstheme="minorHAnsi"/>
          <w:bCs/>
          <w:color w:val="000000"/>
          <w:kern w:val="0"/>
          <w:sz w:val="24"/>
          <w:szCs w:val="24"/>
          <w:lang w:val="sr-Latn-ME"/>
          <w14:ligatures w14:val="none"/>
        </w:rPr>
        <w:t>46,</w:t>
      </w:r>
      <w:r w:rsidR="00E556C6" w:rsidRPr="00E556C6">
        <w:rPr>
          <w:rFonts w:eastAsia="Calibri" w:cstheme="minorHAnsi"/>
          <w:bCs/>
          <w:color w:val="000000"/>
          <w:kern w:val="0"/>
          <w:sz w:val="24"/>
          <w:szCs w:val="24"/>
          <w:lang w:val="sr-Latn-ME"/>
          <w14:ligatures w14:val="none"/>
        </w:rPr>
        <w:t>2</w:t>
      </w:r>
      <w:r w:rsidRPr="00E556C6">
        <w:rPr>
          <w:rFonts w:eastAsia="Calibri" w:cstheme="minorHAnsi"/>
          <w:bCs/>
          <w:color w:val="000000"/>
          <w:kern w:val="0"/>
          <w:sz w:val="24"/>
          <w:szCs w:val="24"/>
          <w:lang w:val="sr-Latn-ME"/>
          <w14:ligatures w14:val="none"/>
        </w:rPr>
        <w:t>% BDP</w:t>
      </w:r>
      <w:r w:rsidR="00482B01">
        <w:rPr>
          <w:rFonts w:eastAsia="Calibri" w:cstheme="minorHAnsi"/>
          <w:bCs/>
          <w:color w:val="000000"/>
          <w:kern w:val="0"/>
          <w:sz w:val="24"/>
          <w:szCs w:val="24"/>
          <w:lang w:val="sr-Latn-ME"/>
          <w14:ligatures w14:val="none"/>
        </w:rPr>
        <w:t xml:space="preserve"> i </w:t>
      </w:r>
      <w:r w:rsidR="0048506E" w:rsidRPr="00281886">
        <w:rPr>
          <w:rFonts w:eastAsia="Calibri" w:cstheme="minorHAnsi"/>
          <w:bCs/>
          <w:color w:val="000000"/>
          <w:kern w:val="0"/>
          <w:sz w:val="24"/>
          <w:szCs w:val="24"/>
          <w:lang w:val="sr-Latn-ME"/>
          <w14:ligatures w14:val="none"/>
        </w:rPr>
        <w:t xml:space="preserve"> 4</w:t>
      </w:r>
      <w:r w:rsidR="00E556C6">
        <w:rPr>
          <w:rFonts w:eastAsia="Calibri" w:cstheme="minorHAnsi"/>
          <w:bCs/>
          <w:color w:val="000000"/>
          <w:kern w:val="0"/>
          <w:sz w:val="24"/>
          <w:szCs w:val="24"/>
          <w:lang w:val="sr-Latn-ME"/>
          <w14:ligatures w14:val="none"/>
        </w:rPr>
        <w:t>5,6</w:t>
      </w:r>
      <w:r w:rsidR="0048506E" w:rsidRPr="00281886">
        <w:rPr>
          <w:rFonts w:eastAsia="Calibri" w:cstheme="minorHAnsi"/>
          <w:bCs/>
          <w:color w:val="000000"/>
          <w:kern w:val="0"/>
          <w:sz w:val="24"/>
          <w:szCs w:val="24"/>
          <w:lang w:val="sr-Latn-ME"/>
          <w14:ligatures w14:val="none"/>
        </w:rPr>
        <w:t xml:space="preserve">% BDP </w:t>
      </w:r>
      <w:r w:rsidR="00482B01">
        <w:rPr>
          <w:rFonts w:eastAsia="Calibri" w:cstheme="minorHAnsi"/>
          <w:bCs/>
          <w:color w:val="000000"/>
          <w:kern w:val="0"/>
          <w:sz w:val="24"/>
          <w:szCs w:val="24"/>
          <w:lang w:val="sr-Latn-ME"/>
          <w14:ligatures w14:val="none"/>
        </w:rPr>
        <w:t>u 2022.godini. Ovo smanjenje u odnosu na  perio</w:t>
      </w:r>
      <w:r w:rsidR="00567F61">
        <w:rPr>
          <w:rFonts w:eastAsia="Calibri" w:cstheme="minorHAnsi"/>
          <w:bCs/>
          <w:color w:val="000000"/>
          <w:kern w:val="0"/>
          <w:sz w:val="24"/>
          <w:szCs w:val="24"/>
          <w:lang w:val="sr-Latn-ME"/>
          <w14:ligatures w14:val="none"/>
        </w:rPr>
        <w:t>d</w:t>
      </w:r>
      <w:r w:rsidR="00482B01">
        <w:rPr>
          <w:rFonts w:eastAsia="Calibri" w:cstheme="minorHAnsi"/>
          <w:bCs/>
          <w:color w:val="000000"/>
          <w:kern w:val="0"/>
          <w:sz w:val="24"/>
          <w:szCs w:val="24"/>
          <w:lang w:val="sr-Latn-ME"/>
          <w14:ligatures w14:val="none"/>
        </w:rPr>
        <w:t xml:space="preserve"> pandemije je ostvareno prvenstveno</w:t>
      </w:r>
      <w:r w:rsidR="00022894" w:rsidRPr="00281886">
        <w:rPr>
          <w:rFonts w:eastAsia="Calibri" w:cstheme="minorHAnsi"/>
          <w:bCs/>
          <w:color w:val="000000"/>
          <w:kern w:val="0"/>
          <w:sz w:val="24"/>
          <w:szCs w:val="24"/>
          <w:lang w:val="sr-Latn-ME"/>
          <w14:ligatures w14:val="none"/>
        </w:rPr>
        <w:t xml:space="preserve"> usljed snažnog rasta BDP i ostvarenja kapitalne potrošnje ispod plana, budući da je </w:t>
      </w:r>
      <w:r w:rsidR="0048506E" w:rsidRPr="00281886">
        <w:rPr>
          <w:rFonts w:eastAsia="Calibri" w:cstheme="minorHAnsi"/>
          <w:bCs/>
          <w:color w:val="000000"/>
          <w:kern w:val="0"/>
          <w:sz w:val="24"/>
          <w:szCs w:val="24"/>
          <w:lang w:val="sr-Latn-ME"/>
          <w14:ligatures w14:val="none"/>
        </w:rPr>
        <w:t xml:space="preserve"> tekuć</w:t>
      </w:r>
      <w:r w:rsidR="00022894" w:rsidRPr="00281886">
        <w:rPr>
          <w:rFonts w:eastAsia="Calibri" w:cstheme="minorHAnsi"/>
          <w:bCs/>
          <w:color w:val="000000"/>
          <w:kern w:val="0"/>
          <w:sz w:val="24"/>
          <w:szCs w:val="24"/>
          <w:lang w:val="sr-Latn-ME"/>
          <w14:ligatures w14:val="none"/>
        </w:rPr>
        <w:t>a</w:t>
      </w:r>
      <w:r w:rsidR="0048506E" w:rsidRPr="00281886">
        <w:rPr>
          <w:rFonts w:eastAsia="Calibri" w:cstheme="minorHAnsi"/>
          <w:bCs/>
          <w:color w:val="000000"/>
          <w:kern w:val="0"/>
          <w:sz w:val="24"/>
          <w:szCs w:val="24"/>
          <w:lang w:val="sr-Latn-ME"/>
          <w14:ligatures w14:val="none"/>
        </w:rPr>
        <w:t xml:space="preserve"> javn</w:t>
      </w:r>
      <w:r w:rsidR="00022894" w:rsidRPr="00281886">
        <w:rPr>
          <w:rFonts w:eastAsia="Calibri" w:cstheme="minorHAnsi"/>
          <w:bCs/>
          <w:color w:val="000000"/>
          <w:kern w:val="0"/>
          <w:sz w:val="24"/>
          <w:szCs w:val="24"/>
          <w:lang w:val="sr-Latn-ME"/>
          <w14:ligatures w14:val="none"/>
        </w:rPr>
        <w:t>a</w:t>
      </w:r>
      <w:r w:rsidR="0048506E" w:rsidRPr="00281886">
        <w:rPr>
          <w:rFonts w:eastAsia="Calibri" w:cstheme="minorHAnsi"/>
          <w:bCs/>
          <w:color w:val="000000"/>
          <w:kern w:val="0"/>
          <w:sz w:val="24"/>
          <w:szCs w:val="24"/>
          <w:lang w:val="sr-Latn-ME"/>
          <w14:ligatures w14:val="none"/>
        </w:rPr>
        <w:t xml:space="preserve"> potrošnj</w:t>
      </w:r>
      <w:r w:rsidR="00022894" w:rsidRPr="00281886">
        <w:rPr>
          <w:rFonts w:eastAsia="Calibri" w:cstheme="minorHAnsi"/>
          <w:bCs/>
          <w:color w:val="000000"/>
          <w:kern w:val="0"/>
          <w:sz w:val="24"/>
          <w:szCs w:val="24"/>
          <w:lang w:val="sr-Latn-ME"/>
          <w14:ligatures w14:val="none"/>
        </w:rPr>
        <w:t>a</w:t>
      </w:r>
      <w:r w:rsidR="0048506E" w:rsidRPr="00281886">
        <w:rPr>
          <w:rFonts w:eastAsia="Calibri" w:cstheme="minorHAnsi"/>
          <w:bCs/>
          <w:color w:val="000000"/>
          <w:kern w:val="0"/>
          <w:sz w:val="24"/>
          <w:szCs w:val="24"/>
          <w:lang w:val="sr-Latn-ME"/>
          <w14:ligatures w14:val="none"/>
        </w:rPr>
        <w:t xml:space="preserve">, odnosno </w:t>
      </w:r>
      <w:r w:rsidRPr="00281886">
        <w:rPr>
          <w:rFonts w:eastAsia="Calibri" w:cstheme="minorHAnsi"/>
          <w:bCs/>
          <w:color w:val="000000"/>
          <w:kern w:val="0"/>
          <w:sz w:val="24"/>
          <w:szCs w:val="24"/>
          <w:lang w:val="sr-Latn-ME"/>
          <w14:ligatures w14:val="none"/>
        </w:rPr>
        <w:t>mandatorn</w:t>
      </w:r>
      <w:r w:rsidR="00022894" w:rsidRPr="00281886">
        <w:rPr>
          <w:rFonts w:eastAsia="Calibri" w:cstheme="minorHAnsi"/>
          <w:bCs/>
          <w:color w:val="000000"/>
          <w:kern w:val="0"/>
          <w:sz w:val="24"/>
          <w:szCs w:val="24"/>
          <w:lang w:val="sr-Latn-ME"/>
          <w14:ligatures w14:val="none"/>
        </w:rPr>
        <w:t>a</w:t>
      </w:r>
      <w:r w:rsidRPr="00281886">
        <w:rPr>
          <w:rFonts w:eastAsia="Calibri" w:cstheme="minorHAnsi"/>
          <w:bCs/>
          <w:color w:val="000000"/>
          <w:kern w:val="0"/>
          <w:sz w:val="24"/>
          <w:szCs w:val="24"/>
          <w:lang w:val="sr-Latn-ME"/>
          <w14:ligatures w14:val="none"/>
        </w:rPr>
        <w:t xml:space="preserve"> potrošnj</w:t>
      </w:r>
      <w:r w:rsidR="00022894" w:rsidRPr="00281886">
        <w:rPr>
          <w:rFonts w:eastAsia="Calibri" w:cstheme="minorHAnsi"/>
          <w:bCs/>
          <w:color w:val="000000"/>
          <w:kern w:val="0"/>
          <w:sz w:val="24"/>
          <w:szCs w:val="24"/>
          <w:lang w:val="sr-Latn-ME"/>
          <w14:ligatures w14:val="none"/>
        </w:rPr>
        <w:t>a</w:t>
      </w:r>
      <w:r w:rsidRPr="00281886">
        <w:rPr>
          <w:rFonts w:eastAsia="Calibri" w:cstheme="minorHAnsi"/>
          <w:bCs/>
          <w:color w:val="000000"/>
          <w:kern w:val="0"/>
          <w:sz w:val="24"/>
          <w:szCs w:val="24"/>
          <w:lang w:val="sr-Latn-ME"/>
          <w14:ligatures w14:val="none"/>
        </w:rPr>
        <w:t xml:space="preserve"> za plate, penzije i socijalna davanja</w:t>
      </w:r>
      <w:r w:rsidR="00022894" w:rsidRPr="00281886">
        <w:rPr>
          <w:rFonts w:eastAsia="Calibri" w:cstheme="minorHAnsi"/>
          <w:bCs/>
          <w:color w:val="000000"/>
          <w:kern w:val="0"/>
          <w:sz w:val="24"/>
          <w:szCs w:val="24"/>
          <w:lang w:val="sr-Latn-ME"/>
          <w14:ligatures w14:val="none"/>
        </w:rPr>
        <w:t xml:space="preserve"> povećana</w:t>
      </w:r>
      <w:r w:rsidR="005023C9" w:rsidRPr="00281886">
        <w:rPr>
          <w:rFonts w:eastAsia="Calibri" w:cstheme="minorHAnsi"/>
          <w:bCs/>
          <w:color w:val="000000"/>
          <w:kern w:val="0"/>
          <w:sz w:val="24"/>
          <w:szCs w:val="24"/>
          <w:lang w:val="sr-Latn-ME"/>
          <w14:ligatures w14:val="none"/>
        </w:rPr>
        <w:t>.</w:t>
      </w:r>
      <w:r w:rsidR="00CB06A6">
        <w:rPr>
          <w:rFonts w:eastAsia="Calibri" w:cstheme="minorHAnsi"/>
          <w:bCs/>
          <w:color w:val="000000"/>
          <w:kern w:val="0"/>
          <w:sz w:val="24"/>
          <w:szCs w:val="24"/>
          <w:lang w:val="sr-Latn-ME"/>
          <w14:ligatures w14:val="none"/>
        </w:rPr>
        <w:t xml:space="preserve"> </w:t>
      </w:r>
      <w:r w:rsidR="00A84AB8">
        <w:rPr>
          <w:rFonts w:eastAsia="Calibri" w:cstheme="minorHAnsi"/>
          <w:bCs/>
          <w:color w:val="000000"/>
          <w:kern w:val="0"/>
          <w:sz w:val="24"/>
          <w:szCs w:val="24"/>
          <w:lang w:val="sr-Latn-ME"/>
          <w14:ligatures w14:val="none"/>
        </w:rPr>
        <w:t>U</w:t>
      </w:r>
      <w:r w:rsidR="00E556C6">
        <w:rPr>
          <w:rFonts w:eastAsia="Calibri" w:cstheme="minorHAnsi"/>
          <w:bCs/>
          <w:color w:val="000000"/>
          <w:kern w:val="0"/>
          <w:sz w:val="24"/>
          <w:szCs w:val="24"/>
          <w:lang w:val="sr-Latn-ME"/>
          <w14:ligatures w14:val="none"/>
        </w:rPr>
        <w:t>pravo je povećanje tih izdataka, naročito za socijalna davanja</w:t>
      </w:r>
      <w:r w:rsidR="00482B01">
        <w:rPr>
          <w:rFonts w:eastAsia="Calibri" w:cstheme="minorHAnsi"/>
          <w:bCs/>
          <w:color w:val="000000"/>
          <w:kern w:val="0"/>
          <w:sz w:val="24"/>
          <w:szCs w:val="24"/>
          <w:lang w:val="sr-Latn-ME"/>
          <w14:ligatures w14:val="none"/>
        </w:rPr>
        <w:t xml:space="preserve">, </w:t>
      </w:r>
      <w:r w:rsidR="00E556C6">
        <w:rPr>
          <w:rFonts w:eastAsia="Calibri" w:cstheme="minorHAnsi"/>
          <w:bCs/>
          <w:color w:val="000000"/>
          <w:kern w:val="0"/>
          <w:sz w:val="24"/>
          <w:szCs w:val="24"/>
          <w:lang w:val="sr-Latn-ME"/>
          <w14:ligatures w14:val="none"/>
        </w:rPr>
        <w:t xml:space="preserve"> jedan od mogućih uzroka uticaja na neformalnu ekonomiju</w:t>
      </w:r>
      <w:r w:rsidR="007666DA">
        <w:rPr>
          <w:rFonts w:eastAsia="Calibri" w:cstheme="minorHAnsi"/>
          <w:bCs/>
          <w:color w:val="000000"/>
          <w:kern w:val="0"/>
          <w:sz w:val="24"/>
          <w:szCs w:val="24"/>
          <w:lang w:val="sr-Latn-ME"/>
          <w14:ligatures w14:val="none"/>
        </w:rPr>
        <w:t>, naročito na tržištu rada.</w:t>
      </w:r>
      <w:r w:rsidR="00E556C6">
        <w:rPr>
          <w:rFonts w:eastAsia="Calibri" w:cstheme="minorHAnsi"/>
          <w:bCs/>
          <w:color w:val="000000"/>
          <w:kern w:val="0"/>
          <w:sz w:val="24"/>
          <w:szCs w:val="24"/>
          <w:lang w:val="sr-Latn-ME"/>
          <w14:ligatures w14:val="none"/>
        </w:rPr>
        <w:t xml:space="preserve"> </w:t>
      </w:r>
    </w:p>
    <w:p w14:paraId="3F76570A" w14:textId="77777777" w:rsidR="001D0030" w:rsidRPr="007479EB" w:rsidRDefault="001D0030" w:rsidP="00092DF7">
      <w:pPr>
        <w:spacing w:after="150" w:line="360" w:lineRule="auto"/>
        <w:jc w:val="both"/>
        <w:rPr>
          <w:rFonts w:eastAsia="Calibri" w:cstheme="minorHAnsi"/>
          <w:bCs/>
          <w:color w:val="000000"/>
          <w:kern w:val="0"/>
          <w:sz w:val="24"/>
          <w:szCs w:val="24"/>
          <w:lang w:val="sr-Latn-ME"/>
          <w14:ligatures w14:val="none"/>
        </w:rPr>
      </w:pPr>
    </w:p>
    <w:p w14:paraId="6D387AE7" w14:textId="7DDF9CBF" w:rsidR="00D24440" w:rsidRDefault="000874D7" w:rsidP="0042027A">
      <w:pPr>
        <w:pStyle w:val="Heading2"/>
        <w:rPr>
          <w:rFonts w:eastAsia="Calibri"/>
          <w:lang w:val="sr-Latn-ME"/>
        </w:rPr>
      </w:pPr>
      <w:bookmarkStart w:id="8" w:name="_Toc147990145"/>
      <w:r>
        <w:rPr>
          <w:rFonts w:eastAsia="Calibri"/>
          <w:lang w:val="sr-Latn-ME"/>
        </w:rPr>
        <w:lastRenderedPageBreak/>
        <w:t>2.2</w:t>
      </w:r>
      <w:r w:rsidR="009065CD" w:rsidRPr="00092DF7">
        <w:rPr>
          <w:rFonts w:eastAsia="Calibri"/>
          <w:lang w:val="sr-Latn-ME"/>
        </w:rPr>
        <w:t xml:space="preserve">Makroekonomska kretanja u  </w:t>
      </w:r>
      <w:r w:rsidR="00E9019A" w:rsidRPr="00092DF7">
        <w:rPr>
          <w:rFonts w:eastAsia="Calibri"/>
          <w:lang w:val="sr-Latn-ME"/>
        </w:rPr>
        <w:t>p</w:t>
      </w:r>
      <w:r w:rsidR="0048506E" w:rsidRPr="00092DF7">
        <w:rPr>
          <w:rFonts w:eastAsia="Calibri"/>
          <w:lang w:val="sr-Latn-ME"/>
        </w:rPr>
        <w:t>os</w:t>
      </w:r>
      <w:r w:rsidR="00E9019A" w:rsidRPr="00092DF7">
        <w:rPr>
          <w:rFonts w:eastAsia="Calibri"/>
          <w:lang w:val="sr-Latn-ME"/>
        </w:rPr>
        <w:t>ljednje dvije godine</w:t>
      </w:r>
      <w:bookmarkEnd w:id="8"/>
    </w:p>
    <w:p w14:paraId="59C0C7E4" w14:textId="77777777" w:rsidR="000874D7" w:rsidRPr="000874D7" w:rsidRDefault="000874D7" w:rsidP="000874D7">
      <w:pPr>
        <w:rPr>
          <w:lang w:val="sr-Latn-ME"/>
        </w:rPr>
      </w:pPr>
    </w:p>
    <w:p w14:paraId="464DD182" w14:textId="10103D6B" w:rsidR="00D24440" w:rsidRPr="00B67D63" w:rsidRDefault="00092DF7" w:rsidP="00752F3F">
      <w:pPr>
        <w:spacing w:after="150" w:line="276" w:lineRule="auto"/>
        <w:jc w:val="both"/>
        <w:rPr>
          <w:rFonts w:eastAsia="Calibri" w:cstheme="minorHAnsi"/>
          <w:color w:val="002060"/>
          <w:kern w:val="0"/>
          <w:sz w:val="24"/>
          <w:szCs w:val="24"/>
          <w:lang w:val="sr-Latn-ME"/>
          <w14:ligatures w14:val="none"/>
        </w:rPr>
      </w:pPr>
      <w:r w:rsidRPr="00B67D63">
        <w:rPr>
          <w:rFonts w:eastAsia="Calibri" w:cstheme="minorHAnsi"/>
          <w:color w:val="002060"/>
          <w:kern w:val="0"/>
          <w:sz w:val="24"/>
          <w:szCs w:val="24"/>
          <w:lang w:val="sr-Latn-ME"/>
          <w14:ligatures w14:val="none"/>
        </w:rPr>
        <w:t xml:space="preserve">2.2.1 </w:t>
      </w:r>
      <w:r w:rsidR="00D24440" w:rsidRPr="00B67D63">
        <w:rPr>
          <w:rFonts w:eastAsia="Calibri" w:cstheme="minorHAnsi"/>
          <w:color w:val="002060"/>
          <w:kern w:val="0"/>
          <w:sz w:val="24"/>
          <w:szCs w:val="24"/>
          <w:lang w:val="sr-Latn-ME"/>
          <w14:ligatures w14:val="none"/>
        </w:rPr>
        <w:t>Faktori uticaja na ekonomski rast</w:t>
      </w:r>
      <w:r w:rsidR="004E3C2F" w:rsidRPr="00B67D63">
        <w:rPr>
          <w:rStyle w:val="FootnoteReference"/>
          <w:rFonts w:eastAsia="Calibri" w:cstheme="minorHAnsi"/>
          <w:color w:val="002060"/>
          <w:kern w:val="0"/>
          <w:sz w:val="24"/>
          <w:szCs w:val="24"/>
          <w:lang w:val="sr-Latn-ME"/>
          <w14:ligatures w14:val="none"/>
        </w:rPr>
        <w:footnoteReference w:id="3"/>
      </w:r>
    </w:p>
    <w:p w14:paraId="44254AA2" w14:textId="1FC4C367" w:rsidR="0012056B" w:rsidRPr="00281886" w:rsidRDefault="007E1DD2" w:rsidP="009364EF">
      <w:pPr>
        <w:spacing w:after="150" w:line="276" w:lineRule="auto"/>
        <w:jc w:val="both"/>
        <w:rPr>
          <w:rFonts w:eastAsia="Calibri" w:cstheme="minorHAnsi"/>
          <w:kern w:val="0"/>
          <w:sz w:val="24"/>
          <w:szCs w:val="24"/>
          <w:lang w:val="sr-Latn-ME"/>
          <w14:ligatures w14:val="none"/>
        </w:rPr>
      </w:pPr>
      <w:r w:rsidRPr="00281886">
        <w:rPr>
          <w:rFonts w:eastAsia="Calibri" w:cstheme="minorHAnsi"/>
          <w:kern w:val="0"/>
          <w:sz w:val="24"/>
          <w:szCs w:val="24"/>
          <w:lang w:val="sr-Latn-ME"/>
          <w14:ligatures w14:val="none"/>
        </w:rPr>
        <w:t>Uprkos nepovoljnim globalnim kretanjima, crnogorska ekonomija je u 2022.</w:t>
      </w:r>
      <w:r w:rsidR="007666DA">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godini zabilježila snažan rast od 6,</w:t>
      </w:r>
      <w:r w:rsidR="00B72A00">
        <w:rPr>
          <w:rFonts w:eastAsia="Calibri" w:cstheme="minorHAnsi"/>
          <w:kern w:val="0"/>
          <w:sz w:val="24"/>
          <w:szCs w:val="24"/>
          <w:lang w:val="sr-Latn-ME"/>
          <w14:ligatures w14:val="none"/>
        </w:rPr>
        <w:t>4</w:t>
      </w:r>
      <w:r w:rsidRPr="00281886">
        <w:rPr>
          <w:rFonts w:eastAsia="Calibri" w:cstheme="minorHAnsi"/>
          <w:kern w:val="0"/>
          <w:sz w:val="24"/>
          <w:szCs w:val="24"/>
          <w:lang w:val="sr-Latn-ME"/>
          <w14:ligatures w14:val="none"/>
        </w:rPr>
        <w:t>%</w:t>
      </w:r>
      <w:r w:rsidR="003849BC" w:rsidRPr="00281886">
        <w:rPr>
          <w:rFonts w:eastAsia="Calibri" w:cstheme="minorHAnsi"/>
          <w:kern w:val="0"/>
          <w:sz w:val="24"/>
          <w:szCs w:val="24"/>
          <w:lang w:val="sr-Latn-ME"/>
          <w14:ligatures w14:val="none"/>
        </w:rPr>
        <w:t xml:space="preserve"> nakon 13% ostvarenih u 2021.godini, kao prvoj godini oporavka nakon </w:t>
      </w:r>
      <w:r w:rsidR="00B72A00" w:rsidRPr="00281886">
        <w:rPr>
          <w:rFonts w:eastAsia="Calibri" w:cstheme="minorHAnsi"/>
          <w:kern w:val="0"/>
          <w:sz w:val="24"/>
          <w:szCs w:val="24"/>
          <w:lang w:val="sr-Latn-ME"/>
          <w14:ligatures w14:val="none"/>
        </w:rPr>
        <w:t>rece</w:t>
      </w:r>
      <w:r w:rsidR="00B72A00">
        <w:rPr>
          <w:rFonts w:eastAsia="Calibri" w:cstheme="minorHAnsi"/>
          <w:kern w:val="0"/>
          <w:sz w:val="24"/>
          <w:szCs w:val="24"/>
          <w:lang w:val="sr-Latn-ME"/>
          <w14:ligatures w14:val="none"/>
        </w:rPr>
        <w:t>si</w:t>
      </w:r>
      <w:r w:rsidR="00B72A00" w:rsidRPr="00281886">
        <w:rPr>
          <w:rFonts w:eastAsia="Calibri" w:cstheme="minorHAnsi"/>
          <w:kern w:val="0"/>
          <w:sz w:val="24"/>
          <w:szCs w:val="24"/>
          <w:lang w:val="sr-Latn-ME"/>
          <w14:ligatures w14:val="none"/>
        </w:rPr>
        <w:t xml:space="preserve">je </w:t>
      </w:r>
      <w:r w:rsidR="003849BC" w:rsidRPr="00281886">
        <w:rPr>
          <w:rFonts w:eastAsia="Calibri" w:cstheme="minorHAnsi"/>
          <w:kern w:val="0"/>
          <w:sz w:val="24"/>
          <w:szCs w:val="24"/>
          <w:lang w:val="sr-Latn-ME"/>
          <w14:ligatures w14:val="none"/>
        </w:rPr>
        <w:t xml:space="preserve">izazvane COVID-19 pandemijom. </w:t>
      </w:r>
      <w:r w:rsidR="00793509" w:rsidRPr="00281886">
        <w:rPr>
          <w:rFonts w:eastAsia="Calibri" w:cstheme="minorHAnsi"/>
          <w:kern w:val="0"/>
          <w:sz w:val="24"/>
          <w:szCs w:val="24"/>
          <w:lang w:val="sr-Latn-ME"/>
          <w14:ligatures w14:val="none"/>
        </w:rPr>
        <w:t>Najveći doprinos ekono</w:t>
      </w:r>
      <w:r w:rsidR="007666DA">
        <w:rPr>
          <w:rFonts w:eastAsia="Calibri" w:cstheme="minorHAnsi"/>
          <w:kern w:val="0"/>
          <w:sz w:val="24"/>
          <w:szCs w:val="24"/>
          <w:lang w:val="sr-Latn-ME"/>
          <w14:ligatures w14:val="none"/>
        </w:rPr>
        <w:t>ms</w:t>
      </w:r>
      <w:r w:rsidR="00793509" w:rsidRPr="00281886">
        <w:rPr>
          <w:rFonts w:eastAsia="Calibri" w:cstheme="minorHAnsi"/>
          <w:kern w:val="0"/>
          <w:sz w:val="24"/>
          <w:szCs w:val="24"/>
          <w:lang w:val="sr-Latn-ME"/>
          <w14:ligatures w14:val="none"/>
        </w:rPr>
        <w:t xml:space="preserve">kom rastu </w:t>
      </w:r>
      <w:r w:rsidR="003849BC" w:rsidRPr="00281886">
        <w:rPr>
          <w:rFonts w:eastAsia="Calibri" w:cstheme="minorHAnsi"/>
          <w:kern w:val="0"/>
          <w:sz w:val="24"/>
          <w:szCs w:val="24"/>
          <w:lang w:val="sr-Latn-ME"/>
          <w14:ligatures w14:val="none"/>
        </w:rPr>
        <w:t xml:space="preserve">u 2022. </w:t>
      </w:r>
      <w:r w:rsidR="00793509" w:rsidRPr="00281886">
        <w:rPr>
          <w:rFonts w:eastAsia="Calibri" w:cstheme="minorHAnsi"/>
          <w:kern w:val="0"/>
          <w:sz w:val="24"/>
          <w:szCs w:val="24"/>
          <w:lang w:val="sr-Latn-ME"/>
          <w14:ligatures w14:val="none"/>
        </w:rPr>
        <w:t>dali su privatna potrošnja (7,1 p</w:t>
      </w:r>
      <w:r w:rsidR="006C691C">
        <w:rPr>
          <w:rFonts w:eastAsia="Calibri" w:cstheme="minorHAnsi"/>
          <w:kern w:val="0"/>
          <w:sz w:val="24"/>
          <w:szCs w:val="24"/>
          <w:lang w:val="sr-Latn-ME"/>
          <w14:ligatures w14:val="none"/>
        </w:rPr>
        <w:t>.p.</w:t>
      </w:r>
      <w:r w:rsidR="00793509" w:rsidRPr="00281886">
        <w:rPr>
          <w:rFonts w:eastAsia="Calibri" w:cstheme="minorHAnsi"/>
          <w:kern w:val="0"/>
          <w:sz w:val="24"/>
          <w:szCs w:val="24"/>
          <w:lang w:val="sr-Latn-ME"/>
          <w14:ligatures w14:val="none"/>
        </w:rPr>
        <w:t>)</w:t>
      </w:r>
      <w:r w:rsidR="00752F3F" w:rsidRPr="00281886">
        <w:rPr>
          <w:rFonts w:eastAsia="Calibri" w:cstheme="minorHAnsi"/>
          <w:kern w:val="0"/>
          <w:sz w:val="24"/>
          <w:szCs w:val="24"/>
          <w:lang w:val="sr-Latn-ME"/>
          <w14:ligatures w14:val="none"/>
        </w:rPr>
        <w:t xml:space="preserve"> i izvoz roba i usluga (9,7 </w:t>
      </w:r>
      <w:r w:rsidR="006C691C">
        <w:rPr>
          <w:rFonts w:eastAsia="Calibri" w:cstheme="minorHAnsi"/>
          <w:kern w:val="0"/>
          <w:sz w:val="24"/>
          <w:szCs w:val="24"/>
          <w:lang w:val="sr-Latn-ME"/>
          <w14:ligatures w14:val="none"/>
        </w:rPr>
        <w:t>p.p</w:t>
      </w:r>
      <w:r w:rsidR="00752F3F" w:rsidRPr="00281886">
        <w:rPr>
          <w:rFonts w:eastAsia="Calibri" w:cstheme="minorHAnsi"/>
          <w:kern w:val="0"/>
          <w:sz w:val="24"/>
          <w:szCs w:val="24"/>
          <w:lang w:val="sr-Latn-ME"/>
          <w14:ligatures w14:val="none"/>
        </w:rPr>
        <w:t>).</w:t>
      </w:r>
      <w:r w:rsidR="00793509" w:rsidRPr="00281886">
        <w:rPr>
          <w:rFonts w:eastAsia="Calibri" w:cstheme="minorHAnsi"/>
          <w:kern w:val="0"/>
          <w:sz w:val="24"/>
          <w:szCs w:val="24"/>
          <w:lang w:val="sr-Latn-ME"/>
          <w14:ligatures w14:val="none"/>
        </w:rPr>
        <w:t xml:space="preserve"> Investicije su </w:t>
      </w:r>
      <w:r w:rsidR="00D36C5E">
        <w:rPr>
          <w:rFonts w:eastAsia="Calibri" w:cstheme="minorHAnsi"/>
          <w:kern w:val="0"/>
          <w:sz w:val="24"/>
          <w:szCs w:val="24"/>
          <w:lang w:val="sr-Latn-ME"/>
          <w14:ligatures w14:val="none"/>
        </w:rPr>
        <w:t>zabilježile</w:t>
      </w:r>
      <w:r w:rsidR="00E266CC">
        <w:rPr>
          <w:rFonts w:eastAsia="Calibri" w:cstheme="minorHAnsi"/>
          <w:kern w:val="0"/>
          <w:sz w:val="24"/>
          <w:szCs w:val="24"/>
          <w:lang w:val="sr-Latn-ME"/>
          <w14:ligatures w14:val="none"/>
        </w:rPr>
        <w:t xml:space="preserve"> stopu realnog</w:t>
      </w:r>
      <w:r w:rsidR="00D36C5E">
        <w:rPr>
          <w:rFonts w:eastAsia="Calibri" w:cstheme="minorHAnsi"/>
          <w:kern w:val="0"/>
          <w:sz w:val="24"/>
          <w:szCs w:val="24"/>
          <w:lang w:val="sr-Latn-ME"/>
          <w14:ligatures w14:val="none"/>
        </w:rPr>
        <w:t xml:space="preserve"> </w:t>
      </w:r>
      <w:r w:rsidR="00E266CC">
        <w:rPr>
          <w:rFonts w:eastAsia="Calibri" w:cstheme="minorHAnsi"/>
          <w:kern w:val="0"/>
          <w:sz w:val="24"/>
          <w:szCs w:val="24"/>
          <w:lang w:val="sr-Latn-ME"/>
          <w14:ligatures w14:val="none"/>
        </w:rPr>
        <w:t>rast</w:t>
      </w:r>
      <w:r w:rsidR="00AC7CAF">
        <w:rPr>
          <w:rFonts w:eastAsia="Calibri" w:cstheme="minorHAnsi"/>
          <w:kern w:val="0"/>
          <w:sz w:val="24"/>
          <w:szCs w:val="24"/>
          <w:lang w:val="sr-Latn-ME"/>
          <w14:ligatures w14:val="none"/>
        </w:rPr>
        <w:t>a</w:t>
      </w:r>
      <w:r w:rsidR="00E266CC">
        <w:rPr>
          <w:rFonts w:eastAsia="Calibri" w:cstheme="minorHAnsi"/>
          <w:kern w:val="0"/>
          <w:sz w:val="24"/>
          <w:szCs w:val="24"/>
          <w:lang w:val="sr-Latn-ME"/>
          <w14:ligatures w14:val="none"/>
        </w:rPr>
        <w:t xml:space="preserve"> od 0,1</w:t>
      </w:r>
      <w:r w:rsidR="00752F3F" w:rsidRPr="00281886">
        <w:rPr>
          <w:rFonts w:eastAsia="Calibri" w:cstheme="minorHAnsi"/>
          <w:kern w:val="0"/>
          <w:sz w:val="24"/>
          <w:szCs w:val="24"/>
          <w:lang w:val="sr-Latn-ME"/>
          <w14:ligatures w14:val="none"/>
        </w:rPr>
        <w:t>%</w:t>
      </w:r>
      <w:r w:rsidR="00AC7CAF">
        <w:rPr>
          <w:rFonts w:eastAsia="Calibri" w:cstheme="minorHAnsi"/>
          <w:kern w:val="0"/>
          <w:sz w:val="24"/>
          <w:szCs w:val="24"/>
          <w:lang w:val="sr-Latn-ME"/>
          <w14:ligatures w14:val="none"/>
        </w:rPr>
        <w:t xml:space="preserve"> u 2022. godini</w:t>
      </w:r>
      <w:r w:rsidR="00793509" w:rsidRPr="00281886">
        <w:rPr>
          <w:rFonts w:eastAsia="Calibri" w:cstheme="minorHAnsi"/>
          <w:kern w:val="0"/>
          <w:sz w:val="24"/>
          <w:szCs w:val="24"/>
          <w:lang w:val="sr-Latn-ME"/>
          <w14:ligatures w14:val="none"/>
        </w:rPr>
        <w:t xml:space="preserve">. </w:t>
      </w:r>
      <w:r w:rsidR="00752F3F" w:rsidRPr="00281886">
        <w:rPr>
          <w:rFonts w:eastAsia="Calibri" w:cstheme="minorHAnsi"/>
          <w:kern w:val="0"/>
          <w:sz w:val="24"/>
          <w:szCs w:val="24"/>
          <w:lang w:val="sr-Latn-ME"/>
          <w14:ligatures w14:val="none"/>
        </w:rPr>
        <w:t xml:space="preserve"> Ekonomski rast je  bio usporen u </w:t>
      </w:r>
      <w:r w:rsidR="00410838" w:rsidRPr="00281886">
        <w:rPr>
          <w:rFonts w:eastAsia="Calibri" w:cstheme="minorHAnsi"/>
          <w:kern w:val="0"/>
          <w:sz w:val="24"/>
          <w:szCs w:val="24"/>
          <w:lang w:val="sr-Latn-ME"/>
          <w14:ligatures w14:val="none"/>
        </w:rPr>
        <w:t>d</w:t>
      </w:r>
      <w:r w:rsidR="00752F3F" w:rsidRPr="00281886">
        <w:rPr>
          <w:rFonts w:eastAsia="Calibri" w:cstheme="minorHAnsi"/>
          <w:kern w:val="0"/>
          <w:sz w:val="24"/>
          <w:szCs w:val="24"/>
          <w:lang w:val="sr-Latn-ME"/>
          <w14:ligatures w14:val="none"/>
        </w:rPr>
        <w:t>rugoj polovini godine zbog visoke stope inflacije.</w:t>
      </w:r>
    </w:p>
    <w:p w14:paraId="3DBEC285" w14:textId="1266D9A0" w:rsidR="00752F3F" w:rsidRPr="00281886" w:rsidRDefault="00752F3F" w:rsidP="009364EF">
      <w:pPr>
        <w:spacing w:after="150" w:line="276" w:lineRule="auto"/>
        <w:jc w:val="both"/>
        <w:rPr>
          <w:rFonts w:eastAsia="Calibri" w:cstheme="minorHAnsi"/>
          <w:kern w:val="0"/>
          <w:sz w:val="24"/>
          <w:szCs w:val="24"/>
          <w:lang w:val="sr-Latn-ME"/>
          <w14:ligatures w14:val="none"/>
        </w:rPr>
      </w:pPr>
      <w:r w:rsidRPr="00281886">
        <w:rPr>
          <w:rFonts w:eastAsia="Calibri" w:cstheme="minorHAnsi"/>
          <w:kern w:val="0"/>
          <w:sz w:val="24"/>
          <w:szCs w:val="24"/>
          <w:lang w:val="sr-Latn-ME"/>
          <w14:ligatures w14:val="none"/>
        </w:rPr>
        <w:t>Posmatrano sektorski, prihodi od turizma, kao dio izvo</w:t>
      </w:r>
      <w:r w:rsidR="004844A4">
        <w:rPr>
          <w:rFonts w:eastAsia="Calibri" w:cstheme="minorHAnsi"/>
          <w:kern w:val="0"/>
          <w:sz w:val="24"/>
          <w:szCs w:val="24"/>
          <w:lang w:val="sr-Latn-ME"/>
          <w14:ligatures w14:val="none"/>
        </w:rPr>
        <w:t>z</w:t>
      </w:r>
      <w:r w:rsidRPr="00281886">
        <w:rPr>
          <w:rFonts w:eastAsia="Calibri" w:cstheme="minorHAnsi"/>
          <w:kern w:val="0"/>
          <w:sz w:val="24"/>
          <w:szCs w:val="24"/>
          <w:lang w:val="sr-Latn-ME"/>
          <w14:ligatures w14:val="none"/>
        </w:rPr>
        <w:t>a usluga</w:t>
      </w:r>
      <w:r w:rsidR="00F27B9D">
        <w:rPr>
          <w:rFonts w:eastAsia="Calibri" w:cstheme="minorHAnsi"/>
          <w:kern w:val="0"/>
          <w:sz w:val="24"/>
          <w:szCs w:val="24"/>
          <w:lang w:val="sr-Latn-ME"/>
          <w14:ligatures w14:val="none"/>
        </w:rPr>
        <w:t>,</w:t>
      </w:r>
      <w:r w:rsidRPr="00281886">
        <w:rPr>
          <w:rFonts w:eastAsia="Calibri" w:cstheme="minorHAnsi"/>
          <w:kern w:val="0"/>
          <w:sz w:val="24"/>
          <w:szCs w:val="24"/>
          <w:lang w:val="sr-Latn-ME"/>
          <w14:ligatures w14:val="none"/>
        </w:rPr>
        <w:t xml:space="preserve"> su p</w:t>
      </w:r>
      <w:r w:rsidR="00D234E8" w:rsidRPr="00281886">
        <w:rPr>
          <w:rFonts w:eastAsia="Calibri" w:cstheme="minorHAnsi"/>
          <w:kern w:val="0"/>
          <w:sz w:val="24"/>
          <w:szCs w:val="24"/>
          <w:lang w:val="sr-Latn-ME"/>
          <w14:ligatures w14:val="none"/>
        </w:rPr>
        <w:t>ov</w:t>
      </w:r>
      <w:r w:rsidRPr="00281886">
        <w:rPr>
          <w:rFonts w:eastAsia="Calibri" w:cstheme="minorHAnsi"/>
          <w:kern w:val="0"/>
          <w:sz w:val="24"/>
          <w:szCs w:val="24"/>
          <w:lang w:val="sr-Latn-ME"/>
          <w14:ligatures w14:val="none"/>
        </w:rPr>
        <w:t>ećani za 39,2% u 2022.</w:t>
      </w:r>
      <w:r w:rsidR="00D234E8"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godini i skoro su dostigli nivo iz 2019. kao pretpandemijske godine.</w:t>
      </w:r>
      <w:r w:rsidR="00D234E8" w:rsidRPr="00281886">
        <w:rPr>
          <w:rFonts w:eastAsia="Calibri" w:cstheme="minorHAnsi"/>
          <w:kern w:val="0"/>
          <w:sz w:val="24"/>
          <w:szCs w:val="24"/>
          <w:lang w:val="sr-Latn-ME"/>
          <w14:ligatures w14:val="none"/>
        </w:rPr>
        <w:t xml:space="preserve"> Ind</w:t>
      </w:r>
      <w:r w:rsidR="00F27B9D">
        <w:rPr>
          <w:rFonts w:eastAsia="Calibri" w:cstheme="minorHAnsi"/>
          <w:kern w:val="0"/>
          <w:sz w:val="24"/>
          <w:szCs w:val="24"/>
          <w:lang w:val="sr-Latn-ME"/>
          <w14:ligatures w14:val="none"/>
        </w:rPr>
        <w:t>u</w:t>
      </w:r>
      <w:r w:rsidR="00D234E8" w:rsidRPr="00281886">
        <w:rPr>
          <w:rFonts w:eastAsia="Calibri" w:cstheme="minorHAnsi"/>
          <w:kern w:val="0"/>
          <w:sz w:val="24"/>
          <w:szCs w:val="24"/>
          <w:lang w:val="sr-Latn-ME"/>
          <w14:ligatures w14:val="none"/>
        </w:rPr>
        <w:t>stri</w:t>
      </w:r>
      <w:r w:rsidR="00AC7CAF">
        <w:rPr>
          <w:rFonts w:eastAsia="Calibri" w:cstheme="minorHAnsi"/>
          <w:kern w:val="0"/>
          <w:sz w:val="24"/>
          <w:szCs w:val="24"/>
          <w:lang w:val="sr-Latn-ME"/>
          <w14:ligatures w14:val="none"/>
        </w:rPr>
        <w:t>js</w:t>
      </w:r>
      <w:r w:rsidR="00D234E8" w:rsidRPr="00281886">
        <w:rPr>
          <w:rFonts w:eastAsia="Calibri" w:cstheme="minorHAnsi"/>
          <w:kern w:val="0"/>
          <w:sz w:val="24"/>
          <w:szCs w:val="24"/>
          <w:lang w:val="sr-Latn-ME"/>
          <w14:ligatures w14:val="none"/>
        </w:rPr>
        <w:t>ka proizvodnja je zabilježila pad od 3,3% usljed nepovoljnih hidroloških uslova, dok je promet u trgovini na veliko i malo zabilježio rast od 28,8%.</w:t>
      </w:r>
      <w:r w:rsidR="00CB06A6">
        <w:rPr>
          <w:rFonts w:eastAsia="Calibri" w:cstheme="minorHAnsi"/>
          <w:kern w:val="0"/>
          <w:sz w:val="24"/>
          <w:szCs w:val="24"/>
          <w:lang w:val="sr-Latn-ME"/>
          <w14:ligatures w14:val="none"/>
        </w:rPr>
        <w:t xml:space="preserve"> </w:t>
      </w:r>
      <w:r w:rsidR="00410838" w:rsidRPr="00281886">
        <w:rPr>
          <w:rFonts w:eastAsia="Calibri" w:cstheme="minorHAnsi"/>
          <w:kern w:val="0"/>
          <w:sz w:val="24"/>
          <w:szCs w:val="24"/>
          <w:lang w:val="sr-Latn-ME"/>
          <w14:ligatures w14:val="none"/>
        </w:rPr>
        <w:t>U sektoru građevinarstva je zabilježen pad vrijednosti ukupno izvedenih građevinskih radova za 4,4% u odnosu na 2021.</w:t>
      </w:r>
      <w:r w:rsidR="00F27B9D">
        <w:rPr>
          <w:rFonts w:eastAsia="Calibri" w:cstheme="minorHAnsi"/>
          <w:kern w:val="0"/>
          <w:sz w:val="24"/>
          <w:szCs w:val="24"/>
          <w:lang w:val="sr-Latn-ME"/>
          <w14:ligatures w14:val="none"/>
        </w:rPr>
        <w:t xml:space="preserve"> </w:t>
      </w:r>
      <w:r w:rsidR="00410838" w:rsidRPr="00281886">
        <w:rPr>
          <w:rFonts w:eastAsia="Calibri" w:cstheme="minorHAnsi"/>
          <w:kern w:val="0"/>
          <w:sz w:val="24"/>
          <w:szCs w:val="24"/>
          <w:lang w:val="sr-Latn-ME"/>
          <w14:ligatures w14:val="none"/>
        </w:rPr>
        <w:t xml:space="preserve">godinu. </w:t>
      </w:r>
    </w:p>
    <w:p w14:paraId="6101A67E" w14:textId="0FAD5CDE" w:rsidR="00D24440" w:rsidRPr="00281886" w:rsidRDefault="00410838" w:rsidP="009364EF">
      <w:pPr>
        <w:spacing w:after="150" w:line="276" w:lineRule="auto"/>
        <w:jc w:val="both"/>
        <w:rPr>
          <w:rFonts w:eastAsia="Calibri" w:cstheme="minorHAnsi"/>
          <w:kern w:val="0"/>
          <w:sz w:val="24"/>
          <w:szCs w:val="24"/>
          <w:lang w:val="sr-Latn-ME"/>
          <w14:ligatures w14:val="none"/>
        </w:rPr>
      </w:pPr>
      <w:r w:rsidRPr="00281886">
        <w:rPr>
          <w:rFonts w:eastAsia="Calibri" w:cstheme="minorHAnsi"/>
          <w:kern w:val="0"/>
          <w:sz w:val="24"/>
          <w:szCs w:val="24"/>
          <w:lang w:val="sr-Latn-ME"/>
          <w14:ligatures w14:val="none"/>
        </w:rPr>
        <w:t xml:space="preserve">Prema dostupnim podacima za </w:t>
      </w:r>
      <w:r w:rsidR="00D25E53">
        <w:rPr>
          <w:rFonts w:eastAsia="Calibri" w:cstheme="minorHAnsi"/>
          <w:kern w:val="0"/>
          <w:sz w:val="24"/>
          <w:szCs w:val="24"/>
          <w:lang w:val="sr-Latn-ME"/>
          <w14:ligatures w14:val="none"/>
        </w:rPr>
        <w:t>drugi</w:t>
      </w:r>
      <w:r w:rsidR="00D25E53"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kvartal 2023.</w:t>
      </w:r>
      <w:r w:rsidR="00F27B9D">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godine, realni</w:t>
      </w:r>
      <w:r w:rsidR="007666DA">
        <w:rPr>
          <w:rFonts w:eastAsia="Calibri" w:cstheme="minorHAnsi"/>
          <w:kern w:val="0"/>
          <w:sz w:val="24"/>
          <w:szCs w:val="24"/>
          <w:lang w:val="sr-Latn-ME"/>
          <w14:ligatures w14:val="none"/>
        </w:rPr>
        <w:t xml:space="preserve"> r</w:t>
      </w:r>
      <w:r w:rsidRPr="00281886">
        <w:rPr>
          <w:rFonts w:eastAsia="Calibri" w:cstheme="minorHAnsi"/>
          <w:kern w:val="0"/>
          <w:sz w:val="24"/>
          <w:szCs w:val="24"/>
          <w:lang w:val="sr-Latn-ME"/>
          <w14:ligatures w14:val="none"/>
        </w:rPr>
        <w:t>ast BDP je bio 6,</w:t>
      </w:r>
      <w:r w:rsidR="00D25E53">
        <w:rPr>
          <w:rFonts w:eastAsia="Calibri" w:cstheme="minorHAnsi"/>
          <w:kern w:val="0"/>
          <w:sz w:val="24"/>
          <w:szCs w:val="24"/>
          <w:lang w:val="sr-Latn-ME"/>
          <w14:ligatures w14:val="none"/>
        </w:rPr>
        <w:t>9</w:t>
      </w:r>
      <w:r w:rsidRPr="00281886">
        <w:rPr>
          <w:rFonts w:eastAsia="Calibri" w:cstheme="minorHAnsi"/>
          <w:kern w:val="0"/>
          <w:sz w:val="24"/>
          <w:szCs w:val="24"/>
          <w:lang w:val="sr-Latn-ME"/>
          <w14:ligatures w14:val="none"/>
        </w:rPr>
        <w:t xml:space="preserve">%, a najveći doprinos rastu su ponovo dali </w:t>
      </w:r>
      <w:r w:rsidR="00D25E53" w:rsidRPr="00281886">
        <w:rPr>
          <w:rFonts w:eastAsia="Calibri" w:cstheme="minorHAnsi"/>
          <w:kern w:val="0"/>
          <w:sz w:val="24"/>
          <w:szCs w:val="24"/>
          <w:lang w:val="sr-Latn-ME"/>
          <w14:ligatures w14:val="none"/>
        </w:rPr>
        <w:t>izvoz roba i usluga (</w:t>
      </w:r>
      <w:r w:rsidR="00D25E53">
        <w:rPr>
          <w:rFonts w:eastAsia="Calibri" w:cstheme="minorHAnsi"/>
          <w:kern w:val="0"/>
          <w:sz w:val="24"/>
          <w:szCs w:val="24"/>
          <w:lang w:val="sr-Latn-ME"/>
          <w14:ligatures w14:val="none"/>
        </w:rPr>
        <w:t>7,6</w:t>
      </w:r>
      <w:r w:rsidR="00D25E53" w:rsidRPr="00281886">
        <w:rPr>
          <w:rFonts w:eastAsia="Calibri" w:cstheme="minorHAnsi"/>
          <w:kern w:val="0"/>
          <w:sz w:val="24"/>
          <w:szCs w:val="24"/>
          <w:lang w:val="sr-Latn-ME"/>
          <w14:ligatures w14:val="none"/>
        </w:rPr>
        <w:t xml:space="preserve"> p.p)</w:t>
      </w:r>
      <w:r w:rsidR="00D25E53">
        <w:rPr>
          <w:rFonts w:eastAsia="Calibri" w:cstheme="minorHAnsi"/>
          <w:kern w:val="0"/>
          <w:sz w:val="24"/>
          <w:szCs w:val="24"/>
          <w:lang w:val="sr-Latn-ME"/>
          <w14:ligatures w14:val="none"/>
        </w:rPr>
        <w:t xml:space="preserve">, </w:t>
      </w:r>
      <w:r w:rsidR="003849BC" w:rsidRPr="00281886">
        <w:rPr>
          <w:rFonts w:eastAsia="Calibri" w:cstheme="minorHAnsi"/>
          <w:kern w:val="0"/>
          <w:sz w:val="24"/>
          <w:szCs w:val="24"/>
          <w:lang w:val="sr-Latn-ME"/>
          <w14:ligatures w14:val="none"/>
        </w:rPr>
        <w:t>privatna</w:t>
      </w:r>
      <w:r w:rsidRPr="00281886">
        <w:rPr>
          <w:rFonts w:eastAsia="Calibri" w:cstheme="minorHAnsi"/>
          <w:kern w:val="0"/>
          <w:sz w:val="24"/>
          <w:szCs w:val="24"/>
          <w:lang w:val="sr-Latn-ME"/>
          <w14:ligatures w14:val="none"/>
        </w:rPr>
        <w:t xml:space="preserve"> potrošnja (</w:t>
      </w:r>
      <w:r w:rsidR="00D25E53">
        <w:rPr>
          <w:rFonts w:eastAsia="Calibri" w:cstheme="minorHAnsi"/>
          <w:kern w:val="0"/>
          <w:sz w:val="24"/>
          <w:szCs w:val="24"/>
          <w:lang w:val="sr-Latn-ME"/>
          <w14:ligatures w14:val="none"/>
        </w:rPr>
        <w:t>5</w:t>
      </w:r>
      <w:r w:rsidR="00D25E53"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p.p.)</w:t>
      </w:r>
      <w:r w:rsidR="00DE4A37">
        <w:rPr>
          <w:rFonts w:eastAsia="Calibri" w:cstheme="minorHAnsi"/>
          <w:kern w:val="0"/>
          <w:sz w:val="24"/>
          <w:szCs w:val="24"/>
          <w:lang w:val="sr-Latn-ME"/>
          <w14:ligatures w14:val="none"/>
        </w:rPr>
        <w:t>.</w:t>
      </w:r>
      <w:r w:rsidRPr="00281886">
        <w:rPr>
          <w:rFonts w:eastAsia="Calibri" w:cstheme="minorHAnsi"/>
          <w:kern w:val="0"/>
          <w:sz w:val="24"/>
          <w:szCs w:val="24"/>
          <w:lang w:val="sr-Latn-ME"/>
          <w14:ligatures w14:val="none"/>
        </w:rPr>
        <w:t xml:space="preserve">  </w:t>
      </w:r>
      <w:r w:rsidR="00D24440" w:rsidRPr="00281886">
        <w:rPr>
          <w:rFonts w:eastAsia="Calibri" w:cstheme="minorHAnsi"/>
          <w:kern w:val="0"/>
          <w:sz w:val="24"/>
          <w:szCs w:val="24"/>
          <w:lang w:val="sr-Latn-ME"/>
          <w14:ligatures w14:val="none"/>
        </w:rPr>
        <w:t xml:space="preserve">Na ekonomska kretanja u prvom kvartalu značajan uticaj imalo je povećanje migranata iz Ukrajine i Rusije, koji su uticali na povećanje potrošnje domaćinstava kroz plaćanje renti, povećanje potrošnje u maloprodaji, kao i povećanju prihoda od turizma. </w:t>
      </w:r>
    </w:p>
    <w:p w14:paraId="42B41212" w14:textId="6487A42B" w:rsidR="00D24440" w:rsidRPr="00021CDC" w:rsidRDefault="00410838" w:rsidP="00567F61">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kern w:val="0"/>
          <w:sz w:val="24"/>
          <w:szCs w:val="24"/>
          <w:lang w:val="sr-Latn-ME"/>
          <w14:ligatures w14:val="none"/>
        </w:rPr>
        <w:t>Broj noćenja turista</w:t>
      </w:r>
      <w:r w:rsidR="007E7EFB">
        <w:rPr>
          <w:rFonts w:eastAsia="Calibri" w:cstheme="minorHAnsi"/>
          <w:kern w:val="0"/>
          <w:sz w:val="24"/>
          <w:szCs w:val="24"/>
          <w:lang w:val="sr-Latn-ME"/>
          <w14:ligatures w14:val="none"/>
        </w:rPr>
        <w:t xml:space="preserve"> </w:t>
      </w:r>
      <w:r w:rsidR="007E7EFB" w:rsidRPr="00CB06A6">
        <w:rPr>
          <w:rFonts w:eastAsia="Calibri" w:cstheme="minorHAnsi"/>
          <w:kern w:val="0"/>
          <w:sz w:val="24"/>
          <w:szCs w:val="24"/>
          <w:lang w:val="sr-Latn-ME"/>
          <w14:ligatures w14:val="none"/>
        </w:rPr>
        <w:t>u kolektivnom smještaju</w:t>
      </w:r>
      <w:r w:rsidRPr="00CB06A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 xml:space="preserve">u </w:t>
      </w:r>
      <w:r w:rsidR="00DE4A37">
        <w:rPr>
          <w:rFonts w:eastAsia="Calibri" w:cstheme="minorHAnsi"/>
          <w:kern w:val="0"/>
          <w:sz w:val="24"/>
          <w:szCs w:val="24"/>
          <w:lang w:val="sr-Latn-ME"/>
          <w14:ligatures w14:val="none"/>
        </w:rPr>
        <w:t>drugom</w:t>
      </w:r>
      <w:r w:rsidR="00DE4A37"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kva</w:t>
      </w:r>
      <w:r w:rsidR="00231557">
        <w:rPr>
          <w:rFonts w:eastAsia="Calibri" w:cstheme="minorHAnsi"/>
          <w:kern w:val="0"/>
          <w:sz w:val="24"/>
          <w:szCs w:val="24"/>
          <w:lang w:val="sr-Latn-ME"/>
          <w14:ligatures w14:val="none"/>
        </w:rPr>
        <w:t>r</w:t>
      </w:r>
      <w:r w:rsidRPr="00281886">
        <w:rPr>
          <w:rFonts w:eastAsia="Calibri" w:cstheme="minorHAnsi"/>
          <w:kern w:val="0"/>
          <w:sz w:val="24"/>
          <w:szCs w:val="24"/>
          <w:lang w:val="sr-Latn-ME"/>
          <w14:ligatures w14:val="none"/>
        </w:rPr>
        <w:t>talu je bio</w:t>
      </w:r>
      <w:r w:rsidR="00D24440"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 xml:space="preserve">čak za </w:t>
      </w:r>
      <w:r w:rsidR="00DE4A37">
        <w:rPr>
          <w:rFonts w:eastAsia="Calibri" w:cstheme="minorHAnsi"/>
          <w:kern w:val="0"/>
          <w:sz w:val="24"/>
          <w:szCs w:val="24"/>
          <w:lang w:val="sr-Latn-ME"/>
          <w14:ligatures w14:val="none"/>
        </w:rPr>
        <w:t>35,3</w:t>
      </w:r>
      <w:r w:rsidRPr="00281886">
        <w:rPr>
          <w:rFonts w:eastAsia="Calibri" w:cstheme="minorHAnsi"/>
          <w:kern w:val="0"/>
          <w:sz w:val="24"/>
          <w:szCs w:val="24"/>
          <w:lang w:val="sr-Latn-ME"/>
          <w14:ligatures w14:val="none"/>
        </w:rPr>
        <w:t xml:space="preserve">% veći nego u </w:t>
      </w:r>
      <w:r w:rsidR="00DE4A37">
        <w:rPr>
          <w:rFonts w:eastAsia="Calibri" w:cstheme="minorHAnsi"/>
          <w:kern w:val="0"/>
          <w:sz w:val="24"/>
          <w:szCs w:val="24"/>
          <w:lang w:val="sr-Latn-ME"/>
          <w14:ligatures w14:val="none"/>
        </w:rPr>
        <w:t>drugom</w:t>
      </w:r>
      <w:r w:rsidR="00DE4A37" w:rsidRPr="00281886">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kvartalu 2022.</w:t>
      </w:r>
      <w:r w:rsidR="00F27B9D">
        <w:rPr>
          <w:rFonts w:eastAsia="Calibri" w:cstheme="minorHAnsi"/>
          <w:kern w:val="0"/>
          <w:sz w:val="24"/>
          <w:szCs w:val="24"/>
          <w:lang w:val="sr-Latn-ME"/>
          <w14:ligatures w14:val="none"/>
        </w:rPr>
        <w:t xml:space="preserve"> </w:t>
      </w:r>
      <w:r w:rsidRPr="00281886">
        <w:rPr>
          <w:rFonts w:eastAsia="Calibri" w:cstheme="minorHAnsi"/>
          <w:kern w:val="0"/>
          <w:sz w:val="24"/>
          <w:szCs w:val="24"/>
          <w:lang w:val="sr-Latn-ME"/>
          <w14:ligatures w14:val="none"/>
        </w:rPr>
        <w:t>godine</w:t>
      </w:r>
      <w:r w:rsidR="00D24440" w:rsidRPr="00281886">
        <w:rPr>
          <w:rFonts w:eastAsia="Calibri" w:cstheme="minorHAnsi"/>
          <w:kern w:val="0"/>
          <w:sz w:val="24"/>
          <w:szCs w:val="24"/>
          <w:lang w:val="sr-Latn-ME"/>
          <w14:ligatures w14:val="none"/>
        </w:rPr>
        <w:t xml:space="preserve">, dok su prihodi od turizma povećani za </w:t>
      </w:r>
      <w:r w:rsidR="00DE4A37">
        <w:rPr>
          <w:rFonts w:eastAsia="Calibri" w:cstheme="minorHAnsi"/>
          <w:kern w:val="0"/>
          <w:sz w:val="24"/>
          <w:szCs w:val="24"/>
          <w:lang w:val="sr-Latn-ME"/>
          <w14:ligatures w14:val="none"/>
        </w:rPr>
        <w:t>73,3%</w:t>
      </w:r>
      <w:r w:rsidR="00D24440" w:rsidRPr="00281886">
        <w:rPr>
          <w:rFonts w:eastAsia="Calibri" w:cstheme="minorHAnsi"/>
          <w:kern w:val="0"/>
          <w:sz w:val="24"/>
          <w:szCs w:val="24"/>
          <w:lang w:val="sr-Latn-ME"/>
          <w14:ligatures w14:val="none"/>
        </w:rPr>
        <w:t xml:space="preserve"> u odnosu na </w:t>
      </w:r>
      <w:r w:rsidR="00DE4A37">
        <w:rPr>
          <w:rFonts w:eastAsia="Calibri" w:cstheme="minorHAnsi"/>
          <w:kern w:val="0"/>
          <w:sz w:val="24"/>
          <w:szCs w:val="24"/>
          <w:lang w:val="sr-Latn-ME"/>
          <w14:ligatures w14:val="none"/>
        </w:rPr>
        <w:t>drugi</w:t>
      </w:r>
      <w:r w:rsidR="00DE4A37" w:rsidRPr="00281886">
        <w:rPr>
          <w:rFonts w:eastAsia="Calibri" w:cstheme="minorHAnsi"/>
          <w:kern w:val="0"/>
          <w:sz w:val="24"/>
          <w:szCs w:val="24"/>
          <w:lang w:val="sr-Latn-ME"/>
          <w14:ligatures w14:val="none"/>
        </w:rPr>
        <w:t xml:space="preserve"> </w:t>
      </w:r>
      <w:r w:rsidR="00D24440" w:rsidRPr="00281886">
        <w:rPr>
          <w:rFonts w:eastAsia="Calibri" w:cstheme="minorHAnsi"/>
          <w:kern w:val="0"/>
          <w:sz w:val="24"/>
          <w:szCs w:val="24"/>
          <w:lang w:val="sr-Latn-ME"/>
          <w14:ligatures w14:val="none"/>
        </w:rPr>
        <w:t>kva</w:t>
      </w:r>
      <w:r w:rsidR="00CB06A6">
        <w:rPr>
          <w:rFonts w:eastAsia="Calibri" w:cstheme="minorHAnsi"/>
          <w:kern w:val="0"/>
          <w:sz w:val="24"/>
          <w:szCs w:val="24"/>
          <w:lang w:val="sr-Latn-ME"/>
          <w14:ligatures w14:val="none"/>
        </w:rPr>
        <w:t>r</w:t>
      </w:r>
      <w:r w:rsidR="00D24440" w:rsidRPr="00281886">
        <w:rPr>
          <w:rFonts w:eastAsia="Calibri" w:cstheme="minorHAnsi"/>
          <w:kern w:val="0"/>
          <w:sz w:val="24"/>
          <w:szCs w:val="24"/>
          <w:lang w:val="sr-Latn-ME"/>
          <w14:ligatures w14:val="none"/>
        </w:rPr>
        <w:t>tal 2022</w:t>
      </w:r>
      <w:r w:rsidRPr="00281886">
        <w:rPr>
          <w:rFonts w:eastAsia="Calibri" w:cstheme="minorHAnsi"/>
          <w:kern w:val="0"/>
          <w:sz w:val="24"/>
          <w:szCs w:val="24"/>
          <w:lang w:val="sr-Latn-ME"/>
          <w14:ligatures w14:val="none"/>
        </w:rPr>
        <w:t>.</w:t>
      </w:r>
      <w:r w:rsidR="00D24440" w:rsidRPr="00CE07A9">
        <w:rPr>
          <w:sz w:val="24"/>
          <w:szCs w:val="24"/>
          <w:lang w:val="pl-PL"/>
        </w:rPr>
        <w:t xml:space="preserve"> </w:t>
      </w:r>
      <w:r w:rsidR="00FD2763" w:rsidRPr="00CE07A9">
        <w:rPr>
          <w:rFonts w:eastAsia="Calibri" w:cstheme="minorHAnsi"/>
          <w:color w:val="000000"/>
          <w:kern w:val="0"/>
          <w:sz w:val="24"/>
          <w:szCs w:val="24"/>
          <w:lang w:val="pl-PL"/>
          <w14:ligatures w14:val="none"/>
        </w:rPr>
        <w:t xml:space="preserve">Fizički obim industrijske proizvodnje u Crnoj Gori bilježi </w:t>
      </w:r>
      <w:r w:rsidR="00DE4A37">
        <w:rPr>
          <w:rFonts w:eastAsia="Calibri" w:cstheme="minorHAnsi"/>
          <w:color w:val="000000"/>
          <w:kern w:val="0"/>
          <w:sz w:val="24"/>
          <w:szCs w:val="24"/>
          <w:lang w:val="pl-PL"/>
          <w14:ligatures w14:val="none"/>
        </w:rPr>
        <w:t>pad</w:t>
      </w:r>
      <w:r w:rsidR="00DE4A37" w:rsidRPr="00CE07A9">
        <w:rPr>
          <w:rFonts w:eastAsia="Calibri" w:cstheme="minorHAnsi"/>
          <w:color w:val="000000"/>
          <w:kern w:val="0"/>
          <w:sz w:val="24"/>
          <w:szCs w:val="24"/>
          <w:lang w:val="pl-PL"/>
          <w14:ligatures w14:val="none"/>
        </w:rPr>
        <w:t xml:space="preserve"> </w:t>
      </w:r>
      <w:r w:rsidR="00FD2763" w:rsidRPr="00CE07A9">
        <w:rPr>
          <w:rFonts w:eastAsia="Calibri" w:cstheme="minorHAnsi"/>
          <w:color w:val="000000"/>
          <w:kern w:val="0"/>
          <w:sz w:val="24"/>
          <w:szCs w:val="24"/>
          <w:lang w:val="pl-PL"/>
          <w14:ligatures w14:val="none"/>
        </w:rPr>
        <w:t xml:space="preserve">od </w:t>
      </w:r>
      <w:r w:rsidR="00DE4A37">
        <w:rPr>
          <w:rFonts w:eastAsia="Calibri" w:cstheme="minorHAnsi"/>
          <w:color w:val="000000"/>
          <w:kern w:val="0"/>
          <w:sz w:val="24"/>
          <w:szCs w:val="24"/>
          <w:lang w:val="pl-PL"/>
          <w14:ligatures w14:val="none"/>
        </w:rPr>
        <w:t>1%</w:t>
      </w:r>
      <w:r w:rsidR="00FD2763" w:rsidRPr="00CE07A9">
        <w:rPr>
          <w:rFonts w:eastAsia="Calibri" w:cstheme="minorHAnsi"/>
          <w:color w:val="000000"/>
          <w:kern w:val="0"/>
          <w:sz w:val="24"/>
          <w:szCs w:val="24"/>
          <w:lang w:val="pl-PL"/>
          <w14:ligatures w14:val="none"/>
        </w:rPr>
        <w:t xml:space="preserve"> u </w:t>
      </w:r>
      <w:r w:rsidR="00DE4A37">
        <w:rPr>
          <w:rFonts w:eastAsia="Calibri" w:cstheme="minorHAnsi"/>
          <w:color w:val="000000"/>
          <w:kern w:val="0"/>
          <w:sz w:val="24"/>
          <w:szCs w:val="24"/>
          <w:lang w:val="pl-PL"/>
          <w14:ligatures w14:val="none"/>
        </w:rPr>
        <w:t>drugom</w:t>
      </w:r>
      <w:r w:rsidR="00DE4A37" w:rsidRPr="00CE07A9">
        <w:rPr>
          <w:rFonts w:eastAsia="Calibri" w:cstheme="minorHAnsi"/>
          <w:color w:val="000000"/>
          <w:kern w:val="0"/>
          <w:sz w:val="24"/>
          <w:szCs w:val="24"/>
          <w:lang w:val="pl-PL"/>
          <w14:ligatures w14:val="none"/>
        </w:rPr>
        <w:t xml:space="preserve"> </w:t>
      </w:r>
      <w:r w:rsidR="00FD2763" w:rsidRPr="00CE07A9">
        <w:rPr>
          <w:rFonts w:eastAsia="Calibri" w:cstheme="minorHAnsi"/>
          <w:color w:val="000000"/>
          <w:kern w:val="0"/>
          <w:sz w:val="24"/>
          <w:szCs w:val="24"/>
          <w:lang w:val="pl-PL"/>
          <w14:ligatures w14:val="none"/>
        </w:rPr>
        <w:t xml:space="preserve">kvartalu 2023. godine u odnosu na </w:t>
      </w:r>
      <w:r w:rsidR="00DE4A37">
        <w:rPr>
          <w:rFonts w:eastAsia="Calibri" w:cstheme="minorHAnsi"/>
          <w:color w:val="000000"/>
          <w:kern w:val="0"/>
          <w:sz w:val="24"/>
          <w:szCs w:val="24"/>
          <w:lang w:val="pl-PL"/>
          <w14:ligatures w14:val="none"/>
        </w:rPr>
        <w:t xml:space="preserve">isti kvartal </w:t>
      </w:r>
      <w:r w:rsidR="00DE4A37" w:rsidRPr="00CE07A9">
        <w:rPr>
          <w:rFonts w:eastAsia="Calibri" w:cstheme="minorHAnsi"/>
          <w:color w:val="000000"/>
          <w:kern w:val="0"/>
          <w:sz w:val="24"/>
          <w:szCs w:val="24"/>
          <w:lang w:val="pl-PL"/>
          <w14:ligatures w14:val="none"/>
        </w:rPr>
        <w:t>prethodn</w:t>
      </w:r>
      <w:r w:rsidR="00DE4A37">
        <w:rPr>
          <w:rFonts w:eastAsia="Calibri" w:cstheme="minorHAnsi"/>
          <w:color w:val="000000"/>
          <w:kern w:val="0"/>
          <w:sz w:val="24"/>
          <w:szCs w:val="24"/>
          <w:lang w:val="pl-PL"/>
          <w14:ligatures w14:val="none"/>
        </w:rPr>
        <w:t>e</w:t>
      </w:r>
      <w:r w:rsidR="00DE4A37" w:rsidRPr="00CE07A9">
        <w:rPr>
          <w:rFonts w:eastAsia="Calibri" w:cstheme="minorHAnsi"/>
          <w:color w:val="000000"/>
          <w:kern w:val="0"/>
          <w:sz w:val="24"/>
          <w:szCs w:val="24"/>
          <w:lang w:val="pl-PL"/>
          <w14:ligatures w14:val="none"/>
        </w:rPr>
        <w:t xml:space="preserve"> </w:t>
      </w:r>
      <w:r w:rsidR="00FD2763" w:rsidRPr="00CE07A9">
        <w:rPr>
          <w:rFonts w:eastAsia="Calibri" w:cstheme="minorHAnsi"/>
          <w:color w:val="000000"/>
          <w:kern w:val="0"/>
          <w:sz w:val="24"/>
          <w:szCs w:val="24"/>
          <w:lang w:val="pl-PL"/>
          <w14:ligatures w14:val="none"/>
        </w:rPr>
        <w:t>godinu. Građevinska aktivnost izražena vrijednošću radova</w:t>
      </w:r>
      <w:r w:rsidR="00D24440" w:rsidRPr="00CE07A9">
        <w:rPr>
          <w:rFonts w:eastAsia="Calibri" w:cstheme="minorHAnsi"/>
          <w:color w:val="000000"/>
          <w:kern w:val="0"/>
          <w:sz w:val="24"/>
          <w:szCs w:val="24"/>
          <w:lang w:val="pl-PL"/>
          <w14:ligatures w14:val="none"/>
        </w:rPr>
        <w:t>, nastavila je negativni trend i</w:t>
      </w:r>
      <w:r w:rsidR="00FD2763" w:rsidRPr="00CE07A9">
        <w:rPr>
          <w:rFonts w:eastAsia="Calibri" w:cstheme="minorHAnsi"/>
          <w:color w:val="000000"/>
          <w:kern w:val="0"/>
          <w:sz w:val="24"/>
          <w:szCs w:val="24"/>
          <w:lang w:val="pl-PL"/>
          <w14:ligatures w14:val="none"/>
        </w:rPr>
        <w:t xml:space="preserve"> u </w:t>
      </w:r>
      <w:r w:rsidR="00DE4A37">
        <w:rPr>
          <w:rFonts w:eastAsia="Calibri" w:cstheme="minorHAnsi"/>
          <w:color w:val="000000"/>
          <w:kern w:val="0"/>
          <w:sz w:val="24"/>
          <w:szCs w:val="24"/>
          <w:lang w:val="pl-PL"/>
          <w14:ligatures w14:val="none"/>
        </w:rPr>
        <w:t>drugom</w:t>
      </w:r>
      <w:r w:rsidR="00DE4A37" w:rsidRPr="00CE07A9">
        <w:rPr>
          <w:rFonts w:eastAsia="Calibri" w:cstheme="minorHAnsi"/>
          <w:color w:val="000000"/>
          <w:kern w:val="0"/>
          <w:sz w:val="24"/>
          <w:szCs w:val="24"/>
          <w:lang w:val="pl-PL"/>
          <w14:ligatures w14:val="none"/>
        </w:rPr>
        <w:t xml:space="preserve"> </w:t>
      </w:r>
      <w:r w:rsidR="00FD2763" w:rsidRPr="00CE07A9">
        <w:rPr>
          <w:rFonts w:eastAsia="Calibri" w:cstheme="minorHAnsi"/>
          <w:color w:val="000000"/>
          <w:kern w:val="0"/>
          <w:sz w:val="24"/>
          <w:szCs w:val="24"/>
          <w:lang w:val="pl-PL"/>
          <w14:ligatures w14:val="none"/>
        </w:rPr>
        <w:t xml:space="preserve">kvartalu 2023. </w:t>
      </w:r>
      <w:r w:rsidR="00DE4A37">
        <w:rPr>
          <w:rFonts w:eastAsia="Calibri" w:cstheme="minorHAnsi"/>
          <w:color w:val="000000"/>
          <w:kern w:val="0"/>
          <w:sz w:val="24"/>
          <w:szCs w:val="24"/>
          <w:lang w:val="pl-PL"/>
          <w14:ligatures w14:val="none"/>
        </w:rPr>
        <w:t>k</w:t>
      </w:r>
      <w:r w:rsidR="00DE4A37" w:rsidRPr="00CE07A9">
        <w:rPr>
          <w:rFonts w:eastAsia="Calibri" w:cstheme="minorHAnsi"/>
          <w:color w:val="000000"/>
          <w:kern w:val="0"/>
          <w:sz w:val="24"/>
          <w:szCs w:val="24"/>
          <w:lang w:val="pl-PL"/>
          <w14:ligatures w14:val="none"/>
        </w:rPr>
        <w:t xml:space="preserve">ada </w:t>
      </w:r>
      <w:r w:rsidR="00D24440" w:rsidRPr="00CE07A9">
        <w:rPr>
          <w:rFonts w:eastAsia="Calibri" w:cstheme="minorHAnsi"/>
          <w:color w:val="000000"/>
          <w:kern w:val="0"/>
          <w:sz w:val="24"/>
          <w:szCs w:val="24"/>
          <w:lang w:val="pl-PL"/>
          <w14:ligatures w14:val="none"/>
        </w:rPr>
        <w:t xml:space="preserve">je zabilježila </w:t>
      </w:r>
      <w:r w:rsidR="00FD2763" w:rsidRPr="00CE07A9">
        <w:rPr>
          <w:rFonts w:eastAsia="Calibri" w:cstheme="minorHAnsi"/>
          <w:color w:val="000000"/>
          <w:kern w:val="0"/>
          <w:sz w:val="24"/>
          <w:szCs w:val="24"/>
          <w:lang w:val="pl-PL"/>
          <w14:ligatures w14:val="none"/>
        </w:rPr>
        <w:t xml:space="preserve"> pad od </w:t>
      </w:r>
      <w:r w:rsidR="00DE4A37">
        <w:rPr>
          <w:rFonts w:eastAsia="Calibri" w:cstheme="minorHAnsi"/>
          <w:color w:val="000000"/>
          <w:kern w:val="0"/>
          <w:sz w:val="24"/>
          <w:szCs w:val="24"/>
          <w:lang w:val="pl-PL"/>
          <w14:ligatures w14:val="none"/>
        </w:rPr>
        <w:t>11,8%</w:t>
      </w:r>
      <w:r w:rsidR="00FD2763" w:rsidRPr="00CE07A9">
        <w:rPr>
          <w:rFonts w:eastAsia="Calibri" w:cstheme="minorHAnsi"/>
          <w:color w:val="000000"/>
          <w:kern w:val="0"/>
          <w:sz w:val="24"/>
          <w:szCs w:val="24"/>
          <w:lang w:val="pl-PL"/>
          <w14:ligatures w14:val="none"/>
        </w:rPr>
        <w:t xml:space="preserve">, dok ostvareni efektivni časovi na gradilištima bilježe smanjenje od </w:t>
      </w:r>
      <w:r w:rsidR="00DE4A37">
        <w:rPr>
          <w:rFonts w:eastAsia="Calibri" w:cstheme="minorHAnsi"/>
          <w:color w:val="000000"/>
          <w:kern w:val="0"/>
          <w:sz w:val="24"/>
          <w:szCs w:val="24"/>
          <w:lang w:val="pl-PL"/>
          <w14:ligatures w14:val="none"/>
        </w:rPr>
        <w:t>-5,2%</w:t>
      </w:r>
      <w:r w:rsidR="00FD2763" w:rsidRPr="00CE07A9">
        <w:rPr>
          <w:rFonts w:eastAsia="Calibri" w:cstheme="minorHAnsi"/>
          <w:color w:val="000000"/>
          <w:kern w:val="0"/>
          <w:sz w:val="24"/>
          <w:szCs w:val="24"/>
          <w:lang w:val="pl-PL"/>
          <w14:ligatures w14:val="none"/>
        </w:rPr>
        <w:t xml:space="preserve">. </w:t>
      </w:r>
      <w:r w:rsidR="00FD2763" w:rsidRPr="00021CDC">
        <w:rPr>
          <w:rFonts w:eastAsia="Calibri" w:cstheme="minorHAnsi"/>
          <w:color w:val="000000"/>
          <w:kern w:val="0"/>
          <w:sz w:val="24"/>
          <w:szCs w:val="24"/>
          <w:lang w:val="pl-PL"/>
          <w14:ligatures w14:val="none"/>
        </w:rPr>
        <w:t xml:space="preserve">Promet u trgovini na malo porastao je za </w:t>
      </w:r>
      <w:r w:rsidR="00DE4A37">
        <w:rPr>
          <w:rFonts w:eastAsia="Calibri" w:cstheme="minorHAnsi"/>
          <w:color w:val="000000"/>
          <w:kern w:val="0"/>
          <w:sz w:val="24"/>
          <w:szCs w:val="24"/>
          <w:lang w:val="pl-PL"/>
          <w14:ligatures w14:val="none"/>
        </w:rPr>
        <w:t>18,0</w:t>
      </w:r>
      <w:r w:rsidR="00FD2763" w:rsidRPr="00021CDC">
        <w:rPr>
          <w:rFonts w:eastAsia="Calibri" w:cstheme="minorHAnsi"/>
          <w:color w:val="000000"/>
          <w:kern w:val="0"/>
          <w:sz w:val="24"/>
          <w:szCs w:val="24"/>
          <w:lang w:val="pl-PL"/>
          <w14:ligatures w14:val="none"/>
        </w:rPr>
        <w:t xml:space="preserve"> procenata u </w:t>
      </w:r>
      <w:r w:rsidR="00DE4A37">
        <w:rPr>
          <w:rFonts w:eastAsia="Calibri" w:cstheme="minorHAnsi"/>
          <w:color w:val="000000"/>
          <w:kern w:val="0"/>
          <w:sz w:val="24"/>
          <w:szCs w:val="24"/>
          <w:lang w:val="pl-PL"/>
          <w14:ligatures w14:val="none"/>
        </w:rPr>
        <w:t>drugom</w:t>
      </w:r>
      <w:r w:rsidR="00DE4A37" w:rsidRPr="00021CDC">
        <w:rPr>
          <w:rFonts w:eastAsia="Calibri" w:cstheme="minorHAnsi"/>
          <w:color w:val="000000"/>
          <w:kern w:val="0"/>
          <w:sz w:val="24"/>
          <w:szCs w:val="24"/>
          <w:lang w:val="pl-PL"/>
          <w14:ligatures w14:val="none"/>
        </w:rPr>
        <w:t xml:space="preserve"> </w:t>
      </w:r>
      <w:r w:rsidR="00FD2763" w:rsidRPr="00021CDC">
        <w:rPr>
          <w:rFonts w:eastAsia="Calibri" w:cstheme="minorHAnsi"/>
          <w:color w:val="000000"/>
          <w:kern w:val="0"/>
          <w:sz w:val="24"/>
          <w:szCs w:val="24"/>
          <w:lang w:val="pl-PL"/>
          <w14:ligatures w14:val="none"/>
        </w:rPr>
        <w:t xml:space="preserve">kvartalu 2023. u odnosu na isti kvartal prethodne godine. </w:t>
      </w:r>
    </w:p>
    <w:p w14:paraId="2132D156" w14:textId="5C153DDD" w:rsidR="00D24440" w:rsidRPr="00B67D63" w:rsidRDefault="00D24440" w:rsidP="00C4618D">
      <w:pPr>
        <w:spacing w:after="150" w:line="276" w:lineRule="auto"/>
        <w:jc w:val="both"/>
        <w:rPr>
          <w:rFonts w:eastAsia="Calibri" w:cstheme="minorHAnsi"/>
          <w:color w:val="002060"/>
          <w:kern w:val="0"/>
          <w:sz w:val="24"/>
          <w:szCs w:val="24"/>
          <w:lang w:val="pl-PL"/>
          <w14:ligatures w14:val="none"/>
        </w:rPr>
      </w:pPr>
      <w:r w:rsidRPr="00B67D63">
        <w:rPr>
          <w:rFonts w:eastAsia="Calibri" w:cstheme="minorHAnsi"/>
          <w:color w:val="002060"/>
          <w:kern w:val="0"/>
          <w:sz w:val="24"/>
          <w:szCs w:val="24"/>
          <w:lang w:val="pl-PL"/>
          <w14:ligatures w14:val="none"/>
        </w:rPr>
        <w:t>Inflacija</w:t>
      </w:r>
    </w:p>
    <w:p w14:paraId="4E0468AA" w14:textId="02372218" w:rsidR="00F16377" w:rsidRPr="00CE07A9" w:rsidRDefault="001341BB" w:rsidP="009364EF">
      <w:pPr>
        <w:spacing w:after="150" w:line="276" w:lineRule="auto"/>
        <w:jc w:val="both"/>
        <w:rPr>
          <w:rFonts w:eastAsia="Calibri" w:cstheme="minorHAnsi"/>
          <w:color w:val="000000" w:themeColor="text1"/>
          <w:kern w:val="0"/>
          <w:sz w:val="24"/>
          <w:szCs w:val="24"/>
          <w:lang w:val="pl-PL"/>
          <w14:ligatures w14:val="none"/>
        </w:rPr>
      </w:pPr>
      <w:r w:rsidRPr="00CE07A9">
        <w:rPr>
          <w:rFonts w:eastAsia="Calibri" w:cstheme="minorHAnsi"/>
          <w:color w:val="000000" w:themeColor="text1"/>
          <w:kern w:val="0"/>
          <w:sz w:val="24"/>
          <w:szCs w:val="24"/>
          <w:lang w:val="pl-PL"/>
          <w14:ligatures w14:val="none"/>
        </w:rPr>
        <w:t>Prosječna godišnja</w:t>
      </w:r>
      <w:r w:rsidR="00AC7CAF">
        <w:rPr>
          <w:rFonts w:eastAsia="Calibri" w:cstheme="minorHAnsi"/>
          <w:color w:val="000000" w:themeColor="text1"/>
          <w:kern w:val="0"/>
          <w:sz w:val="24"/>
          <w:szCs w:val="24"/>
          <w:lang w:val="pl-PL"/>
          <w14:ligatures w14:val="none"/>
        </w:rPr>
        <w:t xml:space="preserve"> stopa </w:t>
      </w:r>
      <w:r w:rsidRPr="00CE07A9">
        <w:rPr>
          <w:rFonts w:eastAsia="Calibri" w:cstheme="minorHAnsi"/>
          <w:color w:val="000000" w:themeColor="text1"/>
          <w:kern w:val="0"/>
          <w:sz w:val="24"/>
          <w:szCs w:val="24"/>
          <w:lang w:val="pl-PL"/>
          <w14:ligatures w14:val="none"/>
        </w:rPr>
        <w:t>inflacij</w:t>
      </w:r>
      <w:r w:rsidR="00AC7CAF">
        <w:rPr>
          <w:rFonts w:eastAsia="Calibri" w:cstheme="minorHAnsi"/>
          <w:color w:val="000000" w:themeColor="text1"/>
          <w:kern w:val="0"/>
          <w:sz w:val="24"/>
          <w:szCs w:val="24"/>
          <w:lang w:val="pl-PL"/>
          <w14:ligatures w14:val="none"/>
        </w:rPr>
        <w:t>e</w:t>
      </w:r>
      <w:r w:rsidRPr="00CE07A9">
        <w:rPr>
          <w:rFonts w:eastAsia="Calibri" w:cstheme="minorHAnsi"/>
          <w:color w:val="000000" w:themeColor="text1"/>
          <w:kern w:val="0"/>
          <w:sz w:val="24"/>
          <w:szCs w:val="24"/>
          <w:lang w:val="pl-PL"/>
          <w14:ligatures w14:val="none"/>
        </w:rPr>
        <w:t xml:space="preserve"> u 2022.</w:t>
      </w:r>
      <w:r w:rsidR="00F27B9D">
        <w:rPr>
          <w:rFonts w:eastAsia="Calibri" w:cstheme="minorHAnsi"/>
          <w:color w:val="000000" w:themeColor="text1"/>
          <w:kern w:val="0"/>
          <w:sz w:val="24"/>
          <w:szCs w:val="24"/>
          <w:lang w:val="pl-PL"/>
          <w14:ligatures w14:val="none"/>
        </w:rPr>
        <w:t xml:space="preserve"> </w:t>
      </w:r>
      <w:r w:rsidRPr="00CE07A9">
        <w:rPr>
          <w:rFonts w:eastAsia="Calibri" w:cstheme="minorHAnsi"/>
          <w:color w:val="000000" w:themeColor="text1"/>
          <w:kern w:val="0"/>
          <w:sz w:val="24"/>
          <w:szCs w:val="24"/>
          <w:lang w:val="pl-PL"/>
          <w14:ligatures w14:val="none"/>
        </w:rPr>
        <w:t xml:space="preserve">godini je iznosila 13%, </w:t>
      </w:r>
      <w:r w:rsidR="00F16377" w:rsidRPr="00CE07A9">
        <w:rPr>
          <w:rFonts w:eastAsia="Calibri" w:cstheme="minorHAnsi"/>
          <w:color w:val="000000" w:themeColor="text1"/>
          <w:kern w:val="0"/>
          <w:sz w:val="24"/>
          <w:szCs w:val="24"/>
          <w:lang w:val="pl-PL"/>
          <w14:ligatures w14:val="none"/>
        </w:rPr>
        <w:t>i u</w:t>
      </w:r>
      <w:r w:rsidRPr="00CE07A9">
        <w:rPr>
          <w:rFonts w:eastAsia="Calibri" w:cstheme="minorHAnsi"/>
          <w:color w:val="000000" w:themeColor="text1"/>
          <w:kern w:val="0"/>
          <w:sz w:val="24"/>
          <w:szCs w:val="24"/>
          <w:lang w:val="pl-PL"/>
          <w14:ligatures w14:val="none"/>
        </w:rPr>
        <w:t xml:space="preserve">zrokovana je globalnim dešavanjima, prije svega rastom cijena hrane </w:t>
      </w:r>
      <w:r w:rsidR="00F16377" w:rsidRPr="00CE07A9">
        <w:rPr>
          <w:rFonts w:eastAsia="Calibri" w:cstheme="minorHAnsi"/>
          <w:color w:val="000000" w:themeColor="text1"/>
          <w:kern w:val="0"/>
          <w:sz w:val="24"/>
          <w:szCs w:val="24"/>
          <w:lang w:val="pl-PL"/>
          <w14:ligatures w14:val="none"/>
        </w:rPr>
        <w:t>i</w:t>
      </w:r>
      <w:r w:rsidRPr="00CE07A9">
        <w:rPr>
          <w:rFonts w:eastAsia="Calibri" w:cstheme="minorHAnsi"/>
          <w:color w:val="000000" w:themeColor="text1"/>
          <w:kern w:val="0"/>
          <w:sz w:val="24"/>
          <w:szCs w:val="24"/>
          <w:lang w:val="pl-PL"/>
          <w14:ligatures w14:val="none"/>
        </w:rPr>
        <w:t xml:space="preserve"> energenata zbog rata u Ukrajini</w:t>
      </w:r>
      <w:r w:rsidR="00F16377" w:rsidRPr="00CE07A9">
        <w:rPr>
          <w:rFonts w:eastAsia="Calibri" w:cstheme="minorHAnsi"/>
          <w:color w:val="000000" w:themeColor="text1"/>
          <w:kern w:val="0"/>
          <w:sz w:val="24"/>
          <w:szCs w:val="24"/>
          <w:lang w:val="pl-PL"/>
          <w14:ligatures w14:val="none"/>
        </w:rPr>
        <w:t>. Inflaciji su pored ekspanzije ekonomske aktivnosti, dodatno doprinijela i rastu</w:t>
      </w:r>
      <w:r w:rsidR="007666DA" w:rsidRPr="00CE07A9">
        <w:rPr>
          <w:rFonts w:eastAsia="Calibri" w:cstheme="minorHAnsi"/>
          <w:color w:val="000000" w:themeColor="text1"/>
          <w:kern w:val="0"/>
          <w:sz w:val="24"/>
          <w:szCs w:val="24"/>
          <w:lang w:val="pl-PL"/>
          <w14:ligatures w14:val="none"/>
        </w:rPr>
        <w:t>ća</w:t>
      </w:r>
      <w:r w:rsidR="00F16377" w:rsidRPr="00CE07A9">
        <w:rPr>
          <w:rFonts w:eastAsia="Calibri" w:cstheme="minorHAnsi"/>
          <w:color w:val="000000" w:themeColor="text1"/>
          <w:kern w:val="0"/>
          <w:sz w:val="24"/>
          <w:szCs w:val="24"/>
          <w:lang w:val="pl-PL"/>
          <w14:ligatures w14:val="none"/>
        </w:rPr>
        <w:t xml:space="preserve"> domaća potrošnja, koja je izme</w:t>
      </w:r>
      <w:r w:rsidR="00F27B9D">
        <w:rPr>
          <w:rFonts w:eastAsia="Calibri" w:cstheme="minorHAnsi"/>
          <w:color w:val="000000" w:themeColor="text1"/>
          <w:kern w:val="0"/>
          <w:sz w:val="24"/>
          <w:szCs w:val="24"/>
          <w:lang w:val="pl-PL"/>
          <w14:ligatures w14:val="none"/>
        </w:rPr>
        <w:t>đ</w:t>
      </w:r>
      <w:r w:rsidR="00F16377" w:rsidRPr="00CE07A9">
        <w:rPr>
          <w:rFonts w:eastAsia="Calibri" w:cstheme="minorHAnsi"/>
          <w:color w:val="000000" w:themeColor="text1"/>
          <w:kern w:val="0"/>
          <w:sz w:val="24"/>
          <w:szCs w:val="24"/>
          <w:lang w:val="pl-PL"/>
          <w14:ligatures w14:val="none"/>
        </w:rPr>
        <w:t xml:space="preserve">u ostalog povećana rastom prosječne zarade i prilivom stranih državljana usljed rata u Ukrajini. Izmjenom Zakona o </w:t>
      </w:r>
      <w:r w:rsidR="00F16377" w:rsidRPr="00CB06A6">
        <w:rPr>
          <w:rFonts w:eastAsia="Calibri" w:cstheme="minorHAnsi"/>
          <w:kern w:val="0"/>
          <w:sz w:val="24"/>
          <w:szCs w:val="24"/>
          <w:lang w:val="pl-PL"/>
          <w14:ligatures w14:val="none"/>
        </w:rPr>
        <w:t>akcizama</w:t>
      </w:r>
      <w:r w:rsidR="007A0CC4" w:rsidRPr="00CB06A6">
        <w:rPr>
          <w:rFonts w:eastAsia="Calibri" w:cstheme="minorHAnsi"/>
          <w:kern w:val="0"/>
          <w:sz w:val="24"/>
          <w:szCs w:val="24"/>
          <w:lang w:val="pl-PL"/>
          <w14:ligatures w14:val="none"/>
        </w:rPr>
        <w:t xml:space="preserve"> 2022.</w:t>
      </w:r>
      <w:r w:rsidR="00F16377" w:rsidRPr="00CB06A6">
        <w:rPr>
          <w:rFonts w:eastAsia="Calibri" w:cstheme="minorHAnsi"/>
          <w:kern w:val="0"/>
          <w:sz w:val="24"/>
          <w:szCs w:val="24"/>
          <w:lang w:val="pl-PL"/>
          <w14:ligatures w14:val="none"/>
        </w:rPr>
        <w:t xml:space="preserve">, </w:t>
      </w:r>
      <w:r w:rsidR="00F16377" w:rsidRPr="00CE07A9">
        <w:rPr>
          <w:rFonts w:eastAsia="Calibri" w:cstheme="minorHAnsi"/>
          <w:color w:val="000000" w:themeColor="text1"/>
          <w:kern w:val="0"/>
          <w:sz w:val="24"/>
          <w:szCs w:val="24"/>
          <w:lang w:val="pl-PL"/>
          <w14:ligatures w14:val="none"/>
        </w:rPr>
        <w:t xml:space="preserve">kao jednom od najvažnijih antinflatornih mjera, smanjena je </w:t>
      </w:r>
      <w:r w:rsidR="00F16377" w:rsidRPr="00CE07A9">
        <w:rPr>
          <w:rFonts w:eastAsia="Calibri" w:cstheme="minorHAnsi"/>
          <w:color w:val="000000" w:themeColor="text1"/>
          <w:kern w:val="0"/>
          <w:sz w:val="24"/>
          <w:szCs w:val="24"/>
          <w:lang w:val="pl-PL"/>
          <w14:ligatures w14:val="none"/>
        </w:rPr>
        <w:lastRenderedPageBreak/>
        <w:t xml:space="preserve">akciza na gorivo, a time i cijena goriva. Ostale antiinflatorne mjere su se odnosile na smanjenje stope PDV-a na pojedine osnovne životne namirnice. </w:t>
      </w:r>
      <w:r w:rsidR="00E66AD5" w:rsidRPr="00CE07A9">
        <w:rPr>
          <w:rFonts w:eastAsia="Calibri" w:cstheme="minorHAnsi"/>
          <w:color w:val="000000" w:themeColor="text1"/>
          <w:kern w:val="0"/>
          <w:sz w:val="24"/>
          <w:szCs w:val="24"/>
          <w:lang w:val="pl-PL"/>
          <w14:ligatures w14:val="none"/>
        </w:rPr>
        <w:t>Navedene m</w:t>
      </w:r>
      <w:r w:rsidR="00D207E5" w:rsidRPr="00CE07A9">
        <w:rPr>
          <w:rFonts w:eastAsia="Calibri" w:cstheme="minorHAnsi"/>
          <w:color w:val="000000" w:themeColor="text1"/>
          <w:kern w:val="0"/>
          <w:sz w:val="24"/>
          <w:szCs w:val="24"/>
          <w:lang w:val="pl-PL"/>
          <w14:ligatures w14:val="none"/>
        </w:rPr>
        <w:t>je</w:t>
      </w:r>
      <w:r w:rsidR="00E66AD5" w:rsidRPr="00CE07A9">
        <w:rPr>
          <w:rFonts w:eastAsia="Calibri" w:cstheme="minorHAnsi"/>
          <w:color w:val="000000" w:themeColor="text1"/>
          <w:kern w:val="0"/>
          <w:sz w:val="24"/>
          <w:szCs w:val="24"/>
          <w:lang w:val="pl-PL"/>
          <w14:ligatures w14:val="none"/>
        </w:rPr>
        <w:t>re su istovremeno  bile u funkciji suzbijanja neformalne ekonomije.</w:t>
      </w:r>
    </w:p>
    <w:p w14:paraId="4D39040D" w14:textId="77F8491D" w:rsidR="00D24440" w:rsidRPr="00021CDC" w:rsidRDefault="003F15FD" w:rsidP="009364EF">
      <w:pPr>
        <w:spacing w:after="150" w:line="276" w:lineRule="auto"/>
        <w:jc w:val="both"/>
        <w:rPr>
          <w:rFonts w:eastAsia="Calibri" w:cstheme="minorHAnsi"/>
          <w:color w:val="000000"/>
          <w:kern w:val="0"/>
          <w:sz w:val="24"/>
          <w:szCs w:val="24"/>
          <w:lang w:val="pl-PL"/>
          <w14:ligatures w14:val="none"/>
        </w:rPr>
      </w:pPr>
      <w:r>
        <w:rPr>
          <w:rFonts w:eastAsia="Calibri" w:cstheme="minorHAnsi"/>
          <w:color w:val="000000"/>
          <w:kern w:val="0"/>
          <w:sz w:val="24"/>
          <w:szCs w:val="24"/>
          <w:lang w:val="pl-PL"/>
          <w14:ligatures w14:val="none"/>
        </w:rPr>
        <w:t xml:space="preserve">U </w:t>
      </w:r>
      <w:r w:rsidR="00DE4A37">
        <w:rPr>
          <w:rFonts w:eastAsia="Calibri" w:cstheme="minorHAnsi"/>
          <w:color w:val="000000"/>
          <w:kern w:val="0"/>
          <w:sz w:val="24"/>
          <w:szCs w:val="24"/>
          <w:lang w:val="pl-PL"/>
          <w14:ligatures w14:val="none"/>
        </w:rPr>
        <w:t xml:space="preserve">drugom </w:t>
      </w:r>
      <w:r>
        <w:rPr>
          <w:rFonts w:eastAsia="Calibri" w:cstheme="minorHAnsi"/>
          <w:color w:val="000000"/>
          <w:kern w:val="0"/>
          <w:sz w:val="24"/>
          <w:szCs w:val="24"/>
          <w:lang w:val="pl-PL"/>
          <w14:ligatures w14:val="none"/>
        </w:rPr>
        <w:t>kvartalu 2023. godine, pro</w:t>
      </w:r>
      <w:r w:rsidR="00FD2763" w:rsidRPr="00CE07A9">
        <w:rPr>
          <w:rFonts w:eastAsia="Calibri" w:cstheme="minorHAnsi"/>
          <w:color w:val="000000"/>
          <w:kern w:val="0"/>
          <w:sz w:val="24"/>
          <w:szCs w:val="24"/>
          <w:lang w:val="pl-PL"/>
          <w14:ligatures w14:val="none"/>
        </w:rPr>
        <w:t xml:space="preserve">sječna inflacija u Crnoj Gori </w:t>
      </w:r>
      <w:r w:rsidRPr="003F15FD">
        <w:rPr>
          <w:rFonts w:eastAsia="Calibri" w:cstheme="minorHAnsi"/>
          <w:color w:val="000000"/>
          <w:kern w:val="0"/>
          <w:sz w:val="24"/>
          <w:szCs w:val="24"/>
          <w:lang w:val="pl-PL"/>
          <w14:ligatures w14:val="none"/>
        </w:rPr>
        <w:t xml:space="preserve">je iznosila </w:t>
      </w:r>
      <w:r w:rsidR="00DE4A37">
        <w:rPr>
          <w:rFonts w:eastAsia="Calibri" w:cstheme="minorHAnsi"/>
          <w:color w:val="000000"/>
          <w:kern w:val="0"/>
          <w:sz w:val="24"/>
          <w:szCs w:val="24"/>
          <w:lang w:val="pl-PL"/>
          <w14:ligatures w14:val="none"/>
        </w:rPr>
        <w:t>8,2</w:t>
      </w:r>
      <w:r w:rsidRPr="003F15FD">
        <w:rPr>
          <w:rFonts w:eastAsia="Calibri" w:cstheme="minorHAnsi"/>
          <w:color w:val="000000"/>
          <w:kern w:val="0"/>
          <w:sz w:val="24"/>
          <w:szCs w:val="24"/>
          <w:lang w:val="pl-PL"/>
          <w14:ligatures w14:val="none"/>
        </w:rPr>
        <w:t>%</w:t>
      </w:r>
      <w:r>
        <w:rPr>
          <w:rFonts w:eastAsia="Calibri" w:cstheme="minorHAnsi"/>
          <w:color w:val="000000"/>
          <w:kern w:val="0"/>
          <w:sz w:val="24"/>
          <w:szCs w:val="24"/>
          <w:lang w:val="pl-PL"/>
          <w14:ligatures w14:val="none"/>
        </w:rPr>
        <w:t xml:space="preserve"> </w:t>
      </w:r>
      <w:r w:rsidR="00FD2763" w:rsidRPr="00CE07A9">
        <w:rPr>
          <w:rFonts w:eastAsia="Calibri" w:cstheme="minorHAnsi"/>
          <w:color w:val="000000"/>
          <w:kern w:val="0"/>
          <w:sz w:val="24"/>
          <w:szCs w:val="24"/>
          <w:lang w:val="pl-PL"/>
          <w14:ligatures w14:val="none"/>
        </w:rPr>
        <w:t xml:space="preserve">u odnosu na isti </w:t>
      </w:r>
      <w:r w:rsidR="00DE4A37">
        <w:rPr>
          <w:rFonts w:eastAsia="Calibri" w:cstheme="minorHAnsi"/>
          <w:color w:val="000000"/>
          <w:kern w:val="0"/>
          <w:sz w:val="24"/>
          <w:szCs w:val="24"/>
          <w:lang w:val="pl-PL"/>
          <w14:ligatures w14:val="none"/>
        </w:rPr>
        <w:t xml:space="preserve">period </w:t>
      </w:r>
      <w:r w:rsidR="00FD2763" w:rsidRPr="00CE07A9">
        <w:rPr>
          <w:rFonts w:eastAsia="Calibri" w:cstheme="minorHAnsi"/>
          <w:color w:val="000000"/>
          <w:kern w:val="0"/>
          <w:sz w:val="24"/>
          <w:szCs w:val="24"/>
          <w:lang w:val="pl-PL"/>
          <w14:ligatures w14:val="none"/>
        </w:rPr>
        <w:t>prethodne godine, mjeren</w:t>
      </w:r>
      <w:r>
        <w:rPr>
          <w:rFonts w:eastAsia="Calibri" w:cstheme="minorHAnsi"/>
          <w:color w:val="000000"/>
          <w:kern w:val="0"/>
          <w:sz w:val="24"/>
          <w:szCs w:val="24"/>
          <w:lang w:val="pl-PL"/>
          <w14:ligatures w14:val="none"/>
        </w:rPr>
        <w:t>o</w:t>
      </w:r>
      <w:r w:rsidR="00FD2763" w:rsidRPr="00CE07A9">
        <w:rPr>
          <w:rFonts w:eastAsia="Calibri" w:cstheme="minorHAnsi"/>
          <w:color w:val="000000"/>
          <w:kern w:val="0"/>
          <w:sz w:val="24"/>
          <w:szCs w:val="24"/>
          <w:lang w:val="pl-PL"/>
          <w14:ligatures w14:val="none"/>
        </w:rPr>
        <w:t xml:space="preserve"> indeksom potrošačkih cijena</w:t>
      </w:r>
      <w:r>
        <w:rPr>
          <w:rFonts w:eastAsia="Calibri" w:cstheme="minorHAnsi"/>
          <w:color w:val="000000"/>
          <w:kern w:val="0"/>
          <w:sz w:val="24"/>
          <w:szCs w:val="24"/>
          <w:lang w:val="pl-PL"/>
          <w14:ligatures w14:val="none"/>
        </w:rPr>
        <w:t>.</w:t>
      </w:r>
      <w:r w:rsidR="00D207E5" w:rsidRPr="00CE07A9">
        <w:rPr>
          <w:rFonts w:eastAsia="Calibri" w:cstheme="minorHAnsi"/>
          <w:color w:val="000000"/>
          <w:kern w:val="0"/>
          <w:sz w:val="24"/>
          <w:szCs w:val="24"/>
          <w:lang w:val="pl-PL"/>
          <w14:ligatures w14:val="none"/>
        </w:rPr>
        <w:t xml:space="preserve"> </w:t>
      </w:r>
      <w:r w:rsidR="00FD2763" w:rsidRPr="00CE07A9">
        <w:rPr>
          <w:rFonts w:eastAsia="Calibri" w:cstheme="minorHAnsi"/>
          <w:color w:val="000000"/>
          <w:kern w:val="0"/>
          <w:sz w:val="24"/>
          <w:szCs w:val="24"/>
          <w:lang w:val="pl-PL"/>
          <w14:ligatures w14:val="none"/>
        </w:rPr>
        <w:t>Inflacija ima silazni trend</w:t>
      </w:r>
      <w:r w:rsidR="008C4A9E" w:rsidRPr="00CE07A9">
        <w:rPr>
          <w:rFonts w:eastAsia="Calibri" w:cstheme="minorHAnsi"/>
          <w:color w:val="000000"/>
          <w:kern w:val="0"/>
          <w:sz w:val="24"/>
          <w:szCs w:val="24"/>
          <w:lang w:val="pl-PL"/>
          <w14:ligatures w14:val="none"/>
        </w:rPr>
        <w:t xml:space="preserve">, kako zbog visoke baze u prethodnoj godini, tako </w:t>
      </w:r>
      <w:r w:rsidR="00D207E5" w:rsidRPr="00CE07A9">
        <w:rPr>
          <w:rFonts w:eastAsia="Calibri" w:cstheme="minorHAnsi"/>
          <w:color w:val="000000"/>
          <w:kern w:val="0"/>
          <w:sz w:val="24"/>
          <w:szCs w:val="24"/>
          <w:lang w:val="pl-PL"/>
          <w14:ligatures w14:val="none"/>
        </w:rPr>
        <w:t>i</w:t>
      </w:r>
      <w:r w:rsidR="008C4A9E" w:rsidRPr="00CE07A9">
        <w:rPr>
          <w:rFonts w:eastAsia="Calibri" w:cstheme="minorHAnsi"/>
          <w:color w:val="000000"/>
          <w:kern w:val="0"/>
          <w:sz w:val="24"/>
          <w:szCs w:val="24"/>
          <w:lang w:val="pl-PL"/>
          <w14:ligatures w14:val="none"/>
        </w:rPr>
        <w:t xml:space="preserve"> zbog antiinflatornih mjera, </w:t>
      </w:r>
      <w:r w:rsidR="00FD2763" w:rsidRPr="00CE07A9">
        <w:rPr>
          <w:rFonts w:eastAsia="Calibri" w:cstheme="minorHAnsi"/>
          <w:color w:val="000000"/>
          <w:kern w:val="0"/>
          <w:sz w:val="24"/>
          <w:szCs w:val="24"/>
          <w:lang w:val="pl-PL"/>
          <w14:ligatures w14:val="none"/>
        </w:rPr>
        <w:t xml:space="preserve"> pa je </w:t>
      </w:r>
      <w:r w:rsidR="008C4A9E" w:rsidRPr="00CE07A9">
        <w:rPr>
          <w:rFonts w:eastAsia="Calibri" w:cstheme="minorHAnsi"/>
          <w:color w:val="000000"/>
          <w:kern w:val="0"/>
          <w:sz w:val="24"/>
          <w:szCs w:val="24"/>
          <w:lang w:val="pl-PL"/>
          <w14:ligatures w14:val="none"/>
        </w:rPr>
        <w:t>njena godišnja stopa</w:t>
      </w:r>
      <w:r w:rsidR="00FD2763" w:rsidRPr="00CE07A9">
        <w:rPr>
          <w:rFonts w:eastAsia="Calibri" w:cstheme="minorHAnsi"/>
          <w:color w:val="000000"/>
          <w:kern w:val="0"/>
          <w:sz w:val="24"/>
          <w:szCs w:val="24"/>
          <w:lang w:val="pl-PL"/>
          <w14:ligatures w14:val="none"/>
        </w:rPr>
        <w:t xml:space="preserve"> u </w:t>
      </w:r>
      <w:r w:rsidR="00EF0418">
        <w:rPr>
          <w:rFonts w:eastAsia="Calibri" w:cstheme="minorHAnsi"/>
          <w:color w:val="000000"/>
          <w:kern w:val="0"/>
          <w:sz w:val="24"/>
          <w:szCs w:val="24"/>
          <w:lang w:val="pl-PL"/>
          <w14:ligatures w14:val="none"/>
        </w:rPr>
        <w:t>avgustu</w:t>
      </w:r>
      <w:r w:rsidR="00EF0418" w:rsidRPr="00CE07A9">
        <w:rPr>
          <w:rFonts w:eastAsia="Calibri" w:cstheme="minorHAnsi"/>
          <w:color w:val="000000"/>
          <w:kern w:val="0"/>
          <w:sz w:val="24"/>
          <w:szCs w:val="24"/>
          <w:lang w:val="pl-PL"/>
          <w14:ligatures w14:val="none"/>
        </w:rPr>
        <w:t xml:space="preserve"> </w:t>
      </w:r>
      <w:r w:rsidR="008C4A9E" w:rsidRPr="00CE07A9">
        <w:rPr>
          <w:rFonts w:eastAsia="Calibri" w:cstheme="minorHAnsi"/>
          <w:color w:val="000000"/>
          <w:kern w:val="0"/>
          <w:sz w:val="24"/>
          <w:szCs w:val="24"/>
          <w:lang w:val="pl-PL"/>
          <w14:ligatures w14:val="none"/>
        </w:rPr>
        <w:t xml:space="preserve">2023. </w:t>
      </w:r>
      <w:r w:rsidR="00FD2763" w:rsidRPr="00CE07A9">
        <w:rPr>
          <w:rFonts w:eastAsia="Calibri" w:cstheme="minorHAnsi"/>
          <w:color w:val="000000"/>
          <w:kern w:val="0"/>
          <w:sz w:val="24"/>
          <w:szCs w:val="24"/>
          <w:lang w:val="pl-PL"/>
          <w14:ligatures w14:val="none"/>
        </w:rPr>
        <w:t xml:space="preserve"> </w:t>
      </w:r>
      <w:r w:rsidR="00D207E5" w:rsidRPr="00021CDC">
        <w:rPr>
          <w:rFonts w:eastAsia="Calibri" w:cstheme="minorHAnsi"/>
          <w:color w:val="000000"/>
          <w:kern w:val="0"/>
          <w:sz w:val="24"/>
          <w:szCs w:val="24"/>
          <w:lang w:val="pl-PL"/>
          <w14:ligatures w14:val="none"/>
        </w:rPr>
        <w:t>smanjena</w:t>
      </w:r>
      <w:r w:rsidR="00FD2763" w:rsidRPr="00021CDC">
        <w:rPr>
          <w:rFonts w:eastAsia="Calibri" w:cstheme="minorHAnsi"/>
          <w:color w:val="000000"/>
          <w:kern w:val="0"/>
          <w:sz w:val="24"/>
          <w:szCs w:val="24"/>
          <w:lang w:val="pl-PL"/>
          <w14:ligatures w14:val="none"/>
        </w:rPr>
        <w:t xml:space="preserve"> na 8,6</w:t>
      </w:r>
      <w:r w:rsidR="008C4A9E" w:rsidRPr="00021CDC">
        <w:rPr>
          <w:rFonts w:eastAsia="Calibri" w:cstheme="minorHAnsi"/>
          <w:color w:val="000000"/>
          <w:kern w:val="0"/>
          <w:sz w:val="24"/>
          <w:szCs w:val="24"/>
          <w:lang w:val="pl-PL"/>
          <w14:ligatures w14:val="none"/>
        </w:rPr>
        <w:t>%</w:t>
      </w:r>
      <w:r w:rsidR="00FD2763" w:rsidRPr="00021CDC">
        <w:rPr>
          <w:rFonts w:eastAsia="Calibri" w:cstheme="minorHAnsi"/>
          <w:color w:val="000000"/>
          <w:kern w:val="0"/>
          <w:sz w:val="24"/>
          <w:szCs w:val="24"/>
          <w:lang w:val="pl-PL"/>
          <w14:ligatures w14:val="none"/>
        </w:rPr>
        <w:t xml:space="preserve">. </w:t>
      </w:r>
    </w:p>
    <w:p w14:paraId="5A73C41A" w14:textId="77777777" w:rsidR="00D24440" w:rsidRPr="00B67D63" w:rsidRDefault="00FD2763" w:rsidP="00C4618D">
      <w:pPr>
        <w:spacing w:after="150" w:line="276" w:lineRule="auto"/>
        <w:jc w:val="both"/>
        <w:rPr>
          <w:rFonts w:eastAsia="Calibri" w:cstheme="minorHAnsi"/>
          <w:color w:val="002060"/>
          <w:kern w:val="0"/>
          <w:sz w:val="24"/>
          <w:szCs w:val="24"/>
          <w:lang w:val="pl-PL"/>
          <w14:ligatures w14:val="none"/>
        </w:rPr>
      </w:pPr>
      <w:r w:rsidRPr="00B67D63">
        <w:rPr>
          <w:rFonts w:eastAsia="Calibri" w:cstheme="minorHAnsi"/>
          <w:color w:val="002060"/>
          <w:kern w:val="0"/>
          <w:sz w:val="24"/>
          <w:szCs w:val="24"/>
          <w:lang w:val="pl-PL"/>
          <w14:ligatures w14:val="none"/>
        </w:rPr>
        <w:t xml:space="preserve">Tržište rada </w:t>
      </w:r>
    </w:p>
    <w:p w14:paraId="3001C6DE" w14:textId="0F8839E8" w:rsidR="00791B19" w:rsidRPr="00021CDC" w:rsidRDefault="00791B19" w:rsidP="009364EF">
      <w:pPr>
        <w:spacing w:after="150" w:line="276" w:lineRule="auto"/>
        <w:jc w:val="both"/>
        <w:rPr>
          <w:rFonts w:eastAsia="Calibri" w:cstheme="minorHAnsi"/>
          <w:kern w:val="0"/>
          <w:sz w:val="24"/>
          <w:szCs w:val="24"/>
          <w:lang w:val="pl-PL"/>
          <w14:ligatures w14:val="none"/>
        </w:rPr>
      </w:pPr>
      <w:r w:rsidRPr="00021CDC">
        <w:rPr>
          <w:rFonts w:eastAsia="Calibri" w:cstheme="minorHAnsi"/>
          <w:kern w:val="0"/>
          <w:sz w:val="24"/>
          <w:szCs w:val="24"/>
          <w:lang w:val="pl-PL"/>
          <w14:ligatures w14:val="none"/>
        </w:rPr>
        <w:t>Tržište rada bilježi snažan oporavak u 2022.</w:t>
      </w:r>
      <w:r w:rsidR="00F27B9D">
        <w:rPr>
          <w:rFonts w:eastAsia="Calibri" w:cstheme="minorHAnsi"/>
          <w:kern w:val="0"/>
          <w:sz w:val="24"/>
          <w:szCs w:val="24"/>
          <w:lang w:val="pl-PL"/>
          <w14:ligatures w14:val="none"/>
        </w:rPr>
        <w:t xml:space="preserve"> </w:t>
      </w:r>
      <w:r w:rsidRPr="00021CDC">
        <w:rPr>
          <w:rFonts w:eastAsia="Calibri" w:cstheme="minorHAnsi"/>
          <w:kern w:val="0"/>
          <w:sz w:val="24"/>
          <w:szCs w:val="24"/>
          <w:lang w:val="pl-PL"/>
          <w14:ligatures w14:val="none"/>
        </w:rPr>
        <w:t>godini, nadmašujući 2019.godinu, kao rekordnu u periodu prije pandemije iazvane COVI</w:t>
      </w:r>
      <w:r w:rsidR="00D207E5" w:rsidRPr="00021CDC">
        <w:rPr>
          <w:rFonts w:eastAsia="Calibri" w:cstheme="minorHAnsi"/>
          <w:kern w:val="0"/>
          <w:sz w:val="24"/>
          <w:szCs w:val="24"/>
          <w:lang w:val="pl-PL"/>
          <w14:ligatures w14:val="none"/>
        </w:rPr>
        <w:t>D</w:t>
      </w:r>
      <w:r w:rsidRPr="00021CDC">
        <w:rPr>
          <w:rFonts w:eastAsia="Calibri" w:cstheme="minorHAnsi"/>
          <w:kern w:val="0"/>
          <w:sz w:val="24"/>
          <w:szCs w:val="24"/>
          <w:lang w:val="pl-PL"/>
          <w14:ligatures w14:val="none"/>
        </w:rPr>
        <w:t xml:space="preserve">-19 virusom. Prema </w:t>
      </w:r>
      <w:r w:rsidR="00D207E5" w:rsidRPr="00021CDC">
        <w:rPr>
          <w:rFonts w:eastAsia="Calibri" w:cstheme="minorHAnsi"/>
          <w:kern w:val="0"/>
          <w:sz w:val="24"/>
          <w:szCs w:val="24"/>
          <w:lang w:val="pl-PL"/>
          <w14:ligatures w14:val="none"/>
        </w:rPr>
        <w:t>a</w:t>
      </w:r>
      <w:r w:rsidRPr="00021CDC">
        <w:rPr>
          <w:rFonts w:eastAsia="Calibri" w:cstheme="minorHAnsi"/>
          <w:kern w:val="0"/>
          <w:sz w:val="24"/>
          <w:szCs w:val="24"/>
          <w:lang w:val="pl-PL"/>
          <w14:ligatures w14:val="none"/>
        </w:rPr>
        <w:t>dministrativnim podacima, pro</w:t>
      </w:r>
      <w:r w:rsidR="006C691C">
        <w:rPr>
          <w:rFonts w:eastAsia="Calibri" w:cstheme="minorHAnsi"/>
          <w:kern w:val="0"/>
          <w:sz w:val="24"/>
          <w:szCs w:val="24"/>
          <w:lang w:val="pl-PL"/>
          <w14:ligatures w14:val="none"/>
        </w:rPr>
        <w:t>sj</w:t>
      </w:r>
      <w:r w:rsidRPr="00021CDC">
        <w:rPr>
          <w:rFonts w:eastAsia="Calibri" w:cstheme="minorHAnsi"/>
          <w:kern w:val="0"/>
          <w:sz w:val="24"/>
          <w:szCs w:val="24"/>
          <w:lang w:val="pl-PL"/>
          <w14:ligatures w14:val="none"/>
        </w:rPr>
        <w:t>ečan broj zaposlenih u 2022.</w:t>
      </w:r>
      <w:r w:rsidR="00F27B9D">
        <w:rPr>
          <w:rFonts w:eastAsia="Calibri" w:cstheme="minorHAnsi"/>
          <w:kern w:val="0"/>
          <w:sz w:val="24"/>
          <w:szCs w:val="24"/>
          <w:lang w:val="pl-PL"/>
          <w14:ligatures w14:val="none"/>
        </w:rPr>
        <w:t xml:space="preserve"> </w:t>
      </w:r>
      <w:r w:rsidRPr="00021CDC">
        <w:rPr>
          <w:rFonts w:eastAsia="Calibri" w:cstheme="minorHAnsi"/>
          <w:kern w:val="0"/>
          <w:sz w:val="24"/>
          <w:szCs w:val="24"/>
          <w:lang w:val="pl-PL"/>
          <w14:ligatures w14:val="none"/>
        </w:rPr>
        <w:t>godini je iznosio 223.700</w:t>
      </w:r>
      <w:r w:rsidR="00F27B9D">
        <w:rPr>
          <w:rFonts w:eastAsia="Calibri" w:cstheme="minorHAnsi"/>
          <w:kern w:val="0"/>
          <w:sz w:val="24"/>
          <w:szCs w:val="24"/>
          <w:lang w:val="pl-PL"/>
          <w14:ligatures w14:val="none"/>
        </w:rPr>
        <w:t xml:space="preserve"> lica</w:t>
      </w:r>
      <w:r w:rsidR="0010001D" w:rsidRPr="00021CDC">
        <w:rPr>
          <w:rFonts w:eastAsia="Calibri" w:cstheme="minorHAnsi"/>
          <w:kern w:val="0"/>
          <w:sz w:val="24"/>
          <w:szCs w:val="24"/>
          <w:lang w:val="pl-PL"/>
          <w14:ligatures w14:val="none"/>
        </w:rPr>
        <w:t xml:space="preserve"> ili čak 18,4% više u odnosu na 2021.</w:t>
      </w:r>
      <w:r w:rsidR="00F27B9D">
        <w:rPr>
          <w:rFonts w:eastAsia="Calibri" w:cstheme="minorHAnsi"/>
          <w:kern w:val="0"/>
          <w:sz w:val="24"/>
          <w:szCs w:val="24"/>
          <w:lang w:val="pl-PL"/>
          <w14:ligatures w14:val="none"/>
        </w:rPr>
        <w:t xml:space="preserve"> </w:t>
      </w:r>
      <w:r w:rsidR="0010001D" w:rsidRPr="00021CDC">
        <w:rPr>
          <w:rFonts w:eastAsia="Calibri" w:cstheme="minorHAnsi"/>
          <w:kern w:val="0"/>
          <w:sz w:val="24"/>
          <w:szCs w:val="24"/>
          <w:lang w:val="pl-PL"/>
          <w14:ligatures w14:val="none"/>
        </w:rPr>
        <w:t xml:space="preserve">godinu, kao prvu postkriznu godinu. </w:t>
      </w:r>
      <w:r w:rsidR="0030596E" w:rsidRPr="00021CDC">
        <w:rPr>
          <w:rFonts w:eastAsia="Calibri" w:cstheme="minorHAnsi"/>
          <w:kern w:val="0"/>
          <w:sz w:val="24"/>
          <w:szCs w:val="24"/>
          <w:lang w:val="pl-PL"/>
          <w14:ligatures w14:val="none"/>
        </w:rPr>
        <w:t>Prema ARS, broj zap</w:t>
      </w:r>
      <w:r w:rsidR="00D207E5" w:rsidRPr="00021CDC">
        <w:rPr>
          <w:rFonts w:eastAsia="Calibri" w:cstheme="minorHAnsi"/>
          <w:kern w:val="0"/>
          <w:sz w:val="24"/>
          <w:szCs w:val="24"/>
          <w:lang w:val="pl-PL"/>
          <w14:ligatures w14:val="none"/>
        </w:rPr>
        <w:t>os</w:t>
      </w:r>
      <w:r w:rsidR="0030596E" w:rsidRPr="00021CDC">
        <w:rPr>
          <w:rFonts w:eastAsia="Calibri" w:cstheme="minorHAnsi"/>
          <w:kern w:val="0"/>
          <w:sz w:val="24"/>
          <w:szCs w:val="24"/>
          <w:lang w:val="pl-PL"/>
          <w14:ligatures w14:val="none"/>
        </w:rPr>
        <w:t>lenih je iznosio 251.200 što je povećanje od 18,2% u odnosu na 2021.</w:t>
      </w:r>
      <w:r w:rsidR="006C691C">
        <w:rPr>
          <w:rFonts w:eastAsia="Calibri" w:cstheme="minorHAnsi"/>
          <w:kern w:val="0"/>
          <w:sz w:val="24"/>
          <w:szCs w:val="24"/>
          <w:lang w:val="pl-PL"/>
          <w14:ligatures w14:val="none"/>
        </w:rPr>
        <w:t xml:space="preserve"> </w:t>
      </w:r>
      <w:r w:rsidR="0030596E" w:rsidRPr="00021CDC">
        <w:rPr>
          <w:rFonts w:eastAsia="Calibri" w:cstheme="minorHAnsi"/>
          <w:kern w:val="0"/>
          <w:sz w:val="24"/>
          <w:szCs w:val="24"/>
          <w:lang w:val="pl-PL"/>
          <w14:ligatures w14:val="none"/>
        </w:rPr>
        <w:t>godinu.</w:t>
      </w:r>
    </w:p>
    <w:p w14:paraId="31E5D2A2" w14:textId="13068A75" w:rsidR="00FD2763" w:rsidRPr="00021CDC" w:rsidRDefault="00591888" w:rsidP="009364EF">
      <w:pPr>
        <w:spacing w:after="150" w:line="276" w:lineRule="auto"/>
        <w:jc w:val="both"/>
        <w:rPr>
          <w:rFonts w:eastAsia="Calibri" w:cstheme="minorHAnsi"/>
          <w:color w:val="000000"/>
          <w:kern w:val="0"/>
          <w:sz w:val="24"/>
          <w:szCs w:val="24"/>
          <w:lang w:val="pl-PL"/>
          <w14:ligatures w14:val="none"/>
        </w:rPr>
      </w:pPr>
      <w:r>
        <w:rPr>
          <w:rFonts w:eastAsia="Calibri" w:cstheme="minorHAnsi"/>
          <w:color w:val="000000"/>
          <w:kern w:val="0"/>
          <w:sz w:val="24"/>
          <w:szCs w:val="24"/>
          <w:lang w:val="pl-PL"/>
          <w14:ligatures w14:val="none"/>
        </w:rPr>
        <w:t xml:space="preserve">U </w:t>
      </w:r>
      <w:r w:rsidR="00835E26">
        <w:rPr>
          <w:rFonts w:eastAsia="Calibri" w:cstheme="minorHAnsi"/>
          <w:color w:val="000000"/>
          <w:kern w:val="0"/>
          <w:sz w:val="24"/>
          <w:szCs w:val="24"/>
          <w:lang w:val="pl-PL"/>
          <w14:ligatures w14:val="none"/>
        </w:rPr>
        <w:t xml:space="preserve">drugom </w:t>
      </w:r>
      <w:r>
        <w:rPr>
          <w:rFonts w:eastAsia="Calibri" w:cstheme="minorHAnsi"/>
          <w:color w:val="000000"/>
          <w:kern w:val="0"/>
          <w:sz w:val="24"/>
          <w:szCs w:val="24"/>
          <w:lang w:val="pl-PL"/>
          <w14:ligatures w14:val="none"/>
        </w:rPr>
        <w:t>kvartalu 2023.godine, tržište</w:t>
      </w:r>
      <w:r w:rsidR="00FD2763" w:rsidRPr="00021CDC">
        <w:rPr>
          <w:rFonts w:eastAsia="Calibri" w:cstheme="minorHAnsi"/>
          <w:color w:val="000000"/>
          <w:kern w:val="0"/>
          <w:sz w:val="24"/>
          <w:szCs w:val="24"/>
          <w:lang w:val="pl-PL"/>
          <w14:ligatures w14:val="none"/>
        </w:rPr>
        <w:t xml:space="preserve"> rada bilježi nastavak oporavka, prema podacima za </w:t>
      </w:r>
      <w:r w:rsidR="00835E26">
        <w:rPr>
          <w:rFonts w:eastAsia="Calibri" w:cstheme="minorHAnsi"/>
          <w:color w:val="000000"/>
          <w:kern w:val="0"/>
          <w:sz w:val="24"/>
          <w:szCs w:val="24"/>
          <w:lang w:val="pl-PL"/>
          <w14:ligatures w14:val="none"/>
        </w:rPr>
        <w:t>drugi</w:t>
      </w:r>
      <w:r w:rsidR="00835E26" w:rsidRPr="00021CDC">
        <w:rPr>
          <w:rFonts w:eastAsia="Calibri" w:cstheme="minorHAnsi"/>
          <w:color w:val="000000"/>
          <w:kern w:val="0"/>
          <w:sz w:val="24"/>
          <w:szCs w:val="24"/>
          <w:lang w:val="pl-PL"/>
          <w14:ligatures w14:val="none"/>
        </w:rPr>
        <w:t xml:space="preserve"> </w:t>
      </w:r>
      <w:r w:rsidR="00FD2763" w:rsidRPr="00021CDC">
        <w:rPr>
          <w:rFonts w:eastAsia="Calibri" w:cstheme="minorHAnsi"/>
          <w:color w:val="000000"/>
          <w:kern w:val="0"/>
          <w:sz w:val="24"/>
          <w:szCs w:val="24"/>
          <w:lang w:val="pl-PL"/>
          <w14:ligatures w14:val="none"/>
        </w:rPr>
        <w:t>kvartal 2023. godine.</w:t>
      </w:r>
      <w:r w:rsidR="0030596E" w:rsidRPr="00021CDC">
        <w:rPr>
          <w:rFonts w:eastAsia="Calibri" w:cstheme="minorHAnsi"/>
          <w:color w:val="000000"/>
          <w:kern w:val="0"/>
          <w:sz w:val="24"/>
          <w:szCs w:val="24"/>
          <w:lang w:val="pl-PL"/>
          <w14:ligatures w14:val="none"/>
        </w:rPr>
        <w:t xml:space="preserve"> Prema administrativnim podacima, broj zaposlenih</w:t>
      </w:r>
      <w:r w:rsidR="00B95170">
        <w:rPr>
          <w:rFonts w:eastAsia="Calibri" w:cstheme="minorHAnsi"/>
          <w:color w:val="000000"/>
          <w:kern w:val="0"/>
          <w:sz w:val="24"/>
          <w:szCs w:val="24"/>
          <w:lang w:val="pl-PL"/>
          <w14:ligatures w14:val="none"/>
        </w:rPr>
        <w:t xml:space="preserve"> u drugom kvartalu 2023. godine</w:t>
      </w:r>
      <w:r w:rsidR="0030596E" w:rsidRPr="00021CDC">
        <w:rPr>
          <w:rFonts w:eastAsia="Calibri" w:cstheme="minorHAnsi"/>
          <w:color w:val="000000"/>
          <w:kern w:val="0"/>
          <w:sz w:val="24"/>
          <w:szCs w:val="24"/>
          <w:lang w:val="pl-PL"/>
          <w14:ligatures w14:val="none"/>
        </w:rPr>
        <w:t xml:space="preserve"> je iznosio </w:t>
      </w:r>
      <w:r w:rsidR="00835E26">
        <w:rPr>
          <w:rFonts w:eastAsia="Calibri" w:cstheme="minorHAnsi"/>
          <w:color w:val="000000"/>
          <w:kern w:val="0"/>
          <w:sz w:val="24"/>
          <w:szCs w:val="24"/>
          <w:lang w:val="pl-PL"/>
          <w14:ligatures w14:val="none"/>
        </w:rPr>
        <w:t>245.145</w:t>
      </w:r>
      <w:r w:rsidR="0030596E" w:rsidRPr="00021CDC">
        <w:rPr>
          <w:rFonts w:eastAsia="Calibri" w:cstheme="minorHAnsi"/>
          <w:color w:val="000000"/>
          <w:kern w:val="0"/>
          <w:sz w:val="24"/>
          <w:szCs w:val="24"/>
          <w:lang w:val="pl-PL"/>
          <w14:ligatures w14:val="none"/>
        </w:rPr>
        <w:t xml:space="preserve"> lica, ili 9</w:t>
      </w:r>
      <w:r w:rsidR="00211931">
        <w:rPr>
          <w:rFonts w:eastAsia="Calibri" w:cstheme="minorHAnsi"/>
          <w:color w:val="000000"/>
          <w:kern w:val="0"/>
          <w:sz w:val="24"/>
          <w:szCs w:val="24"/>
          <w:lang w:val="pl-PL"/>
          <w14:ligatures w14:val="none"/>
        </w:rPr>
        <w:t>,6</w:t>
      </w:r>
      <w:r w:rsidR="0030596E" w:rsidRPr="00021CDC">
        <w:rPr>
          <w:rFonts w:eastAsia="Calibri" w:cstheme="minorHAnsi"/>
          <w:color w:val="000000"/>
          <w:kern w:val="0"/>
          <w:sz w:val="24"/>
          <w:szCs w:val="24"/>
          <w:lang w:val="pl-PL"/>
          <w14:ligatures w14:val="none"/>
        </w:rPr>
        <w:t>% više u odnosu na isti p</w:t>
      </w:r>
      <w:r w:rsidR="0053278A">
        <w:rPr>
          <w:rFonts w:eastAsia="Calibri" w:cstheme="minorHAnsi"/>
          <w:color w:val="000000"/>
          <w:kern w:val="0"/>
          <w:sz w:val="24"/>
          <w:szCs w:val="24"/>
          <w:lang w:val="pl-PL"/>
          <w14:ligatures w14:val="none"/>
        </w:rPr>
        <w:t>e</w:t>
      </w:r>
      <w:r w:rsidR="0030596E" w:rsidRPr="00021CDC">
        <w:rPr>
          <w:rFonts w:eastAsia="Calibri" w:cstheme="minorHAnsi"/>
          <w:color w:val="000000"/>
          <w:kern w:val="0"/>
          <w:sz w:val="24"/>
          <w:szCs w:val="24"/>
          <w:lang w:val="pl-PL"/>
          <w14:ligatures w14:val="none"/>
        </w:rPr>
        <w:t>riod prethodne godine.</w:t>
      </w:r>
      <w:r w:rsidR="00FD2763" w:rsidRPr="00021CDC">
        <w:rPr>
          <w:rFonts w:eastAsia="Calibri" w:cstheme="minorHAnsi"/>
          <w:color w:val="000000"/>
          <w:kern w:val="0"/>
          <w:sz w:val="24"/>
          <w:szCs w:val="24"/>
          <w:lang w:val="pl-PL"/>
          <w14:ligatures w14:val="none"/>
        </w:rPr>
        <w:t xml:space="preserve"> </w:t>
      </w:r>
      <w:r w:rsidR="0030596E" w:rsidRPr="001B36F9">
        <w:rPr>
          <w:rFonts w:eastAsia="Calibri" w:cstheme="minorHAnsi"/>
          <w:color w:val="000000"/>
          <w:kern w:val="0"/>
          <w:sz w:val="24"/>
          <w:szCs w:val="24"/>
          <w:lang w:val="pl-PL"/>
          <w14:ligatures w14:val="none"/>
        </w:rPr>
        <w:t>Prema ARS, b</w:t>
      </w:r>
      <w:r w:rsidR="00FD2763" w:rsidRPr="001B36F9">
        <w:rPr>
          <w:rFonts w:eastAsia="Calibri" w:cstheme="minorHAnsi"/>
          <w:color w:val="000000"/>
          <w:kern w:val="0"/>
          <w:sz w:val="24"/>
          <w:szCs w:val="24"/>
          <w:lang w:val="pl-PL"/>
          <w14:ligatures w14:val="none"/>
        </w:rPr>
        <w:t xml:space="preserve">roj zaposlenih </w:t>
      </w:r>
      <w:r w:rsidR="00B95170" w:rsidRPr="001B36F9">
        <w:rPr>
          <w:rFonts w:eastAsia="Calibri" w:cstheme="minorHAnsi"/>
          <w:color w:val="000000"/>
          <w:kern w:val="0"/>
          <w:sz w:val="24"/>
          <w:szCs w:val="24"/>
          <w:lang w:val="pl-PL"/>
          <w14:ligatures w14:val="none"/>
        </w:rPr>
        <w:t xml:space="preserve">u drugom kvartalu 2023. godine </w:t>
      </w:r>
      <w:r w:rsidR="00FD2763" w:rsidRPr="001B36F9">
        <w:rPr>
          <w:rFonts w:eastAsia="Calibri" w:cstheme="minorHAnsi"/>
          <w:color w:val="000000"/>
          <w:kern w:val="0"/>
          <w:sz w:val="24"/>
          <w:szCs w:val="24"/>
          <w:lang w:val="pl-PL"/>
          <w14:ligatures w14:val="none"/>
        </w:rPr>
        <w:t xml:space="preserve">je </w:t>
      </w:r>
      <w:r w:rsidR="0030596E" w:rsidRPr="001B36F9">
        <w:rPr>
          <w:rFonts w:eastAsia="Calibri" w:cstheme="minorHAnsi"/>
          <w:color w:val="000000"/>
          <w:kern w:val="0"/>
          <w:sz w:val="24"/>
          <w:szCs w:val="24"/>
          <w:lang w:val="pl-PL"/>
          <w14:ligatures w14:val="none"/>
        </w:rPr>
        <w:t xml:space="preserve">iznosio </w:t>
      </w:r>
      <w:r w:rsidR="00B95170" w:rsidRPr="001B36F9">
        <w:rPr>
          <w:rFonts w:eastAsia="Calibri" w:cstheme="minorHAnsi"/>
          <w:color w:val="000000"/>
          <w:kern w:val="0"/>
          <w:sz w:val="24"/>
          <w:szCs w:val="24"/>
          <w:lang w:val="pl-PL"/>
          <w14:ligatures w14:val="none"/>
        </w:rPr>
        <w:t>280.000</w:t>
      </w:r>
      <w:r w:rsidR="003C5FB1">
        <w:rPr>
          <w:rFonts w:eastAsia="Calibri" w:cstheme="minorHAnsi"/>
          <w:color w:val="000000"/>
          <w:kern w:val="0"/>
          <w:sz w:val="24"/>
          <w:szCs w:val="24"/>
          <w:lang w:val="pl-PL"/>
          <w14:ligatures w14:val="none"/>
        </w:rPr>
        <w:t xml:space="preserve"> lica</w:t>
      </w:r>
      <w:r w:rsidR="0030596E" w:rsidRPr="001B36F9">
        <w:rPr>
          <w:rFonts w:eastAsia="Calibri" w:cstheme="minorHAnsi"/>
          <w:color w:val="000000"/>
          <w:kern w:val="0"/>
          <w:sz w:val="24"/>
          <w:szCs w:val="24"/>
          <w:lang w:val="pl-PL"/>
          <w14:ligatures w14:val="none"/>
        </w:rPr>
        <w:t xml:space="preserve"> i </w:t>
      </w:r>
      <w:r w:rsidR="00FD2763" w:rsidRPr="001B36F9">
        <w:rPr>
          <w:rFonts w:eastAsia="Calibri" w:cstheme="minorHAnsi"/>
          <w:color w:val="000000"/>
          <w:kern w:val="0"/>
          <w:sz w:val="24"/>
          <w:szCs w:val="24"/>
          <w:lang w:val="pl-PL"/>
          <w14:ligatures w14:val="none"/>
        </w:rPr>
        <w:t>povećan</w:t>
      </w:r>
      <w:r w:rsidR="0030596E" w:rsidRPr="001B36F9">
        <w:rPr>
          <w:rFonts w:eastAsia="Calibri" w:cstheme="minorHAnsi"/>
          <w:color w:val="000000"/>
          <w:kern w:val="0"/>
          <w:sz w:val="24"/>
          <w:szCs w:val="24"/>
          <w:lang w:val="pl-PL"/>
          <w14:ligatures w14:val="none"/>
        </w:rPr>
        <w:t xml:space="preserve"> je za 10,5</w:t>
      </w:r>
      <w:r w:rsidR="00B95170" w:rsidRPr="001B36F9">
        <w:rPr>
          <w:rFonts w:eastAsia="Calibri" w:cstheme="minorHAnsi"/>
          <w:color w:val="000000"/>
          <w:kern w:val="0"/>
          <w:sz w:val="24"/>
          <w:szCs w:val="24"/>
          <w:lang w:val="pl-PL"/>
          <w14:ligatures w14:val="none"/>
        </w:rPr>
        <w:t>8</w:t>
      </w:r>
      <w:r w:rsidR="0030596E" w:rsidRPr="001B36F9">
        <w:rPr>
          <w:rFonts w:eastAsia="Calibri" w:cstheme="minorHAnsi"/>
          <w:color w:val="000000"/>
          <w:kern w:val="0"/>
          <w:sz w:val="24"/>
          <w:szCs w:val="24"/>
          <w:lang w:val="pl-PL"/>
          <w14:ligatures w14:val="none"/>
        </w:rPr>
        <w:t>%</w:t>
      </w:r>
      <w:r w:rsidR="00FD2763" w:rsidRPr="001B36F9">
        <w:rPr>
          <w:rFonts w:eastAsia="Calibri" w:cstheme="minorHAnsi"/>
          <w:color w:val="000000"/>
          <w:kern w:val="0"/>
          <w:sz w:val="24"/>
          <w:szCs w:val="24"/>
          <w:lang w:val="pl-PL"/>
          <w14:ligatures w14:val="none"/>
        </w:rPr>
        <w:t>, u odnosu na isti kvartal prethodne godine</w:t>
      </w:r>
      <w:r w:rsidR="0030596E" w:rsidRPr="001B36F9">
        <w:rPr>
          <w:rFonts w:eastAsia="Calibri" w:cstheme="minorHAnsi"/>
          <w:color w:val="000000"/>
          <w:kern w:val="0"/>
          <w:sz w:val="24"/>
          <w:szCs w:val="24"/>
          <w:lang w:val="pl-PL"/>
          <w14:ligatures w14:val="none"/>
        </w:rPr>
        <w:t>.</w:t>
      </w:r>
      <w:r w:rsidR="0030596E" w:rsidRPr="001B36F9">
        <w:rPr>
          <w:rFonts w:eastAsia="Calibri" w:cstheme="minorHAnsi"/>
          <w:color w:val="002060"/>
          <w:kern w:val="0"/>
          <w:sz w:val="24"/>
          <w:szCs w:val="24"/>
          <w:lang w:val="pl-PL"/>
          <w14:ligatures w14:val="none"/>
        </w:rPr>
        <w:t xml:space="preserve"> </w:t>
      </w:r>
      <w:r w:rsidR="0030596E" w:rsidRPr="001B36F9">
        <w:rPr>
          <w:rFonts w:eastAsia="Calibri" w:cstheme="minorHAnsi"/>
          <w:color w:val="000000"/>
          <w:kern w:val="0"/>
          <w:sz w:val="24"/>
          <w:szCs w:val="24"/>
          <w:lang w:val="pl-PL"/>
          <w14:ligatures w14:val="none"/>
        </w:rPr>
        <w:t>Broj zaposlenih se približio broju zaposlenih iz A</w:t>
      </w:r>
      <w:r w:rsidR="003C5FB1">
        <w:rPr>
          <w:rFonts w:eastAsia="Calibri" w:cstheme="minorHAnsi"/>
          <w:color w:val="000000"/>
          <w:kern w:val="0"/>
          <w:sz w:val="24"/>
          <w:szCs w:val="24"/>
          <w:lang w:val="pl-PL"/>
          <w14:ligatures w14:val="none"/>
        </w:rPr>
        <w:t>RS</w:t>
      </w:r>
      <w:r w:rsidR="0030596E" w:rsidRPr="00021CDC">
        <w:rPr>
          <w:rFonts w:eastAsia="Calibri" w:cstheme="minorHAnsi"/>
          <w:color w:val="000000"/>
          <w:kern w:val="0"/>
          <w:sz w:val="24"/>
          <w:szCs w:val="24"/>
          <w:lang w:val="pl-PL"/>
          <w14:ligatures w14:val="none"/>
        </w:rPr>
        <w:t>, što ukazuje da trend zap</w:t>
      </w:r>
      <w:r w:rsidR="0008301C">
        <w:rPr>
          <w:rFonts w:eastAsia="Calibri" w:cstheme="minorHAnsi"/>
          <w:color w:val="000000"/>
          <w:kern w:val="0"/>
          <w:sz w:val="24"/>
          <w:szCs w:val="24"/>
          <w:lang w:val="pl-PL"/>
          <w14:ligatures w14:val="none"/>
        </w:rPr>
        <w:t>os</w:t>
      </w:r>
      <w:r w:rsidR="0030596E" w:rsidRPr="00021CDC">
        <w:rPr>
          <w:rFonts w:eastAsia="Calibri" w:cstheme="minorHAnsi"/>
          <w:color w:val="000000"/>
          <w:kern w:val="0"/>
          <w:sz w:val="24"/>
          <w:szCs w:val="24"/>
          <w:lang w:val="pl-PL"/>
          <w14:ligatures w14:val="none"/>
        </w:rPr>
        <w:t>lenosti prati trend rasta BDP, kao i da se očigledno smanjila neformalna zaposlenost, koja je obuhvaćena anketom, ali ne i administrativnim podacima.</w:t>
      </w:r>
    </w:p>
    <w:p w14:paraId="3E345508" w14:textId="209C2452" w:rsidR="005544AD" w:rsidRPr="00CB06A6" w:rsidRDefault="00BE224F" w:rsidP="00680BA6">
      <w:pPr>
        <w:spacing w:after="150" w:line="276" w:lineRule="auto"/>
        <w:jc w:val="both"/>
        <w:rPr>
          <w:rFonts w:eastAsia="Calibri" w:cstheme="minorHAnsi"/>
          <w:kern w:val="0"/>
          <w:sz w:val="24"/>
          <w:szCs w:val="24"/>
          <w:lang w:val="pl-PL"/>
          <w14:ligatures w14:val="none"/>
        </w:rPr>
      </w:pPr>
      <w:r w:rsidRPr="00021CDC">
        <w:rPr>
          <w:rFonts w:eastAsia="Calibri" w:cstheme="minorHAnsi"/>
          <w:color w:val="000000"/>
          <w:kern w:val="0"/>
          <w:sz w:val="24"/>
          <w:szCs w:val="24"/>
          <w:lang w:val="pl-PL"/>
          <w14:ligatures w14:val="none"/>
        </w:rPr>
        <w:t xml:space="preserve">Navedenim indikatorima u 2022. </w:t>
      </w:r>
      <w:r w:rsidR="00791B19" w:rsidRPr="00021CDC">
        <w:rPr>
          <w:rFonts w:eastAsia="Calibri" w:cstheme="minorHAnsi"/>
          <w:color w:val="000000"/>
          <w:kern w:val="0"/>
          <w:sz w:val="24"/>
          <w:szCs w:val="24"/>
          <w:lang w:val="pl-PL"/>
          <w14:ligatures w14:val="none"/>
        </w:rPr>
        <w:t>i</w:t>
      </w:r>
      <w:r w:rsidRPr="00021CDC">
        <w:rPr>
          <w:rFonts w:eastAsia="Calibri" w:cstheme="minorHAnsi"/>
          <w:color w:val="000000"/>
          <w:kern w:val="0"/>
          <w:sz w:val="24"/>
          <w:szCs w:val="24"/>
          <w:lang w:val="pl-PL"/>
          <w14:ligatures w14:val="none"/>
        </w:rPr>
        <w:t xml:space="preserve"> početkom 2023.</w:t>
      </w:r>
      <w:r w:rsidR="0010001D" w:rsidRPr="00021CDC">
        <w:rPr>
          <w:rFonts w:eastAsia="Calibri" w:cstheme="minorHAnsi"/>
          <w:color w:val="000000"/>
          <w:kern w:val="0"/>
          <w:sz w:val="24"/>
          <w:szCs w:val="24"/>
          <w:lang w:val="pl-PL"/>
          <w14:ligatures w14:val="none"/>
        </w:rPr>
        <w:t xml:space="preserve"> </w:t>
      </w:r>
      <w:r w:rsidRPr="00021CDC">
        <w:rPr>
          <w:rFonts w:eastAsia="Calibri" w:cstheme="minorHAnsi"/>
          <w:color w:val="000000"/>
          <w:kern w:val="0"/>
          <w:sz w:val="24"/>
          <w:szCs w:val="24"/>
          <w:lang w:val="pl-PL"/>
          <w14:ligatures w14:val="none"/>
        </w:rPr>
        <w:t xml:space="preserve">su doprinijele promjene u poreskoj politici </w:t>
      </w:r>
      <w:r w:rsidRPr="00CB06A6">
        <w:rPr>
          <w:rFonts w:eastAsia="Calibri" w:cstheme="minorHAnsi"/>
          <w:kern w:val="0"/>
          <w:sz w:val="24"/>
          <w:szCs w:val="24"/>
          <w:lang w:val="pl-PL"/>
          <w14:ligatures w14:val="none"/>
        </w:rPr>
        <w:t>kroz Program “Evropa sad”</w:t>
      </w:r>
      <w:r w:rsidR="008322D3" w:rsidRPr="00CB06A6">
        <w:rPr>
          <w:rFonts w:eastAsia="Calibri" w:cstheme="minorHAnsi"/>
          <w:kern w:val="0"/>
          <w:sz w:val="24"/>
          <w:szCs w:val="24"/>
          <w:lang w:val="pl-PL"/>
          <w14:ligatures w14:val="none"/>
        </w:rPr>
        <w:t>, promjene u me</w:t>
      </w:r>
      <w:r w:rsidR="00CB06A6">
        <w:rPr>
          <w:rFonts w:eastAsia="Calibri" w:cstheme="minorHAnsi"/>
          <w:kern w:val="0"/>
          <w:sz w:val="24"/>
          <w:szCs w:val="24"/>
          <w:lang w:val="pl-PL"/>
          <w14:ligatures w14:val="none"/>
        </w:rPr>
        <w:t>đ</w:t>
      </w:r>
      <w:r w:rsidR="008322D3" w:rsidRPr="00CB06A6">
        <w:rPr>
          <w:rFonts w:eastAsia="Calibri" w:cstheme="minorHAnsi"/>
          <w:kern w:val="0"/>
          <w:sz w:val="24"/>
          <w:szCs w:val="24"/>
          <w:lang w:val="pl-PL"/>
          <w14:ligatures w14:val="none"/>
        </w:rPr>
        <w:t xml:space="preserve">unarodnom okruženju i oporavak </w:t>
      </w:r>
      <w:r w:rsidR="00A80485" w:rsidRPr="00CB06A6">
        <w:rPr>
          <w:rFonts w:eastAsia="Calibri" w:cstheme="minorHAnsi"/>
          <w:kern w:val="0"/>
          <w:sz w:val="24"/>
          <w:szCs w:val="24"/>
          <w:lang w:val="pl-PL"/>
          <w14:ligatures w14:val="none"/>
        </w:rPr>
        <w:t xml:space="preserve">ekonomije </w:t>
      </w:r>
      <w:r w:rsidR="008322D3" w:rsidRPr="00CB06A6">
        <w:rPr>
          <w:rFonts w:eastAsia="Calibri" w:cstheme="minorHAnsi"/>
          <w:kern w:val="0"/>
          <w:sz w:val="24"/>
          <w:szCs w:val="24"/>
          <w:lang w:val="pl-PL"/>
          <w14:ligatures w14:val="none"/>
        </w:rPr>
        <w:t xml:space="preserve">nakon </w:t>
      </w:r>
      <w:r w:rsidR="00567FAF" w:rsidRPr="00CB06A6">
        <w:rPr>
          <w:rFonts w:eastAsia="Calibri" w:cstheme="minorHAnsi"/>
          <w:kern w:val="0"/>
          <w:sz w:val="24"/>
          <w:szCs w:val="24"/>
          <w:lang w:val="pl-PL"/>
          <w14:ligatures w14:val="none"/>
        </w:rPr>
        <w:t>COVID</w:t>
      </w:r>
      <w:r w:rsidR="008322D3" w:rsidRPr="00CB06A6">
        <w:rPr>
          <w:rFonts w:eastAsia="Calibri" w:cstheme="minorHAnsi"/>
          <w:kern w:val="0"/>
          <w:sz w:val="24"/>
          <w:szCs w:val="24"/>
          <w:lang w:val="pl-PL"/>
          <w14:ligatures w14:val="none"/>
        </w:rPr>
        <w:t>-19</w:t>
      </w:r>
      <w:r w:rsidR="00567FAF" w:rsidRPr="00CB06A6">
        <w:rPr>
          <w:rFonts w:eastAsia="Calibri" w:cstheme="minorHAnsi"/>
          <w:kern w:val="0"/>
          <w:sz w:val="24"/>
          <w:szCs w:val="24"/>
          <w:lang w:val="pl-PL"/>
          <w14:ligatures w14:val="none"/>
        </w:rPr>
        <w:t>.</w:t>
      </w:r>
    </w:p>
    <w:p w14:paraId="54E0E219" w14:textId="5AE27F23" w:rsidR="00D24440" w:rsidRPr="00B67D63" w:rsidRDefault="00D24440" w:rsidP="00680BA6">
      <w:pPr>
        <w:spacing w:after="150" w:line="276" w:lineRule="auto"/>
        <w:jc w:val="both"/>
        <w:rPr>
          <w:rFonts w:eastAsia="Calibri" w:cstheme="minorHAnsi"/>
          <w:color w:val="002060"/>
          <w:kern w:val="0"/>
          <w:sz w:val="24"/>
          <w:szCs w:val="24"/>
          <w:lang w:val="pl-PL"/>
          <w14:ligatures w14:val="none"/>
        </w:rPr>
      </w:pPr>
      <w:r w:rsidRPr="00B67D63">
        <w:rPr>
          <w:rFonts w:eastAsia="Calibri" w:cstheme="minorHAnsi"/>
          <w:color w:val="002060"/>
          <w:kern w:val="0"/>
          <w:sz w:val="24"/>
          <w:szCs w:val="24"/>
          <w:lang w:val="pl-PL"/>
          <w14:ligatures w14:val="none"/>
        </w:rPr>
        <w:t>Finansi</w:t>
      </w:r>
      <w:r w:rsidR="000156DF" w:rsidRPr="00B67D63">
        <w:rPr>
          <w:rFonts w:eastAsia="Calibri" w:cstheme="minorHAnsi"/>
          <w:color w:val="002060"/>
          <w:kern w:val="0"/>
          <w:sz w:val="24"/>
          <w:szCs w:val="24"/>
          <w:lang w:val="pl-PL"/>
          <w14:ligatures w14:val="none"/>
        </w:rPr>
        <w:t>js</w:t>
      </w:r>
      <w:r w:rsidRPr="00B67D63">
        <w:rPr>
          <w:rFonts w:eastAsia="Calibri" w:cstheme="minorHAnsi"/>
          <w:color w:val="002060"/>
          <w:kern w:val="0"/>
          <w:sz w:val="24"/>
          <w:szCs w:val="24"/>
          <w:lang w:val="pl-PL"/>
          <w14:ligatures w14:val="none"/>
        </w:rPr>
        <w:t>ki sektor</w:t>
      </w:r>
    </w:p>
    <w:p w14:paraId="2B96B8CB" w14:textId="2C0A0A05" w:rsidR="001D0030" w:rsidRDefault="002150C7" w:rsidP="009364EF">
      <w:pPr>
        <w:spacing w:after="150" w:line="276" w:lineRule="auto"/>
        <w:jc w:val="both"/>
        <w:rPr>
          <w:rFonts w:eastAsia="Calibri" w:cstheme="minorHAnsi"/>
          <w:color w:val="000000"/>
          <w:kern w:val="0"/>
          <w:sz w:val="24"/>
          <w:szCs w:val="24"/>
          <w:lang w:val="pl-PL"/>
          <w14:ligatures w14:val="none"/>
        </w:rPr>
      </w:pPr>
      <w:r w:rsidRPr="00021CDC">
        <w:rPr>
          <w:rFonts w:eastAsia="Calibri" w:cstheme="minorHAnsi"/>
          <w:color w:val="000000"/>
          <w:kern w:val="0"/>
          <w:sz w:val="24"/>
          <w:szCs w:val="24"/>
          <w:lang w:val="pl-PL"/>
          <w14:ligatures w14:val="none"/>
        </w:rPr>
        <w:t>Bankarski sektor posljednjih godina, uprkos krizi izazvanoj COVID-19 i restriktivnoj monetarnoj poli</w:t>
      </w:r>
      <w:r w:rsidR="00194840" w:rsidRPr="00021CDC">
        <w:rPr>
          <w:rFonts w:eastAsia="Calibri" w:cstheme="minorHAnsi"/>
          <w:color w:val="000000"/>
          <w:kern w:val="0"/>
          <w:sz w:val="24"/>
          <w:szCs w:val="24"/>
          <w:lang w:val="pl-PL"/>
          <w14:ligatures w14:val="none"/>
        </w:rPr>
        <w:t>t</w:t>
      </w:r>
      <w:r w:rsidRPr="00021CDC">
        <w:rPr>
          <w:rFonts w:eastAsia="Calibri" w:cstheme="minorHAnsi"/>
          <w:color w:val="000000"/>
          <w:kern w:val="0"/>
          <w:sz w:val="24"/>
          <w:szCs w:val="24"/>
          <w:lang w:val="pl-PL"/>
          <w14:ligatures w14:val="none"/>
        </w:rPr>
        <w:t xml:space="preserve">ici na globalnom nivou, karakteriše </w:t>
      </w:r>
      <w:r w:rsidRPr="00E027F5">
        <w:rPr>
          <w:rFonts w:eastAsia="Calibri" w:cstheme="minorHAnsi"/>
          <w:color w:val="000000"/>
          <w:kern w:val="0"/>
          <w:sz w:val="24"/>
          <w:szCs w:val="24"/>
          <w:lang w:val="pl-PL"/>
          <w14:ligatures w14:val="none"/>
        </w:rPr>
        <w:t>ot</w:t>
      </w:r>
      <w:r w:rsidR="00194840" w:rsidRPr="00E027F5">
        <w:rPr>
          <w:rFonts w:eastAsia="Calibri" w:cstheme="minorHAnsi"/>
          <w:color w:val="000000"/>
          <w:kern w:val="0"/>
          <w:sz w:val="24"/>
          <w:szCs w:val="24"/>
          <w:lang w:val="pl-PL"/>
          <w14:ligatures w14:val="none"/>
        </w:rPr>
        <w:t>p</w:t>
      </w:r>
      <w:r w:rsidRPr="00E027F5">
        <w:rPr>
          <w:rFonts w:eastAsia="Calibri" w:cstheme="minorHAnsi"/>
          <w:color w:val="000000"/>
          <w:kern w:val="0"/>
          <w:sz w:val="24"/>
          <w:szCs w:val="24"/>
          <w:lang w:val="pl-PL"/>
          <w14:ligatures w14:val="none"/>
        </w:rPr>
        <w:t xml:space="preserve">ornost, </w:t>
      </w:r>
      <w:r w:rsidR="00194840" w:rsidRPr="00E027F5">
        <w:rPr>
          <w:rFonts w:eastAsia="Calibri" w:cstheme="minorHAnsi"/>
          <w:color w:val="000000"/>
          <w:kern w:val="0"/>
          <w:sz w:val="24"/>
          <w:szCs w:val="24"/>
          <w:lang w:val="pl-PL"/>
          <w14:ligatures w14:val="none"/>
        </w:rPr>
        <w:t>i</w:t>
      </w:r>
      <w:r w:rsidRPr="00E027F5">
        <w:rPr>
          <w:rFonts w:eastAsia="Calibri" w:cstheme="minorHAnsi"/>
          <w:color w:val="000000"/>
          <w:kern w:val="0"/>
          <w:sz w:val="24"/>
          <w:szCs w:val="24"/>
          <w:lang w:val="pl-PL"/>
          <w14:ligatures w14:val="none"/>
        </w:rPr>
        <w:t xml:space="preserve"> </w:t>
      </w:r>
      <w:r w:rsidR="00194840" w:rsidRPr="00E027F5">
        <w:rPr>
          <w:rFonts w:eastAsia="Calibri" w:cstheme="minorHAnsi"/>
          <w:color w:val="000000"/>
          <w:kern w:val="0"/>
          <w:sz w:val="24"/>
          <w:szCs w:val="24"/>
          <w:lang w:val="pl-PL"/>
          <w14:ligatures w14:val="none"/>
        </w:rPr>
        <w:t>viso</w:t>
      </w:r>
      <w:r w:rsidRPr="00E027F5">
        <w:rPr>
          <w:rFonts w:eastAsia="Calibri" w:cstheme="minorHAnsi"/>
          <w:color w:val="000000"/>
          <w:kern w:val="0"/>
          <w:sz w:val="24"/>
          <w:szCs w:val="24"/>
          <w:lang w:val="pl-PL"/>
          <w14:ligatures w14:val="none"/>
        </w:rPr>
        <w:t xml:space="preserve">k nivo, kapitalizovanosti, solventnosti i likvidnosti. Ukupni krediti </w:t>
      </w:r>
      <w:r w:rsidR="00A326DF" w:rsidRPr="00E027F5">
        <w:rPr>
          <w:rFonts w:eastAsia="Calibri" w:cstheme="minorHAnsi"/>
          <w:color w:val="000000"/>
          <w:kern w:val="0"/>
          <w:sz w:val="24"/>
          <w:szCs w:val="24"/>
          <w:lang w:val="pl-PL"/>
          <w14:ligatures w14:val="none"/>
        </w:rPr>
        <w:t>i</w:t>
      </w:r>
      <w:r w:rsidRPr="00E027F5">
        <w:rPr>
          <w:rFonts w:eastAsia="Calibri" w:cstheme="minorHAnsi"/>
          <w:color w:val="000000"/>
          <w:kern w:val="0"/>
          <w:sz w:val="24"/>
          <w:szCs w:val="24"/>
          <w:lang w:val="pl-PL"/>
          <w14:ligatures w14:val="none"/>
        </w:rPr>
        <w:t xml:space="preserve"> depoziti na </w:t>
      </w:r>
      <w:r w:rsidR="000156DF" w:rsidRPr="00E027F5">
        <w:rPr>
          <w:rFonts w:eastAsia="Calibri" w:cstheme="minorHAnsi"/>
          <w:color w:val="000000"/>
          <w:kern w:val="0"/>
          <w:sz w:val="24"/>
          <w:szCs w:val="24"/>
          <w:lang w:val="pl-PL"/>
          <w14:ligatures w14:val="none"/>
        </w:rPr>
        <w:t>kra</w:t>
      </w:r>
      <w:r w:rsidRPr="00E027F5">
        <w:rPr>
          <w:rFonts w:eastAsia="Calibri" w:cstheme="minorHAnsi"/>
          <w:color w:val="000000"/>
          <w:kern w:val="0"/>
          <w:sz w:val="24"/>
          <w:szCs w:val="24"/>
          <w:lang w:val="pl-PL"/>
          <w14:ligatures w14:val="none"/>
        </w:rPr>
        <w:t>ju 2022.godine su povećani, a dep</w:t>
      </w:r>
      <w:r w:rsidR="003C5FB1">
        <w:rPr>
          <w:rFonts w:eastAsia="Calibri" w:cstheme="minorHAnsi"/>
          <w:color w:val="000000"/>
          <w:kern w:val="0"/>
          <w:sz w:val="24"/>
          <w:szCs w:val="24"/>
          <w:lang w:val="pl-PL"/>
          <w14:ligatures w14:val="none"/>
        </w:rPr>
        <w:t>o</w:t>
      </w:r>
      <w:r w:rsidRPr="00E027F5">
        <w:rPr>
          <w:rFonts w:eastAsia="Calibri" w:cstheme="minorHAnsi"/>
          <w:color w:val="000000"/>
          <w:kern w:val="0"/>
          <w:sz w:val="24"/>
          <w:szCs w:val="24"/>
          <w:lang w:val="pl-PL"/>
          <w14:ligatures w14:val="none"/>
        </w:rPr>
        <w:t xml:space="preserve">ziti su iznosili </w:t>
      </w:r>
      <w:r w:rsidR="000156DF" w:rsidRPr="00E027F5">
        <w:rPr>
          <w:rFonts w:eastAsia="Calibri" w:cstheme="minorHAnsi"/>
          <w:color w:val="000000"/>
          <w:kern w:val="0"/>
          <w:sz w:val="24"/>
          <w:szCs w:val="24"/>
          <w:lang w:val="pl-PL"/>
          <w14:ligatures w14:val="none"/>
        </w:rPr>
        <w:t>89,7% BDP.</w:t>
      </w:r>
      <w:r w:rsidR="000156DF" w:rsidRPr="00E027F5">
        <w:rPr>
          <w:sz w:val="24"/>
          <w:szCs w:val="24"/>
          <w:lang w:val="pl-PL"/>
        </w:rPr>
        <w:t xml:space="preserve"> </w:t>
      </w:r>
      <w:r w:rsidR="000156DF" w:rsidRPr="00E027F5">
        <w:rPr>
          <w:rFonts w:eastAsia="Calibri" w:cstheme="minorHAnsi"/>
          <w:color w:val="000000"/>
          <w:kern w:val="0"/>
          <w:sz w:val="24"/>
          <w:szCs w:val="24"/>
          <w:lang w:val="pl-PL"/>
          <w14:ligatures w14:val="none"/>
        </w:rPr>
        <w:t xml:space="preserve">Ukupni krediti na kraju </w:t>
      </w:r>
      <w:r w:rsidR="00E027F5" w:rsidRPr="00E027F5">
        <w:rPr>
          <w:rFonts w:eastAsia="Calibri" w:cstheme="minorHAnsi"/>
          <w:color w:val="000000"/>
          <w:kern w:val="0"/>
          <w:sz w:val="24"/>
          <w:szCs w:val="24"/>
          <w:lang w:val="pl-PL"/>
          <w14:ligatures w14:val="none"/>
        </w:rPr>
        <w:t>juna</w:t>
      </w:r>
      <w:r w:rsidR="000156DF" w:rsidRPr="00E027F5">
        <w:rPr>
          <w:rFonts w:eastAsia="Calibri" w:cstheme="minorHAnsi"/>
          <w:color w:val="000000"/>
          <w:kern w:val="0"/>
          <w:sz w:val="24"/>
          <w:szCs w:val="24"/>
          <w:lang w:val="pl-PL"/>
          <w14:ligatures w14:val="none"/>
        </w:rPr>
        <w:t xml:space="preserve"> 2023. godine, iznosili su 3,9</w:t>
      </w:r>
      <w:r w:rsidR="00E027F5" w:rsidRPr="00E027F5">
        <w:rPr>
          <w:rFonts w:eastAsia="Calibri" w:cstheme="minorHAnsi"/>
          <w:color w:val="000000"/>
          <w:kern w:val="0"/>
          <w:sz w:val="24"/>
          <w:szCs w:val="24"/>
          <w:lang w:val="pl-PL"/>
          <w14:ligatures w14:val="none"/>
        </w:rPr>
        <w:t>9</w:t>
      </w:r>
      <w:r w:rsidR="000156DF" w:rsidRPr="00E027F5">
        <w:rPr>
          <w:rFonts w:eastAsia="Calibri" w:cstheme="minorHAnsi"/>
          <w:color w:val="000000"/>
          <w:kern w:val="0"/>
          <w:sz w:val="24"/>
          <w:szCs w:val="24"/>
          <w:lang w:val="pl-PL"/>
          <w14:ligatures w14:val="none"/>
        </w:rPr>
        <w:t xml:space="preserve"> milijardi eura i viši su za 1</w:t>
      </w:r>
      <w:r w:rsidR="00E027F5" w:rsidRPr="00E027F5">
        <w:rPr>
          <w:rFonts w:eastAsia="Calibri" w:cstheme="minorHAnsi"/>
          <w:color w:val="000000"/>
          <w:kern w:val="0"/>
          <w:sz w:val="24"/>
          <w:szCs w:val="24"/>
          <w:lang w:val="pl-PL"/>
          <w14:ligatures w14:val="none"/>
        </w:rPr>
        <w:t>3</w:t>
      </w:r>
      <w:r w:rsidR="000156DF" w:rsidRPr="00E027F5">
        <w:rPr>
          <w:rFonts w:eastAsia="Calibri" w:cstheme="minorHAnsi"/>
          <w:color w:val="000000"/>
          <w:kern w:val="0"/>
          <w:sz w:val="24"/>
          <w:szCs w:val="24"/>
          <w:lang w:val="pl-PL"/>
          <w14:ligatures w14:val="none"/>
        </w:rPr>
        <w:t>% u odnosu na kraj</w:t>
      </w:r>
      <w:r w:rsidR="00E027F5" w:rsidRPr="00E027F5">
        <w:rPr>
          <w:rFonts w:eastAsia="Calibri" w:cstheme="minorHAnsi"/>
          <w:color w:val="000000"/>
          <w:kern w:val="0"/>
          <w:sz w:val="24"/>
          <w:szCs w:val="24"/>
          <w:lang w:val="pl-PL"/>
          <w14:ligatures w14:val="none"/>
        </w:rPr>
        <w:t xml:space="preserve"> juna</w:t>
      </w:r>
      <w:r w:rsidR="000156DF" w:rsidRPr="00E027F5">
        <w:rPr>
          <w:rFonts w:eastAsia="Calibri" w:cstheme="minorHAnsi"/>
          <w:color w:val="000000"/>
          <w:kern w:val="0"/>
          <w:sz w:val="24"/>
          <w:szCs w:val="24"/>
          <w:lang w:val="pl-PL"/>
          <w14:ligatures w14:val="none"/>
        </w:rPr>
        <w:t xml:space="preserve"> 2022</w:t>
      </w:r>
      <w:r w:rsidR="00E027F5" w:rsidRPr="00E027F5">
        <w:rPr>
          <w:rFonts w:eastAsia="Calibri" w:cstheme="minorHAnsi"/>
          <w:color w:val="000000"/>
          <w:kern w:val="0"/>
          <w:sz w:val="24"/>
          <w:szCs w:val="24"/>
          <w:lang w:val="pl-PL"/>
          <w14:ligatures w14:val="none"/>
        </w:rPr>
        <w:t xml:space="preserve">. Pri tome je povećan iznos odobrenih kredita stanovništvu i privrednim društvima u većinskom državnom vlasništvu, </w:t>
      </w:r>
      <w:r w:rsidR="006C691C">
        <w:rPr>
          <w:rFonts w:eastAsia="Calibri" w:cstheme="minorHAnsi"/>
          <w:color w:val="000000"/>
          <w:kern w:val="0"/>
          <w:sz w:val="24"/>
          <w:szCs w:val="24"/>
          <w:lang w:val="pl-PL"/>
          <w14:ligatures w14:val="none"/>
        </w:rPr>
        <w:t>ali</w:t>
      </w:r>
      <w:r w:rsidR="00E027F5" w:rsidRPr="00E027F5">
        <w:rPr>
          <w:rFonts w:eastAsia="Calibri" w:cstheme="minorHAnsi"/>
          <w:color w:val="000000"/>
          <w:kern w:val="0"/>
          <w:sz w:val="24"/>
          <w:szCs w:val="24"/>
          <w:lang w:val="pl-PL"/>
          <w14:ligatures w14:val="none"/>
        </w:rPr>
        <w:t xml:space="preserve"> je smanjena ukupna vrije</w:t>
      </w:r>
      <w:r w:rsidR="003C5FB1">
        <w:rPr>
          <w:rFonts w:eastAsia="Calibri" w:cstheme="minorHAnsi"/>
          <w:color w:val="000000"/>
          <w:kern w:val="0"/>
          <w:sz w:val="24"/>
          <w:szCs w:val="24"/>
          <w:lang w:val="pl-PL"/>
          <w14:ligatures w14:val="none"/>
        </w:rPr>
        <w:t>d</w:t>
      </w:r>
      <w:r w:rsidR="00E027F5" w:rsidRPr="00E027F5">
        <w:rPr>
          <w:rFonts w:eastAsia="Calibri" w:cstheme="minorHAnsi"/>
          <w:color w:val="000000"/>
          <w:kern w:val="0"/>
          <w:sz w:val="24"/>
          <w:szCs w:val="24"/>
          <w:lang w:val="pl-PL"/>
          <w14:ligatures w14:val="none"/>
        </w:rPr>
        <w:t>nost odobrenih kredita privatnim pred</w:t>
      </w:r>
      <w:r w:rsidR="003C5FB1">
        <w:rPr>
          <w:rFonts w:eastAsia="Calibri" w:cstheme="minorHAnsi"/>
          <w:color w:val="000000"/>
          <w:kern w:val="0"/>
          <w:sz w:val="24"/>
          <w:szCs w:val="24"/>
          <w:lang w:val="pl-PL"/>
          <w14:ligatures w14:val="none"/>
        </w:rPr>
        <w:t>u</w:t>
      </w:r>
      <w:r w:rsidR="00E027F5" w:rsidRPr="00E027F5">
        <w:rPr>
          <w:rFonts w:eastAsia="Calibri" w:cstheme="minorHAnsi"/>
          <w:color w:val="000000"/>
          <w:kern w:val="0"/>
          <w:sz w:val="24"/>
          <w:szCs w:val="24"/>
          <w:lang w:val="pl-PL"/>
          <w14:ligatures w14:val="none"/>
        </w:rPr>
        <w:t>z</w:t>
      </w:r>
      <w:r w:rsidR="003C5FB1">
        <w:rPr>
          <w:rFonts w:eastAsia="Calibri" w:cstheme="minorHAnsi"/>
          <w:color w:val="000000"/>
          <w:kern w:val="0"/>
          <w:sz w:val="24"/>
          <w:szCs w:val="24"/>
          <w:lang w:val="pl-PL"/>
          <w14:ligatures w14:val="none"/>
        </w:rPr>
        <w:t>e</w:t>
      </w:r>
      <w:r w:rsidR="00E027F5" w:rsidRPr="00E027F5">
        <w:rPr>
          <w:rFonts w:eastAsia="Calibri" w:cstheme="minorHAnsi"/>
          <w:color w:val="000000"/>
          <w:kern w:val="0"/>
          <w:sz w:val="24"/>
          <w:szCs w:val="24"/>
          <w:lang w:val="pl-PL"/>
          <w14:ligatures w14:val="none"/>
        </w:rPr>
        <w:t xml:space="preserve">ćima u odnosu na jun 2022. </w:t>
      </w:r>
      <w:r w:rsidR="000156DF" w:rsidRPr="00E027F5">
        <w:rPr>
          <w:rFonts w:eastAsia="Calibri" w:cstheme="minorHAnsi"/>
          <w:color w:val="000000"/>
          <w:kern w:val="0"/>
          <w:sz w:val="24"/>
          <w:szCs w:val="24"/>
          <w:lang w:val="pl-PL"/>
          <w14:ligatures w14:val="none"/>
        </w:rPr>
        <w:t>Ukupni depoziti kod banaka iznosili su 5,2</w:t>
      </w:r>
      <w:r w:rsidR="00E027F5" w:rsidRPr="00E027F5">
        <w:rPr>
          <w:rFonts w:eastAsia="Calibri" w:cstheme="minorHAnsi"/>
          <w:color w:val="000000"/>
          <w:kern w:val="0"/>
          <w:sz w:val="24"/>
          <w:szCs w:val="24"/>
          <w:lang w:val="pl-PL"/>
          <w14:ligatures w14:val="none"/>
        </w:rPr>
        <w:t>7</w:t>
      </w:r>
      <w:r w:rsidR="000156DF" w:rsidRPr="00E027F5">
        <w:rPr>
          <w:rFonts w:eastAsia="Calibri" w:cstheme="minorHAnsi"/>
          <w:color w:val="000000"/>
          <w:kern w:val="0"/>
          <w:sz w:val="24"/>
          <w:szCs w:val="24"/>
          <w:lang w:val="pl-PL"/>
          <w14:ligatures w14:val="none"/>
        </w:rPr>
        <w:t xml:space="preserve"> milijardi eura na kraju </w:t>
      </w:r>
      <w:r w:rsidR="00E027F5" w:rsidRPr="00E027F5">
        <w:rPr>
          <w:rFonts w:eastAsia="Calibri" w:cstheme="minorHAnsi"/>
          <w:color w:val="000000"/>
          <w:kern w:val="0"/>
          <w:sz w:val="24"/>
          <w:szCs w:val="24"/>
          <w:lang w:val="pl-PL"/>
          <w14:ligatures w14:val="none"/>
        </w:rPr>
        <w:t>juna</w:t>
      </w:r>
      <w:r w:rsidR="000156DF" w:rsidRPr="00E027F5">
        <w:rPr>
          <w:rFonts w:eastAsia="Calibri" w:cstheme="minorHAnsi"/>
          <w:color w:val="000000"/>
          <w:kern w:val="0"/>
          <w:sz w:val="24"/>
          <w:szCs w:val="24"/>
          <w:lang w:val="pl-PL"/>
          <w14:ligatures w14:val="none"/>
        </w:rPr>
        <w:t xml:space="preserve"> 2023. i ostvarili </w:t>
      </w:r>
      <w:r w:rsidR="00160691" w:rsidRPr="00E027F5">
        <w:rPr>
          <w:rFonts w:eastAsia="Calibri" w:cstheme="minorHAnsi"/>
          <w:color w:val="000000"/>
          <w:kern w:val="0"/>
          <w:sz w:val="24"/>
          <w:szCs w:val="24"/>
          <w:lang w:val="pl-PL"/>
          <w14:ligatures w14:val="none"/>
        </w:rPr>
        <w:t xml:space="preserve">su </w:t>
      </w:r>
      <w:r w:rsidR="000156DF" w:rsidRPr="00E027F5">
        <w:rPr>
          <w:rFonts w:eastAsia="Calibri" w:cstheme="minorHAnsi"/>
          <w:color w:val="000000"/>
          <w:kern w:val="0"/>
          <w:sz w:val="24"/>
          <w:szCs w:val="24"/>
          <w:lang w:val="pl-PL"/>
          <w14:ligatures w14:val="none"/>
        </w:rPr>
        <w:t xml:space="preserve">rast su na godišnjem nivou od </w:t>
      </w:r>
      <w:r w:rsidR="00E027F5" w:rsidRPr="00E027F5">
        <w:rPr>
          <w:rFonts w:eastAsia="Calibri" w:cstheme="minorHAnsi"/>
          <w:color w:val="000000"/>
          <w:kern w:val="0"/>
          <w:sz w:val="24"/>
          <w:szCs w:val="24"/>
          <w:lang w:val="pl-PL"/>
          <w14:ligatures w14:val="none"/>
        </w:rPr>
        <w:t>18,1%</w:t>
      </w:r>
      <w:r w:rsidR="000156DF" w:rsidRPr="00E027F5">
        <w:rPr>
          <w:rFonts w:eastAsia="Calibri" w:cstheme="minorHAnsi"/>
          <w:color w:val="000000"/>
          <w:kern w:val="0"/>
          <w:sz w:val="24"/>
          <w:szCs w:val="24"/>
          <w:lang w:val="pl-PL"/>
          <w14:ligatures w14:val="none"/>
        </w:rPr>
        <w:t>.</w:t>
      </w:r>
    </w:p>
    <w:p w14:paraId="6A1827D6" w14:textId="77777777" w:rsidR="00B67D63" w:rsidRDefault="00B67D63" w:rsidP="009364EF">
      <w:pPr>
        <w:spacing w:after="150" w:line="276" w:lineRule="auto"/>
        <w:jc w:val="both"/>
        <w:rPr>
          <w:rFonts w:eastAsia="Calibri" w:cstheme="minorHAnsi"/>
          <w:color w:val="000000"/>
          <w:kern w:val="0"/>
          <w:sz w:val="24"/>
          <w:szCs w:val="24"/>
          <w:lang w:val="pl-PL"/>
          <w14:ligatures w14:val="none"/>
        </w:rPr>
      </w:pPr>
    </w:p>
    <w:p w14:paraId="37012B88" w14:textId="77777777" w:rsidR="00B67D63" w:rsidRPr="00021CDC" w:rsidRDefault="00B67D63" w:rsidP="009364EF">
      <w:pPr>
        <w:spacing w:after="150" w:line="276" w:lineRule="auto"/>
        <w:jc w:val="both"/>
        <w:rPr>
          <w:rFonts w:eastAsia="Calibri" w:cstheme="minorHAnsi"/>
          <w:color w:val="000000"/>
          <w:kern w:val="0"/>
          <w:sz w:val="24"/>
          <w:szCs w:val="24"/>
          <w:lang w:val="pl-PL"/>
          <w14:ligatures w14:val="none"/>
        </w:rPr>
      </w:pPr>
    </w:p>
    <w:p w14:paraId="6F4BD8C1" w14:textId="77777777" w:rsidR="00F3289B" w:rsidRPr="00B67D63" w:rsidRDefault="00E9019A" w:rsidP="00680BA6">
      <w:pPr>
        <w:spacing w:after="150" w:line="276" w:lineRule="auto"/>
        <w:jc w:val="both"/>
        <w:rPr>
          <w:rFonts w:eastAsia="Calibri" w:cstheme="minorHAnsi"/>
          <w:color w:val="002060"/>
          <w:kern w:val="0"/>
          <w:sz w:val="24"/>
          <w:szCs w:val="24"/>
          <w:lang w:val="pl-PL"/>
          <w14:ligatures w14:val="none"/>
        </w:rPr>
      </w:pPr>
      <w:r w:rsidRPr="00B67D63">
        <w:rPr>
          <w:rFonts w:eastAsia="Calibri" w:cstheme="minorHAnsi"/>
          <w:color w:val="002060"/>
          <w:kern w:val="0"/>
          <w:sz w:val="24"/>
          <w:szCs w:val="24"/>
          <w:lang w:val="pl-PL"/>
          <w14:ligatures w14:val="none"/>
        </w:rPr>
        <w:lastRenderedPageBreak/>
        <w:t>Eksterni sektor</w:t>
      </w:r>
    </w:p>
    <w:p w14:paraId="4CAECBA5" w14:textId="4CB4B1CA" w:rsidR="005631B0" w:rsidRDefault="00F3289B" w:rsidP="009364EF">
      <w:pPr>
        <w:spacing w:after="150" w:line="276" w:lineRule="auto"/>
        <w:jc w:val="both"/>
        <w:rPr>
          <w:rFonts w:eastAsia="Calibri" w:cstheme="minorHAnsi"/>
          <w:kern w:val="0"/>
          <w:sz w:val="24"/>
          <w:szCs w:val="24"/>
          <w:lang w:val="pl-PL"/>
          <w14:ligatures w14:val="none"/>
        </w:rPr>
      </w:pPr>
      <w:r w:rsidRPr="00021CDC">
        <w:rPr>
          <w:rFonts w:eastAsia="Calibri" w:cstheme="minorHAnsi"/>
          <w:kern w:val="0"/>
          <w:sz w:val="24"/>
          <w:szCs w:val="24"/>
          <w:lang w:val="pl-PL"/>
          <w14:ligatures w14:val="none"/>
        </w:rPr>
        <w:t>Eksterna pozicija crnogorske ekonomije je godinama unazad prilično nepovoljna</w:t>
      </w:r>
      <w:r w:rsidR="00F972B4" w:rsidRPr="00021CDC">
        <w:rPr>
          <w:rFonts w:eastAsia="Calibri" w:cstheme="minorHAnsi"/>
          <w:kern w:val="0"/>
          <w:sz w:val="24"/>
          <w:szCs w:val="24"/>
          <w:lang w:val="pl-PL"/>
          <w14:ligatures w14:val="none"/>
        </w:rPr>
        <w:t>, zbog visoke uvozne zavisnosti crnogorske ekonomije</w:t>
      </w:r>
      <w:r w:rsidRPr="00021CDC">
        <w:rPr>
          <w:rFonts w:eastAsia="Calibri" w:cstheme="minorHAnsi"/>
          <w:kern w:val="0"/>
          <w:sz w:val="24"/>
          <w:szCs w:val="24"/>
          <w:lang w:val="pl-PL"/>
          <w14:ligatures w14:val="none"/>
        </w:rPr>
        <w:t>. Ona je pogoršana 2022.</w:t>
      </w:r>
      <w:r w:rsidR="00E027F5">
        <w:rPr>
          <w:rFonts w:eastAsia="Calibri" w:cstheme="minorHAnsi"/>
          <w:kern w:val="0"/>
          <w:sz w:val="24"/>
          <w:szCs w:val="24"/>
          <w:lang w:val="pl-PL"/>
          <w14:ligatures w14:val="none"/>
        </w:rPr>
        <w:t xml:space="preserve"> </w:t>
      </w:r>
      <w:r w:rsidRPr="00021CDC">
        <w:rPr>
          <w:rFonts w:eastAsia="Calibri" w:cstheme="minorHAnsi"/>
          <w:kern w:val="0"/>
          <w:sz w:val="24"/>
          <w:szCs w:val="24"/>
          <w:lang w:val="pl-PL"/>
          <w14:ligatures w14:val="none"/>
        </w:rPr>
        <w:t>godine zbog povećanja uvoza robe, čemu je do</w:t>
      </w:r>
      <w:r w:rsidR="00BE08F0" w:rsidRPr="00021CDC">
        <w:rPr>
          <w:rFonts w:eastAsia="Calibri" w:cstheme="minorHAnsi"/>
          <w:kern w:val="0"/>
          <w:sz w:val="24"/>
          <w:szCs w:val="24"/>
          <w:lang w:val="pl-PL"/>
          <w14:ligatures w14:val="none"/>
        </w:rPr>
        <w:t>pr</w:t>
      </w:r>
      <w:r w:rsidRPr="00021CDC">
        <w:rPr>
          <w:rFonts w:eastAsia="Calibri" w:cstheme="minorHAnsi"/>
          <w:kern w:val="0"/>
          <w:sz w:val="24"/>
          <w:szCs w:val="24"/>
          <w:lang w:val="pl-PL"/>
          <w14:ligatures w14:val="none"/>
        </w:rPr>
        <w:t>inio rast lične potrošnje</w:t>
      </w:r>
      <w:r w:rsidR="00BE08F0" w:rsidRPr="00021CDC">
        <w:rPr>
          <w:rFonts w:eastAsia="Calibri" w:cstheme="minorHAnsi"/>
          <w:kern w:val="0"/>
          <w:sz w:val="24"/>
          <w:szCs w:val="24"/>
          <w:lang w:val="pl-PL"/>
          <w14:ligatures w14:val="none"/>
        </w:rPr>
        <w:t xml:space="preserve"> i uvozna inflacija</w:t>
      </w:r>
      <w:r w:rsidRPr="00021CDC">
        <w:rPr>
          <w:rFonts w:eastAsia="Calibri" w:cstheme="minorHAnsi"/>
          <w:kern w:val="0"/>
          <w:sz w:val="24"/>
          <w:szCs w:val="24"/>
          <w:lang w:val="pl-PL"/>
          <w14:ligatures w14:val="none"/>
        </w:rPr>
        <w:t xml:space="preserve">. </w:t>
      </w:r>
      <w:r w:rsidR="00BE08F0" w:rsidRPr="00021CDC">
        <w:rPr>
          <w:rFonts w:eastAsia="Calibri" w:cstheme="minorHAnsi"/>
          <w:kern w:val="0"/>
          <w:sz w:val="24"/>
          <w:szCs w:val="24"/>
          <w:lang w:val="pl-PL"/>
          <w14:ligatures w14:val="none"/>
        </w:rPr>
        <w:t>Deficit tekućeg računa platnog bilansa</w:t>
      </w:r>
      <w:r w:rsidR="00A853FE">
        <w:rPr>
          <w:rFonts w:eastAsia="Calibri" w:cstheme="minorHAnsi"/>
          <w:kern w:val="0"/>
          <w:sz w:val="24"/>
          <w:szCs w:val="24"/>
          <w:lang w:val="pl-PL"/>
          <w14:ligatures w14:val="none"/>
        </w:rPr>
        <w:t xml:space="preserve"> u 2022.</w:t>
      </w:r>
      <w:r w:rsidR="00BE08F0" w:rsidRPr="00021CDC">
        <w:rPr>
          <w:rFonts w:eastAsia="Calibri" w:cstheme="minorHAnsi"/>
          <w:kern w:val="0"/>
          <w:sz w:val="24"/>
          <w:szCs w:val="24"/>
          <w:lang w:val="pl-PL"/>
          <w14:ligatures w14:val="none"/>
        </w:rPr>
        <w:t xml:space="preserve"> je iznosio 13,3% BDP, i povećan je sa 9,2% BDP u 2021.</w:t>
      </w:r>
      <w:r w:rsidR="006C691C">
        <w:rPr>
          <w:rFonts w:eastAsia="Calibri" w:cstheme="minorHAnsi"/>
          <w:kern w:val="0"/>
          <w:sz w:val="24"/>
          <w:szCs w:val="24"/>
          <w:lang w:val="pl-PL"/>
          <w14:ligatures w14:val="none"/>
        </w:rPr>
        <w:t xml:space="preserve"> </w:t>
      </w:r>
      <w:r w:rsidR="00BE08F0" w:rsidRPr="00021CDC">
        <w:rPr>
          <w:rFonts w:eastAsia="Calibri" w:cstheme="minorHAnsi"/>
          <w:kern w:val="0"/>
          <w:sz w:val="24"/>
          <w:szCs w:val="24"/>
          <w:lang w:val="pl-PL"/>
          <w14:ligatures w14:val="none"/>
        </w:rPr>
        <w:t>godini. Deficit je finansiran prilivom stranih direktnih investicija</w:t>
      </w:r>
      <w:r w:rsidR="00A42AB0">
        <w:rPr>
          <w:rFonts w:eastAsia="Calibri" w:cstheme="minorHAnsi"/>
          <w:kern w:val="0"/>
          <w:sz w:val="24"/>
          <w:szCs w:val="24"/>
          <w:lang w:val="pl-PL"/>
          <w14:ligatures w14:val="none"/>
        </w:rPr>
        <w:t xml:space="preserve"> u prethodnom peri</w:t>
      </w:r>
      <w:r w:rsidR="00A853FE">
        <w:rPr>
          <w:rFonts w:eastAsia="Calibri" w:cstheme="minorHAnsi"/>
          <w:kern w:val="0"/>
          <w:sz w:val="24"/>
          <w:szCs w:val="24"/>
          <w:lang w:val="pl-PL"/>
          <w14:ligatures w14:val="none"/>
        </w:rPr>
        <w:t>od</w:t>
      </w:r>
      <w:r w:rsidR="00A42AB0">
        <w:rPr>
          <w:rFonts w:eastAsia="Calibri" w:cstheme="minorHAnsi"/>
          <w:kern w:val="0"/>
          <w:sz w:val="24"/>
          <w:szCs w:val="24"/>
          <w:lang w:val="pl-PL"/>
          <w14:ligatures w14:val="none"/>
        </w:rPr>
        <w:t>u. U pr</w:t>
      </w:r>
      <w:r w:rsidR="003C5FB1">
        <w:rPr>
          <w:rFonts w:eastAsia="Calibri" w:cstheme="minorHAnsi"/>
          <w:kern w:val="0"/>
          <w:sz w:val="24"/>
          <w:szCs w:val="24"/>
          <w:lang w:val="pl-PL"/>
          <w14:ligatures w14:val="none"/>
        </w:rPr>
        <w:t>v</w:t>
      </w:r>
      <w:r w:rsidR="00A42AB0">
        <w:rPr>
          <w:rFonts w:eastAsia="Calibri" w:cstheme="minorHAnsi"/>
          <w:kern w:val="0"/>
          <w:sz w:val="24"/>
          <w:szCs w:val="24"/>
          <w:lang w:val="pl-PL"/>
          <w14:ligatures w14:val="none"/>
        </w:rPr>
        <w:t>oj polovini 2023.</w:t>
      </w:r>
      <w:r w:rsidR="003C5FB1">
        <w:rPr>
          <w:rFonts w:eastAsia="Calibri" w:cstheme="minorHAnsi"/>
          <w:kern w:val="0"/>
          <w:sz w:val="24"/>
          <w:szCs w:val="24"/>
          <w:lang w:val="pl-PL"/>
          <w14:ligatures w14:val="none"/>
        </w:rPr>
        <w:t xml:space="preserve"> </w:t>
      </w:r>
      <w:r w:rsidR="00A42AB0">
        <w:rPr>
          <w:rFonts w:eastAsia="Calibri" w:cstheme="minorHAnsi"/>
          <w:kern w:val="0"/>
          <w:sz w:val="24"/>
          <w:szCs w:val="24"/>
          <w:lang w:val="pl-PL"/>
          <w14:ligatures w14:val="none"/>
        </w:rPr>
        <w:t xml:space="preserve">godine, </w:t>
      </w:r>
      <w:r w:rsidR="00A853FE">
        <w:rPr>
          <w:rFonts w:eastAsia="Calibri" w:cstheme="minorHAnsi"/>
          <w:kern w:val="0"/>
          <w:sz w:val="24"/>
          <w:szCs w:val="24"/>
          <w:lang w:val="pl-PL"/>
          <w14:ligatures w14:val="none"/>
        </w:rPr>
        <w:t>deficit tekućeg računa, iznosio je 538,96 miliona eura, ili 3,2% manje nego u istom periodu prethodne godine. N</w:t>
      </w:r>
      <w:r w:rsidR="00A42AB0">
        <w:rPr>
          <w:rFonts w:eastAsia="Calibri" w:cstheme="minorHAnsi"/>
          <w:kern w:val="0"/>
          <w:sz w:val="24"/>
          <w:szCs w:val="24"/>
          <w:lang w:val="pl-PL"/>
          <w14:ligatures w14:val="none"/>
        </w:rPr>
        <w:t xml:space="preserve">eto priliv SDI je smanjen </w:t>
      </w:r>
      <w:r w:rsidR="00A853FE">
        <w:rPr>
          <w:rFonts w:eastAsia="Calibri" w:cstheme="minorHAnsi"/>
          <w:kern w:val="0"/>
          <w:sz w:val="24"/>
          <w:szCs w:val="24"/>
          <w:lang w:val="pl-PL"/>
          <w14:ligatures w14:val="none"/>
        </w:rPr>
        <w:t>za 10,27% u odnosu na isti period prethodne godine.</w:t>
      </w:r>
    </w:p>
    <w:p w14:paraId="3903818C" w14:textId="77777777" w:rsidR="006C691C" w:rsidRPr="00CB06A6" w:rsidRDefault="006C691C" w:rsidP="009364EF">
      <w:pPr>
        <w:spacing w:after="150" w:line="276" w:lineRule="auto"/>
        <w:jc w:val="both"/>
        <w:rPr>
          <w:rFonts w:eastAsia="Calibri" w:cstheme="minorHAnsi"/>
          <w:kern w:val="0"/>
          <w:sz w:val="24"/>
          <w:szCs w:val="24"/>
          <w:lang w:val="pl-PL"/>
          <w14:ligatures w14:val="none"/>
        </w:rPr>
      </w:pPr>
    </w:p>
    <w:p w14:paraId="00C620AF" w14:textId="115D3E33" w:rsidR="006E4194" w:rsidRPr="006E4194" w:rsidRDefault="005F41C3" w:rsidP="00BF69E2">
      <w:pPr>
        <w:pStyle w:val="Heading2"/>
        <w:rPr>
          <w:lang w:val="sr-Latn-ME" w:bidi="hi-IN"/>
        </w:rPr>
      </w:pPr>
      <w:bookmarkStart w:id="9" w:name="_Toc147990146"/>
      <w:r>
        <w:rPr>
          <w:rFonts w:eastAsia="Times New Roman"/>
          <w:lang w:val="sr-Latn-ME" w:bidi="hi-IN"/>
        </w:rPr>
        <w:t xml:space="preserve">2.3 </w:t>
      </w:r>
      <w:r w:rsidR="00A03DDB" w:rsidRPr="00092DF7">
        <w:rPr>
          <w:rFonts w:eastAsia="Times New Roman"/>
          <w:lang w:val="sr-Latn-ME" w:bidi="hi-IN"/>
        </w:rPr>
        <w:t>Procjena</w:t>
      </w:r>
      <w:r w:rsidR="005631B0" w:rsidRPr="00092DF7">
        <w:rPr>
          <w:rFonts w:eastAsia="Times New Roman"/>
          <w:lang w:val="sr-Latn-ME" w:bidi="hi-IN"/>
        </w:rPr>
        <w:t xml:space="preserve"> sive ekonomije u oblasti zarada i dobiti </w:t>
      </w:r>
      <w:r w:rsidR="00D207E5" w:rsidRPr="00092DF7">
        <w:rPr>
          <w:rFonts w:eastAsia="Times New Roman"/>
          <w:lang w:val="sr-Latn-ME" w:bidi="hi-IN"/>
        </w:rPr>
        <w:t xml:space="preserve">nakon </w:t>
      </w:r>
      <w:r w:rsidR="00A80485">
        <w:rPr>
          <w:rFonts w:eastAsia="Times New Roman"/>
          <w:lang w:val="sr-Latn-ME" w:bidi="hi-IN"/>
        </w:rPr>
        <w:t>poreske reforme</w:t>
      </w:r>
      <w:r w:rsidR="00B67D63">
        <w:rPr>
          <w:rFonts w:eastAsia="Times New Roman"/>
          <w:lang w:val="sr-Latn-ME" w:bidi="hi-IN"/>
        </w:rPr>
        <w:t xml:space="preserve"> </w:t>
      </w:r>
      <w:r w:rsidR="00A80485">
        <w:rPr>
          <w:rFonts w:eastAsia="Times New Roman"/>
          <w:lang w:val="sr-Latn-ME" w:bidi="hi-IN"/>
        </w:rPr>
        <w:t>implementiranje 1.</w:t>
      </w:r>
      <w:r w:rsidR="00B67D63">
        <w:rPr>
          <w:rFonts w:eastAsia="Times New Roman"/>
          <w:lang w:val="sr-Latn-ME" w:bidi="hi-IN"/>
        </w:rPr>
        <w:t xml:space="preserve"> </w:t>
      </w:r>
      <w:r w:rsidR="00A80485">
        <w:rPr>
          <w:rFonts w:eastAsia="Times New Roman"/>
          <w:lang w:val="sr-Latn-ME" w:bidi="hi-IN"/>
        </w:rPr>
        <w:t>januara 2022.</w:t>
      </w:r>
      <w:bookmarkEnd w:id="9"/>
    </w:p>
    <w:p w14:paraId="1851DCC2" w14:textId="0C0C4747" w:rsidR="00013F7F" w:rsidRPr="009364EF" w:rsidRDefault="00013F7F" w:rsidP="009364EF">
      <w:pPr>
        <w:spacing w:line="276" w:lineRule="auto"/>
        <w:jc w:val="both"/>
        <w:rPr>
          <w:rFonts w:eastAsia="Calibri" w:cstheme="minorHAnsi"/>
          <w:kern w:val="0"/>
          <w:sz w:val="24"/>
          <w:szCs w:val="24"/>
          <w:lang w:val="sr-Latn-ME" w:bidi="hi-IN"/>
          <w14:ligatures w14:val="none"/>
        </w:rPr>
      </w:pPr>
      <w:r w:rsidRPr="009364EF">
        <w:rPr>
          <w:rFonts w:eastAsia="Calibri" w:cstheme="minorHAnsi"/>
          <w:kern w:val="0"/>
          <w:sz w:val="24"/>
          <w:szCs w:val="24"/>
          <w:lang w:val="sr-Latn-ME" w:bidi="hi-IN"/>
          <w14:ligatures w14:val="none"/>
        </w:rPr>
        <w:t xml:space="preserve">Kao dio </w:t>
      </w:r>
      <w:r w:rsidR="006C691C">
        <w:rPr>
          <w:rFonts w:eastAsia="Calibri" w:cstheme="minorHAnsi"/>
          <w:kern w:val="0"/>
          <w:sz w:val="24"/>
          <w:szCs w:val="24"/>
          <w:lang w:val="sr-Latn-ME" w:bidi="hi-IN"/>
          <w14:ligatures w14:val="none"/>
        </w:rPr>
        <w:t>poreske reforme u okviru Programa</w:t>
      </w:r>
      <w:r w:rsidRPr="009364EF">
        <w:rPr>
          <w:rFonts w:eastAsia="Calibri" w:cstheme="minorHAnsi"/>
          <w:kern w:val="0"/>
          <w:sz w:val="24"/>
          <w:szCs w:val="24"/>
          <w:lang w:val="sr-Latn-ME" w:bidi="hi-IN"/>
          <w14:ligatures w14:val="none"/>
        </w:rPr>
        <w:t xml:space="preserve"> „Evropa sad“  krajem 2021</w:t>
      </w:r>
      <w:r w:rsidR="00ED41E0" w:rsidRPr="009364EF">
        <w:rPr>
          <w:rFonts w:eastAsia="Calibri" w:cstheme="minorHAnsi"/>
          <w:kern w:val="0"/>
          <w:sz w:val="24"/>
          <w:szCs w:val="24"/>
          <w:lang w:val="sr-Latn-ME" w:bidi="hi-IN"/>
          <w14:ligatures w14:val="none"/>
        </w:rPr>
        <w:t>.</w:t>
      </w:r>
      <w:r w:rsidRPr="009364EF">
        <w:rPr>
          <w:rFonts w:eastAsia="Calibri" w:cstheme="minorHAnsi"/>
          <w:kern w:val="0"/>
          <w:sz w:val="24"/>
          <w:szCs w:val="24"/>
          <w:lang w:val="sr-Latn-ME" w:bidi="hi-IN"/>
          <w14:ligatures w14:val="none"/>
        </w:rPr>
        <w:t xml:space="preserve"> godine </w:t>
      </w:r>
      <w:r w:rsidR="00567F61">
        <w:rPr>
          <w:rFonts w:eastAsia="Calibri" w:cstheme="minorHAnsi"/>
          <w:kern w:val="0"/>
          <w:sz w:val="24"/>
          <w:szCs w:val="24"/>
          <w:lang w:val="sr-Latn-ME" w:bidi="hi-IN"/>
          <w14:ligatures w14:val="none"/>
        </w:rPr>
        <w:t>je usvojen</w:t>
      </w:r>
      <w:r w:rsidRPr="009364EF">
        <w:rPr>
          <w:rFonts w:eastAsia="Calibri" w:cstheme="minorHAnsi"/>
          <w:kern w:val="0"/>
          <w:sz w:val="24"/>
          <w:szCs w:val="24"/>
          <w:lang w:val="sr-Latn-ME" w:bidi="hi-IN"/>
          <w14:ligatures w14:val="none"/>
        </w:rPr>
        <w:t xml:space="preserve"> set zakonskih mjera koje se odnose na izmjene </w:t>
      </w:r>
      <w:r w:rsidR="00A80485">
        <w:rPr>
          <w:rFonts w:eastAsia="Calibri" w:cstheme="minorHAnsi"/>
          <w:kern w:val="0"/>
          <w:sz w:val="24"/>
          <w:szCs w:val="24"/>
          <w:lang w:val="sr-Latn-ME" w:bidi="hi-IN"/>
          <w14:ligatures w14:val="none"/>
        </w:rPr>
        <w:t>Zakona o porezu na</w:t>
      </w:r>
      <w:r w:rsidRPr="009364EF">
        <w:rPr>
          <w:rFonts w:eastAsia="Calibri" w:cstheme="minorHAnsi"/>
          <w:kern w:val="0"/>
          <w:sz w:val="24"/>
          <w:szCs w:val="24"/>
          <w:lang w:val="sr-Latn-ME" w:bidi="hi-IN"/>
          <w14:ligatures w14:val="none"/>
        </w:rPr>
        <w:t xml:space="preserve"> dobit pravnih lica, kao i izmjene zakona koje se odnose na zarade. </w:t>
      </w:r>
      <w:r w:rsidR="00D207E5" w:rsidRPr="009364EF">
        <w:rPr>
          <w:rFonts w:eastAsia="Calibri" w:cstheme="minorHAnsi"/>
          <w:kern w:val="0"/>
          <w:sz w:val="24"/>
          <w:szCs w:val="24"/>
          <w:lang w:val="sr-Latn-ME" w:bidi="hi-IN"/>
          <w14:ligatures w14:val="none"/>
        </w:rPr>
        <w:t xml:space="preserve">U tom kontekstu, za potrebe izrade ovog </w:t>
      </w:r>
      <w:r w:rsidR="003C5FB1">
        <w:rPr>
          <w:rFonts w:eastAsia="Calibri" w:cstheme="minorHAnsi"/>
          <w:kern w:val="0"/>
          <w:sz w:val="24"/>
          <w:szCs w:val="24"/>
          <w:lang w:val="sr-Latn-ME" w:bidi="hi-IN"/>
          <w14:ligatures w14:val="none"/>
        </w:rPr>
        <w:t>p</w:t>
      </w:r>
      <w:r w:rsidR="00D207E5" w:rsidRPr="009364EF">
        <w:rPr>
          <w:rFonts w:eastAsia="Calibri" w:cstheme="minorHAnsi"/>
          <w:kern w:val="0"/>
          <w:sz w:val="24"/>
          <w:szCs w:val="24"/>
          <w:lang w:val="sr-Latn-ME" w:bidi="hi-IN"/>
          <w14:ligatures w14:val="none"/>
        </w:rPr>
        <w:t xml:space="preserve">rograma, </w:t>
      </w:r>
      <w:r w:rsidR="003332A8" w:rsidRPr="009364EF">
        <w:rPr>
          <w:rFonts w:eastAsia="Calibri" w:cstheme="minorHAnsi"/>
          <w:kern w:val="0"/>
          <w:sz w:val="24"/>
          <w:szCs w:val="24"/>
          <w:lang w:val="sr-Latn-ME" w:bidi="hi-IN"/>
          <w14:ligatures w14:val="none"/>
        </w:rPr>
        <w:t xml:space="preserve">urađena je </w:t>
      </w:r>
      <w:r w:rsidRPr="009364EF">
        <w:rPr>
          <w:rFonts w:eastAsia="Calibri" w:cstheme="minorHAnsi"/>
          <w:kern w:val="0"/>
          <w:sz w:val="24"/>
          <w:szCs w:val="24"/>
          <w:lang w:val="sr-Latn-ME" w:bidi="hi-IN"/>
          <w14:ligatures w14:val="none"/>
        </w:rPr>
        <w:t>analiza</w:t>
      </w:r>
      <w:r w:rsidR="003332A8" w:rsidRPr="009364EF">
        <w:rPr>
          <w:rFonts w:eastAsia="Calibri" w:cstheme="minorHAnsi"/>
          <w:kern w:val="0"/>
          <w:sz w:val="24"/>
          <w:szCs w:val="24"/>
          <w:lang w:val="sr-Latn-ME" w:bidi="hi-IN"/>
          <w14:ligatures w14:val="none"/>
        </w:rPr>
        <w:t xml:space="preserve"> koja</w:t>
      </w:r>
      <w:r w:rsidRPr="009364EF">
        <w:rPr>
          <w:rFonts w:eastAsia="Calibri" w:cstheme="minorHAnsi"/>
          <w:kern w:val="0"/>
          <w:sz w:val="24"/>
          <w:szCs w:val="24"/>
          <w:lang w:val="sr-Latn-ME" w:bidi="hi-IN"/>
          <w14:ligatures w14:val="none"/>
        </w:rPr>
        <w:t xml:space="preserve"> procjenjuje kako su pomenute izmjene zakona uticale na dvije najvažnije komponente sive ekonomije koje se odnose na oblast neprijavljene dobiti i neplaćanje (ili plaćanje na dio zarade) poreza i doprinosa na zarade</w:t>
      </w:r>
      <w:r w:rsidR="00567F61">
        <w:rPr>
          <w:rStyle w:val="FootnoteReference"/>
          <w:rFonts w:eastAsia="Calibri" w:cstheme="minorHAnsi"/>
          <w:kern w:val="0"/>
          <w:sz w:val="24"/>
          <w:szCs w:val="24"/>
          <w:lang w:val="sr-Latn-ME" w:bidi="hi-IN"/>
          <w14:ligatures w14:val="none"/>
        </w:rPr>
        <w:footnoteReference w:id="4"/>
      </w:r>
      <w:r w:rsidRPr="009364EF">
        <w:rPr>
          <w:rFonts w:eastAsia="Calibri" w:cstheme="minorHAnsi"/>
          <w:kern w:val="0"/>
          <w:sz w:val="24"/>
          <w:szCs w:val="24"/>
          <w:lang w:val="sr-Latn-ME" w:bidi="hi-IN"/>
          <w14:ligatures w14:val="none"/>
        </w:rPr>
        <w:t>.</w:t>
      </w:r>
      <w:r w:rsidR="002A74DC">
        <w:rPr>
          <w:rFonts w:eastAsia="Calibri" w:cstheme="minorHAnsi"/>
          <w:kern w:val="0"/>
          <w:sz w:val="24"/>
          <w:szCs w:val="24"/>
          <w:lang w:val="sr-Latn-ME" w:bidi="hi-IN"/>
          <w14:ligatures w14:val="none"/>
        </w:rPr>
        <w:t xml:space="preserve"> Dodatno, ova poreska reforma je bila praćena efektima elektronske fiskalizacije i novim akciznim markicama čija </w:t>
      </w:r>
      <w:r w:rsidR="00395A2B">
        <w:rPr>
          <w:rFonts w:eastAsia="Calibri" w:cstheme="minorHAnsi"/>
          <w:kern w:val="0"/>
          <w:sz w:val="24"/>
          <w:szCs w:val="24"/>
          <w:lang w:val="sr-Latn-ME" w:bidi="hi-IN"/>
          <w14:ligatures w14:val="none"/>
        </w:rPr>
        <w:t>s</w:t>
      </w:r>
      <w:r w:rsidR="002A74DC">
        <w:rPr>
          <w:rFonts w:eastAsia="Calibri" w:cstheme="minorHAnsi"/>
          <w:kern w:val="0"/>
          <w:sz w:val="24"/>
          <w:szCs w:val="24"/>
          <w:lang w:val="sr-Latn-ME" w:bidi="hi-IN"/>
          <w14:ligatures w14:val="none"/>
        </w:rPr>
        <w:t>e vali</w:t>
      </w:r>
      <w:r w:rsidR="00395A2B">
        <w:rPr>
          <w:rFonts w:eastAsia="Calibri" w:cstheme="minorHAnsi"/>
          <w:kern w:val="0"/>
          <w:sz w:val="24"/>
          <w:szCs w:val="24"/>
          <w:lang w:val="sr-Latn-ME" w:bidi="hi-IN"/>
          <w14:ligatures w14:val="none"/>
        </w:rPr>
        <w:t>d</w:t>
      </w:r>
      <w:r w:rsidR="002A74DC">
        <w:rPr>
          <w:rFonts w:eastAsia="Calibri" w:cstheme="minorHAnsi"/>
          <w:kern w:val="0"/>
          <w:sz w:val="24"/>
          <w:szCs w:val="24"/>
          <w:lang w:val="sr-Latn-ME" w:bidi="hi-IN"/>
          <w14:ligatures w14:val="none"/>
        </w:rPr>
        <w:t>nost može pr</w:t>
      </w:r>
      <w:r w:rsidR="0077669F">
        <w:rPr>
          <w:rFonts w:eastAsia="Calibri" w:cstheme="minorHAnsi"/>
          <w:kern w:val="0"/>
          <w:sz w:val="24"/>
          <w:szCs w:val="24"/>
          <w:lang w:val="sr-Latn-ME" w:bidi="hi-IN"/>
          <w14:ligatures w14:val="none"/>
        </w:rPr>
        <w:t>ov</w:t>
      </w:r>
      <w:r w:rsidR="002A74DC">
        <w:rPr>
          <w:rFonts w:eastAsia="Calibri" w:cstheme="minorHAnsi"/>
          <w:kern w:val="0"/>
          <w:sz w:val="24"/>
          <w:szCs w:val="24"/>
          <w:lang w:val="sr-Latn-ME" w:bidi="hi-IN"/>
          <w14:ligatures w14:val="none"/>
        </w:rPr>
        <w:t>jeriti aplikacijom preko pametnog telefona.</w:t>
      </w:r>
    </w:p>
    <w:p w14:paraId="177234B8" w14:textId="77777777" w:rsidR="003332A8" w:rsidRPr="009364EF" w:rsidRDefault="003332A8" w:rsidP="00BF69E2">
      <w:pPr>
        <w:spacing w:line="276" w:lineRule="auto"/>
        <w:contextualSpacing/>
        <w:rPr>
          <w:rFonts w:eastAsia="Calibri" w:cstheme="minorHAnsi"/>
          <w:kern w:val="0"/>
          <w:sz w:val="24"/>
          <w:szCs w:val="24"/>
          <w:lang w:val="sr-Latn-ME" w:bidi="hi-IN"/>
          <w14:ligatures w14:val="none"/>
        </w:rPr>
      </w:pPr>
    </w:p>
    <w:p w14:paraId="0EABA34F" w14:textId="77777777" w:rsidR="00013F7F" w:rsidRPr="00CB06A6" w:rsidRDefault="00013F7F" w:rsidP="009364EF">
      <w:pPr>
        <w:spacing w:line="276" w:lineRule="auto"/>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Analiza polazi od nekoliko ključnih indikatora:</w:t>
      </w:r>
    </w:p>
    <w:p w14:paraId="69A4BA94" w14:textId="064855B0" w:rsidR="00013F7F" w:rsidRPr="00CB06A6" w:rsidRDefault="00013F7F">
      <w:pPr>
        <w:numPr>
          <w:ilvl w:val="0"/>
          <w:numId w:val="10"/>
        </w:numPr>
        <w:spacing w:line="276" w:lineRule="auto"/>
        <w:contextualSpacing/>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Učešće sive ekonomije u Crnoj Gori u 2022. godini</w:t>
      </w:r>
      <w:r w:rsidR="00805F2E" w:rsidRPr="00CB06A6">
        <w:rPr>
          <w:rFonts w:eastAsia="Calibri" w:cstheme="minorHAnsi"/>
          <w:kern w:val="0"/>
          <w:sz w:val="24"/>
          <w:szCs w:val="24"/>
          <w:lang w:val="sr-Latn-ME" w:bidi="hi-IN"/>
          <w14:ligatures w14:val="none"/>
        </w:rPr>
        <w:t>, koje je bilo</w:t>
      </w:r>
      <w:r w:rsidRPr="00CB06A6">
        <w:rPr>
          <w:rFonts w:eastAsia="Calibri" w:cstheme="minorHAnsi"/>
          <w:kern w:val="0"/>
          <w:sz w:val="24"/>
          <w:szCs w:val="24"/>
          <w:lang w:val="sr-Latn-ME" w:bidi="hi-IN"/>
          <w14:ligatures w14:val="none"/>
        </w:rPr>
        <w:t xml:space="preserve"> 20,6 </w:t>
      </w:r>
      <w:r w:rsidR="00805F2E" w:rsidRPr="00CB06A6">
        <w:rPr>
          <w:rFonts w:eastAsia="Calibri" w:cstheme="minorHAnsi"/>
          <w:kern w:val="0"/>
          <w:sz w:val="24"/>
          <w:szCs w:val="24"/>
          <w:lang w:val="sr-Latn-ME" w:bidi="hi-IN"/>
          <w14:ligatures w14:val="none"/>
        </w:rPr>
        <w:t>%</w:t>
      </w:r>
      <w:r w:rsidR="003332A8" w:rsidRPr="00CB06A6">
        <w:rPr>
          <w:rFonts w:eastAsia="Calibri" w:cstheme="minorHAnsi"/>
          <w:kern w:val="0"/>
          <w:sz w:val="24"/>
          <w:szCs w:val="24"/>
          <w:lang w:val="sr-Latn-ME" w:bidi="hi-IN"/>
          <w14:ligatures w14:val="none"/>
        </w:rPr>
        <w:t xml:space="preserve"> </w:t>
      </w:r>
      <w:r w:rsidRPr="00CB06A6">
        <w:rPr>
          <w:rFonts w:eastAsia="Calibri" w:cstheme="minorHAnsi"/>
          <w:kern w:val="0"/>
          <w:sz w:val="24"/>
          <w:szCs w:val="24"/>
          <w:lang w:val="sr-Latn-ME" w:bidi="hi-IN"/>
          <w14:ligatures w14:val="none"/>
        </w:rPr>
        <w:t>(IPSOS)</w:t>
      </w:r>
      <w:r w:rsidR="003F37B5" w:rsidRPr="00CB06A6">
        <w:rPr>
          <w:rStyle w:val="FootnoteReference"/>
          <w:rFonts w:eastAsia="Calibri" w:cstheme="minorHAnsi"/>
          <w:kern w:val="0"/>
          <w:sz w:val="24"/>
          <w:szCs w:val="24"/>
          <w:lang w:val="sr-Latn-ME" w:bidi="hi-IN"/>
          <w14:ligatures w14:val="none"/>
        </w:rPr>
        <w:footnoteReference w:id="5"/>
      </w:r>
      <w:r w:rsidR="003332A8" w:rsidRPr="00CB06A6">
        <w:rPr>
          <w:rFonts w:eastAsia="Calibri" w:cstheme="minorHAnsi"/>
          <w:kern w:val="0"/>
          <w:sz w:val="24"/>
          <w:szCs w:val="24"/>
          <w:lang w:val="sr-Latn-ME" w:bidi="hi-IN"/>
          <w14:ligatures w14:val="none"/>
        </w:rPr>
        <w:t>.</w:t>
      </w:r>
    </w:p>
    <w:p w14:paraId="6F96B866" w14:textId="3B1F7A7B" w:rsidR="00013F7F" w:rsidRPr="00CB06A6" w:rsidRDefault="00013F7F">
      <w:pPr>
        <w:numPr>
          <w:ilvl w:val="0"/>
          <w:numId w:val="10"/>
        </w:numPr>
        <w:spacing w:line="276" w:lineRule="auto"/>
        <w:contextualSpacing/>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Udio neprijavljene dobiti u ukupnoj stopi sive ekonomije</w:t>
      </w:r>
      <w:r w:rsidR="00677241" w:rsidRPr="00CB06A6">
        <w:rPr>
          <w:rFonts w:eastAsia="Calibri" w:cstheme="minorHAnsi"/>
          <w:kern w:val="0"/>
          <w:sz w:val="24"/>
          <w:szCs w:val="24"/>
          <w:lang w:val="sr-Latn-ME" w:bidi="hi-IN"/>
          <w14:ligatures w14:val="none"/>
        </w:rPr>
        <w:t xml:space="preserve"> u 2022</w:t>
      </w:r>
      <w:r w:rsidR="00805F2E" w:rsidRPr="00CB06A6">
        <w:rPr>
          <w:rFonts w:eastAsia="Calibri" w:cstheme="minorHAnsi"/>
          <w:kern w:val="0"/>
          <w:sz w:val="24"/>
          <w:szCs w:val="24"/>
          <w:lang w:val="sr-Latn-ME" w:bidi="hi-IN"/>
          <w14:ligatures w14:val="none"/>
        </w:rPr>
        <w:t>, koji</w:t>
      </w:r>
      <w:r w:rsidRPr="00CB06A6">
        <w:rPr>
          <w:rFonts w:eastAsia="Calibri" w:cstheme="minorHAnsi"/>
          <w:kern w:val="0"/>
          <w:sz w:val="24"/>
          <w:szCs w:val="24"/>
          <w:lang w:val="sr-Latn-ME" w:bidi="hi-IN"/>
          <w14:ligatures w14:val="none"/>
        </w:rPr>
        <w:t xml:space="preserve"> iznosi 43,7</w:t>
      </w:r>
      <w:r w:rsidR="00805F2E" w:rsidRPr="00CB06A6">
        <w:rPr>
          <w:rFonts w:eastAsia="Calibri" w:cstheme="minorHAnsi"/>
          <w:kern w:val="0"/>
          <w:sz w:val="24"/>
          <w:szCs w:val="24"/>
          <w:lang w:val="sr-Latn-ME" w:bidi="hi-IN"/>
          <w14:ligatures w14:val="none"/>
        </w:rPr>
        <w:t xml:space="preserve">% </w:t>
      </w:r>
      <w:r w:rsidRPr="00CB06A6">
        <w:rPr>
          <w:rFonts w:eastAsia="Calibri" w:cstheme="minorHAnsi"/>
          <w:kern w:val="0"/>
          <w:sz w:val="24"/>
          <w:szCs w:val="24"/>
          <w:lang w:val="sr-Latn-ME" w:bidi="hi-IN"/>
          <w14:ligatures w14:val="none"/>
        </w:rPr>
        <w:t>(IPSOS)</w:t>
      </w:r>
      <w:r w:rsidR="003332A8" w:rsidRPr="00CB06A6">
        <w:rPr>
          <w:rFonts w:eastAsia="Calibri" w:cstheme="minorHAnsi"/>
          <w:kern w:val="0"/>
          <w:sz w:val="24"/>
          <w:szCs w:val="24"/>
          <w:lang w:val="sr-Latn-ME" w:bidi="hi-IN"/>
          <w14:ligatures w14:val="none"/>
        </w:rPr>
        <w:t>.</w:t>
      </w:r>
    </w:p>
    <w:p w14:paraId="042D0BD5" w14:textId="7B3EF463" w:rsidR="00013F7F" w:rsidRPr="00CB06A6" w:rsidRDefault="00013F7F">
      <w:pPr>
        <w:numPr>
          <w:ilvl w:val="0"/>
          <w:numId w:val="10"/>
        </w:numPr>
        <w:spacing w:line="276" w:lineRule="auto"/>
        <w:contextualSpacing/>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Udio neprijavljenih zarada ili zarada na koje se djelimično plaćaju porezi doprinosi u ukupnoj stopi sive ekonomije</w:t>
      </w:r>
      <w:r w:rsidR="00805F2E" w:rsidRPr="00CB06A6">
        <w:rPr>
          <w:rFonts w:eastAsia="Calibri" w:cstheme="minorHAnsi"/>
          <w:kern w:val="0"/>
          <w:sz w:val="24"/>
          <w:szCs w:val="24"/>
          <w:lang w:val="sr-Latn-ME" w:bidi="hi-IN"/>
          <w14:ligatures w14:val="none"/>
        </w:rPr>
        <w:t>, koji</w:t>
      </w:r>
      <w:r w:rsidRPr="00CB06A6">
        <w:rPr>
          <w:rFonts w:eastAsia="Calibri" w:cstheme="minorHAnsi"/>
          <w:kern w:val="0"/>
          <w:sz w:val="24"/>
          <w:szCs w:val="24"/>
          <w:lang w:val="sr-Latn-ME" w:bidi="hi-IN"/>
          <w14:ligatures w14:val="none"/>
        </w:rPr>
        <w:t xml:space="preserve">  iznosi 56,3 </w:t>
      </w:r>
      <w:r w:rsidR="00395A2B" w:rsidRPr="00CB06A6">
        <w:rPr>
          <w:rFonts w:eastAsia="Calibri" w:cstheme="minorHAnsi"/>
          <w:kern w:val="0"/>
          <w:sz w:val="24"/>
          <w:szCs w:val="24"/>
          <w:lang w:val="sr-Latn-ME" w:bidi="hi-IN"/>
          <w14:ligatures w14:val="none"/>
        </w:rPr>
        <w:t>%</w:t>
      </w:r>
      <w:r w:rsidR="00A80485" w:rsidRPr="00CB06A6">
        <w:rPr>
          <w:rFonts w:eastAsia="Calibri" w:cstheme="minorHAnsi"/>
          <w:kern w:val="0"/>
          <w:sz w:val="24"/>
          <w:szCs w:val="24"/>
          <w:lang w:val="sr-Latn-ME" w:bidi="hi-IN"/>
          <w14:ligatures w14:val="none"/>
        </w:rPr>
        <w:t xml:space="preserve"> u 2022.</w:t>
      </w:r>
      <w:r w:rsidRPr="00CB06A6">
        <w:rPr>
          <w:rFonts w:eastAsia="Calibri" w:cstheme="minorHAnsi"/>
          <w:kern w:val="0"/>
          <w:sz w:val="24"/>
          <w:szCs w:val="24"/>
          <w:lang w:val="sr-Latn-ME" w:bidi="hi-IN"/>
          <w14:ligatures w14:val="none"/>
        </w:rPr>
        <w:t xml:space="preserve"> (IPSOS)</w:t>
      </w:r>
      <w:r w:rsidR="003332A8" w:rsidRPr="00CB06A6">
        <w:rPr>
          <w:rFonts w:eastAsia="Calibri" w:cstheme="minorHAnsi"/>
          <w:kern w:val="0"/>
          <w:sz w:val="24"/>
          <w:szCs w:val="24"/>
          <w:lang w:val="sr-Latn-ME" w:bidi="hi-IN"/>
          <w14:ligatures w14:val="none"/>
        </w:rPr>
        <w:t>.</w:t>
      </w:r>
    </w:p>
    <w:p w14:paraId="4F2B97B6" w14:textId="460968DF" w:rsidR="00013F7F" w:rsidRPr="00CB06A6" w:rsidRDefault="00013F7F">
      <w:pPr>
        <w:numPr>
          <w:ilvl w:val="0"/>
          <w:numId w:val="10"/>
        </w:numPr>
        <w:spacing w:line="276" w:lineRule="auto"/>
        <w:contextualSpacing/>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Prosječna zarada</w:t>
      </w:r>
      <w:r w:rsidR="00D74EB5" w:rsidRPr="00CB06A6">
        <w:rPr>
          <w:rFonts w:eastAsia="Calibri" w:cstheme="minorHAnsi"/>
          <w:kern w:val="0"/>
          <w:sz w:val="24"/>
          <w:szCs w:val="24"/>
          <w:lang w:val="sr-Latn-ME" w:bidi="hi-IN"/>
          <w14:ligatures w14:val="none"/>
        </w:rPr>
        <w:t xml:space="preserve">, koja </w:t>
      </w:r>
      <w:r w:rsidRPr="00CB06A6">
        <w:rPr>
          <w:rFonts w:eastAsia="Calibri" w:cstheme="minorHAnsi"/>
          <w:kern w:val="0"/>
          <w:sz w:val="24"/>
          <w:szCs w:val="24"/>
          <w:lang w:val="sr-Latn-ME" w:bidi="hi-IN"/>
          <w14:ligatures w14:val="none"/>
        </w:rPr>
        <w:t>polazi od zvaničnog podatka Monstata za 2022. godinu i rasta iz makroekonomskog scenarija</w:t>
      </w:r>
      <w:r w:rsidR="00E32FB0" w:rsidRPr="00CB06A6">
        <w:rPr>
          <w:rFonts w:eastAsia="Calibri" w:cstheme="minorHAnsi"/>
          <w:kern w:val="0"/>
          <w:sz w:val="24"/>
          <w:szCs w:val="24"/>
          <w:lang w:val="sr-Latn-ME" w:bidi="hi-IN"/>
          <w14:ligatures w14:val="none"/>
        </w:rPr>
        <w:t xml:space="preserve"> Ministarstva finansija</w:t>
      </w:r>
      <w:r w:rsidRPr="00CB06A6">
        <w:rPr>
          <w:rFonts w:eastAsia="Calibri" w:cstheme="minorHAnsi"/>
          <w:kern w:val="0"/>
          <w:sz w:val="24"/>
          <w:szCs w:val="24"/>
          <w:lang w:val="sr-Latn-ME" w:bidi="hi-IN"/>
          <w14:ligatures w14:val="none"/>
        </w:rPr>
        <w:t>.</w:t>
      </w:r>
    </w:p>
    <w:p w14:paraId="5667F6D6" w14:textId="08790E25" w:rsidR="00013F7F" w:rsidRPr="00CB06A6" w:rsidRDefault="00013F7F">
      <w:pPr>
        <w:numPr>
          <w:ilvl w:val="0"/>
          <w:numId w:val="10"/>
        </w:numPr>
        <w:spacing w:line="276" w:lineRule="auto"/>
        <w:contextualSpacing/>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Projekcije inflacije</w:t>
      </w:r>
      <w:r w:rsidR="00D74EB5" w:rsidRPr="00CB06A6">
        <w:rPr>
          <w:rFonts w:eastAsia="Calibri" w:cstheme="minorHAnsi"/>
          <w:kern w:val="0"/>
          <w:sz w:val="24"/>
          <w:szCs w:val="24"/>
          <w:lang w:val="sr-Latn-ME" w:bidi="hi-IN"/>
          <w14:ligatures w14:val="none"/>
        </w:rPr>
        <w:t xml:space="preserve"> koja</w:t>
      </w:r>
      <w:r w:rsidRPr="00CB06A6">
        <w:rPr>
          <w:rFonts w:eastAsia="Calibri" w:cstheme="minorHAnsi"/>
          <w:kern w:val="0"/>
          <w:sz w:val="24"/>
          <w:szCs w:val="24"/>
          <w:lang w:val="sr-Latn-ME" w:bidi="hi-IN"/>
          <w14:ligatures w14:val="none"/>
        </w:rPr>
        <w:t xml:space="preserve"> polazi od preliminarnih zvaničnih podataka za 2022. i makroekonomskih projekcija inflacije</w:t>
      </w:r>
      <w:r w:rsidR="00E32FB0" w:rsidRPr="00CB06A6">
        <w:rPr>
          <w:rFonts w:eastAsia="Calibri" w:cstheme="minorHAnsi"/>
          <w:kern w:val="0"/>
          <w:sz w:val="24"/>
          <w:szCs w:val="24"/>
          <w:lang w:val="sr-Latn-ME" w:bidi="hi-IN"/>
          <w14:ligatures w14:val="none"/>
        </w:rPr>
        <w:t xml:space="preserve"> od strane Ministarstva finansija</w:t>
      </w:r>
      <w:r w:rsidRPr="00CB06A6">
        <w:rPr>
          <w:rFonts w:eastAsia="Calibri" w:cstheme="minorHAnsi"/>
          <w:kern w:val="0"/>
          <w:sz w:val="24"/>
          <w:szCs w:val="24"/>
          <w:lang w:val="sr-Latn-ME" w:bidi="hi-IN"/>
          <w14:ligatures w14:val="none"/>
        </w:rPr>
        <w:t>.</w:t>
      </w:r>
    </w:p>
    <w:p w14:paraId="4669B840" w14:textId="0F254A9D" w:rsidR="00013F7F" w:rsidRPr="00CB06A6" w:rsidRDefault="00013F7F">
      <w:pPr>
        <w:numPr>
          <w:ilvl w:val="0"/>
          <w:numId w:val="10"/>
        </w:numPr>
        <w:spacing w:line="276" w:lineRule="auto"/>
        <w:contextualSpacing/>
        <w:rPr>
          <w:rFonts w:eastAsia="Calibri" w:cstheme="minorHAnsi"/>
          <w:kern w:val="0"/>
          <w:sz w:val="24"/>
          <w:szCs w:val="24"/>
          <w:lang w:val="sr-Latn-ME" w:bidi="hi-IN"/>
          <w14:ligatures w14:val="none"/>
        </w:rPr>
      </w:pPr>
      <w:r w:rsidRPr="00CB06A6">
        <w:rPr>
          <w:rFonts w:eastAsia="Calibri" w:cstheme="minorHAnsi"/>
          <w:kern w:val="0"/>
          <w:sz w:val="24"/>
          <w:szCs w:val="24"/>
          <w:lang w:val="sr-Latn-ME" w:bidi="hi-IN"/>
          <w14:ligatures w14:val="none"/>
        </w:rPr>
        <w:t>Prosječna zarada</w:t>
      </w:r>
      <w:r w:rsidR="00D74EB5" w:rsidRPr="00CB06A6">
        <w:rPr>
          <w:rFonts w:eastAsia="Calibri" w:cstheme="minorHAnsi"/>
          <w:kern w:val="0"/>
          <w:sz w:val="24"/>
          <w:szCs w:val="24"/>
          <w:lang w:val="sr-Latn-ME" w:bidi="hi-IN"/>
          <w14:ligatures w14:val="none"/>
        </w:rPr>
        <w:t>, koja</w:t>
      </w:r>
      <w:r w:rsidRPr="00CB06A6">
        <w:rPr>
          <w:rFonts w:eastAsia="Calibri" w:cstheme="minorHAnsi"/>
          <w:kern w:val="0"/>
          <w:sz w:val="24"/>
          <w:szCs w:val="24"/>
          <w:lang w:val="sr-Latn-ME" w:bidi="hi-IN"/>
          <w14:ligatures w14:val="none"/>
        </w:rPr>
        <w:t xml:space="preserve"> polazi od prosjeka zarada u sektorima koji su najviše izloženi sivoj ekonomiji: </w:t>
      </w:r>
      <w:r w:rsidR="00D74EB5" w:rsidRPr="00CB06A6">
        <w:rPr>
          <w:rFonts w:eastAsia="Calibri" w:cstheme="minorHAnsi"/>
          <w:kern w:val="0"/>
          <w:sz w:val="24"/>
          <w:szCs w:val="24"/>
          <w:lang w:val="sr-Latn-ME" w:bidi="hi-IN"/>
          <w14:ligatures w14:val="none"/>
        </w:rPr>
        <w:t>m</w:t>
      </w:r>
      <w:r w:rsidRPr="00CB06A6">
        <w:rPr>
          <w:rFonts w:eastAsia="Calibri" w:cstheme="minorHAnsi"/>
          <w:kern w:val="0"/>
          <w:sz w:val="24"/>
          <w:szCs w:val="24"/>
          <w:lang w:val="sr-Latn-ME" w:bidi="hi-IN"/>
          <w14:ligatures w14:val="none"/>
        </w:rPr>
        <w:t>aloprodaja, građevinarstvo, turizam i saobraćaj. Rast zarade je vezan za rast zarada iz makroekonomskog scenarija</w:t>
      </w:r>
      <w:r w:rsidR="00E32FB0" w:rsidRPr="00CB06A6">
        <w:rPr>
          <w:rFonts w:eastAsia="Calibri" w:cstheme="minorHAnsi"/>
          <w:kern w:val="0"/>
          <w:sz w:val="24"/>
          <w:szCs w:val="24"/>
          <w:lang w:val="sr-Latn-ME" w:bidi="hi-IN"/>
          <w14:ligatures w14:val="none"/>
        </w:rPr>
        <w:t xml:space="preserve"> Ministarstva finansija</w:t>
      </w:r>
      <w:r w:rsidRPr="00CB06A6">
        <w:rPr>
          <w:rFonts w:eastAsia="Calibri" w:cstheme="minorHAnsi"/>
          <w:kern w:val="0"/>
          <w:sz w:val="24"/>
          <w:szCs w:val="24"/>
          <w:lang w:val="sr-Latn-ME" w:bidi="hi-IN"/>
          <w14:ligatures w14:val="none"/>
        </w:rPr>
        <w:t>.</w:t>
      </w:r>
    </w:p>
    <w:p w14:paraId="7C20348D" w14:textId="77777777" w:rsidR="00E32FB0" w:rsidRPr="00CB06A6" w:rsidRDefault="00E32FB0" w:rsidP="00E32FB0">
      <w:pPr>
        <w:spacing w:line="276" w:lineRule="auto"/>
        <w:ind w:left="720"/>
        <w:contextualSpacing/>
        <w:rPr>
          <w:rFonts w:eastAsia="Calibri" w:cstheme="minorHAnsi"/>
          <w:kern w:val="0"/>
          <w:sz w:val="24"/>
          <w:szCs w:val="24"/>
          <w:lang w:val="sr-Latn-ME" w:bidi="hi-IN"/>
          <w14:ligatures w14:val="none"/>
        </w:rPr>
      </w:pPr>
    </w:p>
    <w:p w14:paraId="7D90B372" w14:textId="27E0B7CC" w:rsidR="0077669F" w:rsidRPr="00CB06A6" w:rsidRDefault="00805F2E" w:rsidP="0077669F">
      <w:pPr>
        <w:rPr>
          <w:sz w:val="24"/>
          <w:szCs w:val="24"/>
          <w:lang w:val="sr-Latn-ME"/>
        </w:rPr>
      </w:pPr>
      <w:r w:rsidRPr="00CB06A6">
        <w:rPr>
          <w:sz w:val="24"/>
          <w:szCs w:val="24"/>
          <w:lang w:val="sr-Latn-ME"/>
        </w:rPr>
        <w:t>Simulacioni m</w:t>
      </w:r>
      <w:r w:rsidR="0077669F" w:rsidRPr="00CB06A6">
        <w:rPr>
          <w:sz w:val="24"/>
          <w:szCs w:val="24"/>
          <w:lang w:val="sr-Latn-ME"/>
        </w:rPr>
        <w:t>odel za procjenu neprijavljene dobiti</w:t>
      </w:r>
      <w:r w:rsidR="000422AA" w:rsidRPr="00CB06A6">
        <w:rPr>
          <w:sz w:val="24"/>
          <w:szCs w:val="24"/>
          <w:lang w:val="sr-Latn-ME"/>
        </w:rPr>
        <w:t xml:space="preserve"> </w:t>
      </w:r>
      <w:r w:rsidR="0077669F" w:rsidRPr="00CB06A6">
        <w:rPr>
          <w:sz w:val="24"/>
          <w:szCs w:val="24"/>
          <w:lang w:val="sr-Latn-ME"/>
        </w:rPr>
        <w:t xml:space="preserve">(siva ekonomija)  </w:t>
      </w:r>
      <w:r w:rsidR="00AB0650" w:rsidRPr="00CB06A6">
        <w:rPr>
          <w:sz w:val="24"/>
          <w:szCs w:val="24"/>
          <w:lang w:val="sr-Latn-ME"/>
        </w:rPr>
        <w:t xml:space="preserve">za potrebe ovog rograma, </w:t>
      </w:r>
      <w:r w:rsidR="0077669F" w:rsidRPr="00CB06A6">
        <w:rPr>
          <w:sz w:val="24"/>
          <w:szCs w:val="24"/>
          <w:lang w:val="sr-Latn-ME"/>
        </w:rPr>
        <w:t xml:space="preserve">urađen ja na osnovu: </w:t>
      </w:r>
    </w:p>
    <w:p w14:paraId="3341077D" w14:textId="4127EAE4" w:rsidR="0077669F" w:rsidRPr="00CB06A6" w:rsidRDefault="003C5FB1" w:rsidP="0077669F">
      <w:pPr>
        <w:numPr>
          <w:ilvl w:val="0"/>
          <w:numId w:val="24"/>
        </w:numPr>
        <w:spacing w:line="276" w:lineRule="auto"/>
        <w:contextualSpacing/>
        <w:rPr>
          <w:rFonts w:eastAsia="Calibri" w:cstheme="minorHAnsi"/>
          <w:sz w:val="24"/>
          <w:szCs w:val="24"/>
          <w:lang w:val="sr-Latn-ME"/>
        </w:rPr>
      </w:pPr>
      <w:r>
        <w:rPr>
          <w:rFonts w:eastAsia="Calibri" w:cstheme="minorHAnsi"/>
          <w:sz w:val="24"/>
          <w:szCs w:val="24"/>
          <w:lang w:val="sr-Latn-ME"/>
        </w:rPr>
        <w:t>m</w:t>
      </w:r>
      <w:r w:rsidR="0077669F" w:rsidRPr="00CB06A6">
        <w:rPr>
          <w:rFonts w:eastAsia="Calibri" w:cstheme="minorHAnsi"/>
          <w:sz w:val="24"/>
          <w:szCs w:val="24"/>
          <w:lang w:val="sr-Latn-ME"/>
        </w:rPr>
        <w:t xml:space="preserve">akroekonomskog  scenarija iz dokumenta Smjernice makroekonomske i fiskalne politike </w:t>
      </w:r>
      <w:r w:rsidR="00805F2E" w:rsidRPr="00CB06A6">
        <w:rPr>
          <w:rFonts w:eastAsia="Calibri" w:cstheme="minorHAnsi"/>
          <w:sz w:val="24"/>
          <w:szCs w:val="24"/>
          <w:lang w:val="sr-Latn-ME"/>
        </w:rPr>
        <w:t xml:space="preserve">Crne Gore </w:t>
      </w:r>
      <w:r w:rsidR="0077669F" w:rsidRPr="00CB06A6">
        <w:rPr>
          <w:rFonts w:eastAsia="Calibri" w:cstheme="minorHAnsi"/>
          <w:sz w:val="24"/>
          <w:szCs w:val="24"/>
          <w:lang w:val="sr-Latn-ME"/>
        </w:rPr>
        <w:t>za period 2023-2026. godina</w:t>
      </w:r>
      <w:r>
        <w:rPr>
          <w:rFonts w:eastAsia="Calibri" w:cstheme="minorHAnsi"/>
          <w:sz w:val="24"/>
          <w:szCs w:val="24"/>
          <w:lang w:val="sr-Latn-ME"/>
        </w:rPr>
        <w:t>,</w:t>
      </w:r>
    </w:p>
    <w:p w14:paraId="60C90F9D" w14:textId="73949934" w:rsidR="0077669F" w:rsidRPr="00CB06A6" w:rsidRDefault="003C5FB1" w:rsidP="0077669F">
      <w:pPr>
        <w:numPr>
          <w:ilvl w:val="0"/>
          <w:numId w:val="24"/>
        </w:numPr>
        <w:spacing w:line="276" w:lineRule="auto"/>
        <w:contextualSpacing/>
        <w:rPr>
          <w:rFonts w:eastAsia="Calibri" w:cstheme="minorHAnsi"/>
          <w:sz w:val="24"/>
          <w:szCs w:val="24"/>
          <w:lang w:val="sr-Latn-ME"/>
        </w:rPr>
      </w:pPr>
      <w:r>
        <w:rPr>
          <w:rFonts w:eastAsia="Calibri" w:cstheme="minorHAnsi"/>
          <w:sz w:val="24"/>
          <w:szCs w:val="24"/>
          <w:lang w:val="sr-Latn-ME"/>
        </w:rPr>
        <w:t>f</w:t>
      </w:r>
      <w:r w:rsidR="0077669F" w:rsidRPr="00CB06A6">
        <w:rPr>
          <w:rFonts w:eastAsia="Calibri" w:cstheme="minorHAnsi"/>
          <w:sz w:val="24"/>
          <w:szCs w:val="24"/>
          <w:lang w:val="sr-Latn-ME"/>
        </w:rPr>
        <w:t xml:space="preserve">iskalnih projekcija </w:t>
      </w:r>
      <w:r w:rsidR="00805F2E" w:rsidRPr="00CB06A6">
        <w:rPr>
          <w:rFonts w:eastAsia="Calibri" w:cstheme="minorHAnsi"/>
          <w:sz w:val="24"/>
          <w:szCs w:val="24"/>
          <w:lang w:val="sr-Latn-ME"/>
        </w:rPr>
        <w:t>iz dokumenta Smjernice makroekonomske i fiskalne politike Crne Gore za period 2023-2026. godina</w:t>
      </w:r>
      <w:r w:rsidR="00705949" w:rsidRPr="00CB06A6">
        <w:rPr>
          <w:rFonts w:eastAsia="Calibri" w:cstheme="minorHAnsi"/>
          <w:sz w:val="24"/>
          <w:szCs w:val="24"/>
          <w:lang w:val="sr-Latn-ME"/>
        </w:rPr>
        <w:t>, uključujući projekciju priho</w:t>
      </w:r>
      <w:r w:rsidR="001936AC">
        <w:rPr>
          <w:rFonts w:eastAsia="Calibri" w:cstheme="minorHAnsi"/>
          <w:sz w:val="24"/>
          <w:szCs w:val="24"/>
          <w:lang w:val="sr-Latn-ME"/>
        </w:rPr>
        <w:t>d</w:t>
      </w:r>
      <w:r w:rsidR="00705949" w:rsidRPr="00CB06A6">
        <w:rPr>
          <w:rFonts w:eastAsia="Calibri" w:cstheme="minorHAnsi"/>
          <w:sz w:val="24"/>
          <w:szCs w:val="24"/>
          <w:lang w:val="sr-Latn-ME"/>
        </w:rPr>
        <w:t>a od poreza na dobit</w:t>
      </w:r>
      <w:r>
        <w:rPr>
          <w:rFonts w:eastAsia="Calibri" w:cstheme="minorHAnsi"/>
          <w:sz w:val="24"/>
          <w:szCs w:val="24"/>
          <w:lang w:val="sr-Latn-ME"/>
        </w:rPr>
        <w:t>,</w:t>
      </w:r>
    </w:p>
    <w:p w14:paraId="1C68E5A2" w14:textId="1647D223" w:rsidR="0077669F" w:rsidRPr="00CB06A6" w:rsidRDefault="003C5FB1" w:rsidP="0077669F">
      <w:pPr>
        <w:numPr>
          <w:ilvl w:val="0"/>
          <w:numId w:val="24"/>
        </w:numPr>
        <w:spacing w:line="276" w:lineRule="auto"/>
        <w:contextualSpacing/>
        <w:rPr>
          <w:rFonts w:eastAsia="Calibri" w:cstheme="minorHAnsi"/>
          <w:sz w:val="24"/>
          <w:szCs w:val="24"/>
          <w:lang w:val="sr-Latn-ME"/>
        </w:rPr>
      </w:pPr>
      <w:r>
        <w:rPr>
          <w:rFonts w:eastAsia="Calibri" w:cstheme="minorHAnsi"/>
          <w:sz w:val="24"/>
          <w:szCs w:val="24"/>
          <w:lang w:val="sr-Latn-ME"/>
        </w:rPr>
        <w:t>i</w:t>
      </w:r>
      <w:r w:rsidR="0077669F" w:rsidRPr="00CB06A6">
        <w:rPr>
          <w:rFonts w:eastAsia="Calibri" w:cstheme="minorHAnsi"/>
          <w:sz w:val="24"/>
          <w:szCs w:val="24"/>
          <w:lang w:val="sr-Latn-ME"/>
        </w:rPr>
        <w:t>straživanje koje je u 2022. godini uradi</w:t>
      </w:r>
      <w:r w:rsidR="006C691C">
        <w:rPr>
          <w:rFonts w:eastAsia="Calibri" w:cstheme="minorHAnsi"/>
          <w:sz w:val="24"/>
          <w:szCs w:val="24"/>
          <w:lang w:val="sr-Latn-ME"/>
        </w:rPr>
        <w:t xml:space="preserve">li autori </w:t>
      </w:r>
      <w:r w:rsidR="0077669F" w:rsidRPr="00CB06A6">
        <w:rPr>
          <w:rFonts w:eastAsia="Calibri" w:cstheme="minorHAnsi"/>
          <w:sz w:val="24"/>
          <w:szCs w:val="24"/>
          <w:lang w:val="sr-Latn-ME"/>
        </w:rPr>
        <w:t xml:space="preserve"> IPSOS</w:t>
      </w:r>
      <w:r w:rsidR="006C691C">
        <w:rPr>
          <w:rFonts w:eastAsia="Calibri" w:cstheme="minorHAnsi"/>
          <w:sz w:val="24"/>
          <w:szCs w:val="24"/>
          <w:lang w:val="sr-Latn-ME"/>
        </w:rPr>
        <w:t>, Radulovic, Krstić</w:t>
      </w:r>
      <w:r w:rsidR="0077669F" w:rsidRPr="00CB06A6">
        <w:rPr>
          <w:rFonts w:eastAsia="Calibri" w:cstheme="minorHAnsi"/>
          <w:sz w:val="24"/>
          <w:szCs w:val="24"/>
          <w:lang w:val="sr-Latn-ME"/>
        </w:rPr>
        <w:t xml:space="preserve">: </w:t>
      </w:r>
      <w:r>
        <w:rPr>
          <w:rFonts w:eastAsia="Calibri" w:cstheme="minorHAnsi"/>
          <w:sz w:val="24"/>
          <w:szCs w:val="24"/>
          <w:lang w:val="sr-Latn-ME"/>
        </w:rPr>
        <w:t>„</w:t>
      </w:r>
      <w:proofErr w:type="spellStart"/>
      <w:r w:rsidR="0077669F" w:rsidRPr="00CB06A6">
        <w:rPr>
          <w:rFonts w:eastAsia="Calibri" w:cstheme="minorHAnsi"/>
          <w:sz w:val="24"/>
          <w:szCs w:val="24"/>
        </w:rPr>
        <w:t>Istra</w:t>
      </w:r>
      <w:proofErr w:type="spellEnd"/>
      <w:r w:rsidR="0077669F" w:rsidRPr="006C691C">
        <w:rPr>
          <w:rFonts w:eastAsia="Calibri" w:cstheme="minorHAnsi"/>
          <w:sz w:val="24"/>
          <w:szCs w:val="24"/>
          <w:lang w:val="sr-Latn-ME"/>
        </w:rPr>
        <w:t>ž</w:t>
      </w:r>
      <w:proofErr w:type="spellStart"/>
      <w:r w:rsidR="0077669F" w:rsidRPr="00CB06A6">
        <w:rPr>
          <w:rFonts w:eastAsia="Calibri" w:cstheme="minorHAnsi"/>
          <w:sz w:val="24"/>
          <w:szCs w:val="24"/>
        </w:rPr>
        <w:t>ivanje</w:t>
      </w:r>
      <w:proofErr w:type="spellEnd"/>
      <w:r w:rsidR="0077669F" w:rsidRPr="006C691C">
        <w:rPr>
          <w:rFonts w:eastAsia="Calibri" w:cstheme="minorHAnsi"/>
          <w:sz w:val="24"/>
          <w:szCs w:val="24"/>
          <w:lang w:val="sr-Latn-ME"/>
        </w:rPr>
        <w:t xml:space="preserve"> </w:t>
      </w:r>
      <w:r w:rsidR="0077669F" w:rsidRPr="00CB06A6">
        <w:rPr>
          <w:rFonts w:eastAsia="Calibri" w:cstheme="minorHAnsi"/>
          <w:sz w:val="24"/>
          <w:szCs w:val="24"/>
        </w:rPr>
        <w:t>me</w:t>
      </w:r>
      <w:r w:rsidR="0077669F" w:rsidRPr="006C691C">
        <w:rPr>
          <w:rFonts w:eastAsia="Calibri" w:cstheme="minorHAnsi"/>
          <w:sz w:val="24"/>
          <w:szCs w:val="24"/>
          <w:lang w:val="sr-Latn-ME"/>
        </w:rPr>
        <w:t>đ</w:t>
      </w:r>
      <w:r w:rsidR="0077669F" w:rsidRPr="00CB06A6">
        <w:rPr>
          <w:rFonts w:eastAsia="Calibri" w:cstheme="minorHAnsi"/>
          <w:sz w:val="24"/>
          <w:szCs w:val="24"/>
        </w:rPr>
        <w:t>u</w:t>
      </w:r>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doma</w:t>
      </w:r>
      <w:proofErr w:type="spellEnd"/>
      <w:r w:rsidR="0077669F" w:rsidRPr="006C691C">
        <w:rPr>
          <w:rFonts w:eastAsia="Calibri" w:cstheme="minorHAnsi"/>
          <w:sz w:val="24"/>
          <w:szCs w:val="24"/>
          <w:lang w:val="sr-Latn-ME"/>
        </w:rPr>
        <w:t>ć</w:t>
      </w:r>
      <w:proofErr w:type="spellStart"/>
      <w:r w:rsidR="0077669F" w:rsidRPr="00CB06A6">
        <w:rPr>
          <w:rFonts w:eastAsia="Calibri" w:cstheme="minorHAnsi"/>
          <w:sz w:val="24"/>
          <w:szCs w:val="24"/>
        </w:rPr>
        <w:t>instvima</w:t>
      </w:r>
      <w:proofErr w:type="spellEnd"/>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i</w:t>
      </w:r>
      <w:proofErr w:type="spellEnd"/>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preduze</w:t>
      </w:r>
      <w:proofErr w:type="spellEnd"/>
      <w:r w:rsidR="0077669F" w:rsidRPr="006C691C">
        <w:rPr>
          <w:rFonts w:eastAsia="Calibri" w:cstheme="minorHAnsi"/>
          <w:sz w:val="24"/>
          <w:szCs w:val="24"/>
          <w:lang w:val="sr-Latn-ME"/>
        </w:rPr>
        <w:t>ć</w:t>
      </w:r>
      <w:proofErr w:type="spellStart"/>
      <w:r w:rsidR="0077669F" w:rsidRPr="00CB06A6">
        <w:rPr>
          <w:rFonts w:eastAsia="Calibri" w:cstheme="minorHAnsi"/>
          <w:sz w:val="24"/>
          <w:szCs w:val="24"/>
        </w:rPr>
        <w:t>ima</w:t>
      </w:r>
      <w:proofErr w:type="spellEnd"/>
      <w:r w:rsidR="0077669F" w:rsidRPr="00BF69E2">
        <w:rPr>
          <w:rFonts w:eastAsia="Calibri" w:cstheme="minorHAnsi"/>
          <w:sz w:val="24"/>
          <w:szCs w:val="24"/>
          <w:lang w:val="sr-Latn-ME"/>
        </w:rPr>
        <w:t xml:space="preserve">, </w:t>
      </w:r>
      <w:proofErr w:type="spellStart"/>
      <w:r w:rsidR="0077669F" w:rsidRPr="00CB06A6">
        <w:rPr>
          <w:rFonts w:eastAsia="Calibri" w:cstheme="minorHAnsi"/>
          <w:sz w:val="24"/>
          <w:szCs w:val="24"/>
        </w:rPr>
        <w:t>sa</w:t>
      </w:r>
      <w:proofErr w:type="spellEnd"/>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ciljem</w:t>
      </w:r>
      <w:proofErr w:type="spellEnd"/>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utvr</w:t>
      </w:r>
      <w:proofErr w:type="spellEnd"/>
      <w:r w:rsidR="0077669F" w:rsidRPr="00BF69E2">
        <w:rPr>
          <w:rFonts w:eastAsia="Calibri" w:cstheme="minorHAnsi"/>
          <w:sz w:val="24"/>
          <w:szCs w:val="24"/>
          <w:lang w:val="sr-Latn-ME"/>
        </w:rPr>
        <w:t>đ</w:t>
      </w:r>
      <w:proofErr w:type="spellStart"/>
      <w:r w:rsidR="0077669F" w:rsidRPr="00CB06A6">
        <w:rPr>
          <w:rFonts w:eastAsia="Calibri" w:cstheme="minorHAnsi"/>
          <w:sz w:val="24"/>
          <w:szCs w:val="24"/>
        </w:rPr>
        <w:t>ivanja</w:t>
      </w:r>
      <w:proofErr w:type="spellEnd"/>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obima</w:t>
      </w:r>
      <w:proofErr w:type="spellEnd"/>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i</w:t>
      </w:r>
      <w:proofErr w:type="spellEnd"/>
      <w:r w:rsidR="0077669F" w:rsidRPr="00BF69E2">
        <w:rPr>
          <w:rFonts w:eastAsia="Calibri" w:cstheme="minorHAnsi"/>
          <w:sz w:val="24"/>
          <w:szCs w:val="24"/>
          <w:lang w:val="sr-Latn-ME"/>
        </w:rPr>
        <w:t xml:space="preserve"> </w:t>
      </w:r>
      <w:proofErr w:type="spellStart"/>
      <w:r w:rsidR="0077669F" w:rsidRPr="00CB06A6">
        <w:rPr>
          <w:rFonts w:eastAsia="Calibri" w:cstheme="minorHAnsi"/>
          <w:sz w:val="24"/>
          <w:szCs w:val="24"/>
        </w:rPr>
        <w:t>strukture</w:t>
      </w:r>
      <w:proofErr w:type="spellEnd"/>
      <w:r w:rsidR="0077669F" w:rsidRPr="00BF69E2">
        <w:rPr>
          <w:rFonts w:eastAsia="Calibri" w:cstheme="minorHAnsi"/>
          <w:sz w:val="24"/>
          <w:szCs w:val="24"/>
          <w:lang w:val="sr-Latn-ME"/>
        </w:rPr>
        <w:t xml:space="preserve"> </w:t>
      </w:r>
      <w:proofErr w:type="spellStart"/>
      <w:r w:rsidR="0077669F" w:rsidRPr="00CB06A6">
        <w:rPr>
          <w:rFonts w:eastAsia="Calibri" w:cstheme="minorHAnsi"/>
          <w:sz w:val="24"/>
          <w:szCs w:val="24"/>
        </w:rPr>
        <w:t>sive</w:t>
      </w:r>
      <w:proofErr w:type="spellEnd"/>
      <w:r w:rsidR="0077669F" w:rsidRPr="00BF69E2">
        <w:rPr>
          <w:rFonts w:eastAsia="Calibri" w:cstheme="minorHAnsi"/>
          <w:sz w:val="24"/>
          <w:szCs w:val="24"/>
          <w:lang w:val="sr-Latn-ME"/>
        </w:rPr>
        <w:t xml:space="preserve"> </w:t>
      </w:r>
      <w:proofErr w:type="spellStart"/>
      <w:r w:rsidR="0077669F" w:rsidRPr="00CB06A6">
        <w:rPr>
          <w:rFonts w:eastAsia="Calibri" w:cstheme="minorHAnsi"/>
          <w:sz w:val="24"/>
          <w:szCs w:val="24"/>
        </w:rPr>
        <w:t>ekonomije</w:t>
      </w:r>
      <w:proofErr w:type="spellEnd"/>
      <w:r w:rsidR="0077669F" w:rsidRPr="006C691C">
        <w:rPr>
          <w:rFonts w:eastAsia="Calibri" w:cstheme="minorHAnsi"/>
          <w:sz w:val="24"/>
          <w:szCs w:val="24"/>
          <w:lang w:val="sr-Latn-ME"/>
        </w:rPr>
        <w:t xml:space="preserve"> </w:t>
      </w:r>
      <w:r w:rsidR="0077669F" w:rsidRPr="00CB06A6">
        <w:rPr>
          <w:rFonts w:eastAsia="Calibri" w:cstheme="minorHAnsi"/>
          <w:sz w:val="24"/>
          <w:szCs w:val="24"/>
        </w:rPr>
        <w:t>u</w:t>
      </w:r>
      <w:r w:rsidR="0077669F" w:rsidRPr="006C691C">
        <w:rPr>
          <w:rFonts w:eastAsia="Calibri" w:cstheme="minorHAnsi"/>
          <w:sz w:val="24"/>
          <w:szCs w:val="24"/>
          <w:lang w:val="sr-Latn-ME"/>
        </w:rPr>
        <w:t xml:space="preserve"> </w:t>
      </w:r>
      <w:proofErr w:type="spellStart"/>
      <w:r w:rsidR="0077669F" w:rsidRPr="00CB06A6">
        <w:rPr>
          <w:rFonts w:eastAsia="Calibri" w:cstheme="minorHAnsi"/>
          <w:sz w:val="24"/>
          <w:szCs w:val="24"/>
        </w:rPr>
        <w:t>Crnoj</w:t>
      </w:r>
      <w:proofErr w:type="spellEnd"/>
      <w:r w:rsidR="0077669F" w:rsidRPr="006C691C">
        <w:rPr>
          <w:rFonts w:eastAsia="Calibri" w:cstheme="minorHAnsi"/>
          <w:sz w:val="24"/>
          <w:szCs w:val="24"/>
          <w:lang w:val="sr-Latn-ME"/>
        </w:rPr>
        <w:t xml:space="preserve"> </w:t>
      </w:r>
      <w:r w:rsidR="0077669F" w:rsidRPr="00CB06A6">
        <w:rPr>
          <w:rFonts w:eastAsia="Calibri" w:cstheme="minorHAnsi"/>
          <w:sz w:val="24"/>
          <w:szCs w:val="24"/>
        </w:rPr>
        <w:t>Gori</w:t>
      </w:r>
      <w:r w:rsidRPr="006C691C">
        <w:rPr>
          <w:rFonts w:eastAsia="Calibri" w:cstheme="minorHAnsi"/>
          <w:sz w:val="24"/>
          <w:szCs w:val="24"/>
          <w:lang w:val="sr-Latn-ME"/>
        </w:rPr>
        <w:t>”</w:t>
      </w:r>
      <w:r>
        <w:rPr>
          <w:rFonts w:eastAsia="Calibri" w:cstheme="minorHAnsi"/>
          <w:sz w:val="24"/>
          <w:szCs w:val="24"/>
          <w:lang w:val="sr-Latn-ME"/>
        </w:rPr>
        <w:t>,</w:t>
      </w:r>
    </w:p>
    <w:p w14:paraId="7F3E4B65" w14:textId="1497D57B" w:rsidR="0077669F" w:rsidRPr="00CB06A6" w:rsidRDefault="003C5FB1" w:rsidP="0077669F">
      <w:pPr>
        <w:numPr>
          <w:ilvl w:val="0"/>
          <w:numId w:val="24"/>
        </w:numPr>
        <w:spacing w:line="276" w:lineRule="auto"/>
        <w:contextualSpacing/>
        <w:rPr>
          <w:rFonts w:eastAsia="Calibri" w:cstheme="minorHAnsi"/>
          <w:sz w:val="24"/>
          <w:szCs w:val="24"/>
          <w:lang w:val="sr-Latn-ME"/>
        </w:rPr>
      </w:pPr>
      <w:r>
        <w:rPr>
          <w:rFonts w:eastAsia="Calibri" w:cstheme="minorHAnsi"/>
          <w:sz w:val="24"/>
          <w:szCs w:val="24"/>
          <w:lang w:val="sr-Latn-ME"/>
        </w:rPr>
        <w:t>p</w:t>
      </w:r>
      <w:r w:rsidR="00AB0650" w:rsidRPr="00CB06A6">
        <w:rPr>
          <w:rFonts w:eastAsia="Calibri" w:cstheme="minorHAnsi"/>
          <w:sz w:val="24"/>
          <w:szCs w:val="24"/>
          <w:lang w:val="sr-Latn-ME"/>
        </w:rPr>
        <w:t>odatak</w:t>
      </w:r>
      <w:r w:rsidR="00805F2E" w:rsidRPr="00CB06A6">
        <w:rPr>
          <w:rFonts w:eastAsia="Calibri" w:cstheme="minorHAnsi"/>
          <w:sz w:val="24"/>
          <w:szCs w:val="24"/>
          <w:lang w:val="sr-Latn-ME"/>
        </w:rPr>
        <w:t>a</w:t>
      </w:r>
      <w:r w:rsidR="00AB0650" w:rsidRPr="00CB06A6">
        <w:rPr>
          <w:rFonts w:eastAsia="Calibri" w:cstheme="minorHAnsi"/>
          <w:sz w:val="24"/>
          <w:szCs w:val="24"/>
          <w:lang w:val="sr-Latn-ME"/>
        </w:rPr>
        <w:t xml:space="preserve"> Monstata iz </w:t>
      </w:r>
      <w:r w:rsidR="0077669F" w:rsidRPr="00CB06A6">
        <w:rPr>
          <w:rFonts w:eastAsia="Calibri" w:cstheme="minorHAnsi"/>
          <w:sz w:val="24"/>
          <w:szCs w:val="24"/>
          <w:lang w:val="sr-Latn-ME"/>
        </w:rPr>
        <w:t>registra privrednih subjekata</w:t>
      </w:r>
      <w:r>
        <w:rPr>
          <w:rFonts w:eastAsia="Calibri" w:cstheme="minorHAnsi"/>
          <w:sz w:val="24"/>
          <w:szCs w:val="24"/>
          <w:lang w:val="sr-Latn-ME"/>
        </w:rPr>
        <w:t>,</w:t>
      </w:r>
    </w:p>
    <w:p w14:paraId="13DF4FD7" w14:textId="5A1AE7C8" w:rsidR="0077669F" w:rsidRPr="00CB06A6" w:rsidRDefault="003C5FB1" w:rsidP="0077669F">
      <w:pPr>
        <w:numPr>
          <w:ilvl w:val="0"/>
          <w:numId w:val="24"/>
        </w:numPr>
        <w:spacing w:line="276" w:lineRule="auto"/>
        <w:contextualSpacing/>
        <w:rPr>
          <w:rFonts w:eastAsia="Calibri" w:cstheme="minorHAnsi"/>
          <w:sz w:val="24"/>
          <w:szCs w:val="24"/>
          <w:lang w:val="sr-Latn-ME"/>
        </w:rPr>
      </w:pPr>
      <w:r>
        <w:rPr>
          <w:rFonts w:eastAsia="Calibri" w:cstheme="minorHAnsi"/>
          <w:sz w:val="24"/>
          <w:szCs w:val="24"/>
          <w:lang w:val="sr-Latn-ME"/>
        </w:rPr>
        <w:t>p</w:t>
      </w:r>
      <w:r w:rsidR="0077669F" w:rsidRPr="00CB06A6">
        <w:rPr>
          <w:rFonts w:eastAsia="Calibri" w:cstheme="minorHAnsi"/>
          <w:sz w:val="24"/>
          <w:szCs w:val="24"/>
          <w:lang w:val="sr-Latn-ME"/>
        </w:rPr>
        <w:t>od</w:t>
      </w:r>
      <w:r w:rsidR="00AB0650" w:rsidRPr="00CB06A6">
        <w:rPr>
          <w:rFonts w:eastAsia="Calibri" w:cstheme="minorHAnsi"/>
          <w:sz w:val="24"/>
          <w:szCs w:val="24"/>
          <w:lang w:val="sr-Latn-ME"/>
        </w:rPr>
        <w:t xml:space="preserve">ataka </w:t>
      </w:r>
      <w:r w:rsidR="0077669F" w:rsidRPr="00CB06A6">
        <w:rPr>
          <w:rFonts w:eastAsia="Calibri" w:cstheme="minorHAnsi"/>
          <w:sz w:val="24"/>
          <w:szCs w:val="24"/>
          <w:lang w:val="sr-Latn-ME"/>
        </w:rPr>
        <w:t xml:space="preserve">sa </w:t>
      </w:r>
      <w:r w:rsidR="00805F2E" w:rsidRPr="00CB06A6">
        <w:rPr>
          <w:rFonts w:eastAsia="Calibri" w:cstheme="minorHAnsi"/>
          <w:sz w:val="24"/>
          <w:szCs w:val="24"/>
          <w:lang w:val="sr-Latn-ME"/>
        </w:rPr>
        <w:t xml:space="preserve">web </w:t>
      </w:r>
      <w:r w:rsidR="0077669F" w:rsidRPr="00CB06A6">
        <w:rPr>
          <w:rFonts w:eastAsia="Calibri" w:cstheme="minorHAnsi"/>
          <w:sz w:val="24"/>
          <w:szCs w:val="24"/>
          <w:lang w:val="sr-Latn-ME"/>
        </w:rPr>
        <w:t xml:space="preserve">sajta </w:t>
      </w:r>
      <w:r>
        <w:rPr>
          <w:rFonts w:eastAsia="Calibri" w:cstheme="minorHAnsi"/>
          <w:sz w:val="24"/>
          <w:szCs w:val="24"/>
          <w:lang w:val="sr-Latn-ME"/>
        </w:rPr>
        <w:t>„</w:t>
      </w:r>
      <w:r w:rsidR="0077669F" w:rsidRPr="00CB06A6">
        <w:rPr>
          <w:rFonts w:eastAsia="Calibri" w:cstheme="minorHAnsi"/>
          <w:sz w:val="24"/>
          <w:szCs w:val="24"/>
          <w:lang w:val="sr-Latn-ME"/>
        </w:rPr>
        <w:t>Investitor</w:t>
      </w:r>
      <w:r w:rsidR="006C691C" w:rsidRPr="006C691C">
        <w:rPr>
          <w:color w:val="2F5496" w:themeColor="accent1" w:themeShade="BF"/>
          <w:sz w:val="20"/>
          <w:szCs w:val="20"/>
        </w:rPr>
        <w:t xml:space="preserve"> </w:t>
      </w:r>
      <w:proofErr w:type="spellStart"/>
      <w:r w:rsidR="006C691C" w:rsidRPr="006C691C">
        <w:rPr>
          <w:rFonts w:eastAsia="Calibri" w:cstheme="minorHAnsi"/>
          <w:sz w:val="24"/>
          <w:szCs w:val="24"/>
        </w:rPr>
        <w:t>aktivnosti</w:t>
      </w:r>
      <w:proofErr w:type="spellEnd"/>
      <w:r>
        <w:rPr>
          <w:rFonts w:eastAsia="Calibri" w:cstheme="minorHAnsi"/>
          <w:sz w:val="24"/>
          <w:szCs w:val="24"/>
          <w:lang w:val="sr-Latn-ME"/>
        </w:rPr>
        <w:t>“</w:t>
      </w:r>
      <w:r w:rsidR="0077669F" w:rsidRPr="00CB06A6">
        <w:rPr>
          <w:rFonts w:eastAsia="Calibri" w:cstheme="minorHAnsi"/>
          <w:sz w:val="24"/>
          <w:szCs w:val="24"/>
          <w:lang w:val="sr-Latn-ME"/>
        </w:rPr>
        <w:t xml:space="preserve">: </w:t>
      </w:r>
      <w:r>
        <w:rPr>
          <w:rFonts w:eastAsia="Calibri" w:cstheme="minorHAnsi"/>
          <w:sz w:val="24"/>
          <w:szCs w:val="24"/>
          <w:lang w:val="sr-Latn-ME"/>
        </w:rPr>
        <w:t>„</w:t>
      </w:r>
      <w:r w:rsidR="0077669F" w:rsidRPr="00CB06A6">
        <w:rPr>
          <w:rFonts w:eastAsia="Calibri" w:cstheme="minorHAnsi"/>
          <w:sz w:val="24"/>
          <w:szCs w:val="24"/>
          <w:lang w:val="sr-Latn-ME"/>
        </w:rPr>
        <w:t>50 najvećih kompanija u Crnoj Gori</w:t>
      </w:r>
      <w:r>
        <w:rPr>
          <w:rFonts w:eastAsia="Calibri" w:cstheme="minorHAnsi"/>
          <w:sz w:val="24"/>
          <w:szCs w:val="24"/>
          <w:lang w:val="sr-Latn-ME"/>
        </w:rPr>
        <w:t>“</w:t>
      </w:r>
      <w:r w:rsidR="0077669F" w:rsidRPr="00CB06A6">
        <w:rPr>
          <w:rFonts w:eastAsia="Calibri" w:cstheme="minorHAnsi"/>
          <w:sz w:val="24"/>
          <w:szCs w:val="24"/>
          <w:lang w:val="sr-Latn-ME"/>
        </w:rPr>
        <w:t>.</w:t>
      </w:r>
    </w:p>
    <w:p w14:paraId="79069F2D" w14:textId="77777777" w:rsidR="0077669F" w:rsidRPr="00CB06A6" w:rsidRDefault="0077669F" w:rsidP="00E32FB0">
      <w:pPr>
        <w:spacing w:after="0" w:line="276" w:lineRule="auto"/>
        <w:ind w:left="720"/>
        <w:contextualSpacing/>
        <w:jc w:val="both"/>
        <w:rPr>
          <w:rFonts w:eastAsia="Calibri" w:cstheme="minorHAnsi"/>
          <w:sz w:val="24"/>
          <w:szCs w:val="24"/>
          <w:lang w:val="sr-Latn-ME"/>
        </w:rPr>
      </w:pPr>
    </w:p>
    <w:p w14:paraId="0E158AC5" w14:textId="6086AEB0" w:rsidR="0077669F" w:rsidRPr="00CB06A6" w:rsidRDefault="0077669F" w:rsidP="00E32FB0">
      <w:pPr>
        <w:spacing w:after="0" w:line="276" w:lineRule="auto"/>
        <w:contextualSpacing/>
        <w:jc w:val="both"/>
        <w:rPr>
          <w:rFonts w:eastAsia="Calibri" w:cstheme="minorHAnsi"/>
          <w:sz w:val="24"/>
          <w:szCs w:val="24"/>
          <w:lang w:val="sr-Latn-ME"/>
        </w:rPr>
      </w:pPr>
      <w:r w:rsidRPr="00CB06A6">
        <w:rPr>
          <w:rFonts w:eastAsia="Calibri" w:cstheme="minorHAnsi"/>
          <w:sz w:val="24"/>
          <w:szCs w:val="24"/>
          <w:lang w:val="sr-Latn-ME"/>
        </w:rPr>
        <w:t>Iz Monstatovog registra priv</w:t>
      </w:r>
      <w:r w:rsidR="00AB0650" w:rsidRPr="00CB06A6">
        <w:rPr>
          <w:rFonts w:eastAsia="Calibri" w:cstheme="minorHAnsi"/>
          <w:sz w:val="24"/>
          <w:szCs w:val="24"/>
          <w:lang w:val="sr-Latn-ME"/>
        </w:rPr>
        <w:t>r</w:t>
      </w:r>
      <w:r w:rsidRPr="00CB06A6">
        <w:rPr>
          <w:rFonts w:eastAsia="Calibri" w:cstheme="minorHAnsi"/>
          <w:sz w:val="24"/>
          <w:szCs w:val="24"/>
          <w:lang w:val="sr-Latn-ME"/>
        </w:rPr>
        <w:t xml:space="preserve">ednih subjekata koji sadrži tabele o broju i strukturi privrednih subjekata po veličini od malih do velikih, korišćeni su posljednji podaci za 2022. godinu. Prosječna dobit za srednja i velika preduzeća izračunata je iz tabele: </w:t>
      </w:r>
      <w:r w:rsidRPr="00CB06A6">
        <w:rPr>
          <w:rFonts w:eastAsia="Calibri" w:cstheme="minorHAnsi"/>
          <w:i/>
          <w:iCs/>
          <w:sz w:val="24"/>
          <w:szCs w:val="24"/>
          <w:lang w:val="sr-Latn-ME"/>
        </w:rPr>
        <w:t>50 najvećih kompanija u Crnoj Gori, koja sadrži relevantne podatke o prometu, dobiti  i broju zaposlenih</w:t>
      </w:r>
      <w:r w:rsidRPr="00CB06A6">
        <w:rPr>
          <w:rFonts w:eastAsia="Calibri" w:cstheme="minorHAnsi"/>
          <w:sz w:val="24"/>
          <w:szCs w:val="24"/>
          <w:lang w:val="sr-Latn-ME"/>
        </w:rPr>
        <w:t>. Procjena</w:t>
      </w:r>
      <w:r w:rsidR="00705949" w:rsidRPr="00CB06A6">
        <w:rPr>
          <w:rFonts w:eastAsia="Calibri" w:cstheme="minorHAnsi"/>
          <w:sz w:val="24"/>
          <w:szCs w:val="24"/>
          <w:lang w:val="sr-Latn-ME"/>
        </w:rPr>
        <w:t xml:space="preserve"> dobiti koju su platila </w:t>
      </w:r>
      <w:r w:rsidRPr="00CB06A6">
        <w:rPr>
          <w:rFonts w:eastAsia="Calibri" w:cstheme="minorHAnsi"/>
          <w:sz w:val="24"/>
          <w:szCs w:val="24"/>
          <w:lang w:val="sr-Latn-ME"/>
        </w:rPr>
        <w:t xml:space="preserve">mikro i mala preduzeća, izračunata je </w:t>
      </w:r>
      <w:r w:rsidR="00705949" w:rsidRPr="00CB06A6">
        <w:rPr>
          <w:rFonts w:eastAsia="Calibri" w:cstheme="minorHAnsi"/>
          <w:sz w:val="24"/>
          <w:szCs w:val="24"/>
          <w:lang w:val="sr-Latn-ME"/>
        </w:rPr>
        <w:t xml:space="preserve">tako što je </w:t>
      </w:r>
      <w:r w:rsidRPr="00CB06A6">
        <w:rPr>
          <w:rFonts w:eastAsia="Calibri" w:cstheme="minorHAnsi"/>
          <w:sz w:val="24"/>
          <w:szCs w:val="24"/>
          <w:lang w:val="sr-Latn-ME"/>
        </w:rPr>
        <w:t xml:space="preserve">ukupna dobit ovih preduzeća rezidual između ukupno naplaćene dobiti i procijenjene dobiti za segmet srednjih i velikih preduzeća. </w:t>
      </w:r>
    </w:p>
    <w:p w14:paraId="027A5DF5" w14:textId="7D48AA54" w:rsidR="0001557A" w:rsidRPr="0001557A" w:rsidRDefault="0001557A" w:rsidP="007D3DDF">
      <w:pPr>
        <w:spacing w:line="276" w:lineRule="auto"/>
        <w:contextualSpacing/>
        <w:rPr>
          <w:rFonts w:eastAsia="Calibri" w:cstheme="minorHAnsi"/>
          <w:kern w:val="0"/>
          <w:sz w:val="24"/>
          <w:szCs w:val="24"/>
          <w:lang w:val="sr-Latn-ME" w:bidi="hi-IN"/>
          <w14:ligatures w14:val="none"/>
        </w:rPr>
      </w:pPr>
    </w:p>
    <w:p w14:paraId="60CE4F62" w14:textId="3B31B545" w:rsidR="00013F7F" w:rsidRPr="00B67D63" w:rsidRDefault="00013F7F" w:rsidP="00AB0650">
      <w:pPr>
        <w:pStyle w:val="ListParagraph"/>
        <w:keepNext/>
        <w:keepLines/>
        <w:numPr>
          <w:ilvl w:val="2"/>
          <w:numId w:val="25"/>
        </w:numPr>
        <w:spacing w:before="40" w:after="0"/>
        <w:jc w:val="both"/>
        <w:outlineLvl w:val="1"/>
        <w:rPr>
          <w:rFonts w:eastAsia="Times New Roman" w:cstheme="minorHAnsi"/>
          <w:color w:val="002060"/>
          <w:sz w:val="24"/>
          <w:szCs w:val="24"/>
          <w:lang w:val="sr-Latn-ME" w:bidi="hi-IN"/>
          <w14:ligatures w14:val="none"/>
        </w:rPr>
      </w:pPr>
      <w:bookmarkStart w:id="10" w:name="_Toc143192784"/>
      <w:bookmarkStart w:id="11" w:name="_Toc143192846"/>
      <w:bookmarkStart w:id="12" w:name="_Toc143192919"/>
      <w:bookmarkStart w:id="13" w:name="_Toc143216405"/>
      <w:bookmarkStart w:id="14" w:name="_Toc143222212"/>
      <w:bookmarkStart w:id="15" w:name="_Toc147990147"/>
      <w:r w:rsidRPr="00B67D63">
        <w:rPr>
          <w:rFonts w:eastAsia="Times New Roman" w:cstheme="minorHAnsi"/>
          <w:color w:val="002060"/>
          <w:sz w:val="24"/>
          <w:szCs w:val="24"/>
          <w:lang w:val="sr-Latn-ME" w:bidi="hi-IN"/>
          <w14:ligatures w14:val="none"/>
        </w:rPr>
        <w:t xml:space="preserve">Analiza i procjena naplaćenog poreza na dobit </w:t>
      </w:r>
      <w:bookmarkEnd w:id="10"/>
      <w:bookmarkEnd w:id="11"/>
      <w:bookmarkEnd w:id="12"/>
      <w:bookmarkEnd w:id="13"/>
      <w:bookmarkEnd w:id="14"/>
      <w:r w:rsidR="00A80485" w:rsidRPr="00B67D63">
        <w:rPr>
          <w:rFonts w:eastAsia="Times New Roman" w:cstheme="minorHAnsi"/>
          <w:color w:val="002060"/>
          <w:sz w:val="24"/>
          <w:szCs w:val="24"/>
          <w:lang w:val="sr-Latn-ME" w:bidi="hi-IN"/>
          <w14:ligatures w14:val="none"/>
        </w:rPr>
        <w:t>sa procjenama smanjenja sive ekonomije u dijelu prijavljivanja dobiti</w:t>
      </w:r>
      <w:bookmarkEnd w:id="15"/>
    </w:p>
    <w:p w14:paraId="68D88BA0" w14:textId="77777777" w:rsidR="007D3DDF" w:rsidRPr="007D3DDF" w:rsidRDefault="007D3DDF" w:rsidP="007D3DDF">
      <w:pPr>
        <w:pStyle w:val="ListParagraph"/>
        <w:keepNext/>
        <w:keepLines/>
        <w:spacing w:before="40" w:after="0"/>
        <w:ind w:left="1080"/>
        <w:jc w:val="both"/>
        <w:outlineLvl w:val="1"/>
        <w:rPr>
          <w:rFonts w:eastAsia="Times New Roman" w:cstheme="minorHAnsi"/>
          <w:b/>
          <w:bCs/>
          <w:color w:val="002060"/>
          <w:sz w:val="24"/>
          <w:szCs w:val="24"/>
          <w:lang w:val="sr-Latn-ME" w:bidi="hi-IN"/>
          <w14:ligatures w14:val="none"/>
        </w:rPr>
      </w:pPr>
    </w:p>
    <w:p w14:paraId="65C83E29" w14:textId="2B8E74DA" w:rsidR="00013F7F" w:rsidRPr="00281886" w:rsidRDefault="00923D1D" w:rsidP="00013F7F">
      <w:pPr>
        <w:jc w:val="both"/>
        <w:rPr>
          <w:rFonts w:eastAsia="Calibri" w:cstheme="minorHAnsi"/>
          <w:kern w:val="0"/>
          <w:sz w:val="24"/>
          <w:szCs w:val="24"/>
          <w:lang w:val="sr-Latn-ME" w:bidi="hi-IN"/>
          <w14:ligatures w14:val="none"/>
        </w:rPr>
      </w:pPr>
      <w:r>
        <w:rPr>
          <w:rFonts w:eastAsia="Calibri" w:cstheme="minorHAnsi"/>
          <w:kern w:val="0"/>
          <w:sz w:val="24"/>
          <w:szCs w:val="24"/>
          <w:lang w:val="sr-Latn-ME" w:bidi="hi-IN"/>
          <w14:ligatures w14:val="none"/>
        </w:rPr>
        <w:t>Oporezivanje dobiti u Crnoj Gori od obnove nezavisnosti, pa do kraja 2021.</w:t>
      </w:r>
      <w:r w:rsidR="00CA2D60">
        <w:rPr>
          <w:rFonts w:eastAsia="Calibri" w:cstheme="minorHAnsi"/>
          <w:kern w:val="0"/>
          <w:sz w:val="24"/>
          <w:szCs w:val="24"/>
          <w:lang w:val="sr-Latn-ME" w:bidi="hi-IN"/>
          <w14:ligatures w14:val="none"/>
        </w:rPr>
        <w:t xml:space="preserve"> godine</w:t>
      </w:r>
      <w:r>
        <w:rPr>
          <w:rFonts w:eastAsia="Calibri" w:cstheme="minorHAnsi"/>
          <w:kern w:val="0"/>
          <w:sz w:val="24"/>
          <w:szCs w:val="24"/>
          <w:lang w:val="sr-Latn-ME" w:bidi="hi-IN"/>
          <w14:ligatures w14:val="none"/>
        </w:rPr>
        <w:t xml:space="preserve"> je karakterisalo postojanje proporcionalne poreske stope od 9%.</w:t>
      </w:r>
    </w:p>
    <w:p w14:paraId="4A4DF215" w14:textId="10B9AF6A" w:rsidR="00013F7F" w:rsidRPr="00281886" w:rsidRDefault="00923D1D" w:rsidP="00013F7F">
      <w:pPr>
        <w:jc w:val="both"/>
        <w:rPr>
          <w:rFonts w:eastAsia="Calibri" w:cstheme="minorHAnsi"/>
          <w:kern w:val="0"/>
          <w:sz w:val="24"/>
          <w:szCs w:val="24"/>
          <w:lang w:val="sr-Latn-ME" w:bidi="hi-IN"/>
          <w14:ligatures w14:val="none"/>
        </w:rPr>
      </w:pPr>
      <w:r>
        <w:rPr>
          <w:rFonts w:eastAsia="Calibri" w:cstheme="minorHAnsi"/>
          <w:kern w:val="0"/>
          <w:sz w:val="24"/>
          <w:szCs w:val="24"/>
          <w:lang w:val="sr-Latn-ME" w:bidi="hi-IN"/>
          <w14:ligatures w14:val="none"/>
        </w:rPr>
        <w:t>I</w:t>
      </w:r>
      <w:r w:rsidR="00013F7F" w:rsidRPr="00281886">
        <w:rPr>
          <w:rFonts w:eastAsia="Calibri" w:cstheme="minorHAnsi"/>
          <w:kern w:val="0"/>
          <w:sz w:val="24"/>
          <w:szCs w:val="24"/>
          <w:lang w:val="sr-Latn-ME" w:bidi="hi-IN"/>
          <w14:ligatures w14:val="none"/>
        </w:rPr>
        <w:t>zmjen</w:t>
      </w:r>
      <w:r>
        <w:rPr>
          <w:rFonts w:eastAsia="Calibri" w:cstheme="minorHAnsi"/>
          <w:kern w:val="0"/>
          <w:sz w:val="24"/>
          <w:szCs w:val="24"/>
          <w:lang w:val="sr-Latn-ME" w:bidi="hi-IN"/>
          <w14:ligatures w14:val="none"/>
        </w:rPr>
        <w:t>ama</w:t>
      </w:r>
      <w:r w:rsidR="00013F7F" w:rsidRPr="00281886">
        <w:rPr>
          <w:rFonts w:eastAsia="Calibri" w:cstheme="minorHAnsi"/>
          <w:kern w:val="0"/>
          <w:sz w:val="24"/>
          <w:szCs w:val="24"/>
          <w:lang w:val="sr-Latn-ME" w:bidi="hi-IN"/>
          <w14:ligatures w14:val="none"/>
        </w:rPr>
        <w:t xml:space="preserve"> </w:t>
      </w:r>
      <w:r>
        <w:rPr>
          <w:rFonts w:eastAsia="Calibri" w:cstheme="minorHAnsi"/>
          <w:kern w:val="0"/>
          <w:sz w:val="24"/>
          <w:szCs w:val="24"/>
          <w:lang w:val="sr-Latn-ME" w:bidi="hi-IN"/>
          <w14:ligatures w14:val="none"/>
        </w:rPr>
        <w:t xml:space="preserve">Zakona o porezu </w:t>
      </w:r>
      <w:r w:rsidR="00013F7F" w:rsidRPr="00281886">
        <w:rPr>
          <w:rFonts w:eastAsia="Calibri" w:cstheme="minorHAnsi"/>
          <w:kern w:val="0"/>
          <w:sz w:val="24"/>
          <w:szCs w:val="24"/>
          <w:lang w:val="sr-Latn-ME" w:bidi="hi-IN"/>
          <w14:ligatures w14:val="none"/>
        </w:rPr>
        <w:t>na dobit</w:t>
      </w:r>
      <w:r>
        <w:rPr>
          <w:rFonts w:eastAsia="Calibri" w:cstheme="minorHAnsi"/>
          <w:kern w:val="0"/>
          <w:sz w:val="24"/>
          <w:szCs w:val="24"/>
          <w:lang w:val="sr-Latn-ME" w:bidi="hi-IN"/>
          <w14:ligatures w14:val="none"/>
        </w:rPr>
        <w:t xml:space="preserve">, kroz </w:t>
      </w:r>
      <w:r w:rsidR="006C691C">
        <w:rPr>
          <w:rFonts w:eastAsia="Calibri" w:cstheme="minorHAnsi"/>
          <w:kern w:val="0"/>
          <w:sz w:val="24"/>
          <w:szCs w:val="24"/>
          <w:lang w:val="sr-Latn-ME" w:bidi="hi-IN"/>
          <w14:ligatures w14:val="none"/>
        </w:rPr>
        <w:t xml:space="preserve">poresku reformu u okviru </w:t>
      </w:r>
      <w:r>
        <w:rPr>
          <w:rFonts w:eastAsia="Calibri" w:cstheme="minorHAnsi"/>
          <w:kern w:val="0"/>
          <w:sz w:val="24"/>
          <w:szCs w:val="24"/>
          <w:lang w:val="sr-Latn-ME" w:bidi="hi-IN"/>
          <w14:ligatures w14:val="none"/>
        </w:rPr>
        <w:t xml:space="preserve"> </w:t>
      </w:r>
      <w:r w:rsidR="006C691C">
        <w:rPr>
          <w:rFonts w:eastAsia="Calibri" w:cstheme="minorHAnsi"/>
          <w:kern w:val="0"/>
          <w:sz w:val="24"/>
          <w:szCs w:val="24"/>
          <w:lang w:val="sr-Latn-ME" w:bidi="hi-IN"/>
          <w14:ligatures w14:val="none"/>
        </w:rPr>
        <w:t>P</w:t>
      </w:r>
      <w:r>
        <w:rPr>
          <w:rFonts w:eastAsia="Calibri" w:cstheme="minorHAnsi"/>
          <w:kern w:val="0"/>
          <w:sz w:val="24"/>
          <w:szCs w:val="24"/>
          <w:lang w:val="sr-Latn-ME" w:bidi="hi-IN"/>
          <w14:ligatures w14:val="none"/>
        </w:rPr>
        <w:t>rogram</w:t>
      </w:r>
      <w:r w:rsidR="006C691C">
        <w:rPr>
          <w:rFonts w:eastAsia="Calibri" w:cstheme="minorHAnsi"/>
          <w:kern w:val="0"/>
          <w:sz w:val="24"/>
          <w:szCs w:val="24"/>
          <w:lang w:val="sr-Latn-ME" w:bidi="hi-IN"/>
          <w14:ligatures w14:val="none"/>
        </w:rPr>
        <w:t xml:space="preserve">a </w:t>
      </w:r>
      <w:r>
        <w:rPr>
          <w:rFonts w:eastAsia="Calibri" w:cstheme="minorHAnsi"/>
          <w:kern w:val="0"/>
          <w:sz w:val="24"/>
          <w:szCs w:val="24"/>
          <w:lang w:val="sr-Latn-ME" w:bidi="hi-IN"/>
          <w14:ligatures w14:val="none"/>
        </w:rPr>
        <w:t xml:space="preserve"> „Evropa sad</w:t>
      </w:r>
      <w:r w:rsidR="00CA2D60">
        <w:rPr>
          <w:rFonts w:eastAsia="Calibri" w:cstheme="minorHAnsi"/>
          <w:kern w:val="0"/>
          <w:sz w:val="24"/>
          <w:szCs w:val="24"/>
          <w:lang w:val="sr-Latn-ME" w:bidi="hi-IN"/>
          <w14:ligatures w14:val="none"/>
        </w:rPr>
        <w:t>“</w:t>
      </w:r>
      <w:r w:rsidR="00013F7F" w:rsidRPr="00281886">
        <w:rPr>
          <w:rFonts w:eastAsia="Calibri" w:cstheme="minorHAnsi"/>
          <w:kern w:val="0"/>
          <w:sz w:val="24"/>
          <w:szCs w:val="24"/>
          <w:lang w:val="sr-Latn-ME" w:bidi="hi-IN"/>
          <w14:ligatures w14:val="none"/>
        </w:rPr>
        <w:t xml:space="preserve"> od 1. januara 2022.</w:t>
      </w:r>
      <w:r>
        <w:rPr>
          <w:rFonts w:eastAsia="Calibri" w:cstheme="minorHAnsi"/>
          <w:kern w:val="0"/>
          <w:sz w:val="24"/>
          <w:szCs w:val="24"/>
          <w:lang w:val="sr-Latn-ME" w:bidi="hi-IN"/>
          <w14:ligatures w14:val="none"/>
        </w:rPr>
        <w:t xml:space="preserve"> godine, s</w:t>
      </w:r>
      <w:r w:rsidR="00013F7F" w:rsidRPr="00281886">
        <w:rPr>
          <w:rFonts w:eastAsia="Calibri" w:cstheme="minorHAnsi"/>
          <w:kern w:val="0"/>
          <w:sz w:val="24"/>
          <w:szCs w:val="24"/>
          <w:lang w:val="sr-Latn-ME" w:bidi="hi-IN"/>
          <w14:ligatures w14:val="none"/>
        </w:rPr>
        <w:t>tope poreza na dobit pravnih lica su progresivne.​​ </w:t>
      </w:r>
    </w:p>
    <w:p w14:paraId="2B4CE679" w14:textId="41D08E32" w:rsidR="00013F7F" w:rsidRPr="00281886" w:rsidRDefault="00923D1D" w:rsidP="00013F7F">
      <w:pPr>
        <w:jc w:val="both"/>
        <w:rPr>
          <w:rFonts w:eastAsia="Calibri" w:cstheme="minorHAnsi"/>
          <w:kern w:val="0"/>
          <w:sz w:val="24"/>
          <w:szCs w:val="24"/>
          <w:lang w:val="sr-Latn-ME" w:bidi="hi-IN"/>
          <w14:ligatures w14:val="none"/>
        </w:rPr>
      </w:pPr>
      <w:r>
        <w:rPr>
          <w:rFonts w:eastAsia="Calibri" w:cstheme="minorHAnsi"/>
          <w:kern w:val="0"/>
          <w:sz w:val="24"/>
          <w:szCs w:val="24"/>
          <w:lang w:val="sr-Latn-ME" w:bidi="hi-IN"/>
          <w14:ligatures w14:val="none"/>
        </w:rPr>
        <w:t>Shodno navedenom zakonu, s</w:t>
      </w:r>
      <w:r w:rsidR="00013F7F" w:rsidRPr="00281886">
        <w:rPr>
          <w:rFonts w:eastAsia="Calibri" w:cstheme="minorHAnsi"/>
          <w:kern w:val="0"/>
          <w:sz w:val="24"/>
          <w:szCs w:val="24"/>
          <w:lang w:val="sr-Latn-ME" w:bidi="hi-IN"/>
          <w14:ligatures w14:val="none"/>
        </w:rPr>
        <w:t>tope poreza na iznos oporezive dobiti iznose:</w:t>
      </w:r>
    </w:p>
    <w:p w14:paraId="40327770" w14:textId="77777777" w:rsidR="00013F7F" w:rsidRPr="00281886" w:rsidRDefault="00013F7F" w:rsidP="00013F7F">
      <w:pPr>
        <w:jc w:val="both"/>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1) do 100.000,00 eura 9%;</w:t>
      </w:r>
    </w:p>
    <w:p w14:paraId="6B1CE877" w14:textId="77777777" w:rsidR="00013F7F" w:rsidRPr="00281886" w:rsidRDefault="00013F7F" w:rsidP="00013F7F">
      <w:pPr>
        <w:jc w:val="both"/>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2)  od  100.000,01  eura  do  1.500.000,00  eura:  9.000,00  eura  +12%  na  iznos  preko 100.000,01 eura;</w:t>
      </w:r>
    </w:p>
    <w:p w14:paraId="4F0F02D5" w14:textId="77777777" w:rsidR="00013F7F" w:rsidRPr="00281886" w:rsidRDefault="00013F7F" w:rsidP="00013F7F">
      <w:pPr>
        <w:jc w:val="both"/>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3) preko 1.500.000,01 eura: 177.000,00 eura +15% na iznos preko 1.500.000,01 eura.</w:t>
      </w:r>
    </w:p>
    <w:p w14:paraId="0DEC8AE9" w14:textId="1514E45B" w:rsidR="00013F7F" w:rsidRPr="00281886" w:rsidRDefault="00013F7F" w:rsidP="009364EF">
      <w:pPr>
        <w:spacing w:line="276" w:lineRule="auto"/>
        <w:jc w:val="both"/>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 xml:space="preserve">Ukupna vrijednost sive ekonomije u Crnoj Gori u 2022. godini </w:t>
      </w:r>
      <w:r w:rsidR="00D74EB5">
        <w:rPr>
          <w:rFonts w:eastAsia="Calibri" w:cstheme="minorHAnsi"/>
          <w:kern w:val="0"/>
          <w:sz w:val="24"/>
          <w:szCs w:val="24"/>
          <w:lang w:val="sr-Latn-ME" w:bidi="hi-IN"/>
          <w14:ligatures w14:val="none"/>
        </w:rPr>
        <w:t xml:space="preserve">prema </w:t>
      </w:r>
      <w:r w:rsidR="00380167">
        <w:rPr>
          <w:rFonts w:eastAsia="Calibri" w:cstheme="minorHAnsi"/>
          <w:kern w:val="0"/>
          <w:sz w:val="24"/>
          <w:szCs w:val="24"/>
          <w:lang w:val="sr-Latn-ME" w:bidi="hi-IN"/>
          <w14:ligatures w14:val="none"/>
        </w:rPr>
        <w:t xml:space="preserve">istraživanju </w:t>
      </w:r>
      <w:r w:rsidR="00D74EB5">
        <w:rPr>
          <w:rFonts w:eastAsia="Calibri" w:cstheme="minorHAnsi"/>
          <w:kern w:val="0"/>
          <w:sz w:val="24"/>
          <w:szCs w:val="24"/>
          <w:lang w:val="sr-Latn-ME" w:bidi="hi-IN"/>
          <w14:ligatures w14:val="none"/>
        </w:rPr>
        <w:t>IPSOS</w:t>
      </w:r>
      <w:r w:rsidR="006C691C">
        <w:rPr>
          <w:rFonts w:eastAsia="Calibri" w:cstheme="minorHAnsi"/>
          <w:kern w:val="0"/>
          <w:sz w:val="24"/>
          <w:szCs w:val="24"/>
          <w:lang w:val="sr-Latn-ME" w:bidi="hi-IN"/>
          <w14:ligatures w14:val="none"/>
        </w:rPr>
        <w:t>, Radulović, Krstić</w:t>
      </w:r>
      <w:r w:rsidR="00E3425B">
        <w:rPr>
          <w:rFonts w:eastAsia="Calibri" w:cstheme="minorHAnsi"/>
          <w:kern w:val="0"/>
          <w:sz w:val="24"/>
          <w:szCs w:val="24"/>
          <w:lang w:val="sr-Latn-ME" w:bidi="hi-IN"/>
          <w14:ligatures w14:val="none"/>
        </w:rPr>
        <w:t>, (2022)</w:t>
      </w:r>
      <w:r w:rsidR="00D74EB5">
        <w:rPr>
          <w:rFonts w:eastAsia="Calibri" w:cstheme="minorHAnsi"/>
          <w:kern w:val="0"/>
          <w:sz w:val="24"/>
          <w:szCs w:val="24"/>
          <w:lang w:val="sr-Latn-ME" w:bidi="hi-IN"/>
          <w14:ligatures w14:val="none"/>
        </w:rPr>
        <w:t xml:space="preserve">, </w:t>
      </w:r>
      <w:r w:rsidRPr="00281886">
        <w:rPr>
          <w:rFonts w:eastAsia="Calibri" w:cstheme="minorHAnsi"/>
          <w:kern w:val="0"/>
          <w:sz w:val="24"/>
          <w:szCs w:val="24"/>
          <w:lang w:val="sr-Latn-ME" w:bidi="hi-IN"/>
          <w14:ligatures w14:val="none"/>
        </w:rPr>
        <w:t>procijenjena je na  20,6 % BDP-a,</w:t>
      </w:r>
      <w:r w:rsidR="00380167">
        <w:rPr>
          <w:rFonts w:eastAsia="Calibri" w:cstheme="minorHAnsi"/>
          <w:kern w:val="0"/>
          <w:sz w:val="24"/>
          <w:szCs w:val="24"/>
          <w:lang w:val="sr-Latn-ME" w:bidi="hi-IN"/>
          <w14:ligatures w14:val="none"/>
        </w:rPr>
        <w:t xml:space="preserve"> </w:t>
      </w:r>
      <w:r w:rsidRPr="00281886">
        <w:rPr>
          <w:rFonts w:eastAsia="Calibri" w:cstheme="minorHAnsi"/>
          <w:kern w:val="0"/>
          <w:sz w:val="24"/>
          <w:szCs w:val="24"/>
          <w:lang w:val="sr-Latn-ME" w:bidi="hi-IN"/>
          <w14:ligatures w14:val="none"/>
        </w:rPr>
        <w:t xml:space="preserve"> ili 1,19 mlrd</w:t>
      </w:r>
      <w:r w:rsidR="00BF69E2" w:rsidRPr="00281886">
        <w:rPr>
          <w:rFonts w:eastAsia="Calibri" w:cstheme="minorHAnsi"/>
          <w:kern w:val="0"/>
          <w:sz w:val="24"/>
          <w:szCs w:val="24"/>
          <w:lang w:val="sr-Latn-ME" w:bidi="hi-IN"/>
          <w14:ligatures w14:val="none"/>
        </w:rPr>
        <w:t>.</w:t>
      </w:r>
      <w:r w:rsidR="00BF69E2">
        <w:rPr>
          <w:rFonts w:eastAsia="Calibri" w:cstheme="minorHAnsi"/>
          <w:kern w:val="0"/>
          <w:sz w:val="24"/>
          <w:szCs w:val="24"/>
          <w:lang w:val="sr-Latn-ME" w:bidi="hi-IN"/>
          <w14:ligatures w14:val="none"/>
        </w:rPr>
        <w:t>eura</w:t>
      </w:r>
      <w:r w:rsidRPr="00281886">
        <w:rPr>
          <w:rFonts w:eastAsia="Calibri" w:cstheme="minorHAnsi"/>
          <w:kern w:val="0"/>
          <w:sz w:val="24"/>
          <w:szCs w:val="24"/>
          <w:lang w:val="sr-Latn-ME" w:bidi="hi-IN"/>
          <w14:ligatures w14:val="none"/>
        </w:rPr>
        <w:t xml:space="preserve">,od čega se na neprijavljenu dobit odnosi 521,8 miliona </w:t>
      </w:r>
      <w:r w:rsidR="006C691C">
        <w:rPr>
          <w:rFonts w:eastAsia="Calibri" w:cstheme="minorHAnsi"/>
          <w:kern w:val="0"/>
          <w:sz w:val="24"/>
          <w:szCs w:val="24"/>
          <w:lang w:val="sr-Latn-ME" w:bidi="hi-IN"/>
          <w14:ligatures w14:val="none"/>
        </w:rPr>
        <w:t>eura</w:t>
      </w:r>
      <w:r w:rsidRPr="00281886">
        <w:rPr>
          <w:rFonts w:eastAsia="Calibri" w:cstheme="minorHAnsi"/>
          <w:kern w:val="0"/>
          <w:sz w:val="24"/>
          <w:szCs w:val="24"/>
          <w:lang w:val="sr-Latn-ME" w:bidi="hi-IN"/>
          <w14:ligatures w14:val="none"/>
        </w:rPr>
        <w:t xml:space="preserve"> ili 43,7 </w:t>
      </w:r>
      <w:r w:rsidR="00E3425B">
        <w:rPr>
          <w:rFonts w:eastAsia="Calibri" w:cstheme="minorHAnsi"/>
          <w:kern w:val="0"/>
          <w:sz w:val="24"/>
          <w:szCs w:val="24"/>
          <w:lang w:val="sr-Latn-ME" w:bidi="hi-IN"/>
          <w14:ligatures w14:val="none"/>
        </w:rPr>
        <w:t>%</w:t>
      </w:r>
      <w:r w:rsidRPr="00281886">
        <w:rPr>
          <w:rFonts w:eastAsia="Calibri" w:cstheme="minorHAnsi"/>
          <w:kern w:val="0"/>
          <w:sz w:val="24"/>
          <w:szCs w:val="24"/>
          <w:lang w:val="sr-Latn-ME" w:bidi="hi-IN"/>
          <w14:ligatures w14:val="none"/>
        </w:rPr>
        <w:t xml:space="preserve">. </w:t>
      </w:r>
      <w:r w:rsidR="00E3425B">
        <w:rPr>
          <w:rFonts w:eastAsia="Calibri" w:cstheme="minorHAnsi"/>
          <w:kern w:val="0"/>
          <w:sz w:val="24"/>
          <w:szCs w:val="24"/>
          <w:lang w:val="sr-Latn-ME" w:bidi="hi-IN"/>
          <w14:ligatures w14:val="none"/>
        </w:rPr>
        <w:t xml:space="preserve">Polazeći od navedenog </w:t>
      </w:r>
      <w:r w:rsidR="00380167">
        <w:rPr>
          <w:rFonts w:eastAsia="Calibri" w:cstheme="minorHAnsi"/>
          <w:kern w:val="0"/>
          <w:sz w:val="24"/>
          <w:szCs w:val="24"/>
          <w:lang w:val="sr-Latn-ME" w:bidi="hi-IN"/>
          <w14:ligatures w14:val="none"/>
        </w:rPr>
        <w:t xml:space="preserve">istraživanja, i </w:t>
      </w:r>
      <w:r w:rsidR="00380167">
        <w:rPr>
          <w:rFonts w:eastAsia="Calibri" w:cstheme="minorHAnsi"/>
          <w:kern w:val="0"/>
          <w:sz w:val="24"/>
          <w:szCs w:val="24"/>
          <w:lang w:val="sr-Latn-ME" w:bidi="hi-IN"/>
          <w14:ligatures w14:val="none"/>
        </w:rPr>
        <w:lastRenderedPageBreak/>
        <w:t xml:space="preserve">zvaničnih podataka o prijavljenoj dobiti za 2022.godinu, </w:t>
      </w:r>
      <w:r w:rsidRPr="00F24892">
        <w:rPr>
          <w:rFonts w:eastAsia="Calibri" w:cstheme="minorHAnsi"/>
          <w:kern w:val="0"/>
          <w:sz w:val="24"/>
          <w:szCs w:val="24"/>
          <w:lang w:val="sr-Latn-ME" w:bidi="hi-IN"/>
          <w14:ligatures w14:val="none"/>
        </w:rPr>
        <w:t xml:space="preserve">ukupna vrijednost dobiti  </w:t>
      </w:r>
      <w:r w:rsidR="00380167" w:rsidRPr="00F24892">
        <w:rPr>
          <w:rFonts w:eastAsia="Calibri" w:cstheme="minorHAnsi"/>
          <w:kern w:val="0"/>
          <w:sz w:val="24"/>
          <w:szCs w:val="24"/>
          <w:lang w:val="sr-Latn-ME" w:bidi="hi-IN"/>
          <w14:ligatures w14:val="none"/>
        </w:rPr>
        <w:t xml:space="preserve">za </w:t>
      </w:r>
      <w:r w:rsidRPr="00F24892">
        <w:rPr>
          <w:rFonts w:eastAsia="Calibri" w:cstheme="minorHAnsi"/>
          <w:kern w:val="0"/>
          <w:sz w:val="24"/>
          <w:szCs w:val="24"/>
          <w:lang w:val="sr-Latn-ME" w:bidi="hi-IN"/>
          <w14:ligatures w14:val="none"/>
        </w:rPr>
        <w:t>2022.</w:t>
      </w:r>
      <w:r w:rsidR="00F24892" w:rsidRPr="00F24892">
        <w:rPr>
          <w:rFonts w:eastAsia="Calibri" w:cstheme="minorHAnsi"/>
          <w:kern w:val="0"/>
          <w:sz w:val="24"/>
          <w:szCs w:val="24"/>
          <w:lang w:val="sr-Latn-ME" w:bidi="hi-IN"/>
          <w14:ligatures w14:val="none"/>
        </w:rPr>
        <w:t xml:space="preserve"> </w:t>
      </w:r>
      <w:r w:rsidR="00380167" w:rsidRPr="00F24892">
        <w:rPr>
          <w:rFonts w:eastAsia="Calibri" w:cstheme="minorHAnsi"/>
          <w:kern w:val="0"/>
          <w:sz w:val="24"/>
          <w:szCs w:val="24"/>
          <w:lang w:val="sr-Latn-ME" w:bidi="hi-IN"/>
          <w14:ligatures w14:val="none"/>
        </w:rPr>
        <w:t>godinu</w:t>
      </w:r>
      <w:r w:rsidR="00F24892">
        <w:rPr>
          <w:rFonts w:eastAsia="Calibri" w:cstheme="minorHAnsi"/>
          <w:kern w:val="0"/>
          <w:sz w:val="24"/>
          <w:szCs w:val="24"/>
          <w:lang w:val="sr-Latn-ME" w:bidi="hi-IN"/>
          <w14:ligatures w14:val="none"/>
        </w:rPr>
        <w:t xml:space="preserve"> procijenjena za potrebe ovog </w:t>
      </w:r>
      <w:r w:rsidR="00A751A1">
        <w:rPr>
          <w:rFonts w:eastAsia="Calibri" w:cstheme="minorHAnsi"/>
          <w:kern w:val="0"/>
          <w:sz w:val="24"/>
          <w:szCs w:val="24"/>
          <w:lang w:val="sr-Latn-ME" w:bidi="hi-IN"/>
          <w14:ligatures w14:val="none"/>
        </w:rPr>
        <w:t>p</w:t>
      </w:r>
      <w:r w:rsidR="00F24892">
        <w:rPr>
          <w:rFonts w:eastAsia="Calibri" w:cstheme="minorHAnsi"/>
          <w:kern w:val="0"/>
          <w:sz w:val="24"/>
          <w:szCs w:val="24"/>
          <w:lang w:val="sr-Latn-ME" w:bidi="hi-IN"/>
          <w14:ligatures w14:val="none"/>
        </w:rPr>
        <w:t>rograma, iznosila je oko</w:t>
      </w:r>
      <w:r w:rsidR="00380167" w:rsidRPr="00F24892">
        <w:rPr>
          <w:rFonts w:eastAsia="Calibri" w:cstheme="minorHAnsi"/>
          <w:kern w:val="0"/>
          <w:sz w:val="24"/>
          <w:szCs w:val="24"/>
          <w:lang w:val="sr-Latn-ME" w:bidi="hi-IN"/>
          <w14:ligatures w14:val="none"/>
        </w:rPr>
        <w:t xml:space="preserve"> </w:t>
      </w:r>
      <w:r w:rsidRPr="00F24892">
        <w:rPr>
          <w:rFonts w:eastAsia="Calibri" w:cstheme="minorHAnsi"/>
          <w:kern w:val="0"/>
          <w:sz w:val="24"/>
          <w:szCs w:val="24"/>
          <w:lang w:val="sr-Latn-ME" w:bidi="hi-IN"/>
          <w14:ligatures w14:val="none"/>
        </w:rPr>
        <w:t>1,9 mlrd.</w:t>
      </w:r>
      <w:r w:rsidR="006C691C">
        <w:rPr>
          <w:rFonts w:eastAsia="Calibri" w:cstheme="minorHAnsi"/>
          <w:kern w:val="0"/>
          <w:sz w:val="24"/>
          <w:szCs w:val="24"/>
          <w:lang w:val="sr-Latn-ME" w:bidi="hi-IN"/>
          <w14:ligatures w14:val="none"/>
        </w:rPr>
        <w:t xml:space="preserve"> eura</w:t>
      </w:r>
      <w:r w:rsidRPr="00F24892">
        <w:rPr>
          <w:rFonts w:eastAsia="Calibri" w:cstheme="minorHAnsi"/>
          <w:kern w:val="0"/>
          <w:sz w:val="24"/>
          <w:szCs w:val="24"/>
          <w:lang w:val="sr-Latn-ME" w:bidi="hi-IN"/>
          <w14:ligatures w14:val="none"/>
        </w:rPr>
        <w:t xml:space="preserve"> </w:t>
      </w:r>
      <w:r w:rsidR="00380167" w:rsidRPr="00F24892">
        <w:rPr>
          <w:rFonts w:eastAsia="Calibri" w:cstheme="minorHAnsi"/>
          <w:kern w:val="0"/>
          <w:sz w:val="24"/>
          <w:szCs w:val="24"/>
          <w:lang w:val="sr-Latn-ME" w:bidi="hi-IN"/>
          <w14:ligatures w14:val="none"/>
        </w:rPr>
        <w:t>. Od toga je</w:t>
      </w:r>
      <w:r w:rsidRPr="00F24892">
        <w:rPr>
          <w:rFonts w:eastAsia="Calibri" w:cstheme="minorHAnsi"/>
          <w:kern w:val="0"/>
          <w:sz w:val="24"/>
          <w:szCs w:val="24"/>
          <w:lang w:val="sr-Latn-ME" w:bidi="hi-IN"/>
          <w14:ligatures w14:val="none"/>
        </w:rPr>
        <w:t xml:space="preserve">  </w:t>
      </w:r>
      <w:r w:rsidR="00380167" w:rsidRPr="00F24892">
        <w:rPr>
          <w:rFonts w:eastAsia="Calibri" w:cstheme="minorHAnsi"/>
          <w:kern w:val="0"/>
          <w:sz w:val="24"/>
          <w:szCs w:val="24"/>
          <w:lang w:val="sr-Latn-ME" w:bidi="hi-IN"/>
          <w14:ligatures w14:val="none"/>
        </w:rPr>
        <w:t>dobit prijavljena u 2023. za 2022.</w:t>
      </w:r>
      <w:r w:rsidR="00F24892" w:rsidRPr="00F24892">
        <w:rPr>
          <w:rFonts w:eastAsia="Calibri" w:cstheme="minorHAnsi"/>
          <w:kern w:val="0"/>
          <w:sz w:val="24"/>
          <w:szCs w:val="24"/>
          <w:lang w:val="sr-Latn-ME" w:bidi="hi-IN"/>
          <w14:ligatures w14:val="none"/>
        </w:rPr>
        <w:t xml:space="preserve"> </w:t>
      </w:r>
      <w:r w:rsidR="00380167" w:rsidRPr="00F24892">
        <w:rPr>
          <w:rFonts w:eastAsia="Calibri" w:cstheme="minorHAnsi"/>
          <w:kern w:val="0"/>
          <w:sz w:val="24"/>
          <w:szCs w:val="24"/>
          <w:lang w:val="sr-Latn-ME" w:bidi="hi-IN"/>
          <w14:ligatures w14:val="none"/>
        </w:rPr>
        <w:t>godinu činila</w:t>
      </w:r>
      <w:r w:rsidRPr="00F24892">
        <w:rPr>
          <w:rFonts w:eastAsia="Calibri" w:cstheme="minorHAnsi"/>
          <w:kern w:val="0"/>
          <w:sz w:val="24"/>
          <w:szCs w:val="24"/>
          <w:lang w:val="sr-Latn-ME" w:bidi="hi-IN"/>
          <w14:ligatures w14:val="none"/>
        </w:rPr>
        <w:t xml:space="preserve"> 71,4%</w:t>
      </w:r>
      <w:r w:rsidR="00380167" w:rsidRPr="00F24892">
        <w:rPr>
          <w:rFonts w:eastAsia="Calibri" w:cstheme="minorHAnsi"/>
          <w:kern w:val="0"/>
          <w:sz w:val="24"/>
          <w:szCs w:val="24"/>
          <w:lang w:val="sr-Latn-ME" w:bidi="hi-IN"/>
          <w14:ligatures w14:val="none"/>
        </w:rPr>
        <w:t xml:space="preserve"> ili oko 1,315 mlrd. </w:t>
      </w:r>
      <w:r w:rsidR="006C691C">
        <w:rPr>
          <w:rFonts w:eastAsia="Calibri" w:cstheme="minorHAnsi"/>
          <w:kern w:val="0"/>
          <w:sz w:val="24"/>
          <w:szCs w:val="24"/>
          <w:lang w:val="sr-Latn-ME" w:bidi="hi-IN"/>
          <w14:ligatures w14:val="none"/>
        </w:rPr>
        <w:t>eura</w:t>
      </w:r>
      <w:r w:rsidR="00F24892">
        <w:rPr>
          <w:rFonts w:eastAsia="Calibri" w:cstheme="minorHAnsi"/>
          <w:kern w:val="0"/>
          <w:sz w:val="24"/>
          <w:szCs w:val="24"/>
          <w:lang w:val="sr-Latn-ME" w:bidi="hi-IN"/>
          <w14:ligatures w14:val="none"/>
        </w:rPr>
        <w:t xml:space="preserve">, </w:t>
      </w:r>
      <w:r w:rsidRPr="00F24892">
        <w:rPr>
          <w:rFonts w:eastAsia="Calibri" w:cstheme="minorHAnsi"/>
          <w:kern w:val="0"/>
          <w:sz w:val="24"/>
          <w:szCs w:val="24"/>
          <w:lang w:val="sr-Latn-ME" w:bidi="hi-IN"/>
          <w14:ligatures w14:val="none"/>
        </w:rPr>
        <w:t xml:space="preserve">a neprijavljena (siva ekonomija) </w:t>
      </w:r>
      <w:r w:rsidR="00F24892" w:rsidRPr="00F24892">
        <w:rPr>
          <w:rFonts w:eastAsia="Calibri" w:cstheme="minorHAnsi"/>
          <w:kern w:val="0"/>
          <w:sz w:val="24"/>
          <w:szCs w:val="24"/>
          <w:lang w:val="sr-Latn-ME" w:bidi="hi-IN"/>
          <w14:ligatures w14:val="none"/>
        </w:rPr>
        <w:t xml:space="preserve">ili </w:t>
      </w:r>
      <w:r w:rsidRPr="00F24892">
        <w:rPr>
          <w:rFonts w:eastAsia="Calibri" w:cstheme="minorHAnsi"/>
          <w:kern w:val="0"/>
          <w:sz w:val="24"/>
          <w:szCs w:val="24"/>
          <w:lang w:val="sr-Latn-ME" w:bidi="hi-IN"/>
          <w14:ligatures w14:val="none"/>
        </w:rPr>
        <w:t xml:space="preserve">ostatak </w:t>
      </w:r>
      <w:r w:rsidR="00F24892" w:rsidRPr="00F24892">
        <w:rPr>
          <w:rFonts w:eastAsia="Calibri" w:cstheme="minorHAnsi"/>
          <w:kern w:val="0"/>
          <w:sz w:val="24"/>
          <w:szCs w:val="24"/>
          <w:lang w:val="sr-Latn-ME" w:bidi="hi-IN"/>
          <w14:ligatures w14:val="none"/>
        </w:rPr>
        <w:t xml:space="preserve"> je bio </w:t>
      </w:r>
      <w:r w:rsidRPr="00F24892">
        <w:rPr>
          <w:rFonts w:eastAsia="Calibri" w:cstheme="minorHAnsi"/>
          <w:kern w:val="0"/>
          <w:sz w:val="24"/>
          <w:szCs w:val="24"/>
          <w:lang w:val="sr-Latn-ME" w:bidi="hi-IN"/>
          <w14:ligatures w14:val="none"/>
        </w:rPr>
        <w:t>28,6</w:t>
      </w:r>
      <w:r w:rsidR="00F24892" w:rsidRPr="00F24892">
        <w:rPr>
          <w:rFonts w:eastAsia="Calibri" w:cstheme="minorHAnsi"/>
          <w:kern w:val="0"/>
          <w:sz w:val="24"/>
          <w:szCs w:val="24"/>
          <w:lang w:val="sr-Latn-ME" w:bidi="hi-IN"/>
          <w14:ligatures w14:val="none"/>
        </w:rPr>
        <w:t>%</w:t>
      </w:r>
      <w:r w:rsidRPr="00F24892">
        <w:rPr>
          <w:rFonts w:eastAsia="Calibri" w:cstheme="minorHAnsi"/>
          <w:kern w:val="0"/>
          <w:sz w:val="24"/>
          <w:szCs w:val="24"/>
          <w:lang w:val="sr-Latn-ME" w:bidi="hi-IN"/>
          <w14:ligatures w14:val="none"/>
        </w:rPr>
        <w:t>.</w:t>
      </w:r>
      <w:r w:rsidRPr="00281886">
        <w:rPr>
          <w:rFonts w:eastAsia="Calibri" w:cstheme="minorHAnsi"/>
          <w:kern w:val="0"/>
          <w:sz w:val="24"/>
          <w:szCs w:val="24"/>
          <w:lang w:val="sr-Latn-ME" w:bidi="hi-IN"/>
          <w14:ligatures w14:val="none"/>
        </w:rPr>
        <w:t xml:space="preserve"> </w:t>
      </w:r>
    </w:p>
    <w:p w14:paraId="14214ECA" w14:textId="5AD02135" w:rsidR="00013F7F" w:rsidRDefault="00013F7F" w:rsidP="009364EF">
      <w:pPr>
        <w:spacing w:line="276" w:lineRule="auto"/>
        <w:jc w:val="both"/>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Model za simulaciju primjene novih mjera</w:t>
      </w:r>
      <w:r w:rsidR="00AB0650">
        <w:rPr>
          <w:rFonts w:eastAsia="Calibri" w:cstheme="minorHAnsi"/>
          <w:kern w:val="0"/>
          <w:sz w:val="24"/>
          <w:szCs w:val="24"/>
          <w:lang w:val="sr-Latn-ME" w:bidi="hi-IN"/>
          <w14:ligatures w14:val="none"/>
        </w:rPr>
        <w:t xml:space="preserve"> kroz poresku reformu krajem 2021</w:t>
      </w:r>
      <w:r w:rsidR="000422AA">
        <w:rPr>
          <w:rFonts w:eastAsia="Calibri" w:cstheme="minorHAnsi"/>
          <w:kern w:val="0"/>
          <w:sz w:val="24"/>
          <w:szCs w:val="24"/>
          <w:lang w:val="sr-Latn-ME" w:bidi="hi-IN"/>
          <w14:ligatures w14:val="none"/>
        </w:rPr>
        <w:t>, na osnovu prethodno navedenih ulaznih inputa,</w:t>
      </w:r>
      <w:r w:rsidRPr="00281886">
        <w:rPr>
          <w:rFonts w:eastAsia="Calibri" w:cstheme="minorHAnsi"/>
          <w:kern w:val="0"/>
          <w:sz w:val="24"/>
          <w:szCs w:val="24"/>
          <w:lang w:val="sr-Latn-ME" w:bidi="hi-IN"/>
          <w14:ligatures w14:val="none"/>
        </w:rPr>
        <w:t xml:space="preserve"> pokazuje da je efekat mjera zahvaljujući </w:t>
      </w:r>
      <w:r w:rsidR="00923D1D">
        <w:rPr>
          <w:rFonts w:eastAsia="Calibri" w:cstheme="minorHAnsi"/>
          <w:kern w:val="0"/>
          <w:sz w:val="24"/>
          <w:szCs w:val="24"/>
          <w:lang w:val="sr-Latn-ME" w:bidi="hi-IN"/>
          <w14:ligatures w14:val="none"/>
        </w:rPr>
        <w:t>izmjenama Zakona</w:t>
      </w:r>
      <w:r w:rsidRPr="00281886">
        <w:rPr>
          <w:rFonts w:eastAsia="Calibri" w:cstheme="minorHAnsi"/>
          <w:kern w:val="0"/>
          <w:sz w:val="24"/>
          <w:szCs w:val="24"/>
          <w:lang w:val="sr-Latn-ME" w:bidi="hi-IN"/>
          <w14:ligatures w14:val="none"/>
        </w:rPr>
        <w:t xml:space="preserve"> o porezu na dobit koji je stupio na snagu 1. januara 2022. povećao </w:t>
      </w:r>
      <w:r w:rsidR="00923D1D">
        <w:rPr>
          <w:rFonts w:eastAsia="Calibri" w:cstheme="minorHAnsi"/>
          <w:kern w:val="0"/>
          <w:sz w:val="24"/>
          <w:szCs w:val="24"/>
          <w:lang w:val="sr-Latn-ME" w:bidi="hi-IN"/>
          <w14:ligatures w14:val="none"/>
        </w:rPr>
        <w:t>prihod od poreza</w:t>
      </w:r>
      <w:r w:rsidR="00E3425B">
        <w:rPr>
          <w:rFonts w:eastAsia="Calibri" w:cstheme="minorHAnsi"/>
          <w:kern w:val="0"/>
          <w:sz w:val="24"/>
          <w:szCs w:val="24"/>
          <w:lang w:val="sr-Latn-ME" w:bidi="hi-IN"/>
          <w14:ligatures w14:val="none"/>
        </w:rPr>
        <w:t xml:space="preserve"> na dobit</w:t>
      </w:r>
      <w:r w:rsidR="00923D1D">
        <w:rPr>
          <w:rFonts w:eastAsia="Calibri" w:cstheme="minorHAnsi"/>
          <w:kern w:val="0"/>
          <w:sz w:val="24"/>
          <w:szCs w:val="24"/>
          <w:lang w:val="sr-Latn-ME" w:bidi="hi-IN"/>
          <w14:ligatures w14:val="none"/>
        </w:rPr>
        <w:t xml:space="preserve"> </w:t>
      </w:r>
      <w:r w:rsidRPr="00281886">
        <w:rPr>
          <w:rFonts w:eastAsia="Calibri" w:cstheme="minorHAnsi"/>
          <w:kern w:val="0"/>
          <w:sz w:val="24"/>
          <w:szCs w:val="24"/>
          <w:lang w:val="sr-Latn-ME" w:bidi="hi-IN"/>
          <w14:ligatures w14:val="none"/>
        </w:rPr>
        <w:t>za 16,3 mil.</w:t>
      </w:r>
      <w:r w:rsidR="006C691C">
        <w:rPr>
          <w:rFonts w:eastAsia="Calibri" w:cstheme="minorHAnsi"/>
          <w:kern w:val="0"/>
          <w:sz w:val="24"/>
          <w:szCs w:val="24"/>
          <w:lang w:val="sr-Latn-ME" w:bidi="hi-IN"/>
          <w14:ligatures w14:val="none"/>
        </w:rPr>
        <w:t xml:space="preserve"> eura</w:t>
      </w:r>
      <w:r w:rsidRPr="00281886">
        <w:rPr>
          <w:rFonts w:eastAsia="Calibri" w:cstheme="minorHAnsi"/>
          <w:kern w:val="0"/>
          <w:sz w:val="24"/>
          <w:szCs w:val="24"/>
          <w:lang w:val="sr-Latn-ME" w:bidi="hi-IN"/>
          <w14:ligatures w14:val="none"/>
        </w:rPr>
        <w:t xml:space="preserve">, </w:t>
      </w:r>
      <w:r w:rsidR="00D74EB5">
        <w:rPr>
          <w:rFonts w:eastAsia="Calibri" w:cstheme="minorHAnsi"/>
          <w:kern w:val="0"/>
          <w:sz w:val="24"/>
          <w:szCs w:val="24"/>
          <w:lang w:val="sr-Latn-ME" w:bidi="hi-IN"/>
          <w14:ligatures w14:val="none"/>
        </w:rPr>
        <w:t xml:space="preserve">što je uglavnom porez koji su platila </w:t>
      </w:r>
      <w:r w:rsidRPr="00281886">
        <w:rPr>
          <w:rFonts w:eastAsia="Calibri" w:cstheme="minorHAnsi"/>
          <w:kern w:val="0"/>
          <w:sz w:val="24"/>
          <w:szCs w:val="24"/>
          <w:lang w:val="sr-Latn-ME" w:bidi="hi-IN"/>
          <w14:ligatures w14:val="none"/>
        </w:rPr>
        <w:t>srednja i velika preduzeća</w:t>
      </w:r>
      <w:r w:rsidR="00903F36">
        <w:rPr>
          <w:rFonts w:eastAsia="Calibri" w:cstheme="minorHAnsi"/>
          <w:kern w:val="0"/>
          <w:sz w:val="24"/>
          <w:szCs w:val="24"/>
          <w:lang w:val="sr-Latn-ME" w:bidi="hi-IN"/>
          <w14:ligatures w14:val="none"/>
        </w:rPr>
        <w:t xml:space="preserve"> (vidjeti tabelu 1)</w:t>
      </w:r>
      <w:r w:rsidRPr="00281886">
        <w:rPr>
          <w:rFonts w:eastAsia="Calibri" w:cstheme="minorHAnsi"/>
          <w:kern w:val="0"/>
          <w:sz w:val="24"/>
          <w:szCs w:val="24"/>
          <w:lang w:val="sr-Latn-ME" w:bidi="hi-IN"/>
          <w14:ligatures w14:val="none"/>
        </w:rPr>
        <w:t>.</w:t>
      </w:r>
    </w:p>
    <w:p w14:paraId="22DC3F16" w14:textId="68E26C74" w:rsidR="0089460A" w:rsidRPr="0089460A" w:rsidRDefault="0089460A" w:rsidP="009364EF">
      <w:pPr>
        <w:spacing w:line="276" w:lineRule="auto"/>
        <w:jc w:val="both"/>
        <w:rPr>
          <w:rFonts w:eastAsia="Calibri" w:cstheme="minorHAnsi"/>
          <w:i/>
          <w:iCs/>
          <w:kern w:val="0"/>
          <w:sz w:val="24"/>
          <w:szCs w:val="24"/>
          <w:lang w:val="sr-Latn-ME" w:bidi="hi-IN"/>
          <w14:ligatures w14:val="none"/>
        </w:rPr>
      </w:pPr>
      <w:bookmarkStart w:id="16" w:name="_Hlk143188945"/>
      <w:r w:rsidRPr="0089460A">
        <w:rPr>
          <w:rFonts w:eastAsia="Calibri" w:cstheme="minorHAnsi"/>
          <w:i/>
          <w:iCs/>
          <w:kern w:val="0"/>
          <w:sz w:val="24"/>
          <w:szCs w:val="24"/>
          <w:lang w:val="sr-Latn-ME" w:bidi="hi-IN"/>
          <w14:ligatures w14:val="none"/>
        </w:rPr>
        <w:t>Tabela 1: Uticaj izmjena Zakona o porezu na dobit na visinu plaćenog poreza za 2022.</w:t>
      </w:r>
    </w:p>
    <w:tbl>
      <w:tblPr>
        <w:tblStyle w:val="GridTable4-Accent5"/>
        <w:tblW w:w="9445" w:type="dxa"/>
        <w:tblLook w:val="04A0" w:firstRow="1" w:lastRow="0" w:firstColumn="1" w:lastColumn="0" w:noHBand="0" w:noVBand="1"/>
      </w:tblPr>
      <w:tblGrid>
        <w:gridCol w:w="1240"/>
        <w:gridCol w:w="1151"/>
        <w:gridCol w:w="1204"/>
        <w:gridCol w:w="1667"/>
        <w:gridCol w:w="1303"/>
        <w:gridCol w:w="1710"/>
        <w:gridCol w:w="1236"/>
      </w:tblGrid>
      <w:tr w:rsidR="00F35B77" w:rsidRPr="00391D03" w14:paraId="0BC4C401" w14:textId="77777777" w:rsidTr="00D9298B">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240" w:type="dxa"/>
            <w:noWrap/>
            <w:hideMark/>
          </w:tcPr>
          <w:bookmarkEnd w:id="16"/>
          <w:p w14:paraId="0F192F6D" w14:textId="77777777" w:rsidR="0089460A" w:rsidRPr="0089460A" w:rsidRDefault="0089460A" w:rsidP="0089460A">
            <w:pPr>
              <w:rPr>
                <w:rFonts w:ascii="Calibri" w:eastAsia="Times New Roman" w:hAnsi="Calibri" w:cs="Calibri"/>
                <w:color w:val="000000"/>
                <w:sz w:val="20"/>
                <w:szCs w:val="20"/>
                <w:lang w:val="sr-Latn-ME"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Preduzeća</w:t>
            </w:r>
          </w:p>
        </w:tc>
        <w:tc>
          <w:tcPr>
            <w:tcW w:w="1151" w:type="dxa"/>
            <w:hideMark/>
          </w:tcPr>
          <w:p w14:paraId="543D22D1" w14:textId="176B6ACE" w:rsidR="0089460A" w:rsidRPr="0089460A" w:rsidRDefault="0089460A" w:rsidP="008946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Broj preduzeća  2022</w:t>
            </w:r>
            <w:r w:rsidR="00E3425B">
              <w:rPr>
                <w:rFonts w:ascii="Calibri" w:eastAsia="Times New Roman" w:hAnsi="Calibri" w:cs="Calibri"/>
                <w:color w:val="000000"/>
                <w:sz w:val="20"/>
                <w:szCs w:val="20"/>
                <w:lang w:val="sr-Latn-ME" w:eastAsia="sr-Cyrl-BA" w:bidi="hi-IN"/>
                <w14:ligatures w14:val="none"/>
              </w:rPr>
              <w:t>.</w:t>
            </w:r>
            <w:r w:rsidRPr="0089460A">
              <w:rPr>
                <w:rFonts w:ascii="Calibri" w:eastAsia="Times New Roman" w:hAnsi="Calibri" w:cs="Calibri"/>
                <w:color w:val="000000"/>
                <w:sz w:val="20"/>
                <w:szCs w:val="20"/>
                <w:lang w:val="sr-Cyrl-BA" w:eastAsia="sr-Cyrl-BA" w:bidi="hi-IN"/>
                <w14:ligatures w14:val="none"/>
              </w:rPr>
              <w:t xml:space="preserve"> </w:t>
            </w:r>
          </w:p>
        </w:tc>
        <w:tc>
          <w:tcPr>
            <w:tcW w:w="1204" w:type="dxa"/>
            <w:hideMark/>
          </w:tcPr>
          <w:p w14:paraId="486D8AEF" w14:textId="55EC3017" w:rsidR="0089460A" w:rsidRPr="0089460A" w:rsidRDefault="00E3425B" w:rsidP="008946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Pr>
                <w:rFonts w:ascii="Calibri" w:eastAsia="Times New Roman" w:hAnsi="Calibri" w:cs="Calibri"/>
                <w:color w:val="000000"/>
                <w:sz w:val="20"/>
                <w:szCs w:val="20"/>
                <w:lang w:val="sr-Latn-ME" w:eastAsia="sr-Cyrl-BA" w:bidi="hi-IN"/>
                <w14:ligatures w14:val="none"/>
              </w:rPr>
              <w:t>Prosječna dobit po preduzeću u EUR</w:t>
            </w:r>
          </w:p>
        </w:tc>
        <w:tc>
          <w:tcPr>
            <w:tcW w:w="1667" w:type="dxa"/>
            <w:noWrap/>
            <w:hideMark/>
          </w:tcPr>
          <w:p w14:paraId="2D77D8F4" w14:textId="3F79E8A5" w:rsidR="0089460A" w:rsidRPr="00E3425B" w:rsidRDefault="0089460A" w:rsidP="008946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Ukupno dobit</w:t>
            </w:r>
            <w:r w:rsidR="00E3425B">
              <w:rPr>
                <w:rFonts w:ascii="Calibri" w:eastAsia="Times New Roman" w:hAnsi="Calibri" w:cs="Calibri"/>
                <w:color w:val="000000"/>
                <w:sz w:val="20"/>
                <w:szCs w:val="20"/>
                <w:lang w:val="sr-Cyrl-BA" w:eastAsia="sr-Cyrl-BA" w:bidi="hi-IN"/>
                <w14:ligatures w14:val="none"/>
              </w:rPr>
              <w:t xml:space="preserve"> u EUR</w:t>
            </w:r>
          </w:p>
        </w:tc>
        <w:tc>
          <w:tcPr>
            <w:tcW w:w="1303" w:type="dxa"/>
            <w:hideMark/>
          </w:tcPr>
          <w:p w14:paraId="69CAD238" w14:textId="5ABEAE68" w:rsidR="0089460A" w:rsidRPr="0089460A" w:rsidRDefault="0089460A" w:rsidP="008946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Porez na dobit plaćen 2023</w:t>
            </w:r>
            <w:r w:rsidR="00E3425B">
              <w:rPr>
                <w:rFonts w:ascii="Calibri" w:eastAsia="Times New Roman" w:hAnsi="Calibri" w:cs="Calibri"/>
                <w:color w:val="000000"/>
                <w:sz w:val="20"/>
                <w:szCs w:val="20"/>
                <w:lang w:val="sr-Latn-ME" w:eastAsia="sr-Cyrl-BA" w:bidi="hi-IN"/>
                <w14:ligatures w14:val="none"/>
              </w:rPr>
              <w:t>. za 2022.godinu, prosjek, EUR</w:t>
            </w:r>
          </w:p>
        </w:tc>
        <w:tc>
          <w:tcPr>
            <w:tcW w:w="1710" w:type="dxa"/>
            <w:hideMark/>
          </w:tcPr>
          <w:p w14:paraId="24EF966C" w14:textId="3E9E4BFE" w:rsidR="0089460A" w:rsidRPr="00E3425B" w:rsidRDefault="0089460A" w:rsidP="008946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Ukup</w:t>
            </w:r>
            <w:r w:rsidR="00E3425B">
              <w:rPr>
                <w:rFonts w:ascii="Calibri" w:eastAsia="Times New Roman" w:hAnsi="Calibri" w:cs="Calibri"/>
                <w:color w:val="000000"/>
                <w:sz w:val="20"/>
                <w:szCs w:val="20"/>
                <w:lang w:val="sr-Latn-ME" w:eastAsia="sr-Cyrl-BA" w:bidi="hi-IN"/>
                <w14:ligatures w14:val="none"/>
              </w:rPr>
              <w:t xml:space="preserve">an prihod od </w:t>
            </w:r>
            <w:r w:rsidRPr="0089460A">
              <w:rPr>
                <w:rFonts w:ascii="Calibri" w:eastAsia="Times New Roman" w:hAnsi="Calibri" w:cs="Calibri"/>
                <w:color w:val="000000"/>
                <w:sz w:val="20"/>
                <w:szCs w:val="20"/>
                <w:lang w:val="sr-Cyrl-BA" w:eastAsia="sr-Cyrl-BA" w:bidi="hi-IN"/>
                <w14:ligatures w14:val="none"/>
              </w:rPr>
              <w:t>porez</w:t>
            </w:r>
            <w:r w:rsidR="00E3425B">
              <w:rPr>
                <w:rFonts w:ascii="Calibri" w:eastAsia="Times New Roman" w:hAnsi="Calibri" w:cs="Calibri"/>
                <w:color w:val="000000"/>
                <w:sz w:val="20"/>
                <w:szCs w:val="20"/>
                <w:lang w:val="sr-Latn-ME" w:eastAsia="sr-Cyrl-BA" w:bidi="hi-IN"/>
                <w14:ligatures w14:val="none"/>
              </w:rPr>
              <w:t xml:space="preserve">a </w:t>
            </w:r>
            <w:r w:rsidRPr="0089460A">
              <w:rPr>
                <w:rFonts w:ascii="Calibri" w:eastAsia="Times New Roman" w:hAnsi="Calibri" w:cs="Calibri"/>
                <w:color w:val="000000"/>
                <w:sz w:val="20"/>
                <w:szCs w:val="20"/>
                <w:lang w:val="sr-Cyrl-BA" w:eastAsia="sr-Cyrl-BA" w:bidi="hi-IN"/>
                <w14:ligatures w14:val="none"/>
              </w:rPr>
              <w:t xml:space="preserve">na dobit </w:t>
            </w:r>
            <w:r w:rsidR="00E3425B">
              <w:rPr>
                <w:rFonts w:ascii="Calibri" w:eastAsia="Times New Roman" w:hAnsi="Calibri" w:cs="Calibri"/>
                <w:color w:val="000000"/>
                <w:sz w:val="20"/>
                <w:szCs w:val="20"/>
                <w:lang w:val="sr-Latn-ME" w:eastAsia="sr-Cyrl-BA" w:bidi="hi-IN"/>
                <w14:ligatures w14:val="none"/>
              </w:rPr>
              <w:t xml:space="preserve">u 2022. </w:t>
            </w:r>
            <w:r w:rsidRPr="0089460A">
              <w:rPr>
                <w:rFonts w:ascii="Calibri" w:eastAsia="Times New Roman" w:hAnsi="Calibri" w:cs="Calibri"/>
                <w:color w:val="000000"/>
                <w:sz w:val="20"/>
                <w:szCs w:val="20"/>
                <w:lang w:val="sr-Cyrl-BA" w:eastAsia="sr-Cyrl-BA" w:bidi="hi-IN"/>
                <w14:ligatures w14:val="none"/>
              </w:rPr>
              <w:t>plaćena 2023</w:t>
            </w:r>
            <w:r w:rsidR="00E3425B">
              <w:rPr>
                <w:rFonts w:ascii="Calibri" w:eastAsia="Times New Roman" w:hAnsi="Calibri" w:cs="Calibri"/>
                <w:color w:val="000000"/>
                <w:sz w:val="20"/>
                <w:szCs w:val="20"/>
                <w:lang w:val="sr-Latn-ME" w:eastAsia="sr-Cyrl-BA" w:bidi="hi-IN"/>
                <w14:ligatures w14:val="none"/>
              </w:rPr>
              <w:t>.godine, u EUR</w:t>
            </w:r>
          </w:p>
        </w:tc>
        <w:tc>
          <w:tcPr>
            <w:tcW w:w="1170" w:type="dxa"/>
            <w:hideMark/>
          </w:tcPr>
          <w:p w14:paraId="166A6C2D" w14:textId="06CD026A" w:rsidR="0089460A" w:rsidRPr="0089460A" w:rsidRDefault="00E3425B" w:rsidP="0089460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Pr>
                <w:rFonts w:ascii="Calibri" w:eastAsia="Times New Roman" w:hAnsi="Calibri" w:cs="Calibri"/>
                <w:color w:val="000000"/>
                <w:sz w:val="20"/>
                <w:szCs w:val="20"/>
                <w:lang w:val="sr-Latn-ME" w:eastAsia="sr-Cyrl-BA" w:bidi="hi-IN"/>
                <w14:ligatures w14:val="none"/>
              </w:rPr>
              <w:t>Ukupan prihod od poreza</w:t>
            </w:r>
            <w:r w:rsidR="0089460A" w:rsidRPr="0089460A">
              <w:rPr>
                <w:rFonts w:ascii="Calibri" w:eastAsia="Times New Roman" w:hAnsi="Calibri" w:cs="Calibri"/>
                <w:color w:val="000000"/>
                <w:sz w:val="20"/>
                <w:szCs w:val="20"/>
                <w:lang w:val="sr-Cyrl-BA" w:eastAsia="sr-Cyrl-BA" w:bidi="hi-IN"/>
                <w14:ligatures w14:val="none"/>
              </w:rPr>
              <w:t xml:space="preserve"> na dobit </w:t>
            </w:r>
            <w:r>
              <w:rPr>
                <w:rFonts w:ascii="Calibri" w:eastAsia="Times New Roman" w:hAnsi="Calibri" w:cs="Calibri"/>
                <w:color w:val="000000"/>
                <w:sz w:val="20"/>
                <w:szCs w:val="20"/>
                <w:lang w:val="sr-Latn-ME" w:eastAsia="sr-Cyrl-BA" w:bidi="hi-IN"/>
                <w14:ligatures w14:val="none"/>
              </w:rPr>
              <w:t>u scenariju bez promjene zakonske regulative (u EUR)</w:t>
            </w:r>
          </w:p>
        </w:tc>
      </w:tr>
      <w:tr w:rsidR="00F35B77" w:rsidRPr="00D9298B" w14:paraId="4AB7A610" w14:textId="77777777" w:rsidTr="00D9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6A0230C" w14:textId="77777777" w:rsidR="0089460A" w:rsidRPr="0089460A" w:rsidRDefault="0089460A" w:rsidP="0089460A">
            <w:pPr>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mikro i mala</w:t>
            </w:r>
          </w:p>
        </w:tc>
        <w:tc>
          <w:tcPr>
            <w:tcW w:w="1151" w:type="dxa"/>
            <w:noWrap/>
            <w:hideMark/>
          </w:tcPr>
          <w:p w14:paraId="186D3E2E"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45.310</w:t>
            </w:r>
          </w:p>
        </w:tc>
        <w:tc>
          <w:tcPr>
            <w:tcW w:w="1204" w:type="dxa"/>
            <w:noWrap/>
            <w:hideMark/>
          </w:tcPr>
          <w:p w14:paraId="31F734BE"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19.351</w:t>
            </w:r>
          </w:p>
        </w:tc>
        <w:tc>
          <w:tcPr>
            <w:tcW w:w="1667" w:type="dxa"/>
            <w:noWrap/>
            <w:hideMark/>
          </w:tcPr>
          <w:p w14:paraId="73AF222E"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876.809.778</w:t>
            </w:r>
          </w:p>
        </w:tc>
        <w:tc>
          <w:tcPr>
            <w:tcW w:w="1303" w:type="dxa"/>
            <w:noWrap/>
            <w:hideMark/>
          </w:tcPr>
          <w:p w14:paraId="20BF31A7"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1.742</w:t>
            </w:r>
          </w:p>
        </w:tc>
        <w:tc>
          <w:tcPr>
            <w:tcW w:w="1710" w:type="dxa"/>
            <w:noWrap/>
            <w:hideMark/>
          </w:tcPr>
          <w:p w14:paraId="61E09FB8"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78.912.880</w:t>
            </w:r>
          </w:p>
        </w:tc>
        <w:tc>
          <w:tcPr>
            <w:tcW w:w="1170" w:type="dxa"/>
            <w:noWrap/>
            <w:hideMark/>
          </w:tcPr>
          <w:p w14:paraId="015C3DB3"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78.912.880</w:t>
            </w:r>
          </w:p>
        </w:tc>
      </w:tr>
      <w:tr w:rsidR="00D9298B" w:rsidRPr="00D9298B" w14:paraId="0F0DFFF2" w14:textId="77777777" w:rsidTr="00D9298B">
        <w:trPr>
          <w:trHeight w:val="30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26A89D6" w14:textId="77777777" w:rsidR="0089460A" w:rsidRPr="0089460A" w:rsidRDefault="0089460A" w:rsidP="0089460A">
            <w:pPr>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srednja</w:t>
            </w:r>
          </w:p>
        </w:tc>
        <w:tc>
          <w:tcPr>
            <w:tcW w:w="1151" w:type="dxa"/>
            <w:noWrap/>
            <w:hideMark/>
          </w:tcPr>
          <w:p w14:paraId="4C368366" w14:textId="77777777" w:rsidR="0089460A" w:rsidRPr="0089460A"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305</w:t>
            </w:r>
          </w:p>
        </w:tc>
        <w:tc>
          <w:tcPr>
            <w:tcW w:w="1204" w:type="dxa"/>
            <w:noWrap/>
            <w:hideMark/>
          </w:tcPr>
          <w:p w14:paraId="625BC3C9" w14:textId="77777777" w:rsidR="0089460A" w:rsidRPr="0089460A"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704.310</w:t>
            </w:r>
          </w:p>
        </w:tc>
        <w:tc>
          <w:tcPr>
            <w:tcW w:w="1667" w:type="dxa"/>
            <w:noWrap/>
            <w:hideMark/>
          </w:tcPr>
          <w:p w14:paraId="7572DDCB" w14:textId="77777777" w:rsidR="0089460A" w:rsidRPr="0089460A"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214.814.625</w:t>
            </w:r>
          </w:p>
        </w:tc>
        <w:tc>
          <w:tcPr>
            <w:tcW w:w="1303" w:type="dxa"/>
            <w:noWrap/>
            <w:hideMark/>
          </w:tcPr>
          <w:p w14:paraId="52B3A48A" w14:textId="77777777" w:rsidR="0089460A" w:rsidRPr="0089460A"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81.517</w:t>
            </w:r>
          </w:p>
        </w:tc>
        <w:tc>
          <w:tcPr>
            <w:tcW w:w="1710" w:type="dxa"/>
            <w:noWrap/>
            <w:hideMark/>
          </w:tcPr>
          <w:p w14:paraId="50BC1C45" w14:textId="77777777" w:rsidR="0089460A" w:rsidRPr="0089460A"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24.862.755</w:t>
            </w:r>
          </w:p>
        </w:tc>
        <w:tc>
          <w:tcPr>
            <w:tcW w:w="1170" w:type="dxa"/>
            <w:noWrap/>
            <w:hideMark/>
          </w:tcPr>
          <w:p w14:paraId="5B95709C" w14:textId="77777777" w:rsidR="0089460A" w:rsidRPr="0089460A"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19.333.316</w:t>
            </w:r>
          </w:p>
        </w:tc>
      </w:tr>
      <w:tr w:rsidR="00F35B77" w:rsidRPr="00D9298B" w14:paraId="3FFD82FE" w14:textId="77777777" w:rsidTr="00D9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27209047" w14:textId="77777777" w:rsidR="0089460A" w:rsidRPr="0089460A" w:rsidRDefault="0089460A" w:rsidP="0089460A">
            <w:pPr>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velika</w:t>
            </w:r>
          </w:p>
        </w:tc>
        <w:tc>
          <w:tcPr>
            <w:tcW w:w="1151" w:type="dxa"/>
            <w:noWrap/>
            <w:hideMark/>
          </w:tcPr>
          <w:p w14:paraId="274BB176"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54</w:t>
            </w:r>
          </w:p>
        </w:tc>
        <w:tc>
          <w:tcPr>
            <w:tcW w:w="1204" w:type="dxa"/>
            <w:noWrap/>
            <w:hideMark/>
          </w:tcPr>
          <w:p w14:paraId="1DE3C227"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4.137.823</w:t>
            </w:r>
          </w:p>
        </w:tc>
        <w:tc>
          <w:tcPr>
            <w:tcW w:w="1667" w:type="dxa"/>
            <w:noWrap/>
            <w:hideMark/>
          </w:tcPr>
          <w:p w14:paraId="459C142E"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223.442.425</w:t>
            </w:r>
          </w:p>
        </w:tc>
        <w:tc>
          <w:tcPr>
            <w:tcW w:w="1303" w:type="dxa"/>
            <w:noWrap/>
            <w:hideMark/>
          </w:tcPr>
          <w:p w14:paraId="0FBF0387"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572.673</w:t>
            </w:r>
          </w:p>
        </w:tc>
        <w:tc>
          <w:tcPr>
            <w:tcW w:w="1710" w:type="dxa"/>
            <w:noWrap/>
            <w:hideMark/>
          </w:tcPr>
          <w:p w14:paraId="2DF70B37"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30.924.364</w:t>
            </w:r>
          </w:p>
        </w:tc>
        <w:tc>
          <w:tcPr>
            <w:tcW w:w="1170" w:type="dxa"/>
            <w:noWrap/>
            <w:hideMark/>
          </w:tcPr>
          <w:p w14:paraId="79760728"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20.109.818</w:t>
            </w:r>
          </w:p>
        </w:tc>
      </w:tr>
      <w:tr w:rsidR="00D9298B" w:rsidRPr="00D9298B" w14:paraId="0018BE27" w14:textId="77777777" w:rsidTr="00D9298B">
        <w:trPr>
          <w:trHeight w:val="30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B970EAE" w14:textId="77777777" w:rsidR="0089460A" w:rsidRPr="0089460A" w:rsidRDefault="0089460A" w:rsidP="0089460A">
            <w:pPr>
              <w:rPr>
                <w:rFonts w:ascii="Calibri" w:eastAsia="Times New Roman" w:hAnsi="Calibri" w:cs="Calibri"/>
                <w:color w:val="000000"/>
                <w:sz w:val="20"/>
                <w:szCs w:val="20"/>
                <w:lang w:val="sr-Cyrl-BA" w:eastAsia="sr-Cyrl-BA" w:bidi="hi-IN"/>
                <w14:ligatures w14:val="none"/>
              </w:rPr>
            </w:pPr>
            <w:r w:rsidRPr="0089460A">
              <w:rPr>
                <w:rFonts w:ascii="Calibri" w:eastAsia="Times New Roman" w:hAnsi="Calibri" w:cs="Calibri"/>
                <w:color w:val="000000"/>
                <w:sz w:val="20"/>
                <w:szCs w:val="20"/>
                <w:lang w:val="sr-Cyrl-BA" w:eastAsia="sr-Cyrl-BA" w:bidi="hi-IN"/>
                <w14:ligatures w14:val="none"/>
              </w:rPr>
              <w:t>UKUPNO</w:t>
            </w:r>
          </w:p>
        </w:tc>
        <w:tc>
          <w:tcPr>
            <w:tcW w:w="1151" w:type="dxa"/>
            <w:noWrap/>
            <w:hideMark/>
          </w:tcPr>
          <w:p w14:paraId="6D1B2331" w14:textId="77777777" w:rsidR="0089460A" w:rsidRPr="00B86DE9"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r w:rsidRPr="00B86DE9">
              <w:rPr>
                <w:rFonts w:ascii="Calibri" w:eastAsia="Times New Roman" w:hAnsi="Calibri" w:cs="Calibri"/>
                <w:b/>
                <w:bCs/>
                <w:color w:val="000000"/>
                <w:sz w:val="20"/>
                <w:szCs w:val="20"/>
                <w:lang w:val="sr-Cyrl-BA" w:eastAsia="sr-Cyrl-BA" w:bidi="hi-IN"/>
                <w14:ligatures w14:val="none"/>
              </w:rPr>
              <w:t>45.669</w:t>
            </w:r>
          </w:p>
        </w:tc>
        <w:tc>
          <w:tcPr>
            <w:tcW w:w="1204" w:type="dxa"/>
            <w:noWrap/>
            <w:hideMark/>
          </w:tcPr>
          <w:p w14:paraId="452203EA" w14:textId="77777777" w:rsidR="0089460A" w:rsidRPr="00B86DE9"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p>
        </w:tc>
        <w:tc>
          <w:tcPr>
            <w:tcW w:w="1667" w:type="dxa"/>
            <w:noWrap/>
            <w:hideMark/>
          </w:tcPr>
          <w:p w14:paraId="44FCFE40" w14:textId="77777777" w:rsidR="0089460A" w:rsidRPr="00B86DE9"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r w:rsidRPr="00B86DE9">
              <w:rPr>
                <w:rFonts w:ascii="Calibri" w:eastAsia="Times New Roman" w:hAnsi="Calibri" w:cs="Calibri"/>
                <w:b/>
                <w:bCs/>
                <w:color w:val="000000"/>
                <w:sz w:val="20"/>
                <w:szCs w:val="20"/>
                <w:lang w:val="sr-Cyrl-BA" w:eastAsia="sr-Cyrl-BA" w:bidi="hi-IN"/>
                <w14:ligatures w14:val="none"/>
              </w:rPr>
              <w:t>1.315.066.827</w:t>
            </w:r>
          </w:p>
        </w:tc>
        <w:tc>
          <w:tcPr>
            <w:tcW w:w="1303" w:type="dxa"/>
            <w:noWrap/>
            <w:hideMark/>
          </w:tcPr>
          <w:p w14:paraId="38B2B9B6" w14:textId="77777777" w:rsidR="0089460A" w:rsidRPr="00B86DE9"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p>
        </w:tc>
        <w:tc>
          <w:tcPr>
            <w:tcW w:w="1710" w:type="dxa"/>
            <w:noWrap/>
            <w:hideMark/>
          </w:tcPr>
          <w:p w14:paraId="3B8B5A80" w14:textId="77777777" w:rsidR="0089460A" w:rsidRPr="00B86DE9"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r w:rsidRPr="00B86DE9">
              <w:rPr>
                <w:rFonts w:ascii="Calibri" w:eastAsia="Times New Roman" w:hAnsi="Calibri" w:cs="Calibri"/>
                <w:b/>
                <w:bCs/>
                <w:color w:val="000000"/>
                <w:sz w:val="20"/>
                <w:szCs w:val="20"/>
                <w:lang w:val="sr-Cyrl-BA" w:eastAsia="sr-Cyrl-BA" w:bidi="hi-IN"/>
                <w14:ligatures w14:val="none"/>
              </w:rPr>
              <w:t>134.700.000</w:t>
            </w:r>
          </w:p>
        </w:tc>
        <w:tc>
          <w:tcPr>
            <w:tcW w:w="1170" w:type="dxa"/>
            <w:noWrap/>
            <w:hideMark/>
          </w:tcPr>
          <w:p w14:paraId="6C1BC31A" w14:textId="77777777" w:rsidR="0089460A" w:rsidRPr="00B86DE9" w:rsidRDefault="0089460A" w:rsidP="0089460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r w:rsidRPr="00B86DE9">
              <w:rPr>
                <w:rFonts w:ascii="Calibri" w:eastAsia="Times New Roman" w:hAnsi="Calibri" w:cs="Calibri"/>
                <w:b/>
                <w:bCs/>
                <w:color w:val="000000"/>
                <w:sz w:val="20"/>
                <w:szCs w:val="20"/>
                <w:lang w:val="sr-Cyrl-BA" w:eastAsia="sr-Cyrl-BA" w:bidi="hi-IN"/>
                <w14:ligatures w14:val="none"/>
              </w:rPr>
              <w:t>118.356.015</w:t>
            </w:r>
          </w:p>
        </w:tc>
      </w:tr>
      <w:tr w:rsidR="00F35B77" w:rsidRPr="00D9298B" w14:paraId="3780AAAD" w14:textId="77777777" w:rsidTr="00D9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0437B77" w14:textId="77777777" w:rsidR="0089460A" w:rsidRPr="0089460A" w:rsidRDefault="0089460A" w:rsidP="0089460A">
            <w:pPr>
              <w:jc w:val="right"/>
              <w:rPr>
                <w:rFonts w:ascii="Calibri" w:eastAsia="Times New Roman" w:hAnsi="Calibri" w:cs="Calibri"/>
                <w:color w:val="000000"/>
                <w:sz w:val="20"/>
                <w:szCs w:val="20"/>
                <w:lang w:val="sr-Cyrl-BA" w:eastAsia="sr-Cyrl-BA" w:bidi="hi-IN"/>
                <w14:ligatures w14:val="none"/>
              </w:rPr>
            </w:pPr>
          </w:p>
        </w:tc>
        <w:tc>
          <w:tcPr>
            <w:tcW w:w="1151" w:type="dxa"/>
            <w:noWrap/>
            <w:hideMark/>
          </w:tcPr>
          <w:p w14:paraId="47E45EE5" w14:textId="77777777" w:rsidR="0089460A" w:rsidRPr="0089460A" w:rsidRDefault="0089460A" w:rsidP="00894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Cyrl-BA" w:eastAsia="sr-Cyrl-BA" w:bidi="hi-IN"/>
                <w14:ligatures w14:val="none"/>
              </w:rPr>
            </w:pPr>
          </w:p>
        </w:tc>
        <w:tc>
          <w:tcPr>
            <w:tcW w:w="1204" w:type="dxa"/>
            <w:noWrap/>
            <w:hideMark/>
          </w:tcPr>
          <w:p w14:paraId="1F19566D" w14:textId="77777777" w:rsidR="0089460A" w:rsidRPr="0089460A" w:rsidRDefault="0089460A" w:rsidP="00894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Cyrl-BA" w:eastAsia="sr-Cyrl-BA" w:bidi="hi-IN"/>
                <w14:ligatures w14:val="none"/>
              </w:rPr>
            </w:pPr>
          </w:p>
        </w:tc>
        <w:tc>
          <w:tcPr>
            <w:tcW w:w="1667" w:type="dxa"/>
            <w:noWrap/>
            <w:hideMark/>
          </w:tcPr>
          <w:p w14:paraId="2A156845" w14:textId="77777777" w:rsidR="0089460A" w:rsidRPr="0089460A" w:rsidRDefault="0089460A" w:rsidP="00894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Cyrl-BA" w:eastAsia="sr-Cyrl-BA" w:bidi="hi-IN"/>
                <w14:ligatures w14:val="none"/>
              </w:rPr>
            </w:pPr>
          </w:p>
        </w:tc>
        <w:tc>
          <w:tcPr>
            <w:tcW w:w="1303" w:type="dxa"/>
            <w:noWrap/>
            <w:hideMark/>
          </w:tcPr>
          <w:p w14:paraId="124DDC49" w14:textId="77777777" w:rsidR="0089460A" w:rsidRPr="0089460A" w:rsidRDefault="0089460A" w:rsidP="008946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r-Cyrl-BA" w:eastAsia="sr-Cyrl-BA" w:bidi="hi-IN"/>
                <w14:ligatures w14:val="none"/>
              </w:rPr>
            </w:pPr>
          </w:p>
        </w:tc>
        <w:tc>
          <w:tcPr>
            <w:tcW w:w="1710" w:type="dxa"/>
            <w:noWrap/>
            <w:hideMark/>
          </w:tcPr>
          <w:p w14:paraId="50089F5B" w14:textId="77777777" w:rsidR="0089460A" w:rsidRPr="0089460A" w:rsidRDefault="0089460A" w:rsidP="0089460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r w:rsidRPr="0089460A">
              <w:rPr>
                <w:rFonts w:ascii="Calibri" w:eastAsia="Times New Roman" w:hAnsi="Calibri" w:cs="Calibri"/>
                <w:b/>
                <w:bCs/>
                <w:color w:val="000000"/>
                <w:sz w:val="20"/>
                <w:szCs w:val="20"/>
                <w:lang w:val="sr-Cyrl-BA" w:eastAsia="sr-Cyrl-BA" w:bidi="hi-IN"/>
                <w14:ligatures w14:val="none"/>
              </w:rPr>
              <w:t>razlika</w:t>
            </w:r>
          </w:p>
        </w:tc>
        <w:tc>
          <w:tcPr>
            <w:tcW w:w="1170" w:type="dxa"/>
            <w:noWrap/>
            <w:hideMark/>
          </w:tcPr>
          <w:p w14:paraId="75D640CB" w14:textId="77777777" w:rsidR="0089460A" w:rsidRPr="0089460A" w:rsidRDefault="0089460A" w:rsidP="0089460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Cyrl-BA" w:eastAsia="sr-Cyrl-BA" w:bidi="hi-IN"/>
                <w14:ligatures w14:val="none"/>
              </w:rPr>
            </w:pPr>
            <w:r w:rsidRPr="0089460A">
              <w:rPr>
                <w:rFonts w:ascii="Calibri" w:eastAsia="Times New Roman" w:hAnsi="Calibri" w:cs="Calibri"/>
                <w:b/>
                <w:bCs/>
                <w:color w:val="000000"/>
                <w:sz w:val="20"/>
                <w:szCs w:val="20"/>
                <w:lang w:val="sr-Cyrl-BA" w:eastAsia="sr-Cyrl-BA" w:bidi="hi-IN"/>
                <w14:ligatures w14:val="none"/>
              </w:rPr>
              <w:t>16.343.985</w:t>
            </w:r>
          </w:p>
        </w:tc>
      </w:tr>
    </w:tbl>
    <w:p w14:paraId="265C5587" w14:textId="35ECAF0D" w:rsidR="00013F7F" w:rsidRPr="00194840" w:rsidRDefault="00194840" w:rsidP="00013F7F">
      <w:pPr>
        <w:rPr>
          <w:rFonts w:ascii="Calibri" w:eastAsia="Calibri" w:hAnsi="Calibri" w:cs="Mangal"/>
          <w:i/>
          <w:iCs/>
          <w:kern w:val="0"/>
          <w:szCs w:val="20"/>
          <w:lang w:val="sr-Latn-ME" w:bidi="hi-IN"/>
          <w14:ligatures w14:val="none"/>
        </w:rPr>
      </w:pPr>
      <w:r w:rsidRPr="00194840">
        <w:rPr>
          <w:rFonts w:ascii="Calibri" w:eastAsia="Calibri" w:hAnsi="Calibri" w:cs="Mangal"/>
          <w:i/>
          <w:iCs/>
          <w:kern w:val="0"/>
          <w:szCs w:val="20"/>
          <w:lang w:val="sr-Latn-ME" w:bidi="hi-IN"/>
          <w14:ligatures w14:val="none"/>
        </w:rPr>
        <w:t xml:space="preserve">Izvor: Podaci MF o konsolidovanoj javnoj potrošnji i </w:t>
      </w:r>
      <w:r w:rsidR="00B44913">
        <w:rPr>
          <w:rFonts w:ascii="Calibri" w:eastAsia="Calibri" w:hAnsi="Calibri" w:cs="Mangal"/>
          <w:i/>
          <w:iCs/>
          <w:kern w:val="0"/>
          <w:szCs w:val="20"/>
          <w:lang w:val="sr-Latn-ME" w:bidi="hi-IN"/>
          <w14:ligatures w14:val="none"/>
        </w:rPr>
        <w:t>procjene na osnovu simulacionog modela</w:t>
      </w:r>
      <w:r w:rsidR="00E3425B">
        <w:rPr>
          <w:rFonts w:ascii="Calibri" w:eastAsia="Calibri" w:hAnsi="Calibri" w:cs="Mangal"/>
          <w:i/>
          <w:iCs/>
          <w:kern w:val="0"/>
          <w:szCs w:val="20"/>
          <w:lang w:val="sr-Latn-ME" w:bidi="hi-IN"/>
          <w14:ligatures w14:val="none"/>
        </w:rPr>
        <w:t>. Monstat-podaci o broju preduzeća</w:t>
      </w:r>
      <w:r w:rsidR="00B44913">
        <w:rPr>
          <w:rFonts w:ascii="Calibri" w:eastAsia="Calibri" w:hAnsi="Calibri" w:cs="Mangal"/>
          <w:i/>
          <w:iCs/>
          <w:kern w:val="0"/>
          <w:szCs w:val="20"/>
          <w:lang w:val="sr-Latn-ME" w:bidi="hi-IN"/>
          <w14:ligatures w14:val="none"/>
        </w:rPr>
        <w:t xml:space="preserve"> </w:t>
      </w:r>
    </w:p>
    <w:p w14:paraId="3F49D909" w14:textId="00E3793A" w:rsidR="00013F7F" w:rsidRPr="001936AC" w:rsidRDefault="00013F7F" w:rsidP="009364EF">
      <w:pPr>
        <w:spacing w:line="276" w:lineRule="auto"/>
        <w:jc w:val="both"/>
        <w:rPr>
          <w:rFonts w:ascii="Calibri" w:eastAsia="Calibri" w:hAnsi="Calibri" w:cs="Mangal"/>
          <w:kern w:val="0"/>
          <w:sz w:val="24"/>
          <w:szCs w:val="24"/>
          <w:lang w:val="sr-Latn-ME" w:bidi="hi-IN"/>
          <w14:ligatures w14:val="none"/>
        </w:rPr>
      </w:pPr>
      <w:r w:rsidRPr="001936AC">
        <w:rPr>
          <w:rFonts w:ascii="Calibri" w:eastAsia="Calibri" w:hAnsi="Calibri" w:cs="Mangal"/>
          <w:kern w:val="0"/>
          <w:sz w:val="24"/>
          <w:szCs w:val="24"/>
          <w:lang w:val="sr-Latn-ME" w:bidi="hi-IN"/>
          <w14:ligatures w14:val="none"/>
        </w:rPr>
        <w:t>Tabela</w:t>
      </w:r>
      <w:r w:rsidR="00903F36" w:rsidRPr="001936AC">
        <w:rPr>
          <w:rFonts w:ascii="Calibri" w:eastAsia="Calibri" w:hAnsi="Calibri" w:cs="Mangal"/>
          <w:kern w:val="0"/>
          <w:sz w:val="24"/>
          <w:szCs w:val="24"/>
          <w:lang w:val="sr-Latn-ME" w:bidi="hi-IN"/>
          <w14:ligatures w14:val="none"/>
        </w:rPr>
        <w:t xml:space="preserve"> 2, koja se odnosi na</w:t>
      </w:r>
      <w:r w:rsidRPr="001936AC">
        <w:rPr>
          <w:rFonts w:ascii="Calibri" w:eastAsia="Calibri" w:hAnsi="Calibri" w:cs="Mangal"/>
          <w:kern w:val="0"/>
          <w:sz w:val="24"/>
          <w:szCs w:val="24"/>
          <w:lang w:val="sr-Latn-ME" w:bidi="hi-IN"/>
          <w14:ligatures w14:val="none"/>
        </w:rPr>
        <w:t xml:space="preserve"> naplaćen</w:t>
      </w:r>
      <w:r w:rsidR="00903F36" w:rsidRPr="001936AC">
        <w:rPr>
          <w:rFonts w:ascii="Calibri" w:eastAsia="Calibri" w:hAnsi="Calibri" w:cs="Mangal"/>
          <w:kern w:val="0"/>
          <w:sz w:val="24"/>
          <w:szCs w:val="24"/>
          <w:lang w:val="sr-Latn-ME" w:bidi="hi-IN"/>
          <w14:ligatures w14:val="none"/>
        </w:rPr>
        <w:t>u</w:t>
      </w:r>
      <w:r w:rsidRPr="001936AC">
        <w:rPr>
          <w:rFonts w:ascii="Calibri" w:eastAsia="Calibri" w:hAnsi="Calibri" w:cs="Mangal"/>
          <w:kern w:val="0"/>
          <w:sz w:val="24"/>
          <w:szCs w:val="24"/>
          <w:lang w:val="sr-Latn-ME" w:bidi="hi-IN"/>
          <w14:ligatures w14:val="none"/>
        </w:rPr>
        <w:t xml:space="preserve"> dobiti</w:t>
      </w:r>
      <w:r w:rsidR="00903F36" w:rsidRPr="001936AC">
        <w:rPr>
          <w:rFonts w:ascii="Calibri" w:eastAsia="Calibri" w:hAnsi="Calibri" w:cs="Mangal"/>
          <w:kern w:val="0"/>
          <w:sz w:val="24"/>
          <w:szCs w:val="24"/>
          <w:lang w:val="sr-Latn-ME" w:bidi="hi-IN"/>
          <w14:ligatures w14:val="none"/>
        </w:rPr>
        <w:t xml:space="preserve"> za 2022. godinu, odnosno</w:t>
      </w:r>
      <w:r w:rsidRPr="001936AC">
        <w:rPr>
          <w:rFonts w:ascii="Calibri" w:eastAsia="Calibri" w:hAnsi="Calibri" w:cs="Mangal"/>
          <w:kern w:val="0"/>
          <w:sz w:val="24"/>
          <w:szCs w:val="24"/>
          <w:lang w:val="sr-Latn-ME" w:bidi="hi-IN"/>
          <w14:ligatures w14:val="none"/>
        </w:rPr>
        <w:t xml:space="preserve"> i procjene i projekcije</w:t>
      </w:r>
      <w:r w:rsidR="00B86DE9" w:rsidRPr="001936AC">
        <w:rPr>
          <w:rFonts w:ascii="Calibri" w:eastAsia="Calibri" w:hAnsi="Calibri" w:cs="Mangal"/>
          <w:kern w:val="0"/>
          <w:sz w:val="24"/>
          <w:szCs w:val="24"/>
          <w:lang w:val="sr-Latn-ME" w:bidi="hi-IN"/>
          <w14:ligatures w14:val="none"/>
        </w:rPr>
        <w:t xml:space="preserve"> Minista</w:t>
      </w:r>
      <w:r w:rsidR="003E6940" w:rsidRPr="001936AC">
        <w:rPr>
          <w:rFonts w:ascii="Calibri" w:eastAsia="Calibri" w:hAnsi="Calibri" w:cs="Mangal"/>
          <w:kern w:val="0"/>
          <w:sz w:val="24"/>
          <w:szCs w:val="24"/>
          <w:lang w:val="sr-Latn-ME" w:bidi="hi-IN"/>
          <w14:ligatures w14:val="none"/>
        </w:rPr>
        <w:t>rs</w:t>
      </w:r>
      <w:r w:rsidR="00B86DE9" w:rsidRPr="001936AC">
        <w:rPr>
          <w:rFonts w:ascii="Calibri" w:eastAsia="Calibri" w:hAnsi="Calibri" w:cs="Mangal"/>
          <w:kern w:val="0"/>
          <w:sz w:val="24"/>
          <w:szCs w:val="24"/>
          <w:lang w:val="sr-Latn-ME" w:bidi="hi-IN"/>
          <w14:ligatures w14:val="none"/>
        </w:rPr>
        <w:t>tva finansija</w:t>
      </w:r>
      <w:r w:rsidRPr="001936AC">
        <w:rPr>
          <w:rFonts w:ascii="Calibri" w:eastAsia="Calibri" w:hAnsi="Calibri" w:cs="Mangal"/>
          <w:kern w:val="0"/>
          <w:sz w:val="24"/>
          <w:szCs w:val="24"/>
          <w:lang w:val="sr-Latn-ME" w:bidi="hi-IN"/>
          <w14:ligatures w14:val="none"/>
        </w:rPr>
        <w:t xml:space="preserve"> za </w:t>
      </w:r>
      <w:r w:rsidRPr="001936AC">
        <w:rPr>
          <w:rFonts w:ascii="Calibri" w:eastAsia="Calibri" w:hAnsi="Calibri" w:cs="Mangal"/>
          <w:b/>
          <w:bCs/>
          <w:kern w:val="0"/>
          <w:sz w:val="24"/>
          <w:szCs w:val="24"/>
          <w:lang w:val="sr-Latn-ME" w:bidi="hi-IN"/>
          <w14:ligatures w14:val="none"/>
        </w:rPr>
        <w:t xml:space="preserve">period </w:t>
      </w:r>
      <w:r w:rsidR="00194840" w:rsidRPr="001936AC">
        <w:rPr>
          <w:rFonts w:ascii="Calibri" w:eastAsia="Calibri" w:hAnsi="Calibri" w:cs="Mangal"/>
          <w:b/>
          <w:bCs/>
          <w:kern w:val="0"/>
          <w:sz w:val="24"/>
          <w:szCs w:val="24"/>
          <w:lang w:val="sr-Latn-ME" w:bidi="hi-IN"/>
          <w14:ligatures w14:val="none"/>
        </w:rPr>
        <w:t xml:space="preserve">do </w:t>
      </w:r>
      <w:r w:rsidRPr="001936AC">
        <w:rPr>
          <w:rFonts w:ascii="Calibri" w:eastAsia="Calibri" w:hAnsi="Calibri" w:cs="Mangal"/>
          <w:b/>
          <w:bCs/>
          <w:kern w:val="0"/>
          <w:sz w:val="24"/>
          <w:szCs w:val="24"/>
          <w:lang w:val="sr-Latn-ME" w:bidi="hi-IN"/>
          <w14:ligatures w14:val="none"/>
        </w:rPr>
        <w:t>2026</w:t>
      </w:r>
      <w:r w:rsidR="002B312A" w:rsidRPr="001936AC">
        <w:rPr>
          <w:rFonts w:ascii="Calibri" w:eastAsia="Calibri" w:hAnsi="Calibri" w:cs="Mangal"/>
          <w:b/>
          <w:bCs/>
          <w:kern w:val="0"/>
          <w:sz w:val="24"/>
          <w:szCs w:val="24"/>
          <w:lang w:val="sr-Latn-ME" w:bidi="hi-IN"/>
          <w14:ligatures w14:val="none"/>
        </w:rPr>
        <w:t>.</w:t>
      </w:r>
      <w:r w:rsidRPr="001936AC">
        <w:rPr>
          <w:rFonts w:ascii="Calibri" w:eastAsia="Calibri" w:hAnsi="Calibri" w:cs="Mangal"/>
          <w:b/>
          <w:bCs/>
          <w:kern w:val="0"/>
          <w:sz w:val="24"/>
          <w:szCs w:val="24"/>
          <w:lang w:val="sr-Latn-ME" w:bidi="hi-IN"/>
          <w14:ligatures w14:val="none"/>
        </w:rPr>
        <w:t xml:space="preserve"> pokazuju da je u 2023. godini došlo do </w:t>
      </w:r>
      <w:r w:rsidR="00194840" w:rsidRPr="001936AC">
        <w:rPr>
          <w:rFonts w:ascii="Calibri" w:eastAsia="Calibri" w:hAnsi="Calibri" w:cs="Mangal"/>
          <w:b/>
          <w:bCs/>
          <w:kern w:val="0"/>
          <w:sz w:val="24"/>
          <w:szCs w:val="24"/>
          <w:lang w:val="sr-Latn-ME" w:bidi="hi-IN"/>
          <w14:ligatures w14:val="none"/>
        </w:rPr>
        <w:t>većeg prijavljivanja</w:t>
      </w:r>
      <w:r w:rsidRPr="001936AC">
        <w:rPr>
          <w:rFonts w:ascii="Calibri" w:eastAsia="Calibri" w:hAnsi="Calibri" w:cs="Mangal"/>
          <w:b/>
          <w:bCs/>
          <w:kern w:val="0"/>
          <w:sz w:val="24"/>
          <w:szCs w:val="24"/>
          <w:lang w:val="sr-Latn-ME" w:bidi="hi-IN"/>
          <w14:ligatures w14:val="none"/>
        </w:rPr>
        <w:t xml:space="preserve"> dobiti</w:t>
      </w:r>
      <w:r w:rsidR="000874D7" w:rsidRPr="001936AC">
        <w:rPr>
          <w:rFonts w:ascii="Calibri" w:eastAsia="Calibri" w:hAnsi="Calibri" w:cs="Mangal"/>
          <w:b/>
          <w:bCs/>
          <w:kern w:val="0"/>
          <w:sz w:val="24"/>
          <w:szCs w:val="24"/>
          <w:lang w:val="sr-Latn-ME" w:bidi="hi-IN"/>
          <w14:ligatures w14:val="none"/>
        </w:rPr>
        <w:t xml:space="preserve">, što je efekat </w:t>
      </w:r>
      <w:r w:rsidR="00B86DE9" w:rsidRPr="001936AC">
        <w:rPr>
          <w:rFonts w:ascii="Calibri" w:eastAsia="Calibri" w:hAnsi="Calibri" w:cs="Mangal"/>
          <w:b/>
          <w:bCs/>
          <w:kern w:val="0"/>
          <w:sz w:val="24"/>
          <w:szCs w:val="24"/>
          <w:lang w:val="sr-Latn-ME" w:bidi="hi-IN"/>
          <w14:ligatures w14:val="none"/>
        </w:rPr>
        <w:t xml:space="preserve">poreske </w:t>
      </w:r>
      <w:r w:rsidR="000874D7" w:rsidRPr="001936AC">
        <w:rPr>
          <w:rFonts w:ascii="Calibri" w:eastAsia="Calibri" w:hAnsi="Calibri" w:cs="Mangal"/>
          <w:b/>
          <w:bCs/>
          <w:kern w:val="0"/>
          <w:sz w:val="24"/>
          <w:szCs w:val="24"/>
          <w:lang w:val="sr-Latn-ME" w:bidi="hi-IN"/>
          <w14:ligatures w14:val="none"/>
        </w:rPr>
        <w:t>reforme i ekonomskog rasta</w:t>
      </w:r>
      <w:r w:rsidRPr="001936AC">
        <w:rPr>
          <w:rFonts w:ascii="Calibri" w:eastAsia="Calibri" w:hAnsi="Calibri" w:cs="Mangal"/>
          <w:kern w:val="0"/>
          <w:sz w:val="24"/>
          <w:szCs w:val="24"/>
          <w:lang w:val="sr-Latn-ME" w:bidi="hi-IN"/>
          <w14:ligatures w14:val="none"/>
        </w:rPr>
        <w:t xml:space="preserve">. </w:t>
      </w:r>
      <w:r w:rsidR="00B86DE9" w:rsidRPr="001936AC">
        <w:rPr>
          <w:rFonts w:ascii="Calibri" w:eastAsia="Calibri" w:hAnsi="Calibri" w:cs="Mangal"/>
          <w:kern w:val="0"/>
          <w:sz w:val="24"/>
          <w:szCs w:val="24"/>
          <w:lang w:val="sr-Latn-ME" w:bidi="hi-IN"/>
          <w14:ligatures w14:val="none"/>
        </w:rPr>
        <w:t xml:space="preserve">Konkretnije, prihod od poreza na dobit u 2023. godini (naplaćen za prijavljenu dobit za 2022) je </w:t>
      </w:r>
      <w:r w:rsidR="00B86DE9" w:rsidRPr="001936AC">
        <w:rPr>
          <w:rFonts w:ascii="Calibri" w:eastAsia="Calibri" w:hAnsi="Calibri" w:cs="Mangal"/>
          <w:b/>
          <w:bCs/>
          <w:kern w:val="0"/>
          <w:sz w:val="24"/>
          <w:szCs w:val="24"/>
          <w:lang w:val="sr-Latn-ME" w:bidi="hi-IN"/>
          <w14:ligatures w14:val="none"/>
        </w:rPr>
        <w:t>povećan za 44,5 miliona eura ili 4</w:t>
      </w:r>
      <w:r w:rsidR="00903F36" w:rsidRPr="001936AC">
        <w:rPr>
          <w:rFonts w:ascii="Calibri" w:eastAsia="Calibri" w:hAnsi="Calibri" w:cs="Mangal"/>
          <w:b/>
          <w:bCs/>
          <w:kern w:val="0"/>
          <w:sz w:val="24"/>
          <w:szCs w:val="24"/>
          <w:lang w:val="sr-Latn-ME" w:bidi="hi-IN"/>
          <w14:ligatures w14:val="none"/>
        </w:rPr>
        <w:t>9,3</w:t>
      </w:r>
      <w:r w:rsidR="00B86DE9" w:rsidRPr="001936AC">
        <w:rPr>
          <w:rFonts w:ascii="Calibri" w:eastAsia="Calibri" w:hAnsi="Calibri" w:cs="Mangal"/>
          <w:b/>
          <w:bCs/>
          <w:kern w:val="0"/>
          <w:sz w:val="24"/>
          <w:szCs w:val="24"/>
          <w:lang w:val="sr-Latn-ME" w:bidi="hi-IN"/>
          <w14:ligatures w14:val="none"/>
        </w:rPr>
        <w:t>%</w:t>
      </w:r>
      <w:r w:rsidR="00B86DE9" w:rsidRPr="001936AC">
        <w:rPr>
          <w:rFonts w:ascii="Calibri" w:eastAsia="Calibri" w:hAnsi="Calibri" w:cs="Mangal"/>
          <w:kern w:val="0"/>
          <w:sz w:val="24"/>
          <w:szCs w:val="24"/>
          <w:lang w:val="sr-Latn-ME" w:bidi="hi-IN"/>
          <w14:ligatures w14:val="none"/>
        </w:rPr>
        <w:t xml:space="preserve"> u odnosu na ovaj prihod ostvaren u 2022. godini (naplaćen za prijavljenu dobit iz 2021). Pri tome je izmjena zakonske regulative, odnosno uvođenje progresivne stope poreza na dobit, prema simulacionom modelu, uticala na povećanje prihoda od poreza na dobit za 16,3 miliona eura u 2023.</w:t>
      </w:r>
      <w:r w:rsidR="006C691C">
        <w:rPr>
          <w:rFonts w:ascii="Calibri" w:eastAsia="Calibri" w:hAnsi="Calibri" w:cs="Mangal"/>
          <w:kern w:val="0"/>
          <w:sz w:val="24"/>
          <w:szCs w:val="24"/>
          <w:lang w:val="sr-Latn-ME" w:bidi="hi-IN"/>
          <w14:ligatures w14:val="none"/>
        </w:rPr>
        <w:t xml:space="preserve"> </w:t>
      </w:r>
      <w:r w:rsidR="00B86DE9" w:rsidRPr="001936AC">
        <w:rPr>
          <w:rFonts w:ascii="Calibri" w:eastAsia="Calibri" w:hAnsi="Calibri" w:cs="Mangal"/>
          <w:kern w:val="0"/>
          <w:sz w:val="24"/>
          <w:szCs w:val="24"/>
          <w:lang w:val="sr-Latn-ME" w:bidi="hi-IN"/>
          <w14:ligatures w14:val="none"/>
        </w:rPr>
        <w:t>godini. Drugim riječima, prihod od poreza na dobit bi bio niži za ovaj iznos, da se nije desila reforma poreza na dobit.</w:t>
      </w:r>
    </w:p>
    <w:p w14:paraId="2727356A" w14:textId="3B3974C0" w:rsidR="00013F7F" w:rsidRPr="001936AC" w:rsidRDefault="00B86DE9" w:rsidP="009364EF">
      <w:pPr>
        <w:spacing w:line="276" w:lineRule="auto"/>
        <w:jc w:val="both"/>
        <w:rPr>
          <w:rFonts w:ascii="Calibri" w:eastAsia="Calibri" w:hAnsi="Calibri" w:cs="Mangal"/>
          <w:kern w:val="0"/>
          <w:sz w:val="24"/>
          <w:szCs w:val="24"/>
          <w:lang w:val="sr-Latn-ME" w:bidi="hi-IN"/>
          <w14:ligatures w14:val="none"/>
        </w:rPr>
      </w:pPr>
      <w:r w:rsidRPr="006C691C">
        <w:rPr>
          <w:rFonts w:ascii="Calibri" w:eastAsia="Calibri" w:hAnsi="Calibri" w:cs="Mangal"/>
          <w:kern w:val="0"/>
          <w:sz w:val="24"/>
          <w:szCs w:val="24"/>
          <w:lang w:val="sr-Latn-ME" w:bidi="hi-IN"/>
          <w14:ligatures w14:val="none"/>
        </w:rPr>
        <w:t>I</w:t>
      </w:r>
      <w:r w:rsidR="00B44913" w:rsidRPr="006C691C">
        <w:rPr>
          <w:rFonts w:ascii="Calibri" w:eastAsia="Calibri" w:hAnsi="Calibri" w:cs="Mangal"/>
          <w:kern w:val="0"/>
          <w:sz w:val="24"/>
          <w:szCs w:val="24"/>
          <w:lang w:val="sr-Latn-ME" w:bidi="hi-IN"/>
          <w14:ligatures w14:val="none"/>
        </w:rPr>
        <w:t xml:space="preserve">znos </w:t>
      </w:r>
      <w:r w:rsidR="00013F7F" w:rsidRPr="006C691C">
        <w:rPr>
          <w:rFonts w:ascii="Calibri" w:eastAsia="Calibri" w:hAnsi="Calibri" w:cs="Mangal"/>
          <w:kern w:val="0"/>
          <w:sz w:val="24"/>
          <w:szCs w:val="24"/>
          <w:lang w:val="sr-Latn-ME" w:bidi="hi-IN"/>
          <w14:ligatures w14:val="none"/>
        </w:rPr>
        <w:t>p</w:t>
      </w:r>
      <w:r w:rsidRPr="006C691C">
        <w:rPr>
          <w:rFonts w:ascii="Calibri" w:eastAsia="Calibri" w:hAnsi="Calibri" w:cs="Mangal"/>
          <w:kern w:val="0"/>
          <w:sz w:val="24"/>
          <w:szCs w:val="24"/>
          <w:lang w:val="sr-Latn-ME" w:bidi="hi-IN"/>
          <w14:ligatures w14:val="none"/>
        </w:rPr>
        <w:t>rihoda od</w:t>
      </w:r>
      <w:r w:rsidR="00013F7F" w:rsidRPr="006C691C">
        <w:rPr>
          <w:rFonts w:ascii="Calibri" w:eastAsia="Calibri" w:hAnsi="Calibri" w:cs="Mangal"/>
          <w:kern w:val="0"/>
          <w:sz w:val="24"/>
          <w:szCs w:val="24"/>
          <w:lang w:val="sr-Latn-ME" w:bidi="hi-IN"/>
          <w14:ligatures w14:val="none"/>
        </w:rPr>
        <w:t xml:space="preserve"> dobiti</w:t>
      </w:r>
      <w:r w:rsidR="00013F7F" w:rsidRPr="001936AC">
        <w:rPr>
          <w:rFonts w:ascii="Calibri" w:eastAsia="Calibri" w:hAnsi="Calibri" w:cs="Mangal"/>
          <w:kern w:val="0"/>
          <w:sz w:val="24"/>
          <w:szCs w:val="24"/>
          <w:lang w:val="sr-Latn-ME" w:bidi="hi-IN"/>
          <w14:ligatures w14:val="none"/>
        </w:rPr>
        <w:t xml:space="preserve"> </w:t>
      </w:r>
      <w:r w:rsidR="006C691C">
        <w:rPr>
          <w:rFonts w:ascii="Calibri" w:eastAsia="Calibri" w:hAnsi="Calibri" w:cs="Mangal"/>
          <w:kern w:val="0"/>
          <w:sz w:val="24"/>
          <w:szCs w:val="24"/>
          <w:lang w:val="sr-Latn-ME" w:bidi="hi-IN"/>
          <w14:ligatures w14:val="none"/>
        </w:rPr>
        <w:t xml:space="preserve">naplaćene </w:t>
      </w:r>
      <w:r w:rsidR="00351EA6" w:rsidRPr="001936AC">
        <w:rPr>
          <w:rFonts w:ascii="Calibri" w:eastAsia="Calibri" w:hAnsi="Calibri" w:cs="Mangal"/>
          <w:kern w:val="0"/>
          <w:sz w:val="24"/>
          <w:szCs w:val="24"/>
          <w:lang w:val="sr-Latn-ME" w:bidi="hi-IN"/>
          <w14:ligatures w14:val="none"/>
        </w:rPr>
        <w:t>za 2022.</w:t>
      </w:r>
      <w:r w:rsidR="006C691C">
        <w:rPr>
          <w:rFonts w:ascii="Calibri" w:eastAsia="Calibri" w:hAnsi="Calibri" w:cs="Mangal"/>
          <w:kern w:val="0"/>
          <w:sz w:val="24"/>
          <w:szCs w:val="24"/>
          <w:lang w:val="sr-Latn-ME" w:bidi="hi-IN"/>
          <w14:ligatures w14:val="none"/>
        </w:rPr>
        <w:t xml:space="preserve"> </w:t>
      </w:r>
      <w:r w:rsidR="00351EA6" w:rsidRPr="001936AC">
        <w:rPr>
          <w:rFonts w:ascii="Calibri" w:eastAsia="Calibri" w:hAnsi="Calibri" w:cs="Mangal"/>
          <w:kern w:val="0"/>
          <w:sz w:val="24"/>
          <w:szCs w:val="24"/>
          <w:lang w:val="sr-Latn-ME" w:bidi="hi-IN"/>
          <w14:ligatures w14:val="none"/>
        </w:rPr>
        <w:t xml:space="preserve">godinu, </w:t>
      </w:r>
      <w:r w:rsidRPr="001936AC">
        <w:rPr>
          <w:rFonts w:ascii="Calibri" w:eastAsia="Calibri" w:hAnsi="Calibri" w:cs="Mangal"/>
          <w:kern w:val="0"/>
          <w:sz w:val="24"/>
          <w:szCs w:val="24"/>
          <w:lang w:val="sr-Latn-ME" w:bidi="hi-IN"/>
          <w14:ligatures w14:val="none"/>
        </w:rPr>
        <w:t>prema poda</w:t>
      </w:r>
      <w:r w:rsidR="00903F36" w:rsidRPr="001936AC">
        <w:rPr>
          <w:rFonts w:ascii="Calibri" w:eastAsia="Calibri" w:hAnsi="Calibri" w:cs="Mangal"/>
          <w:kern w:val="0"/>
          <w:sz w:val="24"/>
          <w:szCs w:val="24"/>
          <w:lang w:val="sr-Latn-ME" w:bidi="hi-IN"/>
          <w14:ligatures w14:val="none"/>
        </w:rPr>
        <w:t>ci</w:t>
      </w:r>
      <w:r w:rsidRPr="001936AC">
        <w:rPr>
          <w:rFonts w:ascii="Calibri" w:eastAsia="Calibri" w:hAnsi="Calibri" w:cs="Mangal"/>
          <w:kern w:val="0"/>
          <w:sz w:val="24"/>
          <w:szCs w:val="24"/>
          <w:lang w:val="sr-Latn-ME" w:bidi="hi-IN"/>
          <w14:ligatures w14:val="none"/>
        </w:rPr>
        <w:t xml:space="preserve">ma Ministarstva </w:t>
      </w:r>
      <w:r w:rsidR="00214E78" w:rsidRPr="001936AC">
        <w:rPr>
          <w:rFonts w:ascii="Calibri" w:eastAsia="Calibri" w:hAnsi="Calibri" w:cs="Mangal"/>
          <w:kern w:val="0"/>
          <w:sz w:val="24"/>
          <w:szCs w:val="24"/>
          <w:lang w:val="sr-Latn-ME" w:bidi="hi-IN"/>
          <w14:ligatures w14:val="none"/>
        </w:rPr>
        <w:t>finansija</w:t>
      </w:r>
      <w:r w:rsidR="00013F7F" w:rsidRPr="001936AC">
        <w:rPr>
          <w:rFonts w:ascii="Calibri" w:eastAsia="Calibri" w:hAnsi="Calibri" w:cs="Mangal"/>
          <w:kern w:val="0"/>
          <w:sz w:val="24"/>
          <w:szCs w:val="24"/>
          <w:lang w:val="sr-Latn-ME" w:bidi="hi-IN"/>
          <w14:ligatures w14:val="none"/>
        </w:rPr>
        <w:t xml:space="preserve"> iznosi</w:t>
      </w:r>
      <w:r w:rsidR="006C691C">
        <w:rPr>
          <w:rFonts w:ascii="Calibri" w:eastAsia="Calibri" w:hAnsi="Calibri" w:cs="Mangal"/>
          <w:kern w:val="0"/>
          <w:sz w:val="24"/>
          <w:szCs w:val="24"/>
          <w:lang w:val="sr-Latn-ME" w:bidi="hi-IN"/>
          <w14:ligatures w14:val="none"/>
        </w:rPr>
        <w:t>o je</w:t>
      </w:r>
      <w:r w:rsidR="00013F7F" w:rsidRPr="001936AC">
        <w:rPr>
          <w:rFonts w:ascii="Calibri" w:eastAsia="Calibri" w:hAnsi="Calibri" w:cs="Mangal"/>
          <w:kern w:val="0"/>
          <w:sz w:val="24"/>
          <w:szCs w:val="24"/>
          <w:lang w:val="sr-Latn-ME" w:bidi="hi-IN"/>
          <w14:ligatures w14:val="none"/>
        </w:rPr>
        <w:t xml:space="preserve"> </w:t>
      </w:r>
      <w:r w:rsidR="00013F7F" w:rsidRPr="001936AC">
        <w:rPr>
          <w:rFonts w:ascii="Calibri" w:eastAsia="Calibri" w:hAnsi="Calibri" w:cs="Mangal"/>
          <w:b/>
          <w:bCs/>
          <w:kern w:val="0"/>
          <w:sz w:val="24"/>
          <w:szCs w:val="24"/>
          <w:lang w:val="sr-Latn-ME" w:bidi="hi-IN"/>
          <w14:ligatures w14:val="none"/>
        </w:rPr>
        <w:t>13</w:t>
      </w:r>
      <w:r w:rsidR="00903F36" w:rsidRPr="001936AC">
        <w:rPr>
          <w:rFonts w:ascii="Calibri" w:eastAsia="Calibri" w:hAnsi="Calibri" w:cs="Mangal"/>
          <w:b/>
          <w:bCs/>
          <w:kern w:val="0"/>
          <w:sz w:val="24"/>
          <w:szCs w:val="24"/>
          <w:lang w:val="sr-Latn-ME" w:bidi="hi-IN"/>
          <w14:ligatures w14:val="none"/>
        </w:rPr>
        <w:t xml:space="preserve">4,7 </w:t>
      </w:r>
      <w:r w:rsidR="00013F7F" w:rsidRPr="001936AC">
        <w:rPr>
          <w:rFonts w:ascii="Calibri" w:eastAsia="Calibri" w:hAnsi="Calibri" w:cs="Mangal"/>
          <w:b/>
          <w:bCs/>
          <w:kern w:val="0"/>
          <w:sz w:val="24"/>
          <w:szCs w:val="24"/>
          <w:lang w:val="sr-Latn-ME" w:bidi="hi-IN"/>
          <w14:ligatures w14:val="none"/>
        </w:rPr>
        <w:t>miliona eura</w:t>
      </w:r>
      <w:r w:rsidRPr="001936AC">
        <w:rPr>
          <w:rFonts w:ascii="Calibri" w:eastAsia="Calibri" w:hAnsi="Calibri" w:cs="Mangal"/>
          <w:b/>
          <w:bCs/>
          <w:kern w:val="0"/>
          <w:sz w:val="24"/>
          <w:szCs w:val="24"/>
          <w:lang w:val="sr-Latn-ME" w:bidi="hi-IN"/>
          <w14:ligatures w14:val="none"/>
        </w:rPr>
        <w:t xml:space="preserve"> </w:t>
      </w:r>
      <w:r w:rsidRPr="001936AC">
        <w:rPr>
          <w:rFonts w:ascii="Calibri" w:eastAsia="Calibri" w:hAnsi="Calibri" w:cs="Mangal"/>
          <w:kern w:val="0"/>
          <w:sz w:val="24"/>
          <w:szCs w:val="24"/>
          <w:lang w:val="sr-Latn-ME" w:bidi="hi-IN"/>
          <w14:ligatures w14:val="none"/>
        </w:rPr>
        <w:t>u 2023.godini</w:t>
      </w:r>
      <w:r w:rsidR="00013F7F" w:rsidRPr="001936AC">
        <w:rPr>
          <w:rFonts w:ascii="Calibri" w:eastAsia="Calibri" w:hAnsi="Calibri" w:cs="Mangal"/>
          <w:kern w:val="0"/>
          <w:sz w:val="24"/>
          <w:szCs w:val="24"/>
          <w:lang w:val="sr-Latn-ME" w:bidi="hi-IN"/>
          <w14:ligatures w14:val="none"/>
        </w:rPr>
        <w:t>. Efekat povećanja prijavljivanja neprijavljene dobiti je očigledno najveći u 2022</w:t>
      </w:r>
      <w:r w:rsidR="002B312A" w:rsidRPr="001936AC">
        <w:rPr>
          <w:rFonts w:ascii="Calibri" w:eastAsia="Calibri" w:hAnsi="Calibri" w:cs="Mangal"/>
          <w:kern w:val="0"/>
          <w:sz w:val="24"/>
          <w:szCs w:val="24"/>
          <w:lang w:val="sr-Latn-ME" w:bidi="hi-IN"/>
          <w14:ligatures w14:val="none"/>
        </w:rPr>
        <w:t>.</w:t>
      </w:r>
      <w:r w:rsidR="00013F7F" w:rsidRPr="001936AC">
        <w:rPr>
          <w:rFonts w:ascii="Calibri" w:eastAsia="Calibri" w:hAnsi="Calibri" w:cs="Mangal"/>
          <w:kern w:val="0"/>
          <w:sz w:val="24"/>
          <w:szCs w:val="24"/>
          <w:lang w:val="sr-Latn-ME" w:bidi="hi-IN"/>
          <w14:ligatures w14:val="none"/>
        </w:rPr>
        <w:t xml:space="preserve"> i 2023</w:t>
      </w:r>
      <w:r w:rsidRPr="001936AC">
        <w:rPr>
          <w:rFonts w:ascii="Calibri" w:eastAsia="Calibri" w:hAnsi="Calibri" w:cs="Mangal"/>
          <w:kern w:val="0"/>
          <w:sz w:val="24"/>
          <w:szCs w:val="24"/>
          <w:lang w:val="sr-Latn-ME" w:bidi="hi-IN"/>
          <w14:ligatures w14:val="none"/>
        </w:rPr>
        <w:t>.</w:t>
      </w:r>
      <w:r w:rsidR="00E027F5">
        <w:rPr>
          <w:rFonts w:ascii="Calibri" w:eastAsia="Calibri" w:hAnsi="Calibri" w:cs="Mangal"/>
          <w:kern w:val="0"/>
          <w:sz w:val="24"/>
          <w:szCs w:val="24"/>
          <w:lang w:val="sr-Latn-ME" w:bidi="hi-IN"/>
          <w14:ligatures w14:val="none"/>
        </w:rPr>
        <w:t xml:space="preserve"> </w:t>
      </w:r>
      <w:r w:rsidRPr="001936AC">
        <w:rPr>
          <w:rFonts w:ascii="Calibri" w:eastAsia="Calibri" w:hAnsi="Calibri" w:cs="Mangal"/>
          <w:kern w:val="0"/>
          <w:sz w:val="24"/>
          <w:szCs w:val="24"/>
          <w:lang w:val="sr-Latn-ME" w:bidi="hi-IN"/>
          <w14:ligatures w14:val="none"/>
        </w:rPr>
        <w:t xml:space="preserve">godini, budući da </w:t>
      </w:r>
      <w:r w:rsidR="00903F36" w:rsidRPr="001936AC">
        <w:rPr>
          <w:rFonts w:ascii="Calibri" w:eastAsia="Calibri" w:hAnsi="Calibri" w:cs="Mangal"/>
          <w:kern w:val="0"/>
          <w:sz w:val="24"/>
          <w:szCs w:val="24"/>
          <w:lang w:val="sr-Latn-ME" w:bidi="hi-IN"/>
          <w14:ligatures w14:val="none"/>
        </w:rPr>
        <w:t xml:space="preserve">je </w:t>
      </w:r>
      <w:r w:rsidRPr="001936AC">
        <w:rPr>
          <w:rFonts w:ascii="Calibri" w:eastAsia="Calibri" w:hAnsi="Calibri" w:cs="Mangal"/>
          <w:kern w:val="0"/>
          <w:sz w:val="24"/>
          <w:szCs w:val="24"/>
          <w:lang w:val="sr-Latn-ME" w:bidi="hi-IN"/>
          <w14:ligatures w14:val="none"/>
        </w:rPr>
        <w:t>Ministarstvo finansija u Sm</w:t>
      </w:r>
      <w:r w:rsidR="00903F36" w:rsidRPr="001936AC">
        <w:rPr>
          <w:rFonts w:ascii="Calibri" w:eastAsia="Calibri" w:hAnsi="Calibri" w:cs="Mangal"/>
          <w:kern w:val="0"/>
          <w:sz w:val="24"/>
          <w:szCs w:val="24"/>
          <w:lang w:val="sr-Latn-ME" w:bidi="hi-IN"/>
          <w14:ligatures w14:val="none"/>
        </w:rPr>
        <w:t>je</w:t>
      </w:r>
      <w:r w:rsidRPr="001936AC">
        <w:rPr>
          <w:rFonts w:ascii="Calibri" w:eastAsia="Calibri" w:hAnsi="Calibri" w:cs="Mangal"/>
          <w:kern w:val="0"/>
          <w:sz w:val="24"/>
          <w:szCs w:val="24"/>
          <w:lang w:val="sr-Latn-ME" w:bidi="hi-IN"/>
          <w14:ligatures w14:val="none"/>
        </w:rPr>
        <w:t xml:space="preserve">rnicama </w:t>
      </w:r>
      <w:r w:rsidRPr="001936AC">
        <w:rPr>
          <w:rFonts w:ascii="Calibri" w:eastAsia="Calibri" w:hAnsi="Calibri" w:cs="Mangal"/>
          <w:kern w:val="0"/>
          <w:sz w:val="24"/>
          <w:szCs w:val="24"/>
          <w:lang w:val="sr-Latn-ME" w:bidi="hi-IN"/>
          <w14:ligatures w14:val="none"/>
        </w:rPr>
        <w:lastRenderedPageBreak/>
        <w:t>makroekonomske i fisk</w:t>
      </w:r>
      <w:r w:rsidR="00903F36" w:rsidRPr="001936AC">
        <w:rPr>
          <w:rFonts w:ascii="Calibri" w:eastAsia="Calibri" w:hAnsi="Calibri" w:cs="Mangal"/>
          <w:kern w:val="0"/>
          <w:sz w:val="24"/>
          <w:szCs w:val="24"/>
          <w:lang w:val="sr-Latn-ME" w:bidi="hi-IN"/>
          <w14:ligatures w14:val="none"/>
        </w:rPr>
        <w:t>al</w:t>
      </w:r>
      <w:r w:rsidRPr="001936AC">
        <w:rPr>
          <w:rFonts w:ascii="Calibri" w:eastAsia="Calibri" w:hAnsi="Calibri" w:cs="Mangal"/>
          <w:kern w:val="0"/>
          <w:sz w:val="24"/>
          <w:szCs w:val="24"/>
          <w:lang w:val="sr-Latn-ME" w:bidi="hi-IN"/>
          <w14:ligatures w14:val="none"/>
        </w:rPr>
        <w:t>ne polit</w:t>
      </w:r>
      <w:r w:rsidR="00AC000E" w:rsidRPr="001936AC">
        <w:rPr>
          <w:rFonts w:ascii="Calibri" w:eastAsia="Calibri" w:hAnsi="Calibri" w:cs="Mangal"/>
          <w:kern w:val="0"/>
          <w:sz w:val="24"/>
          <w:szCs w:val="24"/>
          <w:lang w:val="sr-Latn-ME" w:bidi="hi-IN"/>
          <w14:ligatures w14:val="none"/>
        </w:rPr>
        <w:t>ike projekt</w:t>
      </w:r>
      <w:r w:rsidR="00903F36" w:rsidRPr="001936AC">
        <w:rPr>
          <w:rFonts w:ascii="Calibri" w:eastAsia="Calibri" w:hAnsi="Calibri" w:cs="Mangal"/>
          <w:kern w:val="0"/>
          <w:sz w:val="24"/>
          <w:szCs w:val="24"/>
          <w:lang w:val="sr-Latn-ME" w:bidi="hi-IN"/>
          <w14:ligatures w14:val="none"/>
        </w:rPr>
        <w:t xml:space="preserve">ovalo njen </w:t>
      </w:r>
      <w:r w:rsidR="00AC000E" w:rsidRPr="001936AC">
        <w:rPr>
          <w:rFonts w:ascii="Calibri" w:eastAsia="Calibri" w:hAnsi="Calibri" w:cs="Mangal"/>
          <w:kern w:val="0"/>
          <w:sz w:val="24"/>
          <w:szCs w:val="24"/>
          <w:lang w:val="sr-Latn-ME" w:bidi="hi-IN"/>
          <w14:ligatures w14:val="none"/>
        </w:rPr>
        <w:t>rast od 11,2% u 2024.godini. Nakon toga je</w:t>
      </w:r>
      <w:r w:rsidR="00013F7F" w:rsidRPr="001936AC">
        <w:rPr>
          <w:rFonts w:ascii="Calibri" w:eastAsia="Calibri" w:hAnsi="Calibri" w:cs="Mangal"/>
          <w:kern w:val="0"/>
          <w:sz w:val="24"/>
          <w:szCs w:val="24"/>
          <w:lang w:val="sr-Latn-ME" w:bidi="hi-IN"/>
          <w14:ligatures w14:val="none"/>
        </w:rPr>
        <w:t xml:space="preserve"> projektovan umjereniji rast u skladu  s rastom ekonomske aktivnosti</w:t>
      </w:r>
      <w:r w:rsidR="00AC000E" w:rsidRPr="001936AC">
        <w:rPr>
          <w:rFonts w:ascii="Calibri" w:eastAsia="Calibri" w:hAnsi="Calibri" w:cs="Mangal"/>
          <w:kern w:val="0"/>
          <w:sz w:val="24"/>
          <w:szCs w:val="24"/>
          <w:lang w:val="sr-Latn-ME" w:bidi="hi-IN"/>
          <w14:ligatures w14:val="none"/>
        </w:rPr>
        <w:t xml:space="preserve"> (vidjeti tabelu 2)</w:t>
      </w:r>
      <w:r w:rsidR="00013F7F" w:rsidRPr="001936AC">
        <w:rPr>
          <w:rFonts w:ascii="Calibri" w:eastAsia="Calibri" w:hAnsi="Calibri" w:cs="Mangal"/>
          <w:kern w:val="0"/>
          <w:sz w:val="24"/>
          <w:szCs w:val="24"/>
          <w:lang w:val="sr-Latn-ME" w:bidi="hi-IN"/>
          <w14:ligatures w14:val="none"/>
        </w:rPr>
        <w:t>.</w:t>
      </w:r>
    </w:p>
    <w:p w14:paraId="062C5275" w14:textId="6F591899" w:rsidR="008361D3" w:rsidRPr="008361D3" w:rsidRDefault="008361D3" w:rsidP="009364EF">
      <w:pPr>
        <w:spacing w:line="276" w:lineRule="auto"/>
        <w:jc w:val="both"/>
        <w:rPr>
          <w:rFonts w:ascii="Calibri" w:eastAsia="Calibri" w:hAnsi="Calibri" w:cs="Mangal"/>
          <w:i/>
          <w:iCs/>
          <w:kern w:val="0"/>
          <w:sz w:val="24"/>
          <w:szCs w:val="24"/>
          <w:lang w:val="sr-Latn-ME" w:bidi="hi-IN"/>
          <w14:ligatures w14:val="none"/>
        </w:rPr>
      </w:pPr>
      <w:r w:rsidRPr="008361D3">
        <w:rPr>
          <w:rFonts w:ascii="Calibri" w:eastAsia="Calibri" w:hAnsi="Calibri" w:cs="Mangal"/>
          <w:i/>
          <w:iCs/>
          <w:kern w:val="0"/>
          <w:sz w:val="24"/>
          <w:szCs w:val="24"/>
          <w:lang w:val="sr-Latn-ME" w:bidi="hi-IN"/>
          <w14:ligatures w14:val="none"/>
        </w:rPr>
        <w:t xml:space="preserve">Tabela </w:t>
      </w:r>
      <w:r>
        <w:rPr>
          <w:rFonts w:ascii="Calibri" w:eastAsia="Calibri" w:hAnsi="Calibri" w:cs="Mangal"/>
          <w:i/>
          <w:iCs/>
          <w:kern w:val="0"/>
          <w:sz w:val="24"/>
          <w:szCs w:val="24"/>
          <w:lang w:val="sr-Latn-ME" w:bidi="hi-IN"/>
          <w14:ligatures w14:val="none"/>
        </w:rPr>
        <w:t>2</w:t>
      </w:r>
      <w:r w:rsidRPr="008361D3">
        <w:rPr>
          <w:rFonts w:ascii="Calibri" w:eastAsia="Calibri" w:hAnsi="Calibri" w:cs="Mangal"/>
          <w:i/>
          <w:iCs/>
          <w:kern w:val="0"/>
          <w:sz w:val="24"/>
          <w:szCs w:val="24"/>
          <w:lang w:val="sr-Latn-ME" w:bidi="hi-IN"/>
          <w14:ligatures w14:val="none"/>
        </w:rPr>
        <w:t xml:space="preserve">: Uticaj izmjena Zakona o porezu na dobit </w:t>
      </w:r>
      <w:r>
        <w:rPr>
          <w:rFonts w:ascii="Calibri" w:eastAsia="Calibri" w:hAnsi="Calibri" w:cs="Mangal"/>
          <w:i/>
          <w:iCs/>
          <w:kern w:val="0"/>
          <w:sz w:val="24"/>
          <w:szCs w:val="24"/>
          <w:lang w:val="sr-Latn-ME" w:bidi="hi-IN"/>
          <w14:ligatures w14:val="none"/>
        </w:rPr>
        <w:t>na rast prihoda od poreza na dobit u 2022.</w:t>
      </w:r>
    </w:p>
    <w:tbl>
      <w:tblPr>
        <w:tblStyle w:val="ListTable4-Accent5"/>
        <w:tblW w:w="5000" w:type="pct"/>
        <w:tblLook w:val="04A0" w:firstRow="1" w:lastRow="0" w:firstColumn="1" w:lastColumn="0" w:noHBand="0" w:noVBand="1"/>
      </w:tblPr>
      <w:tblGrid>
        <w:gridCol w:w="3009"/>
        <w:gridCol w:w="966"/>
        <w:gridCol w:w="966"/>
        <w:gridCol w:w="1101"/>
        <w:gridCol w:w="1103"/>
        <w:gridCol w:w="1103"/>
        <w:gridCol w:w="1102"/>
      </w:tblGrid>
      <w:tr w:rsidR="00013F7F" w:rsidRPr="00D9298B" w14:paraId="24F6A68A" w14:textId="77777777" w:rsidTr="001948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6" w:type="pct"/>
            <w:noWrap/>
            <w:hideMark/>
          </w:tcPr>
          <w:p w14:paraId="2638FAF3" w14:textId="77777777" w:rsidR="00013F7F" w:rsidRPr="00D26788" w:rsidRDefault="00013F7F" w:rsidP="00013F7F">
            <w:pPr>
              <w:rPr>
                <w:rFonts w:ascii="Times New Roman" w:eastAsia="Times New Roman" w:hAnsi="Times New Roman"/>
                <w:b w:val="0"/>
                <w:bCs w:val="0"/>
                <w:sz w:val="20"/>
                <w:szCs w:val="20"/>
                <w:lang w:val="pl-PL" w:eastAsia="sr-Cyrl-BA"/>
              </w:rPr>
            </w:pPr>
          </w:p>
        </w:tc>
        <w:tc>
          <w:tcPr>
            <w:tcW w:w="584" w:type="pct"/>
            <w:noWrap/>
            <w:hideMark/>
          </w:tcPr>
          <w:p w14:paraId="73001524" w14:textId="77777777" w:rsidR="00013F7F" w:rsidRPr="00D9298B" w:rsidRDefault="00013F7F" w:rsidP="00013F7F">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2021</w:t>
            </w:r>
          </w:p>
        </w:tc>
        <w:tc>
          <w:tcPr>
            <w:tcW w:w="584" w:type="pct"/>
            <w:noWrap/>
            <w:hideMark/>
          </w:tcPr>
          <w:p w14:paraId="6537F040" w14:textId="77777777" w:rsidR="00013F7F" w:rsidRPr="00D9298B" w:rsidRDefault="00013F7F" w:rsidP="00013F7F">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2022</w:t>
            </w:r>
          </w:p>
        </w:tc>
        <w:tc>
          <w:tcPr>
            <w:tcW w:w="656" w:type="pct"/>
            <w:noWrap/>
            <w:hideMark/>
          </w:tcPr>
          <w:p w14:paraId="2E08AFED" w14:textId="77777777" w:rsidR="00013F7F" w:rsidRPr="00D9298B" w:rsidRDefault="00013F7F" w:rsidP="00013F7F">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2023</w:t>
            </w:r>
          </w:p>
        </w:tc>
        <w:tc>
          <w:tcPr>
            <w:tcW w:w="657" w:type="pct"/>
            <w:noWrap/>
            <w:hideMark/>
          </w:tcPr>
          <w:p w14:paraId="1E51E76C" w14:textId="77777777" w:rsidR="00013F7F" w:rsidRPr="00D9298B" w:rsidRDefault="00013F7F" w:rsidP="00013F7F">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2024</w:t>
            </w:r>
          </w:p>
        </w:tc>
        <w:tc>
          <w:tcPr>
            <w:tcW w:w="657" w:type="pct"/>
            <w:noWrap/>
            <w:hideMark/>
          </w:tcPr>
          <w:p w14:paraId="4727E949" w14:textId="77777777" w:rsidR="00013F7F" w:rsidRPr="00D9298B" w:rsidRDefault="00013F7F" w:rsidP="00013F7F">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2025</w:t>
            </w:r>
          </w:p>
        </w:tc>
        <w:tc>
          <w:tcPr>
            <w:tcW w:w="657" w:type="pct"/>
            <w:noWrap/>
            <w:hideMark/>
          </w:tcPr>
          <w:p w14:paraId="612D6132" w14:textId="77777777" w:rsidR="00013F7F" w:rsidRPr="00D9298B" w:rsidRDefault="00013F7F" w:rsidP="00013F7F">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2026</w:t>
            </w:r>
          </w:p>
        </w:tc>
      </w:tr>
      <w:tr w:rsidR="00013F7F" w:rsidRPr="00D9298B" w14:paraId="6C1A5EBE" w14:textId="77777777" w:rsidTr="001948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6" w:type="pct"/>
            <w:noWrap/>
            <w:hideMark/>
          </w:tcPr>
          <w:p w14:paraId="255FBAC6" w14:textId="554721B6" w:rsidR="00013F7F" w:rsidRPr="00D26788" w:rsidRDefault="00013F7F" w:rsidP="00013F7F">
            <w:pPr>
              <w:rPr>
                <w:rFonts w:eastAsia="Times New Roman" w:cs="Calibri"/>
                <w:b w:val="0"/>
                <w:bCs w:val="0"/>
                <w:color w:val="000000"/>
                <w:sz w:val="20"/>
                <w:szCs w:val="20"/>
                <w:lang w:val="sr-Latn-ME" w:eastAsia="sr-Cyrl-BA"/>
              </w:rPr>
            </w:pPr>
            <w:r w:rsidRPr="00D26788">
              <w:rPr>
                <w:rFonts w:eastAsia="Times New Roman" w:cs="Calibri"/>
                <w:b w:val="0"/>
                <w:bCs w:val="0"/>
                <w:color w:val="000000"/>
                <w:sz w:val="20"/>
                <w:szCs w:val="20"/>
                <w:lang w:val="pl-PL" w:eastAsia="sr-Cyrl-BA"/>
              </w:rPr>
              <w:t>P</w:t>
            </w:r>
            <w:r w:rsidR="00D26788">
              <w:rPr>
                <w:rFonts w:eastAsia="Times New Roman" w:cs="Calibri"/>
                <w:b w:val="0"/>
                <w:bCs w:val="0"/>
                <w:color w:val="000000"/>
                <w:sz w:val="20"/>
                <w:szCs w:val="20"/>
                <w:lang w:val="pl-PL" w:eastAsia="sr-Cyrl-BA"/>
              </w:rPr>
              <w:t>rihodi od poreza</w:t>
            </w:r>
            <w:r w:rsidRPr="00D26788">
              <w:rPr>
                <w:rFonts w:eastAsia="Times New Roman" w:cs="Calibri"/>
                <w:b w:val="0"/>
                <w:bCs w:val="0"/>
                <w:color w:val="000000"/>
                <w:sz w:val="20"/>
                <w:szCs w:val="20"/>
                <w:lang w:val="pl-PL" w:eastAsia="sr-Cyrl-BA"/>
              </w:rPr>
              <w:t xml:space="preserve"> na dobit </w:t>
            </w:r>
            <w:r w:rsidRPr="00D26788">
              <w:rPr>
                <w:rFonts w:eastAsia="Times New Roman" w:cs="Calibri"/>
                <w:b w:val="0"/>
                <w:bCs w:val="0"/>
                <w:color w:val="000000"/>
                <w:sz w:val="20"/>
                <w:szCs w:val="20"/>
                <w:lang w:val="sr-Latn-ME" w:eastAsia="sr-Cyrl-BA"/>
              </w:rPr>
              <w:t xml:space="preserve"> u mil.€</w:t>
            </w:r>
          </w:p>
        </w:tc>
        <w:tc>
          <w:tcPr>
            <w:tcW w:w="584" w:type="pct"/>
            <w:noWrap/>
            <w:hideMark/>
          </w:tcPr>
          <w:p w14:paraId="648D1212"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74,7</w:t>
            </w:r>
          </w:p>
        </w:tc>
        <w:tc>
          <w:tcPr>
            <w:tcW w:w="584" w:type="pct"/>
            <w:noWrap/>
            <w:hideMark/>
          </w:tcPr>
          <w:p w14:paraId="12FB3C12"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90,2</w:t>
            </w:r>
          </w:p>
        </w:tc>
        <w:tc>
          <w:tcPr>
            <w:tcW w:w="656" w:type="pct"/>
            <w:noWrap/>
            <w:hideMark/>
          </w:tcPr>
          <w:p w14:paraId="4B3C37DC"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134,7</w:t>
            </w:r>
          </w:p>
        </w:tc>
        <w:tc>
          <w:tcPr>
            <w:tcW w:w="657" w:type="pct"/>
            <w:noWrap/>
            <w:hideMark/>
          </w:tcPr>
          <w:p w14:paraId="6037CB09"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149,7</w:t>
            </w:r>
          </w:p>
        </w:tc>
        <w:tc>
          <w:tcPr>
            <w:tcW w:w="657" w:type="pct"/>
            <w:noWrap/>
            <w:hideMark/>
          </w:tcPr>
          <w:p w14:paraId="5775097C"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160,4</w:t>
            </w:r>
          </w:p>
        </w:tc>
        <w:tc>
          <w:tcPr>
            <w:tcW w:w="657" w:type="pct"/>
            <w:noWrap/>
            <w:hideMark/>
          </w:tcPr>
          <w:p w14:paraId="3FF9C57F"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170,6</w:t>
            </w:r>
          </w:p>
        </w:tc>
      </w:tr>
      <w:tr w:rsidR="00013F7F" w:rsidRPr="00D9298B" w14:paraId="489FA63D" w14:textId="77777777" w:rsidTr="00194840">
        <w:trPr>
          <w:trHeight w:val="300"/>
        </w:trPr>
        <w:tc>
          <w:tcPr>
            <w:cnfStyle w:val="001000000000" w:firstRow="0" w:lastRow="0" w:firstColumn="1" w:lastColumn="0" w:oddVBand="0" w:evenVBand="0" w:oddHBand="0" w:evenHBand="0" w:firstRowFirstColumn="0" w:firstRowLastColumn="0" w:lastRowFirstColumn="0" w:lastRowLastColumn="0"/>
            <w:tcW w:w="1206" w:type="pct"/>
            <w:noWrap/>
            <w:hideMark/>
          </w:tcPr>
          <w:p w14:paraId="4AB19569" w14:textId="77777777" w:rsidR="00013F7F" w:rsidRPr="00D26788" w:rsidRDefault="00013F7F" w:rsidP="00013F7F">
            <w:pPr>
              <w:rPr>
                <w:rFonts w:eastAsia="Times New Roman" w:cs="Calibri"/>
                <w:b w:val="0"/>
                <w:bCs w:val="0"/>
                <w:color w:val="000000"/>
                <w:sz w:val="20"/>
                <w:szCs w:val="20"/>
                <w:lang w:val="sr-Latn-ME" w:eastAsia="sr-Cyrl-BA"/>
              </w:rPr>
            </w:pPr>
            <w:proofErr w:type="spellStart"/>
            <w:r w:rsidRPr="00D26788">
              <w:rPr>
                <w:rFonts w:eastAsia="Times New Roman" w:cs="Calibri"/>
                <w:b w:val="0"/>
                <w:bCs w:val="0"/>
                <w:color w:val="000000"/>
                <w:sz w:val="20"/>
                <w:szCs w:val="20"/>
                <w:lang w:eastAsia="sr-Cyrl-BA"/>
              </w:rPr>
              <w:t>Rast</w:t>
            </w:r>
            <w:proofErr w:type="spellEnd"/>
            <w:r w:rsidRPr="00D26788">
              <w:rPr>
                <w:rFonts w:eastAsia="Times New Roman" w:cs="Calibri"/>
                <w:b w:val="0"/>
                <w:bCs w:val="0"/>
                <w:color w:val="000000"/>
                <w:sz w:val="20"/>
                <w:szCs w:val="20"/>
                <w:lang w:eastAsia="sr-Cyrl-BA"/>
              </w:rPr>
              <w:t xml:space="preserve"> </w:t>
            </w:r>
            <w:proofErr w:type="spellStart"/>
            <w:r w:rsidRPr="00D26788">
              <w:rPr>
                <w:rFonts w:eastAsia="Times New Roman" w:cs="Calibri"/>
                <w:b w:val="0"/>
                <w:bCs w:val="0"/>
                <w:color w:val="000000"/>
                <w:sz w:val="20"/>
                <w:szCs w:val="20"/>
                <w:lang w:eastAsia="sr-Cyrl-BA"/>
              </w:rPr>
              <w:t>apsolutno</w:t>
            </w:r>
            <w:proofErr w:type="spellEnd"/>
            <w:r w:rsidRPr="00D26788">
              <w:rPr>
                <w:rFonts w:eastAsia="Times New Roman" w:cs="Calibri"/>
                <w:b w:val="0"/>
                <w:bCs w:val="0"/>
                <w:color w:val="000000"/>
                <w:sz w:val="20"/>
                <w:szCs w:val="20"/>
                <w:lang w:val="sr-Latn-ME" w:eastAsia="sr-Cyrl-BA"/>
              </w:rPr>
              <w:t xml:space="preserve"> </w:t>
            </w:r>
            <w:proofErr w:type="gramStart"/>
            <w:r w:rsidRPr="00D26788">
              <w:rPr>
                <w:rFonts w:eastAsia="Times New Roman" w:cs="Calibri"/>
                <w:b w:val="0"/>
                <w:bCs w:val="0"/>
                <w:color w:val="000000"/>
                <w:sz w:val="20"/>
                <w:szCs w:val="20"/>
                <w:lang w:val="sr-Latn-ME" w:eastAsia="sr-Cyrl-BA"/>
              </w:rPr>
              <w:t>mil.€</w:t>
            </w:r>
            <w:proofErr w:type="gramEnd"/>
          </w:p>
        </w:tc>
        <w:tc>
          <w:tcPr>
            <w:tcW w:w="584" w:type="pct"/>
            <w:noWrap/>
            <w:hideMark/>
          </w:tcPr>
          <w:p w14:paraId="19BDB6B0" w14:textId="77777777" w:rsidR="00013F7F" w:rsidRPr="00D9298B" w:rsidRDefault="00013F7F" w:rsidP="00013F7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p>
        </w:tc>
        <w:tc>
          <w:tcPr>
            <w:tcW w:w="584" w:type="pct"/>
            <w:noWrap/>
            <w:hideMark/>
          </w:tcPr>
          <w:p w14:paraId="1E1633BD"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15,5</w:t>
            </w:r>
          </w:p>
        </w:tc>
        <w:tc>
          <w:tcPr>
            <w:tcW w:w="656" w:type="pct"/>
            <w:noWrap/>
            <w:hideMark/>
          </w:tcPr>
          <w:p w14:paraId="54CB9D2B"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44,5</w:t>
            </w:r>
          </w:p>
        </w:tc>
        <w:tc>
          <w:tcPr>
            <w:tcW w:w="657" w:type="pct"/>
            <w:noWrap/>
            <w:hideMark/>
          </w:tcPr>
          <w:p w14:paraId="22596DB7"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15,1</w:t>
            </w:r>
          </w:p>
        </w:tc>
        <w:tc>
          <w:tcPr>
            <w:tcW w:w="657" w:type="pct"/>
            <w:noWrap/>
            <w:hideMark/>
          </w:tcPr>
          <w:p w14:paraId="5BD2B8F4"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10,6</w:t>
            </w:r>
          </w:p>
        </w:tc>
        <w:tc>
          <w:tcPr>
            <w:tcW w:w="657" w:type="pct"/>
            <w:noWrap/>
            <w:hideMark/>
          </w:tcPr>
          <w:p w14:paraId="3E0E60AD"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10,3</w:t>
            </w:r>
          </w:p>
        </w:tc>
      </w:tr>
      <w:tr w:rsidR="00013F7F" w:rsidRPr="00D9298B" w14:paraId="0D5B6511" w14:textId="77777777" w:rsidTr="001948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6" w:type="pct"/>
            <w:noWrap/>
            <w:hideMark/>
          </w:tcPr>
          <w:p w14:paraId="2FB94063" w14:textId="77777777" w:rsidR="00013F7F" w:rsidRPr="00D26788" w:rsidRDefault="00013F7F" w:rsidP="00013F7F">
            <w:pPr>
              <w:rPr>
                <w:rFonts w:eastAsia="Times New Roman" w:cs="Calibri"/>
                <w:b w:val="0"/>
                <w:bCs w:val="0"/>
                <w:color w:val="000000"/>
                <w:sz w:val="20"/>
                <w:szCs w:val="20"/>
                <w:lang w:val="sr-Latn-ME" w:eastAsia="sr-Cyrl-BA"/>
              </w:rPr>
            </w:pPr>
            <w:r w:rsidRPr="00D26788">
              <w:rPr>
                <w:rFonts w:eastAsia="Times New Roman" w:cs="Calibri"/>
                <w:b w:val="0"/>
                <w:bCs w:val="0"/>
                <w:color w:val="000000"/>
                <w:sz w:val="20"/>
                <w:szCs w:val="20"/>
                <w:lang w:eastAsia="sr-Cyrl-BA"/>
              </w:rPr>
              <w:t>Rast</w:t>
            </w:r>
            <w:r w:rsidRPr="00D26788">
              <w:rPr>
                <w:rFonts w:eastAsia="Times New Roman" w:cs="Calibri"/>
                <w:b w:val="0"/>
                <w:bCs w:val="0"/>
                <w:color w:val="000000"/>
                <w:sz w:val="20"/>
                <w:szCs w:val="20"/>
                <w:lang w:val="sr-Latn-ME" w:eastAsia="sr-Cyrl-BA"/>
              </w:rPr>
              <w:t xml:space="preserve"> u procentima</w:t>
            </w:r>
          </w:p>
        </w:tc>
        <w:tc>
          <w:tcPr>
            <w:tcW w:w="584" w:type="pct"/>
            <w:noWrap/>
            <w:hideMark/>
          </w:tcPr>
          <w:p w14:paraId="70E7E1B7" w14:textId="77777777" w:rsidR="00013F7F" w:rsidRPr="00D9298B" w:rsidRDefault="00013F7F" w:rsidP="00013F7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p>
        </w:tc>
        <w:tc>
          <w:tcPr>
            <w:tcW w:w="584" w:type="pct"/>
            <w:noWrap/>
            <w:hideMark/>
          </w:tcPr>
          <w:p w14:paraId="0ACB1BD3"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20,7</w:t>
            </w:r>
          </w:p>
        </w:tc>
        <w:tc>
          <w:tcPr>
            <w:tcW w:w="656" w:type="pct"/>
            <w:noWrap/>
            <w:hideMark/>
          </w:tcPr>
          <w:p w14:paraId="2CF72853"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49,3</w:t>
            </w:r>
          </w:p>
        </w:tc>
        <w:tc>
          <w:tcPr>
            <w:tcW w:w="657" w:type="pct"/>
            <w:noWrap/>
            <w:hideMark/>
          </w:tcPr>
          <w:p w14:paraId="20D2B43F"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11,2</w:t>
            </w:r>
          </w:p>
        </w:tc>
        <w:tc>
          <w:tcPr>
            <w:tcW w:w="657" w:type="pct"/>
            <w:noWrap/>
            <w:hideMark/>
          </w:tcPr>
          <w:p w14:paraId="4E59A249"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7,1</w:t>
            </w:r>
          </w:p>
        </w:tc>
        <w:tc>
          <w:tcPr>
            <w:tcW w:w="657" w:type="pct"/>
            <w:noWrap/>
            <w:hideMark/>
          </w:tcPr>
          <w:p w14:paraId="5FB3BCB5" w14:textId="77777777" w:rsidR="00013F7F" w:rsidRPr="00D9298B" w:rsidRDefault="00013F7F" w:rsidP="00013F7F">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6,4</w:t>
            </w:r>
          </w:p>
        </w:tc>
      </w:tr>
      <w:tr w:rsidR="00013F7F" w:rsidRPr="00D9298B" w14:paraId="696DABF9" w14:textId="77777777" w:rsidTr="00194840">
        <w:trPr>
          <w:trHeight w:val="300"/>
        </w:trPr>
        <w:tc>
          <w:tcPr>
            <w:cnfStyle w:val="001000000000" w:firstRow="0" w:lastRow="0" w:firstColumn="1" w:lastColumn="0" w:oddVBand="0" w:evenVBand="0" w:oddHBand="0" w:evenHBand="0" w:firstRowFirstColumn="0" w:firstRowLastColumn="0" w:lastRowFirstColumn="0" w:lastRowLastColumn="0"/>
            <w:tcW w:w="1206" w:type="pct"/>
            <w:noWrap/>
            <w:hideMark/>
          </w:tcPr>
          <w:p w14:paraId="0640F394" w14:textId="77777777" w:rsidR="00013F7F" w:rsidRPr="00D26788" w:rsidRDefault="00013F7F" w:rsidP="00013F7F">
            <w:pPr>
              <w:rPr>
                <w:rFonts w:eastAsia="Times New Roman" w:cs="Calibri"/>
                <w:b w:val="0"/>
                <w:bCs w:val="0"/>
                <w:color w:val="000000"/>
                <w:sz w:val="20"/>
                <w:szCs w:val="20"/>
                <w:lang w:val="sr-Latn-ME" w:eastAsia="sr-Cyrl-BA"/>
              </w:rPr>
            </w:pPr>
            <w:proofErr w:type="spellStart"/>
            <w:r w:rsidRPr="00D26788">
              <w:rPr>
                <w:rFonts w:eastAsia="Times New Roman" w:cs="Calibri"/>
                <w:b w:val="0"/>
                <w:bCs w:val="0"/>
                <w:color w:val="000000"/>
                <w:sz w:val="20"/>
                <w:szCs w:val="20"/>
                <w:lang w:eastAsia="sr-Cyrl-BA"/>
              </w:rPr>
              <w:t>Realni</w:t>
            </w:r>
            <w:proofErr w:type="spellEnd"/>
            <w:r w:rsidRPr="00D26788">
              <w:rPr>
                <w:rFonts w:eastAsia="Times New Roman" w:cs="Calibri"/>
                <w:b w:val="0"/>
                <w:bCs w:val="0"/>
                <w:color w:val="000000"/>
                <w:sz w:val="20"/>
                <w:szCs w:val="20"/>
                <w:lang w:eastAsia="sr-Cyrl-BA"/>
              </w:rPr>
              <w:t xml:space="preserve"> </w:t>
            </w:r>
            <w:proofErr w:type="spellStart"/>
            <w:r w:rsidRPr="00D26788">
              <w:rPr>
                <w:rFonts w:eastAsia="Times New Roman" w:cs="Calibri"/>
                <w:b w:val="0"/>
                <w:bCs w:val="0"/>
                <w:color w:val="000000"/>
                <w:sz w:val="20"/>
                <w:szCs w:val="20"/>
                <w:lang w:eastAsia="sr-Cyrl-BA"/>
              </w:rPr>
              <w:t>rast</w:t>
            </w:r>
            <w:proofErr w:type="spellEnd"/>
            <w:r w:rsidRPr="00D26788">
              <w:rPr>
                <w:rFonts w:eastAsia="Times New Roman" w:cs="Calibri"/>
                <w:b w:val="0"/>
                <w:bCs w:val="0"/>
                <w:color w:val="000000"/>
                <w:sz w:val="20"/>
                <w:szCs w:val="20"/>
                <w:lang w:val="sr-Latn-ME" w:eastAsia="sr-Cyrl-BA"/>
              </w:rPr>
              <w:t xml:space="preserve"> </w:t>
            </w:r>
          </w:p>
        </w:tc>
        <w:tc>
          <w:tcPr>
            <w:tcW w:w="584" w:type="pct"/>
            <w:noWrap/>
            <w:hideMark/>
          </w:tcPr>
          <w:p w14:paraId="04CD234D" w14:textId="77777777" w:rsidR="00013F7F" w:rsidRPr="00D9298B" w:rsidRDefault="00013F7F" w:rsidP="00013F7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p>
        </w:tc>
        <w:tc>
          <w:tcPr>
            <w:tcW w:w="584" w:type="pct"/>
            <w:noWrap/>
            <w:hideMark/>
          </w:tcPr>
          <w:p w14:paraId="4CCFECBB"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6,8</w:t>
            </w:r>
          </w:p>
        </w:tc>
        <w:tc>
          <w:tcPr>
            <w:tcW w:w="656" w:type="pct"/>
            <w:noWrap/>
            <w:hideMark/>
          </w:tcPr>
          <w:p w14:paraId="5FB99EC5"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38,3</w:t>
            </w:r>
          </w:p>
        </w:tc>
        <w:tc>
          <w:tcPr>
            <w:tcW w:w="657" w:type="pct"/>
            <w:noWrap/>
            <w:hideMark/>
          </w:tcPr>
          <w:p w14:paraId="6F0CC76D"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6,9</w:t>
            </w:r>
          </w:p>
        </w:tc>
        <w:tc>
          <w:tcPr>
            <w:tcW w:w="657" w:type="pct"/>
            <w:noWrap/>
            <w:hideMark/>
          </w:tcPr>
          <w:p w14:paraId="584B94F6"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3,8</w:t>
            </w:r>
          </w:p>
        </w:tc>
        <w:tc>
          <w:tcPr>
            <w:tcW w:w="657" w:type="pct"/>
            <w:noWrap/>
            <w:hideMark/>
          </w:tcPr>
          <w:p w14:paraId="669E7EA7" w14:textId="77777777" w:rsidR="00013F7F" w:rsidRPr="00D9298B" w:rsidRDefault="00013F7F" w:rsidP="00013F7F">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eastAsia="sr-Cyrl-BA"/>
              </w:rPr>
            </w:pPr>
            <w:r w:rsidRPr="00D9298B">
              <w:rPr>
                <w:rFonts w:eastAsia="Times New Roman" w:cs="Calibri"/>
                <w:color w:val="000000"/>
                <w:sz w:val="20"/>
                <w:szCs w:val="20"/>
                <w:lang w:eastAsia="sr-Cyrl-BA"/>
              </w:rPr>
              <w:t>4,1</w:t>
            </w:r>
          </w:p>
        </w:tc>
      </w:tr>
    </w:tbl>
    <w:p w14:paraId="48DB1007" w14:textId="1BBABD2B" w:rsidR="00D62DF4" w:rsidRDefault="00194840" w:rsidP="00194840">
      <w:pPr>
        <w:jc w:val="both"/>
        <w:rPr>
          <w:rFonts w:eastAsia="Calibri" w:cstheme="minorHAnsi"/>
          <w:i/>
          <w:iCs/>
          <w:kern w:val="0"/>
          <w:lang w:val="sr-Latn-ME" w:bidi="hi-IN"/>
          <w14:ligatures w14:val="none"/>
        </w:rPr>
      </w:pPr>
      <w:bookmarkStart w:id="17" w:name="_Hlk143189029"/>
      <w:r w:rsidRPr="00194840">
        <w:rPr>
          <w:rFonts w:eastAsia="Calibri" w:cstheme="minorHAnsi"/>
          <w:i/>
          <w:iCs/>
          <w:kern w:val="0"/>
          <w:lang w:val="sr-Latn-ME" w:bidi="hi-IN"/>
          <w14:ligatures w14:val="none"/>
        </w:rPr>
        <w:t>Izvor: Podaci MF o konsolidovanoj javnoj potrošnji i pro</w:t>
      </w:r>
      <w:r w:rsidR="008361D3">
        <w:rPr>
          <w:rFonts w:eastAsia="Calibri" w:cstheme="minorHAnsi"/>
          <w:i/>
          <w:iCs/>
          <w:kern w:val="0"/>
          <w:lang w:val="sr-Latn-ME" w:bidi="hi-IN"/>
          <w14:ligatures w14:val="none"/>
        </w:rPr>
        <w:t>c</w:t>
      </w:r>
      <w:r w:rsidRPr="00194840">
        <w:rPr>
          <w:rFonts w:eastAsia="Calibri" w:cstheme="minorHAnsi"/>
          <w:i/>
          <w:iCs/>
          <w:kern w:val="0"/>
          <w:lang w:val="sr-Latn-ME" w:bidi="hi-IN"/>
          <w14:ligatures w14:val="none"/>
        </w:rPr>
        <w:t>jene i projekcije</w:t>
      </w:r>
      <w:r w:rsidR="000422AA">
        <w:rPr>
          <w:rFonts w:eastAsia="Calibri" w:cstheme="minorHAnsi"/>
          <w:i/>
          <w:iCs/>
          <w:kern w:val="0"/>
          <w:lang w:val="sr-Latn-ME" w:bidi="hi-IN"/>
          <w14:ligatures w14:val="none"/>
        </w:rPr>
        <w:t xml:space="preserve"> iz Sm</w:t>
      </w:r>
      <w:r w:rsidR="00AC000E">
        <w:rPr>
          <w:rFonts w:eastAsia="Calibri" w:cstheme="minorHAnsi"/>
          <w:i/>
          <w:iCs/>
          <w:kern w:val="0"/>
          <w:lang w:val="sr-Latn-ME" w:bidi="hi-IN"/>
          <w14:ligatures w14:val="none"/>
        </w:rPr>
        <w:t>je</w:t>
      </w:r>
      <w:r w:rsidR="000422AA">
        <w:rPr>
          <w:rFonts w:eastAsia="Calibri" w:cstheme="minorHAnsi"/>
          <w:i/>
          <w:iCs/>
          <w:kern w:val="0"/>
          <w:lang w:val="sr-Latn-ME" w:bidi="hi-IN"/>
          <w14:ligatures w14:val="none"/>
        </w:rPr>
        <w:t>rnica makroekonomske i fisk</w:t>
      </w:r>
      <w:r w:rsidR="00D62DF4">
        <w:rPr>
          <w:rFonts w:eastAsia="Calibri" w:cstheme="minorHAnsi"/>
          <w:i/>
          <w:iCs/>
          <w:kern w:val="0"/>
          <w:lang w:val="sr-Latn-ME" w:bidi="hi-IN"/>
          <w14:ligatures w14:val="none"/>
        </w:rPr>
        <w:t>al</w:t>
      </w:r>
      <w:r w:rsidR="000422AA">
        <w:rPr>
          <w:rFonts w:eastAsia="Calibri" w:cstheme="minorHAnsi"/>
          <w:i/>
          <w:iCs/>
          <w:kern w:val="0"/>
          <w:lang w:val="sr-Latn-ME" w:bidi="hi-IN"/>
          <w14:ligatures w14:val="none"/>
        </w:rPr>
        <w:t xml:space="preserve">ne politike za </w:t>
      </w:r>
      <w:r w:rsidR="00AC000E">
        <w:rPr>
          <w:rFonts w:eastAsia="Calibri" w:cstheme="minorHAnsi"/>
          <w:i/>
          <w:iCs/>
          <w:kern w:val="0"/>
          <w:lang w:val="sr-Latn-ME" w:bidi="hi-IN"/>
          <w14:ligatures w14:val="none"/>
        </w:rPr>
        <w:t>pe</w:t>
      </w:r>
      <w:r w:rsidR="000422AA">
        <w:rPr>
          <w:rFonts w:eastAsia="Calibri" w:cstheme="minorHAnsi"/>
          <w:i/>
          <w:iCs/>
          <w:kern w:val="0"/>
          <w:lang w:val="sr-Latn-ME" w:bidi="hi-IN"/>
          <w14:ligatures w14:val="none"/>
        </w:rPr>
        <w:t xml:space="preserve">riod 2023-2026. </w:t>
      </w:r>
    </w:p>
    <w:p w14:paraId="26F9725A" w14:textId="77777777" w:rsidR="00B67D63" w:rsidRPr="00194840" w:rsidRDefault="00B67D63" w:rsidP="00194840">
      <w:pPr>
        <w:jc w:val="both"/>
        <w:rPr>
          <w:rFonts w:eastAsia="Calibri" w:cstheme="minorHAnsi"/>
          <w:i/>
          <w:iCs/>
          <w:kern w:val="0"/>
          <w:lang w:val="sr-Latn-ME" w:bidi="hi-IN"/>
          <w14:ligatures w14:val="none"/>
        </w:rPr>
      </w:pPr>
    </w:p>
    <w:p w14:paraId="75F4F6C4" w14:textId="1F37737D" w:rsidR="00013F7F" w:rsidRPr="00B67D63" w:rsidRDefault="00013F7F" w:rsidP="00B67D63">
      <w:pPr>
        <w:pStyle w:val="ListParagraph"/>
        <w:keepNext/>
        <w:keepLines/>
        <w:numPr>
          <w:ilvl w:val="2"/>
          <w:numId w:val="25"/>
        </w:numPr>
        <w:spacing w:before="40" w:after="0"/>
        <w:jc w:val="both"/>
        <w:outlineLvl w:val="1"/>
        <w:rPr>
          <w:rFonts w:eastAsia="Times New Roman" w:cstheme="minorHAnsi"/>
          <w:color w:val="1F3864" w:themeColor="accent1" w:themeShade="80"/>
          <w:sz w:val="24"/>
          <w:szCs w:val="24"/>
          <w:lang w:val="sr-Latn-ME" w:bidi="hi-IN"/>
          <w14:ligatures w14:val="none"/>
        </w:rPr>
      </w:pPr>
      <w:bookmarkStart w:id="18" w:name="_Toc143192785"/>
      <w:bookmarkStart w:id="19" w:name="_Toc143192847"/>
      <w:bookmarkStart w:id="20" w:name="_Toc143192920"/>
      <w:bookmarkStart w:id="21" w:name="_Toc143216406"/>
      <w:bookmarkStart w:id="22" w:name="_Toc143222213"/>
      <w:bookmarkStart w:id="23" w:name="_Toc147990148"/>
      <w:bookmarkEnd w:id="17"/>
      <w:r w:rsidRPr="00B67D63">
        <w:rPr>
          <w:rFonts w:eastAsia="Times New Roman" w:cstheme="minorHAnsi"/>
          <w:color w:val="1F3864" w:themeColor="accent1" w:themeShade="80"/>
          <w:sz w:val="24"/>
          <w:szCs w:val="24"/>
          <w:lang w:val="sr-Latn-ME" w:bidi="hi-IN"/>
          <w14:ligatures w14:val="none"/>
        </w:rPr>
        <w:t>Analiza naplaćenih prihoda od oporezivanja zarada</w:t>
      </w:r>
      <w:bookmarkEnd w:id="18"/>
      <w:bookmarkEnd w:id="19"/>
      <w:bookmarkEnd w:id="20"/>
      <w:bookmarkEnd w:id="21"/>
      <w:bookmarkEnd w:id="22"/>
      <w:r w:rsidR="00903F36" w:rsidRPr="00B67D63">
        <w:rPr>
          <w:rFonts w:eastAsia="Times New Roman" w:cstheme="minorHAnsi"/>
          <w:color w:val="1F3864" w:themeColor="accent1" w:themeShade="80"/>
          <w:sz w:val="24"/>
          <w:szCs w:val="24"/>
          <w:lang w:val="sr-Latn-ME" w:bidi="hi-IN"/>
          <w14:ligatures w14:val="none"/>
        </w:rPr>
        <w:t xml:space="preserve"> i procjena uticaja poreske reforme na smanjenje sive ekonomije u oblasti zarada</w:t>
      </w:r>
      <w:bookmarkEnd w:id="23"/>
    </w:p>
    <w:p w14:paraId="30A1ECFE" w14:textId="77777777" w:rsidR="00677241" w:rsidRPr="00B67D63" w:rsidRDefault="00677241" w:rsidP="00B67D63">
      <w:pPr>
        <w:pStyle w:val="ListParagraph"/>
        <w:keepNext/>
        <w:keepLines/>
        <w:spacing w:before="40" w:after="0"/>
        <w:jc w:val="both"/>
        <w:outlineLvl w:val="1"/>
        <w:rPr>
          <w:rFonts w:eastAsia="Times New Roman" w:cstheme="minorHAnsi"/>
          <w:sz w:val="24"/>
          <w:szCs w:val="24"/>
          <w:lang w:val="sr-Latn-ME" w:bidi="hi-IN"/>
          <w14:ligatures w14:val="none"/>
        </w:rPr>
      </w:pPr>
    </w:p>
    <w:p w14:paraId="1332587C" w14:textId="52BAD5CA" w:rsidR="00677241" w:rsidRPr="001936AC" w:rsidRDefault="00677241" w:rsidP="00677241">
      <w:pPr>
        <w:rPr>
          <w:sz w:val="24"/>
          <w:szCs w:val="24"/>
          <w:lang w:val="sr-Latn-ME"/>
        </w:rPr>
      </w:pPr>
      <w:r w:rsidRPr="001936AC">
        <w:rPr>
          <w:sz w:val="24"/>
          <w:szCs w:val="24"/>
          <w:lang w:val="sr-Latn-ME"/>
        </w:rPr>
        <w:t xml:space="preserve">Simulacioni model za procjenu uticaja poreske reforme na smanjenje neprijavljenih zarada  za potrebe ovog Programa, urađen ja na osnovu: </w:t>
      </w:r>
    </w:p>
    <w:p w14:paraId="0D79568E" w14:textId="590EEDA3" w:rsidR="00677241" w:rsidRPr="001936AC" w:rsidRDefault="00A751A1" w:rsidP="00677241">
      <w:pPr>
        <w:numPr>
          <w:ilvl w:val="0"/>
          <w:numId w:val="28"/>
        </w:numPr>
        <w:spacing w:line="276" w:lineRule="auto"/>
        <w:contextualSpacing/>
        <w:rPr>
          <w:rFonts w:eastAsia="Calibri" w:cstheme="minorHAnsi"/>
          <w:sz w:val="24"/>
          <w:szCs w:val="24"/>
          <w:lang w:val="sr-Latn-ME"/>
        </w:rPr>
      </w:pPr>
      <w:r>
        <w:rPr>
          <w:rFonts w:eastAsia="Calibri" w:cstheme="minorHAnsi"/>
          <w:sz w:val="24"/>
          <w:szCs w:val="24"/>
          <w:lang w:val="sr-Latn-ME"/>
        </w:rPr>
        <w:t>m</w:t>
      </w:r>
      <w:r w:rsidR="00677241" w:rsidRPr="001936AC">
        <w:rPr>
          <w:rFonts w:eastAsia="Calibri" w:cstheme="minorHAnsi"/>
          <w:sz w:val="24"/>
          <w:szCs w:val="24"/>
          <w:lang w:val="sr-Latn-ME"/>
        </w:rPr>
        <w:t>akroekonomskog  scenarija iz dokumenta Smjernice makroekonomske i fiskalne politike Crne Gore za period 2023-2026. godina</w:t>
      </w:r>
      <w:r>
        <w:rPr>
          <w:rFonts w:eastAsia="Calibri" w:cstheme="minorHAnsi"/>
          <w:sz w:val="24"/>
          <w:szCs w:val="24"/>
          <w:lang w:val="sr-Latn-ME"/>
        </w:rPr>
        <w:t>,</w:t>
      </w:r>
      <w:r w:rsidR="00677241" w:rsidRPr="001936AC">
        <w:rPr>
          <w:rFonts w:eastAsia="Calibri" w:cstheme="minorHAnsi"/>
          <w:sz w:val="24"/>
          <w:szCs w:val="24"/>
          <w:lang w:val="sr-Latn-ME"/>
        </w:rPr>
        <w:t xml:space="preserve"> </w:t>
      </w:r>
    </w:p>
    <w:p w14:paraId="02FA4055" w14:textId="21925FD5" w:rsidR="00677241" w:rsidRPr="001936AC" w:rsidRDefault="00A751A1" w:rsidP="00677241">
      <w:pPr>
        <w:numPr>
          <w:ilvl w:val="0"/>
          <w:numId w:val="28"/>
        </w:numPr>
        <w:spacing w:line="276" w:lineRule="auto"/>
        <w:contextualSpacing/>
        <w:rPr>
          <w:rFonts w:eastAsia="Calibri" w:cstheme="minorHAnsi"/>
          <w:sz w:val="24"/>
          <w:szCs w:val="24"/>
          <w:lang w:val="sr-Latn-ME"/>
        </w:rPr>
      </w:pPr>
      <w:r>
        <w:rPr>
          <w:rFonts w:eastAsia="Calibri" w:cstheme="minorHAnsi"/>
          <w:sz w:val="24"/>
          <w:szCs w:val="24"/>
          <w:lang w:val="sr-Latn-ME"/>
        </w:rPr>
        <w:t>f</w:t>
      </w:r>
      <w:r w:rsidR="00677241" w:rsidRPr="001936AC">
        <w:rPr>
          <w:rFonts w:eastAsia="Calibri" w:cstheme="minorHAnsi"/>
          <w:sz w:val="24"/>
          <w:szCs w:val="24"/>
          <w:lang w:val="sr-Latn-ME"/>
        </w:rPr>
        <w:t>iskalnih projekcija iz dokumenta Smjernice makroekonomske i fiskalne politike Crne Gore za period 2023-2026. godina, uključujući projekciju prihoda od doprinosa na PIO</w:t>
      </w:r>
      <w:r>
        <w:rPr>
          <w:rFonts w:eastAsia="Calibri" w:cstheme="minorHAnsi"/>
          <w:sz w:val="24"/>
          <w:szCs w:val="24"/>
          <w:lang w:val="sr-Latn-ME"/>
        </w:rPr>
        <w:t>,</w:t>
      </w:r>
    </w:p>
    <w:p w14:paraId="5582BFF0" w14:textId="18700A27" w:rsidR="00677241" w:rsidRPr="001936AC" w:rsidRDefault="00A751A1" w:rsidP="00677241">
      <w:pPr>
        <w:numPr>
          <w:ilvl w:val="0"/>
          <w:numId w:val="28"/>
        </w:numPr>
        <w:spacing w:line="276" w:lineRule="auto"/>
        <w:contextualSpacing/>
        <w:rPr>
          <w:rFonts w:eastAsia="Calibri" w:cstheme="minorHAnsi"/>
          <w:sz w:val="24"/>
          <w:szCs w:val="24"/>
          <w:lang w:val="sr-Latn-ME"/>
        </w:rPr>
      </w:pPr>
      <w:r>
        <w:rPr>
          <w:rFonts w:eastAsia="Calibri" w:cstheme="minorHAnsi"/>
          <w:sz w:val="24"/>
          <w:szCs w:val="24"/>
          <w:lang w:val="sr-Latn-ME"/>
        </w:rPr>
        <w:t>i</w:t>
      </w:r>
      <w:r w:rsidR="00677241" w:rsidRPr="001936AC">
        <w:rPr>
          <w:rFonts w:eastAsia="Calibri" w:cstheme="minorHAnsi"/>
          <w:sz w:val="24"/>
          <w:szCs w:val="24"/>
          <w:lang w:val="sr-Latn-ME"/>
        </w:rPr>
        <w:t xml:space="preserve">straživanje </w:t>
      </w:r>
      <w:r w:rsidR="006C691C">
        <w:rPr>
          <w:rFonts w:eastAsia="Calibri" w:cstheme="minorHAnsi"/>
          <w:sz w:val="24"/>
          <w:szCs w:val="24"/>
          <w:lang w:val="sr-Latn-ME"/>
        </w:rPr>
        <w:t>autora IPSOS, radulović, Krstić u 2022. godini pod nazivom</w:t>
      </w:r>
      <w:r w:rsidR="00677241" w:rsidRPr="001936AC">
        <w:rPr>
          <w:rFonts w:eastAsia="Calibri" w:cstheme="minorHAnsi"/>
          <w:sz w:val="24"/>
          <w:szCs w:val="24"/>
          <w:lang w:val="sr-Latn-ME"/>
        </w:rPr>
        <w:t xml:space="preserve">: </w:t>
      </w:r>
      <w:r>
        <w:rPr>
          <w:rFonts w:eastAsia="Calibri" w:cstheme="minorHAnsi"/>
          <w:sz w:val="24"/>
          <w:szCs w:val="24"/>
          <w:lang w:val="sr-Latn-ME"/>
        </w:rPr>
        <w:t>„</w:t>
      </w:r>
      <w:proofErr w:type="spellStart"/>
      <w:r w:rsidR="00677241" w:rsidRPr="001936AC">
        <w:rPr>
          <w:rFonts w:eastAsia="Calibri" w:cstheme="minorHAnsi"/>
          <w:sz w:val="24"/>
          <w:szCs w:val="24"/>
        </w:rPr>
        <w:t>Istra</w:t>
      </w:r>
      <w:proofErr w:type="spellEnd"/>
      <w:r w:rsidR="00677241" w:rsidRPr="006C691C">
        <w:rPr>
          <w:rFonts w:eastAsia="Calibri" w:cstheme="minorHAnsi"/>
          <w:sz w:val="24"/>
          <w:szCs w:val="24"/>
          <w:lang w:val="sr-Latn-ME"/>
        </w:rPr>
        <w:t>ž</w:t>
      </w:r>
      <w:proofErr w:type="spellStart"/>
      <w:r w:rsidR="00677241" w:rsidRPr="001936AC">
        <w:rPr>
          <w:rFonts w:eastAsia="Calibri" w:cstheme="minorHAnsi"/>
          <w:sz w:val="24"/>
          <w:szCs w:val="24"/>
        </w:rPr>
        <w:t>ivanje</w:t>
      </w:r>
      <w:proofErr w:type="spellEnd"/>
      <w:r w:rsidR="00677241" w:rsidRPr="006C691C">
        <w:rPr>
          <w:rFonts w:eastAsia="Calibri" w:cstheme="minorHAnsi"/>
          <w:sz w:val="24"/>
          <w:szCs w:val="24"/>
          <w:lang w:val="sr-Latn-ME"/>
        </w:rPr>
        <w:t xml:space="preserve"> </w:t>
      </w:r>
      <w:r w:rsidR="00677241" w:rsidRPr="001936AC">
        <w:rPr>
          <w:rFonts w:eastAsia="Calibri" w:cstheme="minorHAnsi"/>
          <w:sz w:val="24"/>
          <w:szCs w:val="24"/>
        </w:rPr>
        <w:t>me</w:t>
      </w:r>
      <w:r w:rsidR="00677241" w:rsidRPr="006C691C">
        <w:rPr>
          <w:rFonts w:eastAsia="Calibri" w:cstheme="minorHAnsi"/>
          <w:sz w:val="24"/>
          <w:szCs w:val="24"/>
          <w:lang w:val="sr-Latn-ME"/>
        </w:rPr>
        <w:t>đ</w:t>
      </w:r>
      <w:r w:rsidR="00677241" w:rsidRPr="001936AC">
        <w:rPr>
          <w:rFonts w:eastAsia="Calibri" w:cstheme="minorHAnsi"/>
          <w:sz w:val="24"/>
          <w:szCs w:val="24"/>
        </w:rPr>
        <w:t>u</w:t>
      </w:r>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doma</w:t>
      </w:r>
      <w:proofErr w:type="spellEnd"/>
      <w:r w:rsidR="00677241" w:rsidRPr="006C691C">
        <w:rPr>
          <w:rFonts w:eastAsia="Calibri" w:cstheme="minorHAnsi"/>
          <w:sz w:val="24"/>
          <w:szCs w:val="24"/>
          <w:lang w:val="sr-Latn-ME"/>
        </w:rPr>
        <w:t>ć</w:t>
      </w:r>
      <w:proofErr w:type="spellStart"/>
      <w:r w:rsidR="00677241" w:rsidRPr="001936AC">
        <w:rPr>
          <w:rFonts w:eastAsia="Calibri" w:cstheme="minorHAnsi"/>
          <w:sz w:val="24"/>
          <w:szCs w:val="24"/>
        </w:rPr>
        <w:t>instvima</w:t>
      </w:r>
      <w:proofErr w:type="spellEnd"/>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i</w:t>
      </w:r>
      <w:proofErr w:type="spellEnd"/>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preduze</w:t>
      </w:r>
      <w:r w:rsidR="00677241" w:rsidRPr="00BF69E2">
        <w:rPr>
          <w:rFonts w:eastAsia="Calibri" w:cstheme="minorHAnsi"/>
          <w:sz w:val="24"/>
          <w:szCs w:val="24"/>
        </w:rPr>
        <w:t>ć</w:t>
      </w:r>
      <w:r w:rsidR="00677241" w:rsidRPr="001936AC">
        <w:rPr>
          <w:rFonts w:eastAsia="Calibri" w:cstheme="minorHAnsi"/>
          <w:sz w:val="24"/>
          <w:szCs w:val="24"/>
        </w:rPr>
        <w:t>ima</w:t>
      </w:r>
      <w:proofErr w:type="spellEnd"/>
      <w:r w:rsidR="00677241" w:rsidRPr="00BF69E2">
        <w:rPr>
          <w:rFonts w:eastAsia="Calibri" w:cstheme="minorHAnsi"/>
          <w:sz w:val="24"/>
          <w:szCs w:val="24"/>
          <w:lang w:val="sr-Latn-ME"/>
        </w:rPr>
        <w:t xml:space="preserve">, </w:t>
      </w:r>
      <w:proofErr w:type="spellStart"/>
      <w:r w:rsidR="00677241" w:rsidRPr="001936AC">
        <w:rPr>
          <w:rFonts w:eastAsia="Calibri" w:cstheme="minorHAnsi"/>
          <w:sz w:val="24"/>
          <w:szCs w:val="24"/>
        </w:rPr>
        <w:t>sa</w:t>
      </w:r>
      <w:proofErr w:type="spellEnd"/>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ciljem</w:t>
      </w:r>
      <w:proofErr w:type="spellEnd"/>
      <w:r w:rsidR="00677241" w:rsidRPr="00BF69E2">
        <w:rPr>
          <w:rFonts w:eastAsia="Calibri" w:cstheme="minorHAnsi"/>
          <w:sz w:val="24"/>
          <w:szCs w:val="24"/>
          <w:lang w:val="sr-Latn-ME"/>
        </w:rPr>
        <w:t xml:space="preserve"> </w:t>
      </w:r>
      <w:proofErr w:type="spellStart"/>
      <w:r w:rsidR="00677241" w:rsidRPr="001936AC">
        <w:rPr>
          <w:rFonts w:eastAsia="Calibri" w:cstheme="minorHAnsi"/>
          <w:sz w:val="24"/>
          <w:szCs w:val="24"/>
        </w:rPr>
        <w:t>utvr</w:t>
      </w:r>
      <w:proofErr w:type="spellEnd"/>
      <w:r w:rsidR="00677241" w:rsidRPr="00BF69E2">
        <w:rPr>
          <w:rFonts w:eastAsia="Calibri" w:cstheme="minorHAnsi"/>
          <w:sz w:val="24"/>
          <w:szCs w:val="24"/>
          <w:lang w:val="sr-Latn-ME"/>
        </w:rPr>
        <w:t>đ</w:t>
      </w:r>
      <w:proofErr w:type="spellStart"/>
      <w:r w:rsidR="00677241" w:rsidRPr="001936AC">
        <w:rPr>
          <w:rFonts w:eastAsia="Calibri" w:cstheme="minorHAnsi"/>
          <w:sz w:val="24"/>
          <w:szCs w:val="24"/>
        </w:rPr>
        <w:t>ivanja</w:t>
      </w:r>
      <w:proofErr w:type="spellEnd"/>
      <w:r w:rsidR="00677241" w:rsidRPr="00BF69E2">
        <w:rPr>
          <w:rFonts w:eastAsia="Calibri" w:cstheme="minorHAnsi"/>
          <w:sz w:val="24"/>
          <w:szCs w:val="24"/>
          <w:lang w:val="sr-Latn-ME"/>
        </w:rPr>
        <w:t xml:space="preserve"> </w:t>
      </w:r>
      <w:proofErr w:type="spellStart"/>
      <w:r w:rsidR="00677241" w:rsidRPr="001936AC">
        <w:rPr>
          <w:rFonts w:eastAsia="Calibri" w:cstheme="minorHAnsi"/>
          <w:sz w:val="24"/>
          <w:szCs w:val="24"/>
        </w:rPr>
        <w:t>obima</w:t>
      </w:r>
      <w:proofErr w:type="spellEnd"/>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i</w:t>
      </w:r>
      <w:proofErr w:type="spellEnd"/>
      <w:r w:rsidR="00677241" w:rsidRPr="00BF69E2">
        <w:rPr>
          <w:rFonts w:eastAsia="Calibri" w:cstheme="minorHAnsi"/>
          <w:sz w:val="24"/>
          <w:szCs w:val="24"/>
          <w:lang w:val="sr-Latn-ME"/>
        </w:rPr>
        <w:t xml:space="preserve"> </w:t>
      </w:r>
      <w:proofErr w:type="spellStart"/>
      <w:r w:rsidR="00677241" w:rsidRPr="001936AC">
        <w:rPr>
          <w:rFonts w:eastAsia="Calibri" w:cstheme="minorHAnsi"/>
          <w:sz w:val="24"/>
          <w:szCs w:val="24"/>
        </w:rPr>
        <w:t>strukture</w:t>
      </w:r>
      <w:proofErr w:type="spellEnd"/>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sive</w:t>
      </w:r>
      <w:proofErr w:type="spellEnd"/>
      <w:r w:rsidR="00677241" w:rsidRPr="00BF69E2">
        <w:rPr>
          <w:rFonts w:eastAsia="Calibri" w:cstheme="minorHAnsi"/>
          <w:sz w:val="24"/>
          <w:szCs w:val="24"/>
          <w:lang w:val="sr-Latn-ME"/>
        </w:rPr>
        <w:t xml:space="preserve"> </w:t>
      </w:r>
      <w:proofErr w:type="spellStart"/>
      <w:r w:rsidR="00677241" w:rsidRPr="001936AC">
        <w:rPr>
          <w:rFonts w:eastAsia="Calibri" w:cstheme="minorHAnsi"/>
          <w:sz w:val="24"/>
          <w:szCs w:val="24"/>
        </w:rPr>
        <w:t>ekonomije</w:t>
      </w:r>
      <w:proofErr w:type="spellEnd"/>
      <w:r w:rsidR="00677241" w:rsidRPr="006C691C">
        <w:rPr>
          <w:rFonts w:eastAsia="Calibri" w:cstheme="minorHAnsi"/>
          <w:sz w:val="24"/>
          <w:szCs w:val="24"/>
          <w:lang w:val="sr-Latn-ME"/>
        </w:rPr>
        <w:t xml:space="preserve"> </w:t>
      </w:r>
      <w:r w:rsidR="00677241" w:rsidRPr="001936AC">
        <w:rPr>
          <w:rFonts w:eastAsia="Calibri" w:cstheme="minorHAnsi"/>
          <w:sz w:val="24"/>
          <w:szCs w:val="24"/>
        </w:rPr>
        <w:t>u</w:t>
      </w:r>
      <w:r w:rsidR="00677241" w:rsidRPr="006C691C">
        <w:rPr>
          <w:rFonts w:eastAsia="Calibri" w:cstheme="minorHAnsi"/>
          <w:sz w:val="24"/>
          <w:szCs w:val="24"/>
          <w:lang w:val="sr-Latn-ME"/>
        </w:rPr>
        <w:t xml:space="preserve"> </w:t>
      </w:r>
      <w:proofErr w:type="spellStart"/>
      <w:r w:rsidR="00677241" w:rsidRPr="001936AC">
        <w:rPr>
          <w:rFonts w:eastAsia="Calibri" w:cstheme="minorHAnsi"/>
          <w:sz w:val="24"/>
          <w:szCs w:val="24"/>
        </w:rPr>
        <w:t>Crnoj</w:t>
      </w:r>
      <w:proofErr w:type="spellEnd"/>
      <w:r w:rsidR="00677241" w:rsidRPr="006C691C">
        <w:rPr>
          <w:rFonts w:eastAsia="Calibri" w:cstheme="minorHAnsi"/>
          <w:sz w:val="24"/>
          <w:szCs w:val="24"/>
          <w:lang w:val="sr-Latn-ME"/>
        </w:rPr>
        <w:t xml:space="preserve"> </w:t>
      </w:r>
      <w:r w:rsidR="00677241" w:rsidRPr="001936AC">
        <w:rPr>
          <w:rFonts w:eastAsia="Calibri" w:cstheme="minorHAnsi"/>
          <w:sz w:val="24"/>
          <w:szCs w:val="24"/>
        </w:rPr>
        <w:t>Gori</w:t>
      </w:r>
      <w:r w:rsidRPr="006C691C">
        <w:rPr>
          <w:rFonts w:eastAsia="Calibri" w:cstheme="minorHAnsi"/>
          <w:sz w:val="24"/>
          <w:szCs w:val="24"/>
          <w:lang w:val="sr-Latn-ME"/>
        </w:rPr>
        <w:t>”</w:t>
      </w:r>
      <w:r w:rsidR="00677241" w:rsidRPr="001936AC">
        <w:rPr>
          <w:rFonts w:eastAsia="Calibri" w:cstheme="minorHAnsi"/>
          <w:sz w:val="24"/>
          <w:szCs w:val="24"/>
          <w:lang w:val="sr-Latn-ME"/>
        </w:rPr>
        <w:t xml:space="preserve">. </w:t>
      </w:r>
    </w:p>
    <w:p w14:paraId="6BACB666" w14:textId="77777777" w:rsidR="00677241" w:rsidRPr="001936AC" w:rsidRDefault="00677241" w:rsidP="00677241">
      <w:pPr>
        <w:keepNext/>
        <w:keepLines/>
        <w:spacing w:before="40" w:after="0"/>
        <w:outlineLvl w:val="1"/>
        <w:rPr>
          <w:rFonts w:eastAsia="Times New Roman" w:cstheme="minorHAnsi"/>
          <w:b/>
          <w:bCs/>
          <w:sz w:val="24"/>
          <w:szCs w:val="24"/>
          <w:lang w:val="sr-Latn-ME" w:bidi="hi-IN"/>
          <w14:ligatures w14:val="none"/>
        </w:rPr>
      </w:pPr>
    </w:p>
    <w:p w14:paraId="775BC14C" w14:textId="0F76EAED" w:rsidR="005B5992" w:rsidRPr="005B5992" w:rsidRDefault="00D256CD" w:rsidP="005B5992">
      <w:pPr>
        <w:jc w:val="both"/>
        <w:rPr>
          <w:rFonts w:eastAsia="Calibri" w:cstheme="minorHAnsi"/>
          <w:kern w:val="0"/>
          <w:sz w:val="24"/>
          <w:szCs w:val="24"/>
          <w:lang w:val="sr-Latn-RS" w:bidi="hi-IN"/>
          <w14:ligatures w14:val="none"/>
        </w:rPr>
      </w:pPr>
      <w:r w:rsidRPr="00D256CD">
        <w:rPr>
          <w:rFonts w:eastAsia="Calibri" w:cstheme="minorHAnsi"/>
          <w:kern w:val="0"/>
          <w:sz w:val="24"/>
          <w:szCs w:val="24"/>
          <w:lang w:val="sr-Latn-RS" w:bidi="hi-IN"/>
          <w14:ligatures w14:val="none"/>
        </w:rPr>
        <w:t>Od 1. januara 2022.</w:t>
      </w:r>
      <w:r w:rsidR="00433E06">
        <w:rPr>
          <w:rFonts w:eastAsia="Calibri" w:cstheme="minorHAnsi"/>
          <w:kern w:val="0"/>
          <w:sz w:val="24"/>
          <w:szCs w:val="24"/>
          <w:lang w:val="sr-Latn-RS" w:bidi="hi-IN"/>
          <w14:ligatures w14:val="none"/>
        </w:rPr>
        <w:t xml:space="preserve"> </w:t>
      </w:r>
      <w:r w:rsidRPr="00D256CD">
        <w:rPr>
          <w:rFonts w:eastAsia="Calibri" w:cstheme="minorHAnsi"/>
          <w:kern w:val="0"/>
          <w:sz w:val="24"/>
          <w:szCs w:val="24"/>
          <w:lang w:val="sr-Latn-RS" w:bidi="hi-IN"/>
          <w14:ligatures w14:val="none"/>
        </w:rPr>
        <w:t xml:space="preserve">godine, </w:t>
      </w:r>
      <w:r w:rsidR="00923D1D">
        <w:rPr>
          <w:rFonts w:eastAsia="Calibri" w:cstheme="minorHAnsi"/>
          <w:kern w:val="0"/>
          <w:sz w:val="24"/>
          <w:szCs w:val="24"/>
          <w:lang w:val="sr-Latn-RS" w:bidi="hi-IN"/>
          <w14:ligatures w14:val="none"/>
        </w:rPr>
        <w:t>poreskom reformom</w:t>
      </w:r>
      <w:r w:rsidRPr="00D256CD">
        <w:rPr>
          <w:rFonts w:eastAsia="Calibri" w:cstheme="minorHAnsi"/>
          <w:kern w:val="0"/>
          <w:sz w:val="24"/>
          <w:szCs w:val="24"/>
          <w:lang w:val="sr-Latn-RS" w:bidi="hi-IN"/>
          <w14:ligatures w14:val="none"/>
        </w:rPr>
        <w:t xml:space="preserve"> kroz</w:t>
      </w:r>
      <w:r w:rsidR="006C691C">
        <w:rPr>
          <w:rFonts w:eastAsia="Calibri" w:cstheme="minorHAnsi"/>
          <w:kern w:val="0"/>
          <w:sz w:val="24"/>
          <w:szCs w:val="24"/>
          <w:lang w:val="sr-Latn-RS" w:bidi="hi-IN"/>
          <w14:ligatures w14:val="none"/>
        </w:rPr>
        <w:t xml:space="preserve"> poresku reformu u okviru </w:t>
      </w:r>
      <w:r w:rsidRPr="00D256CD">
        <w:rPr>
          <w:rFonts w:eastAsia="Calibri" w:cstheme="minorHAnsi"/>
          <w:kern w:val="0"/>
          <w:sz w:val="24"/>
          <w:szCs w:val="24"/>
          <w:lang w:val="sr-Latn-RS" w:bidi="hi-IN"/>
          <w14:ligatures w14:val="none"/>
        </w:rPr>
        <w:t xml:space="preserve"> </w:t>
      </w:r>
      <w:r w:rsidR="006C691C">
        <w:rPr>
          <w:rFonts w:eastAsia="Calibri" w:cstheme="minorHAnsi"/>
          <w:kern w:val="0"/>
          <w:sz w:val="24"/>
          <w:szCs w:val="24"/>
          <w:lang w:val="sr-Latn-RS" w:bidi="hi-IN"/>
          <w14:ligatures w14:val="none"/>
        </w:rPr>
        <w:t>P</w:t>
      </w:r>
      <w:r w:rsidRPr="00D256CD">
        <w:rPr>
          <w:rFonts w:eastAsia="Calibri" w:cstheme="minorHAnsi"/>
          <w:kern w:val="0"/>
          <w:sz w:val="24"/>
          <w:szCs w:val="24"/>
          <w:lang w:val="sr-Latn-RS" w:bidi="hi-IN"/>
          <w14:ligatures w14:val="none"/>
        </w:rPr>
        <w:t>rogram</w:t>
      </w:r>
      <w:r w:rsidR="006C691C">
        <w:rPr>
          <w:rFonts w:eastAsia="Calibri" w:cstheme="minorHAnsi"/>
          <w:kern w:val="0"/>
          <w:sz w:val="24"/>
          <w:szCs w:val="24"/>
          <w:lang w:val="sr-Latn-RS" w:bidi="hi-IN"/>
          <w14:ligatures w14:val="none"/>
        </w:rPr>
        <w:t>a</w:t>
      </w:r>
      <w:r w:rsidRPr="00D256CD">
        <w:rPr>
          <w:rFonts w:eastAsia="Calibri" w:cstheme="minorHAnsi"/>
          <w:kern w:val="0"/>
          <w:sz w:val="24"/>
          <w:szCs w:val="24"/>
          <w:lang w:val="sr-Latn-RS" w:bidi="hi-IN"/>
          <w14:ligatures w14:val="none"/>
        </w:rPr>
        <w:t xml:space="preserve"> „Evropa sad“, </w:t>
      </w:r>
      <w:r w:rsidR="00923D1D">
        <w:rPr>
          <w:rFonts w:eastAsia="Calibri" w:cstheme="minorHAnsi"/>
          <w:kern w:val="0"/>
          <w:sz w:val="24"/>
          <w:szCs w:val="24"/>
          <w:lang w:val="sr-Latn-RS" w:bidi="hi-IN"/>
          <w14:ligatures w14:val="none"/>
        </w:rPr>
        <w:t>ukinuta je</w:t>
      </w:r>
      <w:r w:rsidRPr="00D256CD">
        <w:rPr>
          <w:rFonts w:eastAsia="Calibri" w:cstheme="minorHAnsi"/>
          <w:kern w:val="0"/>
          <w:sz w:val="24"/>
          <w:szCs w:val="24"/>
          <w:lang w:val="sr-Latn-RS" w:bidi="hi-IN"/>
          <w14:ligatures w14:val="none"/>
        </w:rPr>
        <w:t xml:space="preserve"> </w:t>
      </w:r>
      <w:r w:rsidR="00051D3A">
        <w:rPr>
          <w:rFonts w:eastAsia="Calibri" w:cstheme="minorHAnsi"/>
          <w:kern w:val="0"/>
          <w:sz w:val="24"/>
          <w:szCs w:val="24"/>
          <w:lang w:val="sr-Latn-RS" w:bidi="hi-IN"/>
          <w14:ligatures w14:val="none"/>
        </w:rPr>
        <w:t xml:space="preserve">obaveza plaćanja </w:t>
      </w:r>
      <w:r w:rsidRPr="00D256CD">
        <w:rPr>
          <w:rFonts w:eastAsia="Calibri" w:cstheme="minorHAnsi"/>
          <w:kern w:val="0"/>
          <w:sz w:val="24"/>
          <w:szCs w:val="24"/>
          <w:lang w:val="sr-Latn-RS" w:bidi="hi-IN"/>
          <w14:ligatures w14:val="none"/>
        </w:rPr>
        <w:t>doprinosa na obavezno zdravstveno osiguranje i  uv</w:t>
      </w:r>
      <w:r w:rsidR="00923D1D">
        <w:rPr>
          <w:rFonts w:eastAsia="Calibri" w:cstheme="minorHAnsi"/>
          <w:kern w:val="0"/>
          <w:sz w:val="24"/>
          <w:szCs w:val="24"/>
          <w:lang w:val="sr-Latn-RS" w:bidi="hi-IN"/>
          <w14:ligatures w14:val="none"/>
        </w:rPr>
        <w:t>edene su</w:t>
      </w:r>
      <w:r w:rsidRPr="00D256CD">
        <w:rPr>
          <w:rFonts w:eastAsia="Calibri" w:cstheme="minorHAnsi"/>
          <w:kern w:val="0"/>
          <w:sz w:val="24"/>
          <w:szCs w:val="24"/>
          <w:lang w:val="sr-Latn-RS" w:bidi="hi-IN"/>
          <w14:ligatures w14:val="none"/>
        </w:rPr>
        <w:t xml:space="preserve"> </w:t>
      </w:r>
      <w:r w:rsidRPr="00D256CD">
        <w:rPr>
          <w:rFonts w:eastAsia="Calibri" w:cstheme="minorHAnsi"/>
          <w:kern w:val="0"/>
          <w:sz w:val="24"/>
          <w:szCs w:val="24"/>
          <w:lang w:val="sr-Latn-ME" w:bidi="hi-IN"/>
          <w14:ligatures w14:val="none"/>
        </w:rPr>
        <w:t>tri poreske stope</w:t>
      </w:r>
      <w:r w:rsidR="00560B16">
        <w:rPr>
          <w:rFonts w:eastAsia="Calibri" w:cstheme="minorHAnsi"/>
          <w:kern w:val="0"/>
          <w:sz w:val="24"/>
          <w:szCs w:val="24"/>
          <w:lang w:val="sr-Latn-ME" w:bidi="hi-IN"/>
          <w14:ligatures w14:val="none"/>
        </w:rPr>
        <w:t xml:space="preserve"> oporezivanja dohotka:</w:t>
      </w:r>
      <w:r w:rsidRPr="00D256CD">
        <w:rPr>
          <w:rFonts w:eastAsia="Calibri" w:cstheme="minorHAnsi"/>
          <w:kern w:val="0"/>
          <w:sz w:val="24"/>
          <w:szCs w:val="24"/>
          <w:lang w:val="sr-Latn-ME" w:bidi="hi-IN"/>
          <w14:ligatures w14:val="none"/>
        </w:rPr>
        <w:t xml:space="preserve"> 0%, za kategorije dohotka do 700 eura bruto, </w:t>
      </w:r>
      <w:r w:rsidR="00560B16" w:rsidRPr="00560B16">
        <w:rPr>
          <w:rFonts w:eastAsia="Calibri" w:cstheme="minorHAnsi"/>
          <w:kern w:val="0"/>
          <w:sz w:val="24"/>
          <w:szCs w:val="24"/>
          <w:lang w:val="sr-Latn-ME" w:bidi="hi-IN"/>
          <w14:ligatures w14:val="none"/>
        </w:rPr>
        <w:t xml:space="preserve">9% i 15% </w:t>
      </w:r>
      <w:r w:rsidR="00560B16">
        <w:rPr>
          <w:rFonts w:eastAsia="Calibri" w:cstheme="minorHAnsi"/>
          <w:kern w:val="0"/>
          <w:sz w:val="24"/>
          <w:szCs w:val="24"/>
          <w:lang w:val="sr-Latn-ME" w:bidi="hi-IN"/>
          <w14:ligatures w14:val="none"/>
        </w:rPr>
        <w:t xml:space="preserve">za kategorije dohotka </w:t>
      </w:r>
      <w:r w:rsidRPr="00D256CD">
        <w:rPr>
          <w:rFonts w:eastAsia="Calibri" w:cstheme="minorHAnsi"/>
          <w:kern w:val="0"/>
          <w:sz w:val="24"/>
          <w:szCs w:val="24"/>
          <w:lang w:val="sr-Latn-ME" w:bidi="hi-IN"/>
          <w14:ligatures w14:val="none"/>
        </w:rPr>
        <w:t>od 700,01 do 1000 eura i</w:t>
      </w:r>
      <w:r w:rsidR="00560B16" w:rsidRPr="00560B16">
        <w:rPr>
          <w:rFonts w:eastAsia="Calibri" w:cstheme="minorHAnsi"/>
          <w:kern w:val="0"/>
          <w:sz w:val="24"/>
          <w:szCs w:val="24"/>
          <w:lang w:val="sr-Latn-ME" w:bidi="hi-IN"/>
          <w14:ligatures w14:val="none"/>
        </w:rPr>
        <w:t xml:space="preserve"> 15%</w:t>
      </w:r>
      <w:r w:rsidR="00560B16">
        <w:rPr>
          <w:rFonts w:eastAsia="Calibri" w:cstheme="minorHAnsi"/>
          <w:kern w:val="0"/>
          <w:sz w:val="24"/>
          <w:szCs w:val="24"/>
          <w:lang w:val="sr-Latn-ME" w:bidi="hi-IN"/>
          <w14:ligatures w14:val="none"/>
        </w:rPr>
        <w:t xml:space="preserve"> za kategorije dohotka od</w:t>
      </w:r>
      <w:r w:rsidR="00560B16" w:rsidRPr="00560B16">
        <w:rPr>
          <w:rFonts w:eastAsia="Calibri" w:cstheme="minorHAnsi"/>
          <w:kern w:val="0"/>
          <w:sz w:val="24"/>
          <w:szCs w:val="24"/>
          <w:lang w:val="sr-Latn-ME" w:bidi="hi-IN"/>
          <w14:ligatures w14:val="none"/>
        </w:rPr>
        <w:t xml:space="preserve"> </w:t>
      </w:r>
      <w:r w:rsidRPr="00D256CD">
        <w:rPr>
          <w:rFonts w:eastAsia="Calibri" w:cstheme="minorHAnsi"/>
          <w:kern w:val="0"/>
          <w:sz w:val="24"/>
          <w:szCs w:val="24"/>
          <w:lang w:val="sr-Latn-ME" w:bidi="hi-IN"/>
          <w14:ligatures w14:val="none"/>
        </w:rPr>
        <w:t>preko 1000 eura.</w:t>
      </w:r>
      <w:r w:rsidR="005B5992">
        <w:rPr>
          <w:rFonts w:eastAsia="Calibri" w:cstheme="minorHAnsi"/>
          <w:kern w:val="0"/>
          <w:sz w:val="24"/>
          <w:szCs w:val="24"/>
          <w:lang w:val="sr-Latn-ME" w:bidi="hi-IN"/>
          <w14:ligatures w14:val="none"/>
        </w:rPr>
        <w:t xml:space="preserve"> Stope doprinosa na</w:t>
      </w:r>
      <w:r w:rsidRPr="00D256CD">
        <w:rPr>
          <w:rFonts w:eastAsia="Calibri" w:cstheme="minorHAnsi"/>
          <w:kern w:val="0"/>
          <w:sz w:val="24"/>
          <w:szCs w:val="24"/>
          <w:lang w:val="sr-Latn-RS" w:bidi="hi-IN"/>
          <w14:ligatures w14:val="none"/>
        </w:rPr>
        <w:t xml:space="preserve"> </w:t>
      </w:r>
      <w:r w:rsidR="005B5992" w:rsidRPr="005B5992">
        <w:rPr>
          <w:rFonts w:eastAsia="Calibri" w:cstheme="minorHAnsi"/>
          <w:kern w:val="0"/>
          <w:sz w:val="24"/>
          <w:szCs w:val="24"/>
          <w:lang w:val="sr-Latn-RS" w:bidi="hi-IN"/>
          <w14:ligatures w14:val="none"/>
        </w:rPr>
        <w:t>PIO od 5,5% na teret poslodavca i 15% na teret zaposlenog, kao i stopa doprinosa na osiguranje od nezapo</w:t>
      </w:r>
      <w:r w:rsidR="00A751A1">
        <w:rPr>
          <w:rFonts w:eastAsia="Calibri" w:cstheme="minorHAnsi"/>
          <w:kern w:val="0"/>
          <w:sz w:val="24"/>
          <w:szCs w:val="24"/>
          <w:lang w:val="sr-Latn-RS" w:bidi="hi-IN"/>
          <w14:ligatures w14:val="none"/>
        </w:rPr>
        <w:t>s</w:t>
      </w:r>
      <w:r w:rsidR="005B5992" w:rsidRPr="005B5992">
        <w:rPr>
          <w:rFonts w:eastAsia="Calibri" w:cstheme="minorHAnsi"/>
          <w:kern w:val="0"/>
          <w:sz w:val="24"/>
          <w:szCs w:val="24"/>
          <w:lang w:val="sr-Latn-RS" w:bidi="hi-IN"/>
          <w14:ligatures w14:val="none"/>
        </w:rPr>
        <w:t>lenosti od 0,2% na teret poslodavca i 0,5% na teret zaposlenog</w:t>
      </w:r>
      <w:r w:rsidR="005B5992">
        <w:rPr>
          <w:rFonts w:eastAsia="Calibri" w:cstheme="minorHAnsi"/>
          <w:kern w:val="0"/>
          <w:sz w:val="24"/>
          <w:szCs w:val="24"/>
          <w:lang w:val="sr-Latn-RS" w:bidi="hi-IN"/>
          <w14:ligatures w14:val="none"/>
        </w:rPr>
        <w:t xml:space="preserve">, </w:t>
      </w:r>
      <w:r w:rsidR="001936AC">
        <w:rPr>
          <w:rFonts w:eastAsia="Calibri" w:cstheme="minorHAnsi"/>
          <w:kern w:val="0"/>
          <w:sz w:val="24"/>
          <w:szCs w:val="24"/>
          <w:lang w:val="sr-Latn-RS" w:bidi="hi-IN"/>
          <w14:ligatures w14:val="none"/>
        </w:rPr>
        <w:t>os</w:t>
      </w:r>
      <w:r w:rsidR="005B5992">
        <w:rPr>
          <w:rFonts w:eastAsia="Calibri" w:cstheme="minorHAnsi"/>
          <w:kern w:val="0"/>
          <w:sz w:val="24"/>
          <w:szCs w:val="24"/>
          <w:lang w:val="sr-Latn-RS" w:bidi="hi-IN"/>
          <w14:ligatures w14:val="none"/>
        </w:rPr>
        <w:t>tale su nepromijenjene.</w:t>
      </w:r>
      <w:r w:rsidR="005B5992" w:rsidRPr="005B5992">
        <w:rPr>
          <w:rFonts w:eastAsia="Calibri" w:cstheme="minorHAnsi"/>
          <w:kern w:val="0"/>
          <w:sz w:val="24"/>
          <w:szCs w:val="24"/>
          <w:lang w:val="sr-Latn-RS" w:bidi="hi-IN"/>
          <w14:ligatures w14:val="none"/>
        </w:rPr>
        <w:t xml:space="preserve"> </w:t>
      </w:r>
    </w:p>
    <w:p w14:paraId="5234FDA6" w14:textId="15A6D557" w:rsidR="00D256CD" w:rsidRPr="00D256CD" w:rsidRDefault="00D256CD" w:rsidP="00D256CD">
      <w:pPr>
        <w:jc w:val="both"/>
        <w:rPr>
          <w:rFonts w:eastAsia="Calibri" w:cstheme="minorHAnsi"/>
          <w:b/>
          <w:bCs/>
          <w:kern w:val="0"/>
          <w:sz w:val="24"/>
          <w:szCs w:val="24"/>
          <w:lang w:val="sr-Latn-RS" w:bidi="hi-IN"/>
          <w14:ligatures w14:val="none"/>
        </w:rPr>
      </w:pPr>
      <w:r w:rsidRPr="00D256CD">
        <w:rPr>
          <w:rFonts w:eastAsia="Calibri" w:cstheme="minorHAnsi"/>
          <w:kern w:val="0"/>
          <w:sz w:val="24"/>
          <w:szCs w:val="24"/>
          <w:lang w:val="sr-Latn-RS" w:bidi="hi-IN"/>
          <w14:ligatures w14:val="none"/>
        </w:rPr>
        <w:t>Tako je danas poresko opterećenje rada</w:t>
      </w:r>
      <w:r w:rsidR="00560B16">
        <w:rPr>
          <w:rFonts w:eastAsia="Calibri" w:cstheme="minorHAnsi"/>
          <w:kern w:val="0"/>
          <w:sz w:val="24"/>
          <w:szCs w:val="24"/>
          <w:lang w:val="sr-Latn-RS" w:bidi="hi-IN"/>
          <w14:ligatures w14:val="none"/>
        </w:rPr>
        <w:t xml:space="preserve"> u Crnoj Gori</w:t>
      </w:r>
      <w:r w:rsidRPr="00D256CD">
        <w:rPr>
          <w:rFonts w:eastAsia="Calibri" w:cstheme="minorHAnsi"/>
          <w:kern w:val="0"/>
          <w:sz w:val="24"/>
          <w:szCs w:val="24"/>
          <w:lang w:val="sr-Latn-RS" w:bidi="hi-IN"/>
          <w14:ligatures w14:val="none"/>
        </w:rPr>
        <w:t xml:space="preserve"> među najnižima u Evropi.</w:t>
      </w:r>
      <w:r w:rsidRPr="00D256CD">
        <w:rPr>
          <w:rFonts w:eastAsia="Calibri" w:cstheme="minorHAnsi"/>
          <w:b/>
          <w:kern w:val="0"/>
          <w:sz w:val="24"/>
          <w:szCs w:val="24"/>
          <w:lang w:val="sr-Latn-RS" w:bidi="hi-IN"/>
          <w14:ligatures w14:val="none"/>
        </w:rPr>
        <w:t xml:space="preserve"> </w:t>
      </w:r>
      <w:r w:rsidRPr="00D256CD">
        <w:rPr>
          <w:rFonts w:eastAsia="Calibri" w:cstheme="minorHAnsi"/>
          <w:bCs/>
          <w:kern w:val="0"/>
          <w:sz w:val="24"/>
          <w:szCs w:val="24"/>
          <w:lang w:val="sr-Latn-RS" w:bidi="hi-IN"/>
          <w14:ligatures w14:val="none"/>
        </w:rPr>
        <w:t>Ono trenutno iznosi 20,4% za nivo nove minimalne zarade (450</w:t>
      </w:r>
      <w:r w:rsidR="006C691C">
        <w:rPr>
          <w:rFonts w:eastAsia="Calibri" w:cstheme="minorHAnsi"/>
          <w:bCs/>
          <w:kern w:val="0"/>
          <w:sz w:val="24"/>
          <w:szCs w:val="24"/>
          <w:lang w:val="sr-Latn-RS" w:bidi="hi-IN"/>
          <w14:ligatures w14:val="none"/>
        </w:rPr>
        <w:t xml:space="preserve"> eura</w:t>
      </w:r>
      <w:r w:rsidRPr="00D256CD">
        <w:rPr>
          <w:rFonts w:eastAsia="Calibri" w:cstheme="minorHAnsi"/>
          <w:bCs/>
          <w:kern w:val="0"/>
          <w:sz w:val="24"/>
          <w:szCs w:val="24"/>
          <w:lang w:val="sr-Latn-RS" w:bidi="hi-IN"/>
          <w14:ligatures w14:val="none"/>
        </w:rPr>
        <w:t>), a zatim se progresivno povećava sa rastom zarada do nivoa od 31,3% za nivo neto zarade od 2.000</w:t>
      </w:r>
      <w:r w:rsidR="006C691C">
        <w:rPr>
          <w:rFonts w:eastAsia="Calibri" w:cstheme="minorHAnsi"/>
          <w:bCs/>
          <w:kern w:val="0"/>
          <w:sz w:val="24"/>
          <w:szCs w:val="24"/>
          <w:lang w:val="sr-Latn-RS" w:bidi="hi-IN"/>
          <w14:ligatures w14:val="none"/>
        </w:rPr>
        <w:t xml:space="preserve"> eura</w:t>
      </w:r>
      <w:r w:rsidRPr="00D256CD">
        <w:rPr>
          <w:rFonts w:eastAsia="Calibri" w:cstheme="minorHAnsi"/>
          <w:bCs/>
          <w:kern w:val="0"/>
          <w:sz w:val="24"/>
          <w:szCs w:val="24"/>
          <w:lang w:val="sr-Latn-RS" w:bidi="hi-IN"/>
          <w14:ligatures w14:val="none"/>
        </w:rPr>
        <w:t xml:space="preserve"> i nadalje u zavisnosti od nivoa zarade</w:t>
      </w:r>
      <w:r w:rsidRPr="00D256CD">
        <w:rPr>
          <w:rFonts w:eastAsia="Calibri" w:cstheme="minorHAnsi"/>
          <w:bCs/>
          <w:kern w:val="0"/>
          <w:sz w:val="24"/>
          <w:szCs w:val="24"/>
          <w:vertAlign w:val="superscript"/>
          <w:lang w:val="sr-Latn-RS" w:bidi="hi-IN"/>
          <w14:ligatures w14:val="none"/>
        </w:rPr>
        <w:footnoteReference w:id="6"/>
      </w:r>
      <w:r w:rsidRPr="00D256CD">
        <w:rPr>
          <w:rFonts w:eastAsia="Calibri" w:cstheme="minorHAnsi"/>
          <w:bCs/>
          <w:kern w:val="0"/>
          <w:sz w:val="24"/>
          <w:szCs w:val="24"/>
          <w:lang w:val="sr-Latn-RS" w:bidi="hi-IN"/>
          <w14:ligatures w14:val="none"/>
        </w:rPr>
        <w:t xml:space="preserve">. Poreskom rasterećenju rada je značajno doprinijelo i povećanje praga neoporezivog </w:t>
      </w:r>
      <w:r w:rsidRPr="00D256CD">
        <w:rPr>
          <w:rFonts w:eastAsia="Calibri" w:cstheme="minorHAnsi"/>
          <w:bCs/>
          <w:kern w:val="0"/>
          <w:sz w:val="24"/>
          <w:szCs w:val="24"/>
          <w:lang w:val="sr-Latn-RS" w:bidi="hi-IN"/>
          <w14:ligatures w14:val="none"/>
        </w:rPr>
        <w:lastRenderedPageBreak/>
        <w:t>dijela zarade, budući da je stopa poreza na dohodak fizičkih lica 0% na iznos  zarade do 700 eura bruto.</w:t>
      </w:r>
      <w:r w:rsidR="00675C33">
        <w:rPr>
          <w:rFonts w:eastAsia="Calibri" w:cstheme="minorHAnsi"/>
          <w:bCs/>
          <w:kern w:val="0"/>
          <w:sz w:val="24"/>
          <w:szCs w:val="24"/>
          <w:lang w:val="sr-Latn-RS" w:bidi="hi-IN"/>
          <w14:ligatures w14:val="none"/>
        </w:rPr>
        <w:t xml:space="preserve"> S druge strane je značajno povećanje minimalne zarade je donekle usporilo formalizaciju zaposlenosti u </w:t>
      </w:r>
      <w:r w:rsidR="00560B16">
        <w:rPr>
          <w:rFonts w:eastAsia="Calibri" w:cstheme="minorHAnsi"/>
          <w:bCs/>
          <w:kern w:val="0"/>
          <w:sz w:val="24"/>
          <w:szCs w:val="24"/>
          <w:lang w:val="sr-Latn-RS" w:bidi="hi-IN"/>
          <w14:ligatures w14:val="none"/>
        </w:rPr>
        <w:t>punom</w:t>
      </w:r>
      <w:r w:rsidR="00675C33">
        <w:rPr>
          <w:rFonts w:eastAsia="Calibri" w:cstheme="minorHAnsi"/>
          <w:bCs/>
          <w:kern w:val="0"/>
          <w:sz w:val="24"/>
          <w:szCs w:val="24"/>
          <w:lang w:val="sr-Latn-RS" w:bidi="hi-IN"/>
          <w14:ligatures w14:val="none"/>
        </w:rPr>
        <w:t xml:space="preserve"> obimu.</w:t>
      </w:r>
    </w:p>
    <w:p w14:paraId="55F3B0DB" w14:textId="6DE493B1" w:rsidR="00D256CD" w:rsidRPr="00D256CD" w:rsidRDefault="002F46F5" w:rsidP="00D256CD">
      <w:pPr>
        <w:rPr>
          <w:rFonts w:eastAsia="Calibri" w:cstheme="minorHAnsi"/>
          <w:kern w:val="0"/>
          <w:sz w:val="24"/>
          <w:szCs w:val="24"/>
          <w:lang w:val="sr-Latn-RS" w:bidi="hi-IN"/>
          <w14:ligatures w14:val="none"/>
        </w:rPr>
      </w:pPr>
      <w:r>
        <w:rPr>
          <w:noProof/>
        </w:rPr>
        <w:drawing>
          <wp:inline distT="0" distB="0" distL="0" distR="0" wp14:anchorId="7502E8B4" wp14:editId="5EC95E24">
            <wp:extent cx="5996940" cy="2743200"/>
            <wp:effectExtent l="0" t="0" r="3810" b="0"/>
            <wp:docPr id="83672004" name="Chart 1">
              <a:extLst xmlns:a="http://schemas.openxmlformats.org/drawingml/2006/main">
                <a:ext uri="{FF2B5EF4-FFF2-40B4-BE49-F238E27FC236}">
                  <a16:creationId xmlns:a16="http://schemas.microsoft.com/office/drawing/2014/main" id="{DF81B630-7AED-A5C9-8F19-3BF21E5740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ABA787" w14:textId="5EC0D168" w:rsidR="00013F7F" w:rsidRDefault="00D256CD" w:rsidP="00013F7F">
      <w:pPr>
        <w:rPr>
          <w:rFonts w:eastAsia="Calibri" w:cstheme="minorHAnsi"/>
          <w:i/>
          <w:iCs/>
          <w:kern w:val="0"/>
          <w:sz w:val="24"/>
          <w:szCs w:val="24"/>
          <w:lang w:val="sr-Latn-ME" w:bidi="hi-IN"/>
          <w14:ligatures w14:val="none"/>
        </w:rPr>
      </w:pPr>
      <w:r w:rsidRPr="00D256CD">
        <w:rPr>
          <w:rFonts w:eastAsia="Calibri" w:cstheme="minorHAnsi"/>
          <w:i/>
          <w:iCs/>
          <w:kern w:val="0"/>
          <w:sz w:val="24"/>
          <w:szCs w:val="24"/>
          <w:lang w:val="sr-Latn-ME" w:bidi="hi-IN"/>
          <w14:ligatures w14:val="none"/>
        </w:rPr>
        <w:t xml:space="preserve">Izvor: </w:t>
      </w:r>
      <w:r w:rsidR="00923D1D">
        <w:rPr>
          <w:rFonts w:eastAsia="Calibri" w:cstheme="minorHAnsi"/>
          <w:i/>
          <w:iCs/>
          <w:kern w:val="0"/>
          <w:sz w:val="24"/>
          <w:szCs w:val="24"/>
          <w:lang w:val="sr-Latn-ME" w:bidi="hi-IN"/>
          <w14:ligatures w14:val="none"/>
        </w:rPr>
        <w:t>Vlada Crne Gore, Ministarstvo fi</w:t>
      </w:r>
      <w:r w:rsidR="005B2451">
        <w:rPr>
          <w:rFonts w:eastAsia="Calibri" w:cstheme="minorHAnsi"/>
          <w:i/>
          <w:iCs/>
          <w:kern w:val="0"/>
          <w:sz w:val="24"/>
          <w:szCs w:val="24"/>
          <w:lang w:val="sr-Latn-ME" w:bidi="hi-IN"/>
          <w14:ligatures w14:val="none"/>
        </w:rPr>
        <w:t>na</w:t>
      </w:r>
      <w:r w:rsidR="00923D1D">
        <w:rPr>
          <w:rFonts w:eastAsia="Calibri" w:cstheme="minorHAnsi"/>
          <w:i/>
          <w:iCs/>
          <w:kern w:val="0"/>
          <w:sz w:val="24"/>
          <w:szCs w:val="24"/>
          <w:lang w:val="sr-Latn-ME" w:bidi="hi-IN"/>
          <w14:ligatures w14:val="none"/>
        </w:rPr>
        <w:t>nsija-</w:t>
      </w:r>
      <w:r w:rsidRPr="00D256CD">
        <w:rPr>
          <w:rFonts w:eastAsia="Calibri" w:cstheme="minorHAnsi"/>
          <w:i/>
          <w:iCs/>
          <w:kern w:val="0"/>
          <w:sz w:val="24"/>
          <w:szCs w:val="24"/>
          <w:lang w:val="sr-Latn-ME" w:bidi="hi-IN"/>
          <w14:ligatures w14:val="none"/>
        </w:rPr>
        <w:t>Program „Evrop</w:t>
      </w:r>
      <w:r>
        <w:rPr>
          <w:rFonts w:eastAsia="Calibri" w:cstheme="minorHAnsi"/>
          <w:i/>
          <w:iCs/>
          <w:kern w:val="0"/>
          <w:sz w:val="24"/>
          <w:szCs w:val="24"/>
          <w:lang w:val="sr-Latn-ME" w:bidi="hi-IN"/>
          <w14:ligatures w14:val="none"/>
        </w:rPr>
        <w:t>a</w:t>
      </w:r>
      <w:r w:rsidRPr="00D256CD">
        <w:rPr>
          <w:rFonts w:eastAsia="Calibri" w:cstheme="minorHAnsi"/>
          <w:i/>
          <w:iCs/>
          <w:kern w:val="0"/>
          <w:sz w:val="24"/>
          <w:szCs w:val="24"/>
          <w:lang w:val="sr-Latn-ME" w:bidi="hi-IN"/>
          <w14:ligatures w14:val="none"/>
        </w:rPr>
        <w:t xml:space="preserve"> sad“</w:t>
      </w:r>
    </w:p>
    <w:p w14:paraId="262E7C51" w14:textId="77777777" w:rsidR="001936AC" w:rsidRPr="003F37B5" w:rsidRDefault="001936AC" w:rsidP="00013F7F">
      <w:pPr>
        <w:rPr>
          <w:rFonts w:eastAsia="Calibri" w:cstheme="minorHAnsi"/>
          <w:i/>
          <w:iCs/>
          <w:kern w:val="0"/>
          <w:sz w:val="24"/>
          <w:szCs w:val="24"/>
          <w:lang w:val="sr-Latn-ME" w:bidi="hi-IN"/>
          <w14:ligatures w14:val="none"/>
        </w:rPr>
      </w:pPr>
    </w:p>
    <w:p w14:paraId="4146B64B" w14:textId="6185EAC2" w:rsidR="00013F7F" w:rsidRPr="00281886" w:rsidRDefault="00923D1D" w:rsidP="00013F7F">
      <w:pPr>
        <w:rPr>
          <w:rFonts w:eastAsia="Calibri" w:cstheme="minorHAnsi"/>
          <w:kern w:val="0"/>
          <w:sz w:val="24"/>
          <w:szCs w:val="24"/>
          <w:lang w:val="sr-Latn-ME" w:bidi="hi-IN"/>
          <w14:ligatures w14:val="none"/>
        </w:rPr>
      </w:pPr>
      <w:r>
        <w:rPr>
          <w:rFonts w:eastAsia="Calibri" w:cstheme="minorHAnsi"/>
          <w:kern w:val="0"/>
          <w:sz w:val="24"/>
          <w:szCs w:val="24"/>
          <w:lang w:val="sr-Latn-ME" w:bidi="hi-IN"/>
          <w14:ligatures w14:val="none"/>
        </w:rPr>
        <w:t>Shodno navedenom, makroekonomski okvir Crne Gore, od</w:t>
      </w:r>
      <w:r w:rsidR="00013F7F" w:rsidRPr="00281886">
        <w:rPr>
          <w:rFonts w:eastAsia="Calibri" w:cstheme="minorHAnsi"/>
          <w:kern w:val="0"/>
          <w:sz w:val="24"/>
          <w:szCs w:val="24"/>
          <w:lang w:val="sr-Latn-ME" w:bidi="hi-IN"/>
          <w14:ligatures w14:val="none"/>
        </w:rPr>
        <w:t xml:space="preserve"> 1. </w:t>
      </w:r>
      <w:r w:rsidR="002B312A">
        <w:rPr>
          <w:rFonts w:eastAsia="Calibri" w:cstheme="minorHAnsi"/>
          <w:kern w:val="0"/>
          <w:sz w:val="24"/>
          <w:szCs w:val="24"/>
          <w:lang w:val="sr-Latn-ME" w:bidi="hi-IN"/>
          <w14:ligatures w14:val="none"/>
        </w:rPr>
        <w:t>j</w:t>
      </w:r>
      <w:r w:rsidR="00013F7F" w:rsidRPr="00281886">
        <w:rPr>
          <w:rFonts w:eastAsia="Calibri" w:cstheme="minorHAnsi"/>
          <w:kern w:val="0"/>
          <w:sz w:val="24"/>
          <w:szCs w:val="24"/>
          <w:lang w:val="sr-Latn-ME" w:bidi="hi-IN"/>
          <w14:ligatures w14:val="none"/>
        </w:rPr>
        <w:t xml:space="preserve">anuara 2022. </w:t>
      </w:r>
      <w:r>
        <w:rPr>
          <w:rFonts w:eastAsia="Calibri" w:cstheme="minorHAnsi"/>
          <w:kern w:val="0"/>
          <w:sz w:val="24"/>
          <w:szCs w:val="24"/>
          <w:lang w:val="sr-Latn-ME" w:bidi="hi-IN"/>
          <w14:ligatures w14:val="none"/>
        </w:rPr>
        <w:t>karakteriše:</w:t>
      </w:r>
    </w:p>
    <w:p w14:paraId="50CC2354" w14:textId="77777777" w:rsidR="00013F7F" w:rsidRPr="00281886" w:rsidRDefault="00013F7F">
      <w:pPr>
        <w:numPr>
          <w:ilvl w:val="0"/>
          <w:numId w:val="12"/>
        </w:numPr>
        <w:spacing w:line="276" w:lineRule="auto"/>
        <w:contextualSpacing/>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povećanje minimalne zarade sa 250 eura na 450 eura;</w:t>
      </w:r>
    </w:p>
    <w:p w14:paraId="42741D50" w14:textId="2F42743B" w:rsidR="00013F7F" w:rsidRPr="00281886" w:rsidRDefault="00013F7F">
      <w:pPr>
        <w:numPr>
          <w:ilvl w:val="0"/>
          <w:numId w:val="12"/>
        </w:numPr>
        <w:spacing w:line="276" w:lineRule="auto"/>
        <w:contextualSpacing/>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smanjenje troškova za poslodavce kroz niže poresko opterećenje na rad</w:t>
      </w:r>
      <w:r w:rsidR="002B312A">
        <w:rPr>
          <w:rFonts w:eastAsia="Calibri" w:cstheme="minorHAnsi"/>
          <w:kern w:val="0"/>
          <w:sz w:val="24"/>
          <w:szCs w:val="24"/>
          <w:lang w:val="sr-Latn-ME" w:bidi="hi-IN"/>
          <w14:ligatures w14:val="none"/>
        </w:rPr>
        <w:t>;</w:t>
      </w:r>
      <w:r w:rsidRPr="00281886">
        <w:rPr>
          <w:rFonts w:eastAsia="Calibri" w:cstheme="minorHAnsi"/>
          <w:kern w:val="0"/>
          <w:sz w:val="24"/>
          <w:szCs w:val="24"/>
          <w:lang w:val="sr-Latn-ME" w:bidi="hi-IN"/>
          <w14:ligatures w14:val="none"/>
        </w:rPr>
        <w:t xml:space="preserve"> </w:t>
      </w:r>
    </w:p>
    <w:p w14:paraId="7B95710F" w14:textId="72E5327D" w:rsidR="00013F7F" w:rsidRPr="00281886" w:rsidRDefault="00013F7F">
      <w:pPr>
        <w:numPr>
          <w:ilvl w:val="1"/>
          <w:numId w:val="12"/>
        </w:numPr>
        <w:spacing w:line="276" w:lineRule="auto"/>
        <w:contextualSpacing/>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 xml:space="preserve">Ukidanje doprinosa na </w:t>
      </w:r>
      <w:r w:rsidR="00433E06">
        <w:rPr>
          <w:rFonts w:eastAsia="Calibri" w:cstheme="minorHAnsi"/>
          <w:kern w:val="0"/>
          <w:sz w:val="24"/>
          <w:szCs w:val="24"/>
          <w:lang w:val="sr-Latn-ME" w:bidi="hi-IN"/>
          <w14:ligatures w14:val="none"/>
        </w:rPr>
        <w:t xml:space="preserve">obavezno </w:t>
      </w:r>
      <w:r w:rsidRPr="00281886">
        <w:rPr>
          <w:rFonts w:eastAsia="Calibri" w:cstheme="minorHAnsi"/>
          <w:kern w:val="0"/>
          <w:sz w:val="24"/>
          <w:szCs w:val="24"/>
          <w:lang w:val="sr-Latn-ME" w:bidi="hi-IN"/>
          <w14:ligatures w14:val="none"/>
        </w:rPr>
        <w:t>zdravstveno osiguranje</w:t>
      </w:r>
    </w:p>
    <w:p w14:paraId="2F1F34FA" w14:textId="688D9613" w:rsidR="00013F7F" w:rsidRDefault="00013F7F">
      <w:pPr>
        <w:numPr>
          <w:ilvl w:val="1"/>
          <w:numId w:val="12"/>
        </w:numPr>
        <w:spacing w:line="276" w:lineRule="auto"/>
        <w:contextualSpacing/>
        <w:rPr>
          <w:rFonts w:eastAsia="Calibri" w:cstheme="minorHAnsi"/>
          <w:kern w:val="0"/>
          <w:sz w:val="24"/>
          <w:szCs w:val="24"/>
          <w:lang w:val="sr-Latn-ME" w:bidi="hi-IN"/>
          <w14:ligatures w14:val="none"/>
        </w:rPr>
      </w:pPr>
      <w:r w:rsidRPr="00281886">
        <w:rPr>
          <w:rFonts w:eastAsia="Calibri" w:cstheme="minorHAnsi"/>
          <w:kern w:val="0"/>
          <w:sz w:val="24"/>
          <w:szCs w:val="24"/>
          <w:lang w:val="sr-Latn-ME" w:bidi="hi-IN"/>
          <w14:ligatures w14:val="none"/>
        </w:rPr>
        <w:t xml:space="preserve">Uvođenje progresivnog poreza na zaradu i to : </w:t>
      </w:r>
      <w:r w:rsidR="00433E06">
        <w:rPr>
          <w:rFonts w:eastAsia="Calibri" w:cstheme="minorHAnsi"/>
          <w:kern w:val="0"/>
          <w:sz w:val="24"/>
          <w:szCs w:val="24"/>
          <w:lang w:val="sr-Latn-ME" w:bidi="hi-IN"/>
          <w14:ligatures w14:val="none"/>
        </w:rPr>
        <w:t>n</w:t>
      </w:r>
      <w:r w:rsidRPr="00281886">
        <w:rPr>
          <w:rFonts w:eastAsia="Calibri" w:cstheme="minorHAnsi"/>
          <w:kern w:val="0"/>
          <w:sz w:val="24"/>
          <w:szCs w:val="24"/>
          <w:lang w:val="sr-Latn-ME" w:bidi="hi-IN"/>
          <w14:ligatures w14:val="none"/>
        </w:rPr>
        <w:t xml:space="preserve">eoporezivi dio zarade do 700 </w:t>
      </w:r>
      <w:r w:rsidR="006C691C">
        <w:rPr>
          <w:rFonts w:eastAsia="Calibri" w:cstheme="minorHAnsi"/>
          <w:kern w:val="0"/>
          <w:sz w:val="24"/>
          <w:szCs w:val="24"/>
          <w:lang w:val="sr-Latn-ME" w:bidi="hi-IN"/>
          <w14:ligatures w14:val="none"/>
        </w:rPr>
        <w:t>eura</w:t>
      </w:r>
      <w:r w:rsidRPr="00281886">
        <w:rPr>
          <w:rFonts w:eastAsia="Calibri" w:cstheme="minorHAnsi"/>
          <w:kern w:val="0"/>
          <w:sz w:val="24"/>
          <w:szCs w:val="24"/>
          <w:lang w:val="sr-Latn-ME" w:bidi="hi-IN"/>
          <w14:ligatures w14:val="none"/>
        </w:rPr>
        <w:t>, preko 700-1000</w:t>
      </w:r>
      <w:r w:rsidR="006C691C">
        <w:rPr>
          <w:rFonts w:eastAsia="Calibri" w:cstheme="minorHAnsi"/>
          <w:kern w:val="0"/>
          <w:sz w:val="24"/>
          <w:szCs w:val="24"/>
          <w:lang w:val="sr-Latn-ME" w:bidi="hi-IN"/>
          <w14:ligatures w14:val="none"/>
        </w:rPr>
        <w:t xml:space="preserve"> eura,</w:t>
      </w:r>
      <w:r w:rsidRPr="00281886">
        <w:rPr>
          <w:rFonts w:eastAsia="Calibri" w:cstheme="minorHAnsi"/>
          <w:kern w:val="0"/>
          <w:sz w:val="24"/>
          <w:szCs w:val="24"/>
          <w:lang w:val="sr-Latn-ME" w:bidi="hi-IN"/>
          <w14:ligatures w14:val="none"/>
        </w:rPr>
        <w:t xml:space="preserve"> zarada se oporezuje sa 9</w:t>
      </w:r>
      <w:r w:rsidR="00560B16">
        <w:rPr>
          <w:rFonts w:eastAsia="Calibri" w:cstheme="minorHAnsi"/>
          <w:kern w:val="0"/>
          <w:sz w:val="24"/>
          <w:szCs w:val="24"/>
          <w:lang w:val="sr-Latn-ME" w:bidi="hi-IN"/>
          <w14:ligatures w14:val="none"/>
        </w:rPr>
        <w:t>%</w:t>
      </w:r>
      <w:r w:rsidR="00433E06">
        <w:rPr>
          <w:rFonts w:eastAsia="Calibri" w:cstheme="minorHAnsi"/>
          <w:kern w:val="0"/>
          <w:sz w:val="24"/>
          <w:szCs w:val="24"/>
          <w:lang w:val="sr-Latn-ME" w:bidi="hi-IN"/>
          <w14:ligatures w14:val="none"/>
        </w:rPr>
        <w:t xml:space="preserve">, dok se dio zarade </w:t>
      </w:r>
      <w:r w:rsidRPr="00281886">
        <w:rPr>
          <w:rFonts w:eastAsia="Calibri" w:cstheme="minorHAnsi"/>
          <w:kern w:val="0"/>
          <w:sz w:val="24"/>
          <w:szCs w:val="24"/>
          <w:lang w:val="sr-Latn-ME" w:bidi="hi-IN"/>
          <w14:ligatures w14:val="none"/>
        </w:rPr>
        <w:t xml:space="preserve">preko 1000 </w:t>
      </w:r>
      <w:r w:rsidR="006C691C">
        <w:rPr>
          <w:rFonts w:eastAsia="Calibri" w:cstheme="minorHAnsi"/>
          <w:kern w:val="0"/>
          <w:sz w:val="24"/>
          <w:szCs w:val="24"/>
          <w:lang w:val="sr-Latn-ME" w:bidi="hi-IN"/>
          <w14:ligatures w14:val="none"/>
        </w:rPr>
        <w:t>eura</w:t>
      </w:r>
      <w:r w:rsidRPr="00281886">
        <w:rPr>
          <w:rFonts w:eastAsia="Calibri" w:cstheme="minorHAnsi"/>
          <w:kern w:val="0"/>
          <w:sz w:val="24"/>
          <w:szCs w:val="24"/>
          <w:lang w:val="sr-Latn-ME" w:bidi="hi-IN"/>
          <w14:ligatures w14:val="none"/>
        </w:rPr>
        <w:t xml:space="preserve">  oporezuju po stopi od 15</w:t>
      </w:r>
      <w:r w:rsidR="00560B16">
        <w:rPr>
          <w:rFonts w:eastAsia="Calibri" w:cstheme="minorHAnsi"/>
          <w:kern w:val="0"/>
          <w:sz w:val="24"/>
          <w:szCs w:val="24"/>
          <w:lang w:val="sr-Latn-ME" w:bidi="hi-IN"/>
          <w14:ligatures w14:val="none"/>
        </w:rPr>
        <w:t>%</w:t>
      </w:r>
      <w:r w:rsidRPr="00281886">
        <w:rPr>
          <w:rFonts w:eastAsia="Calibri" w:cstheme="minorHAnsi"/>
          <w:kern w:val="0"/>
          <w:sz w:val="24"/>
          <w:szCs w:val="24"/>
          <w:lang w:val="sr-Latn-ME" w:bidi="hi-IN"/>
          <w14:ligatures w14:val="none"/>
        </w:rPr>
        <w:t>.</w:t>
      </w:r>
    </w:p>
    <w:p w14:paraId="468C7B36" w14:textId="77777777" w:rsidR="002B312A" w:rsidRPr="00281886" w:rsidRDefault="002B312A" w:rsidP="008C0127">
      <w:pPr>
        <w:ind w:left="792"/>
        <w:contextualSpacing/>
        <w:jc w:val="both"/>
        <w:rPr>
          <w:rFonts w:eastAsia="Calibri" w:cstheme="minorHAnsi"/>
          <w:kern w:val="0"/>
          <w:sz w:val="24"/>
          <w:szCs w:val="24"/>
          <w:lang w:val="sr-Latn-ME" w:bidi="hi-IN"/>
          <w14:ligatures w14:val="none"/>
        </w:rPr>
      </w:pPr>
    </w:p>
    <w:p w14:paraId="5B401D48" w14:textId="068F4884" w:rsidR="00013F7F" w:rsidRDefault="00923D1D" w:rsidP="008C0127">
      <w:pPr>
        <w:jc w:val="both"/>
        <w:rPr>
          <w:rFonts w:eastAsia="Calibri" w:cstheme="minorHAnsi"/>
          <w:kern w:val="0"/>
          <w:sz w:val="24"/>
          <w:szCs w:val="24"/>
          <w:lang w:val="sr-Latn-ME" w:bidi="hi-IN"/>
          <w14:ligatures w14:val="none"/>
        </w:rPr>
      </w:pPr>
      <w:r>
        <w:rPr>
          <w:rFonts w:eastAsia="Calibri" w:cstheme="minorHAnsi"/>
          <w:kern w:val="0"/>
          <w:sz w:val="24"/>
          <w:szCs w:val="24"/>
          <w:lang w:val="sr-Latn-ME" w:bidi="hi-IN"/>
          <w14:ligatures w14:val="none"/>
        </w:rPr>
        <w:t xml:space="preserve">Shodno tome, u </w:t>
      </w:r>
      <w:r w:rsidR="00013F7F" w:rsidRPr="00281886">
        <w:rPr>
          <w:rFonts w:eastAsia="Calibri" w:cstheme="minorHAnsi"/>
          <w:kern w:val="0"/>
          <w:sz w:val="24"/>
          <w:szCs w:val="24"/>
          <w:lang w:val="sr-Latn-ME" w:bidi="hi-IN"/>
          <w14:ligatures w14:val="none"/>
        </w:rPr>
        <w:t xml:space="preserve">sljedećoj tabeli dat je pregled </w:t>
      </w:r>
      <w:bookmarkStart w:id="24" w:name="_Hlk142721824"/>
      <w:r w:rsidR="00013F7F" w:rsidRPr="00281886">
        <w:rPr>
          <w:rFonts w:eastAsia="Calibri" w:cstheme="minorHAnsi"/>
          <w:kern w:val="0"/>
          <w:sz w:val="24"/>
          <w:szCs w:val="24"/>
          <w:lang w:val="sr-Latn-ME" w:bidi="hi-IN"/>
          <w14:ligatures w14:val="none"/>
        </w:rPr>
        <w:t>naplaćenih</w:t>
      </w:r>
      <w:r w:rsidR="00433E06">
        <w:rPr>
          <w:rFonts w:eastAsia="Calibri" w:cstheme="minorHAnsi"/>
          <w:kern w:val="0"/>
          <w:sz w:val="24"/>
          <w:szCs w:val="24"/>
          <w:lang w:val="sr-Latn-ME" w:bidi="hi-IN"/>
          <w14:ligatures w14:val="none"/>
        </w:rPr>
        <w:t xml:space="preserve"> prihoda od</w:t>
      </w:r>
      <w:r w:rsidR="00013F7F" w:rsidRPr="00281886">
        <w:rPr>
          <w:rFonts w:eastAsia="Calibri" w:cstheme="minorHAnsi"/>
          <w:kern w:val="0"/>
          <w:sz w:val="24"/>
          <w:szCs w:val="24"/>
          <w:lang w:val="sr-Latn-ME" w:bidi="hi-IN"/>
          <w14:ligatures w14:val="none"/>
        </w:rPr>
        <w:t xml:space="preserve"> poreza i doprinosa na zarade</w:t>
      </w:r>
      <w:r w:rsidR="00433E06">
        <w:rPr>
          <w:rFonts w:eastAsia="Calibri" w:cstheme="minorHAnsi"/>
          <w:kern w:val="0"/>
          <w:sz w:val="24"/>
          <w:szCs w:val="24"/>
          <w:lang w:val="sr-Latn-ME" w:bidi="hi-IN"/>
          <w14:ligatures w14:val="none"/>
        </w:rPr>
        <w:t xml:space="preserve"> u 2022. i 2023</w:t>
      </w:r>
      <w:r>
        <w:rPr>
          <w:rFonts w:eastAsia="Calibri" w:cstheme="minorHAnsi"/>
          <w:kern w:val="0"/>
          <w:sz w:val="24"/>
          <w:szCs w:val="24"/>
          <w:lang w:val="sr-Latn-ME" w:bidi="hi-IN"/>
          <w14:ligatures w14:val="none"/>
        </w:rPr>
        <w:t xml:space="preserve">, kao i procjene i </w:t>
      </w:r>
      <w:r w:rsidR="005F0852">
        <w:rPr>
          <w:rFonts w:eastAsia="Calibri" w:cstheme="minorHAnsi"/>
          <w:kern w:val="0"/>
          <w:sz w:val="24"/>
          <w:szCs w:val="24"/>
          <w:lang w:val="sr-Latn-ME" w:bidi="hi-IN"/>
          <w14:ligatures w14:val="none"/>
        </w:rPr>
        <w:t>pr</w:t>
      </w:r>
      <w:r>
        <w:rPr>
          <w:rFonts w:eastAsia="Calibri" w:cstheme="minorHAnsi"/>
          <w:kern w:val="0"/>
          <w:sz w:val="24"/>
          <w:szCs w:val="24"/>
          <w:lang w:val="sr-Latn-ME" w:bidi="hi-IN"/>
          <w14:ligatures w14:val="none"/>
        </w:rPr>
        <w:t xml:space="preserve">ojekcije za </w:t>
      </w:r>
      <w:r w:rsidR="005F0852">
        <w:rPr>
          <w:rFonts w:eastAsia="Calibri" w:cstheme="minorHAnsi"/>
          <w:kern w:val="0"/>
          <w:sz w:val="24"/>
          <w:szCs w:val="24"/>
          <w:lang w:val="sr-Latn-ME" w:bidi="hi-IN"/>
          <w14:ligatures w14:val="none"/>
        </w:rPr>
        <w:t>na</w:t>
      </w:r>
      <w:r>
        <w:rPr>
          <w:rFonts w:eastAsia="Calibri" w:cstheme="minorHAnsi"/>
          <w:kern w:val="0"/>
          <w:sz w:val="24"/>
          <w:szCs w:val="24"/>
          <w:lang w:val="sr-Latn-ME" w:bidi="hi-IN"/>
          <w14:ligatures w14:val="none"/>
        </w:rPr>
        <w:t>redni period</w:t>
      </w:r>
      <w:r w:rsidR="00013F7F" w:rsidRPr="00281886">
        <w:rPr>
          <w:rFonts w:eastAsia="Calibri" w:cstheme="minorHAnsi"/>
          <w:kern w:val="0"/>
          <w:sz w:val="24"/>
          <w:szCs w:val="24"/>
          <w:lang w:val="sr-Latn-ME" w:bidi="hi-IN"/>
          <w14:ligatures w14:val="none"/>
        </w:rPr>
        <w:t>:</w:t>
      </w:r>
      <w:bookmarkEnd w:id="24"/>
    </w:p>
    <w:p w14:paraId="4E6823F2" w14:textId="77777777" w:rsidR="00B67D63" w:rsidRDefault="00B67D63" w:rsidP="008C0127">
      <w:pPr>
        <w:jc w:val="both"/>
        <w:rPr>
          <w:rFonts w:eastAsia="Calibri" w:cstheme="minorHAnsi"/>
          <w:kern w:val="0"/>
          <w:sz w:val="24"/>
          <w:szCs w:val="24"/>
          <w:lang w:val="sr-Latn-ME" w:bidi="hi-IN"/>
          <w14:ligatures w14:val="none"/>
        </w:rPr>
      </w:pPr>
    </w:p>
    <w:p w14:paraId="68FF8F9E" w14:textId="77777777" w:rsidR="00B67D63" w:rsidRDefault="00B67D63" w:rsidP="008C0127">
      <w:pPr>
        <w:jc w:val="both"/>
        <w:rPr>
          <w:rFonts w:eastAsia="Calibri" w:cstheme="minorHAnsi"/>
          <w:kern w:val="0"/>
          <w:sz w:val="24"/>
          <w:szCs w:val="24"/>
          <w:lang w:val="sr-Latn-ME" w:bidi="hi-IN"/>
          <w14:ligatures w14:val="none"/>
        </w:rPr>
      </w:pPr>
    </w:p>
    <w:p w14:paraId="7FF01EE0" w14:textId="77777777" w:rsidR="00B67D63" w:rsidRDefault="00B67D63" w:rsidP="008C0127">
      <w:pPr>
        <w:jc w:val="both"/>
        <w:rPr>
          <w:rFonts w:eastAsia="Calibri" w:cstheme="minorHAnsi"/>
          <w:kern w:val="0"/>
          <w:sz w:val="24"/>
          <w:szCs w:val="24"/>
          <w:lang w:val="sr-Latn-ME" w:bidi="hi-IN"/>
          <w14:ligatures w14:val="none"/>
        </w:rPr>
      </w:pPr>
    </w:p>
    <w:p w14:paraId="42BCC1DD" w14:textId="77777777" w:rsidR="00B67D63" w:rsidRPr="00281886" w:rsidRDefault="00B67D63" w:rsidP="008C0127">
      <w:pPr>
        <w:jc w:val="both"/>
        <w:rPr>
          <w:rFonts w:eastAsia="Calibri" w:cstheme="minorHAnsi"/>
          <w:kern w:val="0"/>
          <w:sz w:val="24"/>
          <w:szCs w:val="24"/>
          <w:lang w:val="sr-Latn-ME" w:bidi="hi-IN"/>
          <w14:ligatures w14:val="none"/>
        </w:rPr>
      </w:pPr>
    </w:p>
    <w:p w14:paraId="45B0316B" w14:textId="465C76B3" w:rsidR="00013F7F" w:rsidRPr="008361D3" w:rsidRDefault="0027431C" w:rsidP="00013F7F">
      <w:pPr>
        <w:rPr>
          <w:rFonts w:ascii="Calibri" w:eastAsia="Calibri" w:hAnsi="Calibri" w:cs="Mangal"/>
          <w:i/>
          <w:iCs/>
          <w:kern w:val="0"/>
          <w:szCs w:val="20"/>
          <w:lang w:val="sr-Latn-ME" w:bidi="hi-IN"/>
          <w14:ligatures w14:val="none"/>
        </w:rPr>
      </w:pPr>
      <w:r w:rsidRPr="008361D3">
        <w:rPr>
          <w:rFonts w:ascii="Calibri" w:eastAsia="Calibri" w:hAnsi="Calibri" w:cs="Mangal"/>
          <w:i/>
          <w:iCs/>
          <w:kern w:val="0"/>
          <w:szCs w:val="20"/>
          <w:lang w:val="sr-Latn-ME" w:bidi="hi-IN"/>
          <w14:ligatures w14:val="none"/>
        </w:rPr>
        <w:t>Tabela</w:t>
      </w:r>
      <w:r w:rsidR="008361D3" w:rsidRPr="008361D3">
        <w:rPr>
          <w:rFonts w:ascii="Calibri" w:eastAsia="Calibri" w:hAnsi="Calibri" w:cs="Mangal"/>
          <w:i/>
          <w:iCs/>
          <w:kern w:val="0"/>
          <w:szCs w:val="20"/>
          <w:lang w:val="sr-Latn-ME" w:bidi="hi-IN"/>
          <w14:ligatures w14:val="none"/>
        </w:rPr>
        <w:t xml:space="preserve"> </w:t>
      </w:r>
      <w:r w:rsidR="008361D3">
        <w:rPr>
          <w:rFonts w:ascii="Calibri" w:eastAsia="Calibri" w:hAnsi="Calibri" w:cs="Mangal"/>
          <w:i/>
          <w:iCs/>
          <w:kern w:val="0"/>
          <w:szCs w:val="20"/>
          <w:lang w:val="sr-Latn-ME" w:bidi="hi-IN"/>
          <w14:ligatures w14:val="none"/>
        </w:rPr>
        <w:t>3</w:t>
      </w:r>
      <w:r w:rsidRPr="008361D3">
        <w:rPr>
          <w:rFonts w:ascii="Calibri" w:eastAsia="Calibri" w:hAnsi="Calibri" w:cs="Mangal"/>
          <w:i/>
          <w:iCs/>
          <w:kern w:val="0"/>
          <w:szCs w:val="20"/>
          <w:lang w:val="sr-Latn-ME" w:bidi="hi-IN"/>
          <w14:ligatures w14:val="none"/>
        </w:rPr>
        <w:t xml:space="preserve">: </w:t>
      </w:r>
      <w:r w:rsidR="00D435B0">
        <w:rPr>
          <w:rFonts w:ascii="Calibri" w:eastAsia="Calibri" w:hAnsi="Calibri" w:cs="Mangal"/>
          <w:i/>
          <w:iCs/>
          <w:kern w:val="0"/>
          <w:szCs w:val="20"/>
          <w:lang w:val="sr-Latn-ME" w:bidi="hi-IN"/>
          <w14:ligatures w14:val="none"/>
        </w:rPr>
        <w:t>Naplaćeni porezi i doprinosi u 2022. i 2023. i projekcije do 2026.</w:t>
      </w:r>
    </w:p>
    <w:tbl>
      <w:tblPr>
        <w:tblStyle w:val="GridTable6Colorful-Accent1"/>
        <w:tblW w:w="5000" w:type="pct"/>
        <w:tblLook w:val="04A0" w:firstRow="1" w:lastRow="0" w:firstColumn="1" w:lastColumn="0" w:noHBand="0" w:noVBand="1"/>
      </w:tblPr>
      <w:tblGrid>
        <w:gridCol w:w="4499"/>
        <w:gridCol w:w="1144"/>
        <w:gridCol w:w="1015"/>
        <w:gridCol w:w="897"/>
        <w:gridCol w:w="898"/>
        <w:gridCol w:w="897"/>
      </w:tblGrid>
      <w:tr w:rsidR="00013F7F" w:rsidRPr="00013F7F" w14:paraId="46644C8F" w14:textId="77777777" w:rsidTr="008361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13649CAE" w14:textId="77777777" w:rsidR="00013F7F" w:rsidRPr="00013F7F" w:rsidRDefault="00013F7F" w:rsidP="00013F7F">
            <w:pPr>
              <w:rPr>
                <w:rFonts w:ascii="Times New Roman" w:eastAsia="Times New Roman" w:hAnsi="Times New Roman" w:cs="Times New Roman"/>
                <w:kern w:val="0"/>
                <w:sz w:val="24"/>
                <w:szCs w:val="24"/>
                <w:lang w:val="sr-Cyrl-BA" w:eastAsia="sr-Cyrl-BA" w:bidi="hi-IN"/>
                <w14:ligatures w14:val="none"/>
              </w:rPr>
            </w:pPr>
          </w:p>
        </w:tc>
        <w:tc>
          <w:tcPr>
            <w:tcW w:w="608" w:type="pct"/>
            <w:noWrap/>
            <w:hideMark/>
          </w:tcPr>
          <w:p w14:paraId="15DB8BA4" w14:textId="2780BE50" w:rsidR="00013F7F" w:rsidRPr="005F41C3" w:rsidRDefault="005F41C3" w:rsidP="00013F7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val="sr-Cyrl-BA" w:eastAsia="sr-Cyrl-BA" w:bidi="hi-IN"/>
                <w14:ligatures w14:val="none"/>
              </w:rPr>
            </w:pPr>
            <w:r>
              <w:rPr>
                <w:rFonts w:ascii="Calibri" w:eastAsia="Times New Roman" w:hAnsi="Calibri" w:cs="Calibri"/>
                <w:b w:val="0"/>
                <w:bCs w:val="0"/>
                <w:color w:val="000000"/>
                <w:kern w:val="0"/>
                <w:lang w:eastAsia="sr-Cyrl-BA" w:bidi="hi-IN"/>
                <w14:ligatures w14:val="none"/>
              </w:rPr>
              <w:t>O</w:t>
            </w:r>
            <w:r w:rsidR="00013F7F" w:rsidRPr="005F41C3">
              <w:rPr>
                <w:rFonts w:ascii="Calibri" w:eastAsia="Times New Roman" w:hAnsi="Calibri" w:cs="Calibri"/>
                <w:b w:val="0"/>
                <w:bCs w:val="0"/>
                <w:color w:val="000000"/>
                <w:kern w:val="0"/>
                <w:lang w:val="sr-Cyrl-BA" w:eastAsia="sr-Cyrl-BA" w:bidi="hi-IN"/>
                <w14:ligatures w14:val="none"/>
              </w:rPr>
              <w:t>stvareno</w:t>
            </w:r>
          </w:p>
        </w:tc>
        <w:tc>
          <w:tcPr>
            <w:tcW w:w="544" w:type="pct"/>
            <w:noWrap/>
            <w:hideMark/>
          </w:tcPr>
          <w:p w14:paraId="2288D08C" w14:textId="73409383" w:rsidR="00013F7F" w:rsidRPr="005F41C3" w:rsidRDefault="005F41C3" w:rsidP="00013F7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val="sr-Cyrl-BA" w:eastAsia="sr-Cyrl-BA" w:bidi="hi-IN"/>
                <w14:ligatures w14:val="none"/>
              </w:rPr>
            </w:pPr>
            <w:r>
              <w:rPr>
                <w:rFonts w:ascii="Calibri" w:eastAsia="Times New Roman" w:hAnsi="Calibri" w:cs="Calibri"/>
                <w:b w:val="0"/>
                <w:bCs w:val="0"/>
                <w:color w:val="000000"/>
                <w:kern w:val="0"/>
                <w:lang w:eastAsia="sr-Cyrl-BA" w:bidi="hi-IN"/>
                <w14:ligatures w14:val="none"/>
              </w:rPr>
              <w:t>P</w:t>
            </w:r>
            <w:r w:rsidR="00013F7F" w:rsidRPr="005F41C3">
              <w:rPr>
                <w:rFonts w:ascii="Calibri" w:eastAsia="Times New Roman" w:hAnsi="Calibri" w:cs="Calibri"/>
                <w:b w:val="0"/>
                <w:bCs w:val="0"/>
                <w:color w:val="000000"/>
                <w:kern w:val="0"/>
                <w:lang w:val="sr-Cyrl-BA" w:eastAsia="sr-Cyrl-BA" w:bidi="hi-IN"/>
                <w14:ligatures w14:val="none"/>
              </w:rPr>
              <w:t>rocjena</w:t>
            </w:r>
          </w:p>
        </w:tc>
        <w:tc>
          <w:tcPr>
            <w:tcW w:w="1441" w:type="pct"/>
            <w:gridSpan w:val="3"/>
            <w:noWrap/>
            <w:hideMark/>
          </w:tcPr>
          <w:p w14:paraId="75B546A6" w14:textId="245A0E9A" w:rsidR="00013F7F" w:rsidRPr="005F41C3" w:rsidRDefault="005F41C3" w:rsidP="00013F7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val="sr-Cyrl-BA" w:eastAsia="sr-Cyrl-BA" w:bidi="hi-IN"/>
                <w14:ligatures w14:val="none"/>
              </w:rPr>
            </w:pPr>
            <w:r>
              <w:rPr>
                <w:rFonts w:ascii="Calibri" w:eastAsia="Times New Roman" w:hAnsi="Calibri" w:cs="Calibri"/>
                <w:b w:val="0"/>
                <w:bCs w:val="0"/>
                <w:color w:val="000000"/>
                <w:kern w:val="0"/>
                <w:lang w:eastAsia="sr-Cyrl-BA" w:bidi="hi-IN"/>
                <w14:ligatures w14:val="none"/>
              </w:rPr>
              <w:t>P</w:t>
            </w:r>
            <w:r w:rsidR="00013F7F" w:rsidRPr="005F41C3">
              <w:rPr>
                <w:rFonts w:ascii="Calibri" w:eastAsia="Times New Roman" w:hAnsi="Calibri" w:cs="Calibri"/>
                <w:b w:val="0"/>
                <w:bCs w:val="0"/>
                <w:color w:val="000000"/>
                <w:kern w:val="0"/>
                <w:lang w:val="sr-Cyrl-BA" w:eastAsia="sr-Cyrl-BA" w:bidi="hi-IN"/>
                <w14:ligatures w14:val="none"/>
              </w:rPr>
              <w:t>rojekcije</w:t>
            </w:r>
          </w:p>
        </w:tc>
      </w:tr>
      <w:tr w:rsidR="00013F7F" w:rsidRPr="00013F7F" w14:paraId="5F6EC001" w14:textId="77777777" w:rsidTr="00836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10D9E657" w14:textId="77777777" w:rsidR="00013F7F" w:rsidRPr="00013F7F" w:rsidRDefault="00013F7F" w:rsidP="00013F7F">
            <w:pPr>
              <w:jc w:val="center"/>
              <w:rPr>
                <w:rFonts w:ascii="Calibri" w:eastAsia="Times New Roman" w:hAnsi="Calibri" w:cs="Calibri"/>
                <w:color w:val="000000"/>
                <w:kern w:val="0"/>
                <w:lang w:val="sr-Cyrl-BA" w:eastAsia="sr-Cyrl-BA" w:bidi="hi-IN"/>
                <w14:ligatures w14:val="none"/>
              </w:rPr>
            </w:pPr>
          </w:p>
        </w:tc>
        <w:tc>
          <w:tcPr>
            <w:tcW w:w="608" w:type="pct"/>
            <w:noWrap/>
            <w:hideMark/>
          </w:tcPr>
          <w:p w14:paraId="126649A9" w14:textId="52A99EF5" w:rsidR="00013F7F" w:rsidRPr="007C15F1"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Latn-ME" w:eastAsia="sr-Cyrl-BA" w:bidi="hi-IN"/>
                <w14:ligatures w14:val="none"/>
              </w:rPr>
            </w:pPr>
            <w:r w:rsidRPr="00013F7F">
              <w:rPr>
                <w:rFonts w:ascii="Calibri" w:eastAsia="Times New Roman" w:hAnsi="Calibri" w:cs="Calibri"/>
                <w:color w:val="000000"/>
                <w:kern w:val="0"/>
                <w:lang w:val="sr-Cyrl-BA" w:eastAsia="sr-Cyrl-BA" w:bidi="hi-IN"/>
                <w14:ligatures w14:val="none"/>
              </w:rPr>
              <w:t>2022</w:t>
            </w:r>
            <w:r w:rsidR="007C15F1">
              <w:rPr>
                <w:rFonts w:ascii="Calibri" w:eastAsia="Times New Roman" w:hAnsi="Calibri" w:cs="Calibri"/>
                <w:color w:val="000000"/>
                <w:kern w:val="0"/>
                <w:lang w:val="sr-Latn-ME" w:eastAsia="sr-Cyrl-BA" w:bidi="hi-IN"/>
                <w14:ligatures w14:val="none"/>
              </w:rPr>
              <w:t>.</w:t>
            </w:r>
          </w:p>
        </w:tc>
        <w:tc>
          <w:tcPr>
            <w:tcW w:w="544" w:type="pct"/>
            <w:noWrap/>
            <w:hideMark/>
          </w:tcPr>
          <w:p w14:paraId="792498C1" w14:textId="50440C1F" w:rsidR="00013F7F" w:rsidRPr="007C15F1"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Latn-ME" w:eastAsia="sr-Cyrl-BA" w:bidi="hi-IN"/>
                <w14:ligatures w14:val="none"/>
              </w:rPr>
            </w:pPr>
            <w:r w:rsidRPr="00013F7F">
              <w:rPr>
                <w:rFonts w:ascii="Calibri" w:eastAsia="Times New Roman" w:hAnsi="Calibri" w:cs="Calibri"/>
                <w:color w:val="000000"/>
                <w:kern w:val="0"/>
                <w:lang w:val="sr-Cyrl-BA" w:eastAsia="sr-Cyrl-BA" w:bidi="hi-IN"/>
                <w14:ligatures w14:val="none"/>
              </w:rPr>
              <w:t>2023</w:t>
            </w:r>
            <w:r w:rsidR="007C15F1">
              <w:rPr>
                <w:rFonts w:ascii="Calibri" w:eastAsia="Times New Roman" w:hAnsi="Calibri" w:cs="Calibri"/>
                <w:color w:val="000000"/>
                <w:kern w:val="0"/>
                <w:lang w:val="sr-Latn-ME" w:eastAsia="sr-Cyrl-BA" w:bidi="hi-IN"/>
                <w14:ligatures w14:val="none"/>
              </w:rPr>
              <w:t>.</w:t>
            </w:r>
          </w:p>
        </w:tc>
        <w:tc>
          <w:tcPr>
            <w:tcW w:w="480" w:type="pct"/>
            <w:noWrap/>
            <w:hideMark/>
          </w:tcPr>
          <w:p w14:paraId="0C052571" w14:textId="5D91E969" w:rsidR="00013F7F" w:rsidRPr="007C15F1"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Latn-ME" w:eastAsia="sr-Cyrl-BA" w:bidi="hi-IN"/>
                <w14:ligatures w14:val="none"/>
              </w:rPr>
            </w:pPr>
            <w:r w:rsidRPr="00013F7F">
              <w:rPr>
                <w:rFonts w:ascii="Calibri" w:eastAsia="Times New Roman" w:hAnsi="Calibri" w:cs="Calibri"/>
                <w:color w:val="000000"/>
                <w:kern w:val="0"/>
                <w:lang w:val="sr-Cyrl-BA" w:eastAsia="sr-Cyrl-BA" w:bidi="hi-IN"/>
                <w14:ligatures w14:val="none"/>
              </w:rPr>
              <w:t>2024</w:t>
            </w:r>
            <w:r w:rsidR="007C15F1">
              <w:rPr>
                <w:rFonts w:ascii="Calibri" w:eastAsia="Times New Roman" w:hAnsi="Calibri" w:cs="Calibri"/>
                <w:color w:val="000000"/>
                <w:kern w:val="0"/>
                <w:lang w:val="sr-Latn-ME" w:eastAsia="sr-Cyrl-BA" w:bidi="hi-IN"/>
                <w14:ligatures w14:val="none"/>
              </w:rPr>
              <w:t>.</w:t>
            </w:r>
          </w:p>
        </w:tc>
        <w:tc>
          <w:tcPr>
            <w:tcW w:w="481" w:type="pct"/>
            <w:noWrap/>
            <w:hideMark/>
          </w:tcPr>
          <w:p w14:paraId="3C7A274F" w14:textId="41B44D6B" w:rsidR="00013F7F" w:rsidRPr="007C15F1"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Latn-ME" w:eastAsia="sr-Cyrl-BA" w:bidi="hi-IN"/>
                <w14:ligatures w14:val="none"/>
              </w:rPr>
            </w:pPr>
            <w:r w:rsidRPr="00013F7F">
              <w:rPr>
                <w:rFonts w:ascii="Calibri" w:eastAsia="Times New Roman" w:hAnsi="Calibri" w:cs="Calibri"/>
                <w:color w:val="000000"/>
                <w:kern w:val="0"/>
                <w:lang w:val="sr-Cyrl-BA" w:eastAsia="sr-Cyrl-BA" w:bidi="hi-IN"/>
                <w14:ligatures w14:val="none"/>
              </w:rPr>
              <w:t>2025</w:t>
            </w:r>
            <w:r w:rsidR="007C15F1">
              <w:rPr>
                <w:rFonts w:ascii="Calibri" w:eastAsia="Times New Roman" w:hAnsi="Calibri" w:cs="Calibri"/>
                <w:color w:val="000000"/>
                <w:kern w:val="0"/>
                <w:lang w:val="sr-Latn-ME" w:eastAsia="sr-Cyrl-BA" w:bidi="hi-IN"/>
                <w14:ligatures w14:val="none"/>
              </w:rPr>
              <w:t>.</w:t>
            </w:r>
          </w:p>
        </w:tc>
        <w:tc>
          <w:tcPr>
            <w:tcW w:w="480" w:type="pct"/>
            <w:noWrap/>
            <w:hideMark/>
          </w:tcPr>
          <w:p w14:paraId="3542D193" w14:textId="3D0AC768" w:rsidR="00013F7F" w:rsidRPr="007C15F1"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Latn-ME" w:eastAsia="sr-Cyrl-BA" w:bidi="hi-IN"/>
                <w14:ligatures w14:val="none"/>
              </w:rPr>
            </w:pPr>
            <w:r w:rsidRPr="00013F7F">
              <w:rPr>
                <w:rFonts w:ascii="Calibri" w:eastAsia="Times New Roman" w:hAnsi="Calibri" w:cs="Calibri"/>
                <w:color w:val="000000"/>
                <w:kern w:val="0"/>
                <w:lang w:val="sr-Cyrl-BA" w:eastAsia="sr-Cyrl-BA" w:bidi="hi-IN"/>
                <w14:ligatures w14:val="none"/>
              </w:rPr>
              <w:t>2026</w:t>
            </w:r>
            <w:r w:rsidR="007C15F1">
              <w:rPr>
                <w:rFonts w:ascii="Calibri" w:eastAsia="Times New Roman" w:hAnsi="Calibri" w:cs="Calibri"/>
                <w:color w:val="000000"/>
                <w:kern w:val="0"/>
                <w:lang w:val="sr-Latn-ME" w:eastAsia="sr-Cyrl-BA" w:bidi="hi-IN"/>
                <w14:ligatures w14:val="none"/>
              </w:rPr>
              <w:t>.</w:t>
            </w:r>
          </w:p>
        </w:tc>
      </w:tr>
      <w:tr w:rsidR="00013F7F" w:rsidRPr="00013F7F" w14:paraId="3709E31A" w14:textId="77777777" w:rsidTr="008361D3">
        <w:trPr>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36C8CAC5" w14:textId="42D10927" w:rsidR="00013F7F" w:rsidRPr="005F41C3" w:rsidRDefault="003D7BA8" w:rsidP="00013F7F">
            <w:pPr>
              <w:rPr>
                <w:rFonts w:ascii="Calibri" w:eastAsia="Times New Roman" w:hAnsi="Calibri" w:cs="Calibri"/>
                <w:b w:val="0"/>
                <w:bCs w:val="0"/>
                <w:color w:val="000000"/>
                <w:kern w:val="0"/>
                <w:lang w:val="sr-Latn-ME" w:eastAsia="sr-Cyrl-BA" w:bidi="hi-IN"/>
                <w14:ligatures w14:val="none"/>
              </w:rPr>
            </w:pPr>
            <w:r>
              <w:rPr>
                <w:rFonts w:ascii="Calibri" w:eastAsia="Times New Roman" w:hAnsi="Calibri" w:cs="Calibri"/>
                <w:b w:val="0"/>
                <w:bCs w:val="0"/>
                <w:color w:val="000000"/>
                <w:kern w:val="0"/>
                <w:lang w:val="sr-Latn-ME" w:eastAsia="sr-Cyrl-BA" w:bidi="hi-IN"/>
                <w14:ligatures w14:val="none"/>
              </w:rPr>
              <w:t>Prihod od poreza</w:t>
            </w:r>
            <w:r w:rsidR="00013F7F" w:rsidRPr="005F41C3">
              <w:rPr>
                <w:rFonts w:ascii="Calibri" w:eastAsia="Times New Roman" w:hAnsi="Calibri" w:cs="Calibri"/>
                <w:b w:val="0"/>
                <w:bCs w:val="0"/>
                <w:color w:val="000000"/>
                <w:kern w:val="0"/>
                <w:lang w:val="sr-Cyrl-BA" w:eastAsia="sr-Cyrl-BA" w:bidi="hi-IN"/>
                <w14:ligatures w14:val="none"/>
              </w:rPr>
              <w:t xml:space="preserve"> na dohodak fizičkih lica </w:t>
            </w:r>
            <w:r w:rsidR="002B312A" w:rsidRPr="005F41C3">
              <w:rPr>
                <w:rFonts w:ascii="Calibri" w:eastAsia="Times New Roman" w:hAnsi="Calibri" w:cs="Calibri"/>
                <w:b w:val="0"/>
                <w:bCs w:val="0"/>
                <w:color w:val="000000"/>
                <w:kern w:val="0"/>
                <w:lang w:val="sr-Latn-ME" w:eastAsia="sr-Cyrl-BA" w:bidi="hi-IN"/>
                <w14:ligatures w14:val="none"/>
              </w:rPr>
              <w:t>-u</w:t>
            </w:r>
            <w:r w:rsidR="00013F7F" w:rsidRPr="005F41C3">
              <w:rPr>
                <w:rFonts w:ascii="Calibri" w:eastAsia="Times New Roman" w:hAnsi="Calibri" w:cs="Calibri"/>
                <w:b w:val="0"/>
                <w:bCs w:val="0"/>
                <w:color w:val="000000"/>
                <w:kern w:val="0"/>
                <w:lang w:val="sr-Cyrl-BA" w:eastAsia="sr-Cyrl-BA" w:bidi="hi-IN"/>
                <w14:ligatures w14:val="none"/>
              </w:rPr>
              <w:t>kupno</w:t>
            </w:r>
            <w:r w:rsidR="0027431C" w:rsidRPr="005F41C3">
              <w:rPr>
                <w:rFonts w:ascii="Calibri" w:eastAsia="Times New Roman" w:hAnsi="Calibri" w:cs="Calibri"/>
                <w:b w:val="0"/>
                <w:bCs w:val="0"/>
                <w:color w:val="000000"/>
                <w:kern w:val="0"/>
                <w:lang w:val="sr-Latn-ME" w:eastAsia="sr-Cyrl-BA" w:bidi="hi-IN"/>
                <w14:ligatures w14:val="none"/>
              </w:rPr>
              <w:t xml:space="preserve"> (u mil. €)</w:t>
            </w:r>
          </w:p>
        </w:tc>
        <w:tc>
          <w:tcPr>
            <w:tcW w:w="608" w:type="pct"/>
            <w:noWrap/>
            <w:hideMark/>
          </w:tcPr>
          <w:p w14:paraId="5017AA54"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136,6</w:t>
            </w:r>
          </w:p>
        </w:tc>
        <w:tc>
          <w:tcPr>
            <w:tcW w:w="544" w:type="pct"/>
            <w:noWrap/>
            <w:hideMark/>
          </w:tcPr>
          <w:p w14:paraId="36EE2C49"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130,8</w:t>
            </w:r>
          </w:p>
        </w:tc>
        <w:tc>
          <w:tcPr>
            <w:tcW w:w="480" w:type="pct"/>
            <w:noWrap/>
            <w:hideMark/>
          </w:tcPr>
          <w:p w14:paraId="6A25C934"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133,9</w:t>
            </w:r>
          </w:p>
        </w:tc>
        <w:tc>
          <w:tcPr>
            <w:tcW w:w="481" w:type="pct"/>
            <w:noWrap/>
            <w:hideMark/>
          </w:tcPr>
          <w:p w14:paraId="46A4C42E"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136,7</w:t>
            </w:r>
          </w:p>
        </w:tc>
        <w:tc>
          <w:tcPr>
            <w:tcW w:w="480" w:type="pct"/>
            <w:noWrap/>
            <w:hideMark/>
          </w:tcPr>
          <w:p w14:paraId="3A06EEF4"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145,0</w:t>
            </w:r>
          </w:p>
        </w:tc>
      </w:tr>
      <w:tr w:rsidR="00013F7F" w:rsidRPr="00013F7F" w14:paraId="1DAA30CF" w14:textId="77777777" w:rsidTr="00836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115A3BD5" w14:textId="033D1608" w:rsidR="00013F7F" w:rsidRPr="005F41C3" w:rsidRDefault="003D7BA8" w:rsidP="00013F7F">
            <w:pPr>
              <w:rPr>
                <w:rFonts w:ascii="Calibri" w:eastAsia="Times New Roman" w:hAnsi="Calibri" w:cs="Calibri"/>
                <w:b w:val="0"/>
                <w:bCs w:val="0"/>
                <w:color w:val="000000"/>
                <w:kern w:val="0"/>
                <w:lang w:val="sr-Cyrl-BA" w:eastAsia="sr-Cyrl-BA" w:bidi="hi-IN"/>
                <w14:ligatures w14:val="none"/>
              </w:rPr>
            </w:pPr>
            <w:r>
              <w:rPr>
                <w:rFonts w:ascii="Calibri" w:eastAsia="Times New Roman" w:hAnsi="Calibri" w:cs="Calibri"/>
                <w:b w:val="0"/>
                <w:bCs w:val="0"/>
                <w:color w:val="000000"/>
                <w:kern w:val="0"/>
                <w:lang w:val="sr-Latn-ME" w:eastAsia="sr-Cyrl-BA" w:bidi="hi-IN"/>
                <w14:ligatures w14:val="none"/>
              </w:rPr>
              <w:t xml:space="preserve">Prihod od poreza </w:t>
            </w:r>
            <w:r w:rsidR="00013F7F" w:rsidRPr="005F41C3">
              <w:rPr>
                <w:rFonts w:ascii="Calibri" w:eastAsia="Times New Roman" w:hAnsi="Calibri" w:cs="Calibri"/>
                <w:b w:val="0"/>
                <w:bCs w:val="0"/>
                <w:color w:val="000000"/>
                <w:kern w:val="0"/>
                <w:lang w:val="sr-Cyrl-BA" w:eastAsia="sr-Cyrl-BA" w:bidi="hi-IN"/>
                <w14:ligatures w14:val="none"/>
              </w:rPr>
              <w:t>na dohodak fizičkih lica -</w:t>
            </w:r>
            <w:r w:rsidR="002B312A" w:rsidRPr="005F41C3">
              <w:rPr>
                <w:rFonts w:ascii="Calibri" w:eastAsia="Times New Roman" w:hAnsi="Calibri" w:cs="Calibri"/>
                <w:b w:val="0"/>
                <w:bCs w:val="0"/>
                <w:color w:val="000000"/>
                <w:kern w:val="0"/>
                <w:lang w:val="sr-Latn-ME" w:eastAsia="sr-Cyrl-BA" w:bidi="hi-IN"/>
                <w14:ligatures w14:val="none"/>
              </w:rPr>
              <w:t>c</w:t>
            </w:r>
            <w:r w:rsidR="00013F7F" w:rsidRPr="005F41C3">
              <w:rPr>
                <w:rFonts w:ascii="Calibri" w:eastAsia="Times New Roman" w:hAnsi="Calibri" w:cs="Calibri"/>
                <w:b w:val="0"/>
                <w:bCs w:val="0"/>
                <w:color w:val="000000"/>
                <w:kern w:val="0"/>
                <w:lang w:val="sr-Cyrl-BA" w:eastAsia="sr-Cyrl-BA" w:bidi="hi-IN"/>
                <w14:ligatures w14:val="none"/>
              </w:rPr>
              <w:t>entralni budžet</w:t>
            </w:r>
            <w:r w:rsidR="0027431C" w:rsidRPr="005F41C3">
              <w:rPr>
                <w:rFonts w:ascii="Calibri" w:eastAsia="Times New Roman" w:hAnsi="Calibri" w:cs="Calibri"/>
                <w:b w:val="0"/>
                <w:bCs w:val="0"/>
                <w:color w:val="000000"/>
                <w:kern w:val="0"/>
                <w:lang w:val="sr-Latn-ME" w:eastAsia="sr-Cyrl-BA" w:bidi="hi-IN"/>
                <w14:ligatures w14:val="none"/>
              </w:rPr>
              <w:t>(u mil. €)</w:t>
            </w:r>
          </w:p>
        </w:tc>
        <w:tc>
          <w:tcPr>
            <w:tcW w:w="608" w:type="pct"/>
            <w:noWrap/>
            <w:hideMark/>
          </w:tcPr>
          <w:p w14:paraId="4DB6169F"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83,0</w:t>
            </w:r>
          </w:p>
        </w:tc>
        <w:tc>
          <w:tcPr>
            <w:tcW w:w="544" w:type="pct"/>
            <w:noWrap/>
            <w:hideMark/>
          </w:tcPr>
          <w:p w14:paraId="5D8EAD19"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62,3</w:t>
            </w:r>
          </w:p>
        </w:tc>
        <w:tc>
          <w:tcPr>
            <w:tcW w:w="480" w:type="pct"/>
            <w:noWrap/>
            <w:hideMark/>
          </w:tcPr>
          <w:p w14:paraId="45938208"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63,3</w:t>
            </w:r>
          </w:p>
        </w:tc>
        <w:tc>
          <w:tcPr>
            <w:tcW w:w="481" w:type="pct"/>
            <w:noWrap/>
            <w:hideMark/>
          </w:tcPr>
          <w:p w14:paraId="46F0409A"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64,0</w:t>
            </w:r>
          </w:p>
        </w:tc>
        <w:tc>
          <w:tcPr>
            <w:tcW w:w="480" w:type="pct"/>
            <w:noWrap/>
            <w:hideMark/>
          </w:tcPr>
          <w:p w14:paraId="09EB29AB"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68,6</w:t>
            </w:r>
          </w:p>
        </w:tc>
      </w:tr>
      <w:tr w:rsidR="00013F7F" w:rsidRPr="00013F7F" w14:paraId="1F7FC8F5" w14:textId="77777777" w:rsidTr="008361D3">
        <w:trPr>
          <w:trHeight w:val="600"/>
        </w:trPr>
        <w:tc>
          <w:tcPr>
            <w:cnfStyle w:val="001000000000" w:firstRow="0" w:lastRow="0" w:firstColumn="1" w:lastColumn="0" w:oddVBand="0" w:evenVBand="0" w:oddHBand="0" w:evenHBand="0" w:firstRowFirstColumn="0" w:firstRowLastColumn="0" w:lastRowFirstColumn="0" w:lastRowLastColumn="0"/>
            <w:tcW w:w="2407" w:type="pct"/>
            <w:hideMark/>
          </w:tcPr>
          <w:p w14:paraId="251F24B5" w14:textId="7D0D1AB9" w:rsidR="00013F7F" w:rsidRPr="005F41C3" w:rsidRDefault="00013F7F" w:rsidP="00013F7F">
            <w:pPr>
              <w:rPr>
                <w:rFonts w:ascii="Calibri" w:eastAsia="Times New Roman" w:hAnsi="Calibri" w:cs="Calibri"/>
                <w:b w:val="0"/>
                <w:bCs w:val="0"/>
                <w:color w:val="000000"/>
                <w:kern w:val="0"/>
                <w:lang w:val="sr-Cyrl-BA"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P</w:t>
            </w:r>
            <w:r w:rsidR="003D7BA8">
              <w:rPr>
                <w:rFonts w:ascii="Calibri" w:eastAsia="Times New Roman" w:hAnsi="Calibri" w:cs="Calibri"/>
                <w:b w:val="0"/>
                <w:bCs w:val="0"/>
                <w:color w:val="000000"/>
                <w:kern w:val="0"/>
                <w:lang w:val="sr-Latn-ME" w:eastAsia="sr-Cyrl-BA" w:bidi="hi-IN"/>
                <w14:ligatures w14:val="none"/>
              </w:rPr>
              <w:t>rihod od poreza</w:t>
            </w:r>
            <w:r w:rsidRPr="005F41C3">
              <w:rPr>
                <w:rFonts w:ascii="Calibri" w:eastAsia="Times New Roman" w:hAnsi="Calibri" w:cs="Calibri"/>
                <w:b w:val="0"/>
                <w:bCs w:val="0"/>
                <w:color w:val="000000"/>
                <w:kern w:val="0"/>
                <w:lang w:val="sr-Cyrl-BA" w:eastAsia="sr-Cyrl-BA" w:bidi="hi-IN"/>
                <w14:ligatures w14:val="none"/>
              </w:rPr>
              <w:t xml:space="preserve"> na dohodak fizičkih lica</w:t>
            </w:r>
            <w:r w:rsidR="003D7BA8">
              <w:rPr>
                <w:rFonts w:ascii="Calibri" w:eastAsia="Times New Roman" w:hAnsi="Calibri" w:cs="Calibri"/>
                <w:b w:val="0"/>
                <w:bCs w:val="0"/>
                <w:color w:val="000000"/>
                <w:kern w:val="0"/>
                <w:lang w:val="sr-Latn-ME" w:eastAsia="sr-Cyrl-BA" w:bidi="hi-IN"/>
                <w14:ligatures w14:val="none"/>
              </w:rPr>
              <w:t xml:space="preserve"> -</w:t>
            </w:r>
            <w:r w:rsidRPr="005F41C3">
              <w:rPr>
                <w:rFonts w:ascii="Calibri" w:eastAsia="Times New Roman" w:hAnsi="Calibri" w:cs="Calibri"/>
                <w:b w:val="0"/>
                <w:bCs w:val="0"/>
                <w:color w:val="000000"/>
                <w:kern w:val="0"/>
                <w:lang w:val="sr-Cyrl-BA" w:eastAsia="sr-Cyrl-BA" w:bidi="hi-IN"/>
                <w14:ligatures w14:val="none"/>
              </w:rPr>
              <w:t xml:space="preserve"> Lokalna samouprava</w:t>
            </w:r>
            <w:r w:rsidR="0027431C" w:rsidRPr="005F41C3">
              <w:rPr>
                <w:rFonts w:ascii="Calibri" w:eastAsia="Times New Roman" w:hAnsi="Calibri" w:cs="Calibri"/>
                <w:b w:val="0"/>
                <w:bCs w:val="0"/>
                <w:color w:val="000000"/>
                <w:kern w:val="0"/>
                <w:lang w:val="sr-Latn-ME" w:eastAsia="sr-Cyrl-BA" w:bidi="hi-IN"/>
                <w14:ligatures w14:val="none"/>
              </w:rPr>
              <w:t xml:space="preserve"> (u mil. €)</w:t>
            </w:r>
          </w:p>
        </w:tc>
        <w:tc>
          <w:tcPr>
            <w:tcW w:w="608" w:type="pct"/>
            <w:noWrap/>
            <w:hideMark/>
          </w:tcPr>
          <w:p w14:paraId="36CFED60"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53,6</w:t>
            </w:r>
          </w:p>
        </w:tc>
        <w:tc>
          <w:tcPr>
            <w:tcW w:w="544" w:type="pct"/>
            <w:noWrap/>
            <w:hideMark/>
          </w:tcPr>
          <w:p w14:paraId="61D24980"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68,5</w:t>
            </w:r>
          </w:p>
        </w:tc>
        <w:tc>
          <w:tcPr>
            <w:tcW w:w="480" w:type="pct"/>
            <w:noWrap/>
            <w:hideMark/>
          </w:tcPr>
          <w:p w14:paraId="5B5A943B"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70,6</w:t>
            </w:r>
          </w:p>
        </w:tc>
        <w:tc>
          <w:tcPr>
            <w:tcW w:w="481" w:type="pct"/>
            <w:noWrap/>
            <w:hideMark/>
          </w:tcPr>
          <w:p w14:paraId="3CF58861"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72,7</w:t>
            </w:r>
          </w:p>
        </w:tc>
        <w:tc>
          <w:tcPr>
            <w:tcW w:w="480" w:type="pct"/>
            <w:noWrap/>
            <w:hideMark/>
          </w:tcPr>
          <w:p w14:paraId="327DCF20"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76,4</w:t>
            </w:r>
          </w:p>
        </w:tc>
      </w:tr>
      <w:tr w:rsidR="00013F7F" w:rsidRPr="00013F7F" w14:paraId="7C0CD515" w14:textId="77777777" w:rsidTr="00836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044D19AD" w14:textId="367624C3" w:rsidR="00013F7F" w:rsidRPr="005F41C3" w:rsidRDefault="003D7BA8" w:rsidP="00013F7F">
            <w:pPr>
              <w:rPr>
                <w:rFonts w:ascii="Calibri" w:eastAsia="Times New Roman" w:hAnsi="Calibri" w:cs="Calibri"/>
                <w:b w:val="0"/>
                <w:bCs w:val="0"/>
                <w:color w:val="000000"/>
                <w:kern w:val="0"/>
                <w:lang w:val="sr-Cyrl-BA" w:eastAsia="sr-Cyrl-BA" w:bidi="hi-IN"/>
                <w14:ligatures w14:val="none"/>
              </w:rPr>
            </w:pPr>
            <w:r>
              <w:rPr>
                <w:rFonts w:ascii="Calibri" w:eastAsia="Times New Roman" w:hAnsi="Calibri" w:cs="Calibri"/>
                <w:b w:val="0"/>
                <w:bCs w:val="0"/>
                <w:color w:val="000000"/>
                <w:kern w:val="0"/>
                <w:lang w:val="sr-Latn-ME" w:eastAsia="sr-Cyrl-BA" w:bidi="hi-IN"/>
                <w14:ligatures w14:val="none"/>
              </w:rPr>
              <w:t>Prihod od doprinosa na</w:t>
            </w:r>
            <w:r w:rsidR="00013F7F" w:rsidRPr="005F41C3">
              <w:rPr>
                <w:rFonts w:ascii="Calibri" w:eastAsia="Times New Roman" w:hAnsi="Calibri" w:cs="Calibri"/>
                <w:b w:val="0"/>
                <w:bCs w:val="0"/>
                <w:color w:val="000000"/>
                <w:kern w:val="0"/>
                <w:lang w:val="sr-Cyrl-BA" w:eastAsia="sr-Cyrl-BA" w:bidi="hi-IN"/>
                <w14:ligatures w14:val="none"/>
              </w:rPr>
              <w:t xml:space="preserve"> PIO mil.€</w:t>
            </w:r>
          </w:p>
        </w:tc>
        <w:tc>
          <w:tcPr>
            <w:tcW w:w="608" w:type="pct"/>
            <w:noWrap/>
            <w:hideMark/>
          </w:tcPr>
          <w:p w14:paraId="1CDEBDF1"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405,9</w:t>
            </w:r>
          </w:p>
        </w:tc>
        <w:tc>
          <w:tcPr>
            <w:tcW w:w="544" w:type="pct"/>
            <w:noWrap/>
            <w:hideMark/>
          </w:tcPr>
          <w:p w14:paraId="282993F4"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473,7</w:t>
            </w:r>
          </w:p>
        </w:tc>
        <w:tc>
          <w:tcPr>
            <w:tcW w:w="480" w:type="pct"/>
            <w:noWrap/>
            <w:hideMark/>
          </w:tcPr>
          <w:p w14:paraId="5E1DC377"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512,2</w:t>
            </w:r>
          </w:p>
        </w:tc>
        <w:tc>
          <w:tcPr>
            <w:tcW w:w="481" w:type="pct"/>
            <w:noWrap/>
            <w:hideMark/>
          </w:tcPr>
          <w:p w14:paraId="36E0A58A"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524,7</w:t>
            </w:r>
          </w:p>
        </w:tc>
        <w:tc>
          <w:tcPr>
            <w:tcW w:w="480" w:type="pct"/>
            <w:noWrap/>
            <w:hideMark/>
          </w:tcPr>
          <w:p w14:paraId="633B7BE4"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537,8</w:t>
            </w:r>
          </w:p>
        </w:tc>
      </w:tr>
      <w:tr w:rsidR="00013F7F" w:rsidRPr="00013F7F" w14:paraId="703BF322" w14:textId="77777777" w:rsidTr="008361D3">
        <w:trPr>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13577F1E" w14:textId="14896A33" w:rsidR="00013F7F" w:rsidRPr="005F41C3" w:rsidRDefault="003D7BA8" w:rsidP="00013F7F">
            <w:pPr>
              <w:rPr>
                <w:rFonts w:ascii="Calibri" w:eastAsia="Times New Roman" w:hAnsi="Calibri" w:cs="Calibri"/>
                <w:b w:val="0"/>
                <w:bCs w:val="0"/>
                <w:color w:val="000000"/>
                <w:kern w:val="0"/>
                <w:lang w:val="sr-Cyrl-BA" w:eastAsia="sr-Cyrl-BA" w:bidi="hi-IN"/>
                <w14:ligatures w14:val="none"/>
              </w:rPr>
            </w:pPr>
            <w:r>
              <w:rPr>
                <w:rFonts w:ascii="Calibri" w:eastAsia="Times New Roman" w:hAnsi="Calibri" w:cs="Calibri"/>
                <w:b w:val="0"/>
                <w:bCs w:val="0"/>
                <w:color w:val="000000"/>
                <w:kern w:val="0"/>
                <w:lang w:val="sr-Latn-ME" w:eastAsia="sr-Cyrl-BA" w:bidi="hi-IN"/>
                <w14:ligatures w14:val="none"/>
              </w:rPr>
              <w:t>Prihod od doprinosa</w:t>
            </w:r>
            <w:r w:rsidR="00D435B0">
              <w:rPr>
                <w:rFonts w:ascii="Calibri" w:eastAsia="Times New Roman" w:hAnsi="Calibri" w:cs="Calibri"/>
                <w:b w:val="0"/>
                <w:bCs w:val="0"/>
                <w:color w:val="000000"/>
                <w:kern w:val="0"/>
                <w:lang w:val="sr-Latn-ME" w:eastAsia="sr-Cyrl-BA" w:bidi="hi-IN"/>
                <w14:ligatures w14:val="none"/>
              </w:rPr>
              <w:t xml:space="preserve"> za osiguranje od nezaposlenosti</w:t>
            </w:r>
            <w:r w:rsidR="00013F7F" w:rsidRPr="005F41C3">
              <w:rPr>
                <w:rFonts w:ascii="Calibri" w:eastAsia="Times New Roman" w:hAnsi="Calibri" w:cs="Calibri"/>
                <w:b w:val="0"/>
                <w:bCs w:val="0"/>
                <w:color w:val="000000"/>
                <w:kern w:val="0"/>
                <w:lang w:val="sr-Cyrl-BA" w:eastAsia="sr-Cyrl-BA" w:bidi="hi-IN"/>
                <w14:ligatures w14:val="none"/>
              </w:rPr>
              <w:t xml:space="preserve"> mil.€</w:t>
            </w:r>
          </w:p>
        </w:tc>
        <w:tc>
          <w:tcPr>
            <w:tcW w:w="608" w:type="pct"/>
            <w:noWrap/>
            <w:hideMark/>
          </w:tcPr>
          <w:p w14:paraId="1EB45860"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18,4</w:t>
            </w:r>
          </w:p>
        </w:tc>
        <w:tc>
          <w:tcPr>
            <w:tcW w:w="544" w:type="pct"/>
            <w:noWrap/>
            <w:hideMark/>
          </w:tcPr>
          <w:p w14:paraId="07AF1061"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22,0</w:t>
            </w:r>
          </w:p>
        </w:tc>
        <w:tc>
          <w:tcPr>
            <w:tcW w:w="480" w:type="pct"/>
            <w:noWrap/>
            <w:hideMark/>
          </w:tcPr>
          <w:p w14:paraId="621400E0"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22,5</w:t>
            </w:r>
          </w:p>
        </w:tc>
        <w:tc>
          <w:tcPr>
            <w:tcW w:w="481" w:type="pct"/>
            <w:noWrap/>
            <w:hideMark/>
          </w:tcPr>
          <w:p w14:paraId="34726E96"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23,1</w:t>
            </w:r>
          </w:p>
        </w:tc>
        <w:tc>
          <w:tcPr>
            <w:tcW w:w="480" w:type="pct"/>
            <w:noWrap/>
            <w:hideMark/>
          </w:tcPr>
          <w:p w14:paraId="250948D6"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24,4</w:t>
            </w:r>
          </w:p>
        </w:tc>
      </w:tr>
      <w:tr w:rsidR="00013F7F" w:rsidRPr="00013F7F" w14:paraId="16BE0322" w14:textId="77777777" w:rsidTr="008361D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07" w:type="pct"/>
            <w:hideMark/>
          </w:tcPr>
          <w:p w14:paraId="46EB64CC" w14:textId="7C8DF849" w:rsidR="00013F7F" w:rsidRPr="005F41C3" w:rsidRDefault="00013F7F" w:rsidP="00013F7F">
            <w:pPr>
              <w:rPr>
                <w:rFonts w:ascii="Calibri" w:eastAsia="Times New Roman" w:hAnsi="Calibri" w:cs="Calibri"/>
                <w:b w:val="0"/>
                <w:bCs w:val="0"/>
                <w:color w:val="000000"/>
                <w:kern w:val="0"/>
                <w:lang w:val="sr-Latn-ME"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Nominalni rast</w:t>
            </w:r>
            <w:r w:rsidR="003D7BA8">
              <w:rPr>
                <w:rFonts w:ascii="Calibri" w:eastAsia="Times New Roman" w:hAnsi="Calibri" w:cs="Calibri"/>
                <w:b w:val="0"/>
                <w:bCs w:val="0"/>
                <w:color w:val="000000"/>
                <w:kern w:val="0"/>
                <w:lang w:val="sr-Latn-ME" w:eastAsia="sr-Cyrl-BA" w:bidi="hi-IN"/>
                <w14:ligatures w14:val="none"/>
              </w:rPr>
              <w:t xml:space="preserve"> prihoda od</w:t>
            </w:r>
            <w:r w:rsidRPr="005F41C3">
              <w:rPr>
                <w:rFonts w:ascii="Calibri" w:eastAsia="Times New Roman" w:hAnsi="Calibri" w:cs="Calibri"/>
                <w:b w:val="0"/>
                <w:bCs w:val="0"/>
                <w:color w:val="000000"/>
                <w:kern w:val="0"/>
                <w:lang w:val="sr-Cyrl-BA" w:eastAsia="sr-Cyrl-BA" w:bidi="hi-IN"/>
                <w14:ligatures w14:val="none"/>
              </w:rPr>
              <w:t xml:space="preserve"> poreza na dohodak fizičkih lica-Javna potrošnja</w:t>
            </w:r>
            <w:r w:rsidR="0027431C" w:rsidRPr="005F41C3">
              <w:rPr>
                <w:rFonts w:ascii="Calibri" w:eastAsia="Times New Roman" w:hAnsi="Calibri" w:cs="Calibri"/>
                <w:b w:val="0"/>
                <w:bCs w:val="0"/>
                <w:color w:val="000000"/>
                <w:kern w:val="0"/>
                <w:lang w:val="sr-Latn-ME" w:eastAsia="sr-Cyrl-BA" w:bidi="hi-IN"/>
                <w14:ligatures w14:val="none"/>
              </w:rPr>
              <w:t xml:space="preserve"> (u %)</w:t>
            </w:r>
          </w:p>
        </w:tc>
        <w:tc>
          <w:tcPr>
            <w:tcW w:w="608" w:type="pct"/>
            <w:noWrap/>
            <w:hideMark/>
          </w:tcPr>
          <w:p w14:paraId="4F86D347"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-26,0</w:t>
            </w:r>
          </w:p>
        </w:tc>
        <w:tc>
          <w:tcPr>
            <w:tcW w:w="544" w:type="pct"/>
            <w:noWrap/>
            <w:hideMark/>
          </w:tcPr>
          <w:p w14:paraId="02643D96"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-4,2</w:t>
            </w:r>
          </w:p>
        </w:tc>
        <w:tc>
          <w:tcPr>
            <w:tcW w:w="480" w:type="pct"/>
            <w:noWrap/>
            <w:hideMark/>
          </w:tcPr>
          <w:p w14:paraId="5A9B6175"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2,3</w:t>
            </w:r>
          </w:p>
        </w:tc>
        <w:tc>
          <w:tcPr>
            <w:tcW w:w="481" w:type="pct"/>
            <w:noWrap/>
            <w:hideMark/>
          </w:tcPr>
          <w:p w14:paraId="15F6A7AA"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2,1</w:t>
            </w:r>
          </w:p>
        </w:tc>
        <w:tc>
          <w:tcPr>
            <w:tcW w:w="480" w:type="pct"/>
            <w:noWrap/>
            <w:hideMark/>
          </w:tcPr>
          <w:p w14:paraId="328AED4A"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6,0</w:t>
            </w:r>
          </w:p>
        </w:tc>
      </w:tr>
      <w:tr w:rsidR="00013F7F" w:rsidRPr="00013F7F" w14:paraId="0CA39F5A" w14:textId="77777777" w:rsidTr="008361D3">
        <w:trPr>
          <w:trHeight w:val="600"/>
        </w:trPr>
        <w:tc>
          <w:tcPr>
            <w:cnfStyle w:val="001000000000" w:firstRow="0" w:lastRow="0" w:firstColumn="1" w:lastColumn="0" w:oddVBand="0" w:evenVBand="0" w:oddHBand="0" w:evenHBand="0" w:firstRowFirstColumn="0" w:firstRowLastColumn="0" w:lastRowFirstColumn="0" w:lastRowLastColumn="0"/>
            <w:tcW w:w="2407" w:type="pct"/>
            <w:hideMark/>
          </w:tcPr>
          <w:p w14:paraId="128ADB43" w14:textId="52233E7D" w:rsidR="00013F7F" w:rsidRPr="005F41C3" w:rsidRDefault="00013F7F" w:rsidP="00013F7F">
            <w:pPr>
              <w:rPr>
                <w:rFonts w:ascii="Calibri" w:eastAsia="Times New Roman" w:hAnsi="Calibri" w:cs="Calibri"/>
                <w:b w:val="0"/>
                <w:bCs w:val="0"/>
                <w:color w:val="000000"/>
                <w:kern w:val="0"/>
                <w:lang w:val="sr-Latn-ME"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Nominalni rast poreza na dohodak fizičkih lica-Centralni budžet</w:t>
            </w:r>
            <w:r w:rsidR="0027431C" w:rsidRPr="005F41C3">
              <w:rPr>
                <w:rFonts w:ascii="Calibri" w:eastAsia="Times New Roman" w:hAnsi="Calibri" w:cs="Calibri"/>
                <w:b w:val="0"/>
                <w:bCs w:val="0"/>
                <w:color w:val="000000"/>
                <w:kern w:val="0"/>
                <w:lang w:val="sr-Latn-ME" w:eastAsia="sr-Cyrl-BA" w:bidi="hi-IN"/>
                <w14:ligatures w14:val="none"/>
              </w:rPr>
              <w:t xml:space="preserve"> (u %)</w:t>
            </w:r>
          </w:p>
        </w:tc>
        <w:tc>
          <w:tcPr>
            <w:tcW w:w="608" w:type="pct"/>
            <w:noWrap/>
            <w:hideMark/>
          </w:tcPr>
          <w:p w14:paraId="740A5DBF"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-34,6</w:t>
            </w:r>
          </w:p>
        </w:tc>
        <w:tc>
          <w:tcPr>
            <w:tcW w:w="544" w:type="pct"/>
            <w:noWrap/>
            <w:hideMark/>
          </w:tcPr>
          <w:p w14:paraId="4CBB625F"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-25,0</w:t>
            </w:r>
          </w:p>
        </w:tc>
        <w:tc>
          <w:tcPr>
            <w:tcW w:w="480" w:type="pct"/>
            <w:noWrap/>
            <w:hideMark/>
          </w:tcPr>
          <w:p w14:paraId="4BB9A543"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1,6</w:t>
            </w:r>
          </w:p>
        </w:tc>
        <w:tc>
          <w:tcPr>
            <w:tcW w:w="481" w:type="pct"/>
            <w:noWrap/>
            <w:hideMark/>
          </w:tcPr>
          <w:p w14:paraId="2C05D182"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1,1</w:t>
            </w:r>
          </w:p>
        </w:tc>
        <w:tc>
          <w:tcPr>
            <w:tcW w:w="480" w:type="pct"/>
            <w:noWrap/>
            <w:hideMark/>
          </w:tcPr>
          <w:p w14:paraId="76433DB7"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7,2</w:t>
            </w:r>
          </w:p>
        </w:tc>
      </w:tr>
      <w:tr w:rsidR="00013F7F" w:rsidRPr="00013F7F" w14:paraId="1D344795" w14:textId="77777777" w:rsidTr="008361D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07" w:type="pct"/>
            <w:hideMark/>
          </w:tcPr>
          <w:p w14:paraId="7C24FB8F" w14:textId="6CD65981" w:rsidR="00013F7F" w:rsidRPr="005F41C3" w:rsidRDefault="00013F7F" w:rsidP="00013F7F">
            <w:pPr>
              <w:rPr>
                <w:rFonts w:ascii="Calibri" w:eastAsia="Times New Roman" w:hAnsi="Calibri" w:cs="Calibri"/>
                <w:b w:val="0"/>
                <w:bCs w:val="0"/>
                <w:color w:val="000000"/>
                <w:kern w:val="0"/>
                <w:lang w:val="sr-Latn-ME"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 xml:space="preserve">Nominalni rast </w:t>
            </w:r>
            <w:r w:rsidR="003D7BA8">
              <w:rPr>
                <w:rFonts w:ascii="Calibri" w:eastAsia="Times New Roman" w:hAnsi="Calibri" w:cs="Calibri"/>
                <w:b w:val="0"/>
                <w:bCs w:val="0"/>
                <w:color w:val="000000"/>
                <w:kern w:val="0"/>
                <w:lang w:val="sr-Latn-ME" w:eastAsia="sr-Cyrl-BA" w:bidi="hi-IN"/>
                <w14:ligatures w14:val="none"/>
              </w:rPr>
              <w:t xml:space="preserve">prihoda od </w:t>
            </w:r>
            <w:r w:rsidRPr="005F41C3">
              <w:rPr>
                <w:rFonts w:ascii="Calibri" w:eastAsia="Times New Roman" w:hAnsi="Calibri" w:cs="Calibri"/>
                <w:b w:val="0"/>
                <w:bCs w:val="0"/>
                <w:color w:val="000000"/>
                <w:kern w:val="0"/>
                <w:lang w:val="sr-Cyrl-BA" w:eastAsia="sr-Cyrl-BA" w:bidi="hi-IN"/>
                <w14:ligatures w14:val="none"/>
              </w:rPr>
              <w:t>poreza na dohodak fizičkih lica - Lokalna samouprava</w:t>
            </w:r>
            <w:r w:rsidR="0027431C" w:rsidRPr="005F41C3">
              <w:rPr>
                <w:rFonts w:ascii="Calibri" w:eastAsia="Times New Roman" w:hAnsi="Calibri" w:cs="Calibri"/>
                <w:b w:val="0"/>
                <w:bCs w:val="0"/>
                <w:color w:val="000000"/>
                <w:kern w:val="0"/>
                <w:lang w:val="sr-Latn-ME" w:eastAsia="sr-Cyrl-BA" w:bidi="hi-IN"/>
                <w14:ligatures w14:val="none"/>
              </w:rPr>
              <w:t xml:space="preserve"> (u %)</w:t>
            </w:r>
          </w:p>
        </w:tc>
        <w:tc>
          <w:tcPr>
            <w:tcW w:w="608" w:type="pct"/>
            <w:noWrap/>
            <w:hideMark/>
          </w:tcPr>
          <w:p w14:paraId="31D3A22C"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-7,3</w:t>
            </w:r>
          </w:p>
        </w:tc>
        <w:tc>
          <w:tcPr>
            <w:tcW w:w="544" w:type="pct"/>
            <w:noWrap/>
            <w:hideMark/>
          </w:tcPr>
          <w:p w14:paraId="1F014A54"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27,9</w:t>
            </w:r>
          </w:p>
        </w:tc>
        <w:tc>
          <w:tcPr>
            <w:tcW w:w="480" w:type="pct"/>
            <w:noWrap/>
            <w:hideMark/>
          </w:tcPr>
          <w:p w14:paraId="0F8D31EA"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3,0</w:t>
            </w:r>
          </w:p>
        </w:tc>
        <w:tc>
          <w:tcPr>
            <w:tcW w:w="481" w:type="pct"/>
            <w:noWrap/>
            <w:hideMark/>
          </w:tcPr>
          <w:p w14:paraId="36C096BB"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3,0</w:t>
            </w:r>
          </w:p>
        </w:tc>
        <w:tc>
          <w:tcPr>
            <w:tcW w:w="480" w:type="pct"/>
            <w:noWrap/>
            <w:hideMark/>
          </w:tcPr>
          <w:p w14:paraId="15634AAB"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Times New Roman" w:hAnsi="Calibri" w:cs="Calibri"/>
                <w:color w:val="000000"/>
                <w:kern w:val="0"/>
                <w:lang w:val="sr-Cyrl-BA" w:eastAsia="sr-Cyrl-BA" w:bidi="hi-IN"/>
                <w14:ligatures w14:val="none"/>
              </w:rPr>
              <w:t>5,0</w:t>
            </w:r>
          </w:p>
        </w:tc>
      </w:tr>
      <w:tr w:rsidR="00013F7F" w:rsidRPr="006F1603" w14:paraId="0E95BEE0" w14:textId="77777777" w:rsidTr="008361D3">
        <w:trPr>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79AAE136" w14:textId="57820EB9" w:rsidR="00013F7F" w:rsidRPr="005F41C3" w:rsidRDefault="00013F7F" w:rsidP="00013F7F">
            <w:pPr>
              <w:rPr>
                <w:rFonts w:ascii="Calibri" w:eastAsia="Times New Roman" w:hAnsi="Calibri" w:cs="Calibri"/>
                <w:b w:val="0"/>
                <w:bCs w:val="0"/>
                <w:color w:val="000000"/>
                <w:kern w:val="0"/>
                <w:lang w:val="sr-Latn-ME"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Nominalni rast</w:t>
            </w:r>
            <w:r w:rsidR="003D7BA8">
              <w:rPr>
                <w:rFonts w:ascii="Calibri" w:eastAsia="Times New Roman" w:hAnsi="Calibri" w:cs="Calibri"/>
                <w:b w:val="0"/>
                <w:bCs w:val="0"/>
                <w:color w:val="000000"/>
                <w:kern w:val="0"/>
                <w:lang w:val="sr-Latn-ME" w:eastAsia="sr-Cyrl-BA" w:bidi="hi-IN"/>
                <w14:ligatures w14:val="none"/>
              </w:rPr>
              <w:t xml:space="preserve"> prihoda od doprinosa </w:t>
            </w:r>
            <w:r w:rsidRPr="005F41C3">
              <w:rPr>
                <w:rFonts w:ascii="Calibri" w:eastAsia="Times New Roman" w:hAnsi="Calibri" w:cs="Calibri"/>
                <w:b w:val="0"/>
                <w:bCs w:val="0"/>
                <w:color w:val="000000"/>
                <w:kern w:val="0"/>
                <w:lang w:val="sr-Cyrl-BA" w:eastAsia="sr-Cyrl-BA" w:bidi="hi-IN"/>
                <w14:ligatures w14:val="none"/>
              </w:rPr>
              <w:t xml:space="preserve"> </w:t>
            </w:r>
            <w:r w:rsidR="006F1603" w:rsidRPr="005F41C3">
              <w:rPr>
                <w:rFonts w:ascii="Calibri" w:eastAsia="Times New Roman" w:hAnsi="Calibri" w:cs="Calibri"/>
                <w:b w:val="0"/>
                <w:bCs w:val="0"/>
                <w:color w:val="000000"/>
                <w:kern w:val="0"/>
                <w:lang w:val="sr-Latn-ME" w:eastAsia="sr-Cyrl-BA" w:bidi="hi-IN"/>
                <w14:ligatures w14:val="none"/>
              </w:rPr>
              <w:t xml:space="preserve">za </w:t>
            </w:r>
            <w:r w:rsidRPr="005F41C3">
              <w:rPr>
                <w:rFonts w:ascii="Calibri" w:eastAsia="Times New Roman" w:hAnsi="Calibri" w:cs="Calibri"/>
                <w:b w:val="0"/>
                <w:bCs w:val="0"/>
                <w:color w:val="000000"/>
                <w:kern w:val="0"/>
                <w:lang w:val="sr-Cyrl-BA" w:eastAsia="sr-Cyrl-BA" w:bidi="hi-IN"/>
                <w14:ligatures w14:val="none"/>
              </w:rPr>
              <w:t>PIO</w:t>
            </w:r>
            <w:r w:rsidR="00515F65" w:rsidRPr="005F41C3">
              <w:rPr>
                <w:rFonts w:ascii="Calibri" w:eastAsia="Times New Roman" w:hAnsi="Calibri" w:cs="Calibri"/>
                <w:b w:val="0"/>
                <w:bCs w:val="0"/>
                <w:color w:val="000000"/>
                <w:kern w:val="0"/>
                <w:lang w:val="sr-Latn-ME" w:eastAsia="sr-Cyrl-BA" w:bidi="hi-IN"/>
                <w14:ligatures w14:val="none"/>
              </w:rPr>
              <w:t>-</w:t>
            </w:r>
            <w:r w:rsidR="0027431C" w:rsidRPr="005F41C3">
              <w:rPr>
                <w:rFonts w:ascii="Calibri" w:eastAsia="Times New Roman" w:hAnsi="Calibri" w:cs="Calibri"/>
                <w:b w:val="0"/>
                <w:bCs w:val="0"/>
                <w:color w:val="000000"/>
                <w:kern w:val="0"/>
                <w:lang w:val="sr-Latn-ME" w:eastAsia="sr-Cyrl-BA" w:bidi="hi-IN"/>
                <w14:ligatures w14:val="none"/>
              </w:rPr>
              <w:t xml:space="preserve"> (%)</w:t>
            </w:r>
          </w:p>
        </w:tc>
        <w:tc>
          <w:tcPr>
            <w:tcW w:w="608" w:type="pct"/>
            <w:noWrap/>
            <w:hideMark/>
          </w:tcPr>
          <w:p w14:paraId="2B8EDCC3" w14:textId="77777777" w:rsidR="00013F7F" w:rsidRPr="006F1603"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12,1</w:t>
            </w:r>
          </w:p>
        </w:tc>
        <w:tc>
          <w:tcPr>
            <w:tcW w:w="544" w:type="pct"/>
            <w:noWrap/>
            <w:hideMark/>
          </w:tcPr>
          <w:p w14:paraId="22B80054" w14:textId="77777777" w:rsidR="00013F7F" w:rsidRPr="006F1603"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16,7</w:t>
            </w:r>
          </w:p>
        </w:tc>
        <w:tc>
          <w:tcPr>
            <w:tcW w:w="480" w:type="pct"/>
            <w:noWrap/>
            <w:hideMark/>
          </w:tcPr>
          <w:p w14:paraId="07F1680B" w14:textId="77777777" w:rsidR="00013F7F" w:rsidRPr="006F1603"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8,1</w:t>
            </w:r>
          </w:p>
        </w:tc>
        <w:tc>
          <w:tcPr>
            <w:tcW w:w="481" w:type="pct"/>
            <w:noWrap/>
            <w:hideMark/>
          </w:tcPr>
          <w:p w14:paraId="53311316" w14:textId="77777777" w:rsidR="00013F7F" w:rsidRPr="006F1603"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2,4</w:t>
            </w:r>
          </w:p>
        </w:tc>
        <w:tc>
          <w:tcPr>
            <w:tcW w:w="480" w:type="pct"/>
            <w:noWrap/>
            <w:hideMark/>
          </w:tcPr>
          <w:p w14:paraId="1CB60976" w14:textId="77777777" w:rsidR="00013F7F" w:rsidRPr="006F1603"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2,5</w:t>
            </w:r>
          </w:p>
        </w:tc>
      </w:tr>
      <w:tr w:rsidR="00013F7F" w:rsidRPr="00013F7F" w14:paraId="1015297B" w14:textId="77777777" w:rsidTr="00836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pct"/>
            <w:hideMark/>
          </w:tcPr>
          <w:p w14:paraId="21C84409" w14:textId="66930FCC" w:rsidR="00013F7F" w:rsidRPr="005F41C3" w:rsidRDefault="00013F7F" w:rsidP="00013F7F">
            <w:pPr>
              <w:rPr>
                <w:rFonts w:ascii="Calibri" w:eastAsia="Times New Roman" w:hAnsi="Calibri" w:cs="Calibri"/>
                <w:b w:val="0"/>
                <w:bCs w:val="0"/>
                <w:color w:val="000000"/>
                <w:kern w:val="0"/>
                <w:lang w:val="sr-Latn-ME"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Nominalni rast</w:t>
            </w:r>
            <w:r w:rsidR="003D7BA8">
              <w:rPr>
                <w:rFonts w:ascii="Calibri" w:eastAsia="Times New Roman" w:hAnsi="Calibri" w:cs="Calibri"/>
                <w:b w:val="0"/>
                <w:bCs w:val="0"/>
                <w:color w:val="000000"/>
                <w:kern w:val="0"/>
                <w:lang w:val="sr-Latn-ME" w:eastAsia="sr-Cyrl-BA" w:bidi="hi-IN"/>
                <w14:ligatures w14:val="none"/>
              </w:rPr>
              <w:t xml:space="preserve"> prihoda od doprinosa </w:t>
            </w:r>
            <w:r w:rsidR="006F1603" w:rsidRPr="005F41C3">
              <w:rPr>
                <w:rFonts w:ascii="Calibri" w:eastAsia="Times New Roman" w:hAnsi="Calibri" w:cs="Calibri"/>
                <w:b w:val="0"/>
                <w:bCs w:val="0"/>
                <w:color w:val="000000"/>
                <w:kern w:val="0"/>
                <w:lang w:val="sr-Cyrl-BA" w:eastAsia="sr-Cyrl-BA" w:bidi="hi-IN"/>
                <w14:ligatures w14:val="none"/>
              </w:rPr>
              <w:t>za zdravstvo</w:t>
            </w:r>
            <w:r w:rsidR="0027431C" w:rsidRPr="005F41C3">
              <w:rPr>
                <w:rFonts w:ascii="Calibri" w:eastAsia="Times New Roman" w:hAnsi="Calibri" w:cs="Calibri"/>
                <w:b w:val="0"/>
                <w:bCs w:val="0"/>
                <w:color w:val="000000"/>
                <w:kern w:val="0"/>
                <w:lang w:val="sr-Latn-ME" w:eastAsia="sr-Cyrl-BA" w:bidi="hi-IN"/>
                <w14:ligatures w14:val="none"/>
              </w:rPr>
              <w:t xml:space="preserve"> (%)</w:t>
            </w:r>
          </w:p>
        </w:tc>
        <w:tc>
          <w:tcPr>
            <w:tcW w:w="608" w:type="pct"/>
            <w:noWrap/>
            <w:hideMark/>
          </w:tcPr>
          <w:p w14:paraId="1AE6CAA3" w14:textId="77777777" w:rsidR="00013F7F" w:rsidRPr="006F1603"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12,5</w:t>
            </w:r>
          </w:p>
        </w:tc>
        <w:tc>
          <w:tcPr>
            <w:tcW w:w="544" w:type="pct"/>
            <w:noWrap/>
            <w:hideMark/>
          </w:tcPr>
          <w:p w14:paraId="22F89FFD" w14:textId="77777777" w:rsidR="00013F7F" w:rsidRPr="006F1603"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19,6</w:t>
            </w:r>
          </w:p>
        </w:tc>
        <w:tc>
          <w:tcPr>
            <w:tcW w:w="480" w:type="pct"/>
            <w:noWrap/>
            <w:hideMark/>
          </w:tcPr>
          <w:p w14:paraId="371E7F68" w14:textId="77777777" w:rsidR="00013F7F" w:rsidRPr="006F1603"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2,3</w:t>
            </w:r>
          </w:p>
        </w:tc>
        <w:tc>
          <w:tcPr>
            <w:tcW w:w="481" w:type="pct"/>
            <w:noWrap/>
            <w:hideMark/>
          </w:tcPr>
          <w:p w14:paraId="280A9219" w14:textId="77777777" w:rsidR="00013F7F" w:rsidRPr="006F1603"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2,8</w:t>
            </w:r>
          </w:p>
        </w:tc>
        <w:tc>
          <w:tcPr>
            <w:tcW w:w="480" w:type="pct"/>
            <w:noWrap/>
            <w:hideMark/>
          </w:tcPr>
          <w:p w14:paraId="38939057"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6F1603">
              <w:rPr>
                <w:rFonts w:ascii="Calibri" w:eastAsia="Times New Roman" w:hAnsi="Calibri" w:cs="Calibri"/>
                <w:color w:val="000000"/>
                <w:kern w:val="0"/>
                <w:lang w:val="sr-Cyrl-BA" w:eastAsia="sr-Cyrl-BA" w:bidi="hi-IN"/>
                <w14:ligatures w14:val="none"/>
              </w:rPr>
              <w:t>5,5</w:t>
            </w:r>
          </w:p>
        </w:tc>
      </w:tr>
      <w:tr w:rsidR="00013F7F" w:rsidRPr="00013F7F" w14:paraId="35B50D30" w14:textId="77777777" w:rsidTr="008361D3">
        <w:trPr>
          <w:trHeight w:val="300"/>
        </w:trPr>
        <w:tc>
          <w:tcPr>
            <w:cnfStyle w:val="001000000000" w:firstRow="0" w:lastRow="0" w:firstColumn="1" w:lastColumn="0" w:oddVBand="0" w:evenVBand="0" w:oddHBand="0" w:evenHBand="0" w:firstRowFirstColumn="0" w:firstRowLastColumn="0" w:lastRowFirstColumn="0" w:lastRowLastColumn="0"/>
            <w:tcW w:w="2407" w:type="pct"/>
          </w:tcPr>
          <w:p w14:paraId="16E51F4A" w14:textId="61F70372" w:rsidR="00013F7F" w:rsidRPr="005F41C3" w:rsidRDefault="00013F7F" w:rsidP="00013F7F">
            <w:pPr>
              <w:rPr>
                <w:rFonts w:ascii="Calibri" w:eastAsia="Times New Roman" w:hAnsi="Calibri" w:cs="Calibri"/>
                <w:b w:val="0"/>
                <w:bCs w:val="0"/>
                <w:color w:val="000000"/>
                <w:kern w:val="0"/>
                <w:lang w:val="sr-Latn-ME" w:eastAsia="sr-Cyrl-BA" w:bidi="hi-IN"/>
                <w14:ligatures w14:val="none"/>
              </w:rPr>
            </w:pPr>
            <w:r w:rsidRPr="005F41C3">
              <w:rPr>
                <w:rFonts w:ascii="Calibri" w:eastAsia="Times New Roman" w:hAnsi="Calibri" w:cs="Calibri"/>
                <w:b w:val="0"/>
                <w:bCs w:val="0"/>
                <w:color w:val="000000"/>
                <w:kern w:val="0"/>
                <w:lang w:val="sr-Cyrl-BA" w:eastAsia="sr-Cyrl-BA" w:bidi="hi-IN"/>
                <w14:ligatures w14:val="none"/>
              </w:rPr>
              <w:t xml:space="preserve">Bruto zarade rast </w:t>
            </w:r>
            <w:r w:rsidR="0027431C" w:rsidRPr="005F41C3">
              <w:rPr>
                <w:rFonts w:ascii="Calibri" w:eastAsia="Times New Roman" w:hAnsi="Calibri" w:cs="Calibri"/>
                <w:b w:val="0"/>
                <w:bCs w:val="0"/>
                <w:color w:val="000000"/>
                <w:kern w:val="0"/>
                <w:lang w:val="sr-Latn-ME" w:eastAsia="sr-Cyrl-BA" w:bidi="hi-IN"/>
                <w14:ligatures w14:val="none"/>
              </w:rPr>
              <w:t>(u %)</w:t>
            </w:r>
          </w:p>
        </w:tc>
        <w:tc>
          <w:tcPr>
            <w:tcW w:w="608" w:type="pct"/>
            <w:noWrap/>
          </w:tcPr>
          <w:p w14:paraId="6EEE17EC"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Calibri" w:hAnsi="Calibri" w:cs="Calibri"/>
                <w:color w:val="000000"/>
                <w:kern w:val="0"/>
                <w:lang w:val="sr-Cyrl-BA" w:bidi="hi-IN"/>
                <w14:ligatures w14:val="none"/>
              </w:rPr>
              <w:t>11,4</w:t>
            </w:r>
          </w:p>
        </w:tc>
        <w:tc>
          <w:tcPr>
            <w:tcW w:w="544" w:type="pct"/>
            <w:noWrap/>
          </w:tcPr>
          <w:p w14:paraId="3F18A1DC"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Calibri" w:hAnsi="Calibri" w:cs="Calibri"/>
                <w:color w:val="000000"/>
                <w:kern w:val="0"/>
                <w:lang w:val="sr-Cyrl-BA" w:bidi="hi-IN"/>
                <w14:ligatures w14:val="none"/>
              </w:rPr>
              <w:t>8,0</w:t>
            </w:r>
          </w:p>
        </w:tc>
        <w:tc>
          <w:tcPr>
            <w:tcW w:w="480" w:type="pct"/>
            <w:noWrap/>
          </w:tcPr>
          <w:p w14:paraId="2F0648C5"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Calibri" w:hAnsi="Calibri" w:cs="Calibri"/>
                <w:color w:val="000000"/>
                <w:kern w:val="0"/>
                <w:lang w:val="sr-Cyrl-BA" w:bidi="hi-IN"/>
                <w14:ligatures w14:val="none"/>
              </w:rPr>
              <w:t>5,0</w:t>
            </w:r>
          </w:p>
        </w:tc>
        <w:tc>
          <w:tcPr>
            <w:tcW w:w="481" w:type="pct"/>
            <w:noWrap/>
          </w:tcPr>
          <w:p w14:paraId="1F226ADC"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Calibri" w:hAnsi="Calibri" w:cs="Calibri"/>
                <w:color w:val="000000"/>
                <w:kern w:val="0"/>
                <w:lang w:val="sr-Cyrl-BA" w:bidi="hi-IN"/>
                <w14:ligatures w14:val="none"/>
              </w:rPr>
              <w:t>3,0</w:t>
            </w:r>
          </w:p>
        </w:tc>
        <w:tc>
          <w:tcPr>
            <w:tcW w:w="480" w:type="pct"/>
            <w:noWrap/>
          </w:tcPr>
          <w:p w14:paraId="066A43BB" w14:textId="77777777" w:rsidR="00013F7F" w:rsidRPr="00013F7F" w:rsidRDefault="00013F7F" w:rsidP="00013F7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val="sr-Cyrl-BA" w:eastAsia="sr-Cyrl-BA" w:bidi="hi-IN"/>
                <w14:ligatures w14:val="none"/>
              </w:rPr>
            </w:pPr>
            <w:r w:rsidRPr="00013F7F">
              <w:rPr>
                <w:rFonts w:ascii="Calibri" w:eastAsia="Calibri" w:hAnsi="Calibri" w:cs="Calibri"/>
                <w:color w:val="000000"/>
                <w:kern w:val="0"/>
                <w:lang w:val="sr-Cyrl-BA" w:bidi="hi-IN"/>
                <w14:ligatures w14:val="none"/>
              </w:rPr>
              <w:t>3,0</w:t>
            </w:r>
          </w:p>
        </w:tc>
      </w:tr>
      <w:tr w:rsidR="00013F7F" w:rsidRPr="00013F7F" w14:paraId="1C46E045" w14:textId="77777777" w:rsidTr="008361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7" w:type="pct"/>
          </w:tcPr>
          <w:p w14:paraId="7DC7C360" w14:textId="58593CCC" w:rsidR="00013F7F" w:rsidRPr="005F41C3" w:rsidRDefault="00013F7F" w:rsidP="00013F7F">
            <w:pPr>
              <w:rPr>
                <w:rFonts w:ascii="Calibri" w:eastAsia="Times New Roman" w:hAnsi="Calibri" w:cs="Calibri"/>
                <w:b w:val="0"/>
                <w:bCs w:val="0"/>
                <w:color w:val="000000"/>
                <w:kern w:val="0"/>
                <w:lang w:val="sr-Cyrl-BA" w:eastAsia="sr-Cyrl-BA" w:bidi="hi-IN"/>
                <w14:ligatures w14:val="none"/>
              </w:rPr>
            </w:pPr>
            <w:r w:rsidRPr="005F41C3">
              <w:rPr>
                <w:rFonts w:ascii="Calibri" w:eastAsia="Times New Roman" w:hAnsi="Calibri" w:cs="Calibri"/>
                <w:b w:val="0"/>
                <w:bCs w:val="0"/>
                <w:color w:val="000000"/>
                <w:kern w:val="0"/>
                <w:lang w:val="sr-Latn-ME" w:eastAsia="sr-Cyrl-BA" w:bidi="hi-IN"/>
                <w14:ligatures w14:val="none"/>
              </w:rPr>
              <w:t xml:space="preserve">Broj zaposlenih rast </w:t>
            </w:r>
            <w:r w:rsidR="0027431C" w:rsidRPr="005F41C3">
              <w:rPr>
                <w:rFonts w:ascii="Calibri" w:eastAsia="Times New Roman" w:hAnsi="Calibri" w:cs="Calibri"/>
                <w:b w:val="0"/>
                <w:bCs w:val="0"/>
                <w:color w:val="000000"/>
                <w:kern w:val="0"/>
                <w:lang w:val="sr-Latn-ME" w:eastAsia="sr-Cyrl-BA" w:bidi="hi-IN"/>
                <w14:ligatures w14:val="none"/>
              </w:rPr>
              <w:t>(u %)</w:t>
            </w:r>
          </w:p>
        </w:tc>
        <w:tc>
          <w:tcPr>
            <w:tcW w:w="608" w:type="pct"/>
            <w:noWrap/>
          </w:tcPr>
          <w:p w14:paraId="739F2B04"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kern w:val="0"/>
                <w:lang w:val="sr-Cyrl-BA" w:bidi="hi-IN"/>
                <w14:ligatures w14:val="none"/>
              </w:rPr>
            </w:pPr>
            <w:r w:rsidRPr="00013F7F">
              <w:rPr>
                <w:rFonts w:ascii="Calibri" w:eastAsia="Calibri" w:hAnsi="Calibri" w:cs="Calibri"/>
                <w:color w:val="000000"/>
                <w:kern w:val="0"/>
                <w:lang w:val="sr-Cyrl-BA" w:bidi="hi-IN"/>
                <w14:ligatures w14:val="none"/>
              </w:rPr>
              <w:t>18,1</w:t>
            </w:r>
          </w:p>
        </w:tc>
        <w:tc>
          <w:tcPr>
            <w:tcW w:w="544" w:type="pct"/>
            <w:noWrap/>
          </w:tcPr>
          <w:p w14:paraId="3C421D15"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kern w:val="0"/>
                <w:lang w:val="sr-Cyrl-BA" w:bidi="hi-IN"/>
                <w14:ligatures w14:val="none"/>
              </w:rPr>
            </w:pPr>
            <w:r w:rsidRPr="00013F7F">
              <w:rPr>
                <w:rFonts w:ascii="Calibri" w:eastAsia="Calibri" w:hAnsi="Calibri" w:cs="Calibri"/>
                <w:color w:val="000000"/>
                <w:kern w:val="0"/>
                <w:lang w:val="sr-Cyrl-BA" w:bidi="hi-IN"/>
                <w14:ligatures w14:val="none"/>
              </w:rPr>
              <w:t>1,5</w:t>
            </w:r>
          </w:p>
        </w:tc>
        <w:tc>
          <w:tcPr>
            <w:tcW w:w="480" w:type="pct"/>
            <w:noWrap/>
          </w:tcPr>
          <w:p w14:paraId="4F62865F"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kern w:val="0"/>
                <w:lang w:val="sr-Cyrl-BA" w:bidi="hi-IN"/>
                <w14:ligatures w14:val="none"/>
              </w:rPr>
            </w:pPr>
            <w:r w:rsidRPr="00013F7F">
              <w:rPr>
                <w:rFonts w:ascii="Calibri" w:eastAsia="Calibri" w:hAnsi="Calibri" w:cs="Calibri"/>
                <w:color w:val="000000"/>
                <w:kern w:val="0"/>
                <w:lang w:val="sr-Cyrl-BA" w:bidi="hi-IN"/>
                <w14:ligatures w14:val="none"/>
              </w:rPr>
              <w:t>1,6</w:t>
            </w:r>
          </w:p>
        </w:tc>
        <w:tc>
          <w:tcPr>
            <w:tcW w:w="481" w:type="pct"/>
            <w:noWrap/>
          </w:tcPr>
          <w:p w14:paraId="11C9B8E4"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kern w:val="0"/>
                <w:lang w:val="sr-Cyrl-BA" w:bidi="hi-IN"/>
                <w14:ligatures w14:val="none"/>
              </w:rPr>
            </w:pPr>
            <w:r w:rsidRPr="00013F7F">
              <w:rPr>
                <w:rFonts w:ascii="Calibri" w:eastAsia="Calibri" w:hAnsi="Calibri" w:cs="Calibri"/>
                <w:color w:val="000000"/>
                <w:kern w:val="0"/>
                <w:lang w:val="sr-Cyrl-BA" w:bidi="hi-IN"/>
                <w14:ligatures w14:val="none"/>
              </w:rPr>
              <w:t>1,5</w:t>
            </w:r>
          </w:p>
        </w:tc>
        <w:tc>
          <w:tcPr>
            <w:tcW w:w="480" w:type="pct"/>
            <w:noWrap/>
          </w:tcPr>
          <w:p w14:paraId="02C6B628" w14:textId="77777777" w:rsidR="00013F7F" w:rsidRPr="00013F7F" w:rsidRDefault="00013F7F" w:rsidP="00013F7F">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kern w:val="0"/>
                <w:lang w:val="sr-Cyrl-BA" w:bidi="hi-IN"/>
                <w14:ligatures w14:val="none"/>
              </w:rPr>
            </w:pPr>
            <w:r w:rsidRPr="00013F7F">
              <w:rPr>
                <w:rFonts w:ascii="Calibri" w:eastAsia="Calibri" w:hAnsi="Calibri" w:cs="Calibri"/>
                <w:color w:val="000000"/>
                <w:kern w:val="0"/>
                <w:lang w:val="sr-Cyrl-BA" w:bidi="hi-IN"/>
                <w14:ligatures w14:val="none"/>
              </w:rPr>
              <w:t>1,5</w:t>
            </w:r>
          </w:p>
        </w:tc>
      </w:tr>
      <w:tr w:rsidR="0022467F" w:rsidRPr="0022467F" w14:paraId="52D1EE7E" w14:textId="77777777" w:rsidTr="008361D3">
        <w:trPr>
          <w:trHeight w:val="300"/>
        </w:trPr>
        <w:tc>
          <w:tcPr>
            <w:cnfStyle w:val="001000000000" w:firstRow="0" w:lastRow="0" w:firstColumn="1" w:lastColumn="0" w:oddVBand="0" w:evenVBand="0" w:oddHBand="0" w:evenHBand="0" w:firstRowFirstColumn="0" w:firstRowLastColumn="0" w:lastRowFirstColumn="0" w:lastRowLastColumn="0"/>
            <w:tcW w:w="2407" w:type="pct"/>
          </w:tcPr>
          <w:p w14:paraId="5F5BE34C" w14:textId="74CC21AD" w:rsidR="0022467F" w:rsidRPr="0022467F" w:rsidRDefault="0022467F" w:rsidP="00013F7F">
            <w:pPr>
              <w:rPr>
                <w:rFonts w:ascii="Calibri" w:eastAsia="Times New Roman" w:hAnsi="Calibri" w:cs="Calibri"/>
                <w:b w:val="0"/>
                <w:bCs w:val="0"/>
                <w:color w:val="000000"/>
                <w:kern w:val="0"/>
                <w:lang w:val="sr-Latn-ME" w:eastAsia="sr-Cyrl-BA" w:bidi="hi-IN"/>
                <w14:ligatures w14:val="none"/>
              </w:rPr>
            </w:pPr>
            <w:r w:rsidRPr="0022467F">
              <w:rPr>
                <w:rFonts w:ascii="Calibri" w:eastAsia="Times New Roman" w:hAnsi="Calibri" w:cs="Calibri"/>
                <w:b w:val="0"/>
                <w:bCs w:val="0"/>
                <w:color w:val="000000"/>
                <w:kern w:val="0"/>
                <w:lang w:val="sr-Latn-ME" w:eastAsia="sr-Cyrl-BA" w:bidi="hi-IN"/>
                <w14:ligatures w14:val="none"/>
              </w:rPr>
              <w:t>Kombinovani rast zarada i zaposlenosti (%)</w:t>
            </w:r>
          </w:p>
        </w:tc>
        <w:tc>
          <w:tcPr>
            <w:tcW w:w="608" w:type="pct"/>
            <w:noWrap/>
          </w:tcPr>
          <w:p w14:paraId="632BBFC3" w14:textId="49A43906" w:rsidR="0022467F" w:rsidRPr="0022467F" w:rsidRDefault="0022467F" w:rsidP="00013F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lang w:val="sr-Latn-ME" w:bidi="hi-IN"/>
                <w14:ligatures w14:val="none"/>
              </w:rPr>
            </w:pPr>
            <w:r>
              <w:rPr>
                <w:rFonts w:ascii="Calibri" w:eastAsia="Calibri" w:hAnsi="Calibri" w:cs="Calibri"/>
                <w:color w:val="000000"/>
                <w:kern w:val="0"/>
                <w:lang w:val="sr-Latn-ME" w:bidi="hi-IN"/>
                <w14:ligatures w14:val="none"/>
              </w:rPr>
              <w:t>31</w:t>
            </w:r>
          </w:p>
        </w:tc>
        <w:tc>
          <w:tcPr>
            <w:tcW w:w="544" w:type="pct"/>
            <w:noWrap/>
          </w:tcPr>
          <w:p w14:paraId="20687DEC" w14:textId="3EEA4FA6" w:rsidR="0022467F" w:rsidRPr="0022467F" w:rsidRDefault="0022467F" w:rsidP="00013F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lang w:val="sr-Latn-ME" w:bidi="hi-IN"/>
                <w14:ligatures w14:val="none"/>
              </w:rPr>
            </w:pPr>
            <w:r>
              <w:rPr>
                <w:rFonts w:ascii="Calibri" w:eastAsia="Calibri" w:hAnsi="Calibri" w:cs="Calibri"/>
                <w:color w:val="000000"/>
                <w:kern w:val="0"/>
                <w:lang w:val="sr-Latn-ME" w:bidi="hi-IN"/>
                <w14:ligatures w14:val="none"/>
              </w:rPr>
              <w:t>9,6</w:t>
            </w:r>
          </w:p>
        </w:tc>
        <w:tc>
          <w:tcPr>
            <w:tcW w:w="480" w:type="pct"/>
            <w:noWrap/>
          </w:tcPr>
          <w:p w14:paraId="63B397A8" w14:textId="397137F9" w:rsidR="0022467F" w:rsidRPr="0022467F" w:rsidRDefault="0022467F" w:rsidP="00013F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lang w:val="sr-Latn-ME" w:bidi="hi-IN"/>
                <w14:ligatures w14:val="none"/>
              </w:rPr>
            </w:pPr>
            <w:r>
              <w:rPr>
                <w:rFonts w:ascii="Calibri" w:eastAsia="Calibri" w:hAnsi="Calibri" w:cs="Calibri"/>
                <w:color w:val="000000"/>
                <w:kern w:val="0"/>
                <w:lang w:val="sr-Latn-ME" w:bidi="hi-IN"/>
                <w14:ligatures w14:val="none"/>
              </w:rPr>
              <w:t>6,7</w:t>
            </w:r>
          </w:p>
        </w:tc>
        <w:tc>
          <w:tcPr>
            <w:tcW w:w="481" w:type="pct"/>
            <w:noWrap/>
          </w:tcPr>
          <w:p w14:paraId="7BCDE876" w14:textId="46ED534C" w:rsidR="0022467F" w:rsidRPr="0022467F" w:rsidRDefault="0022467F" w:rsidP="00013F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lang w:val="sr-Latn-ME" w:bidi="hi-IN"/>
                <w14:ligatures w14:val="none"/>
              </w:rPr>
            </w:pPr>
            <w:r>
              <w:rPr>
                <w:rFonts w:ascii="Calibri" w:eastAsia="Calibri" w:hAnsi="Calibri" w:cs="Calibri"/>
                <w:color w:val="000000"/>
                <w:kern w:val="0"/>
                <w:lang w:val="sr-Latn-ME" w:bidi="hi-IN"/>
                <w14:ligatures w14:val="none"/>
              </w:rPr>
              <w:t>4,5</w:t>
            </w:r>
          </w:p>
        </w:tc>
        <w:tc>
          <w:tcPr>
            <w:tcW w:w="480" w:type="pct"/>
            <w:noWrap/>
          </w:tcPr>
          <w:p w14:paraId="255BEE4E" w14:textId="12DF1DDD" w:rsidR="0022467F" w:rsidRPr="0022467F" w:rsidRDefault="0022467F" w:rsidP="00013F7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kern w:val="0"/>
                <w:lang w:val="sr-Latn-ME" w:bidi="hi-IN"/>
                <w14:ligatures w14:val="none"/>
              </w:rPr>
            </w:pPr>
            <w:r>
              <w:rPr>
                <w:rFonts w:ascii="Calibri" w:eastAsia="Calibri" w:hAnsi="Calibri" w:cs="Calibri"/>
                <w:color w:val="000000"/>
                <w:kern w:val="0"/>
                <w:lang w:val="sr-Latn-ME" w:bidi="hi-IN"/>
                <w14:ligatures w14:val="none"/>
              </w:rPr>
              <w:t>4,6</w:t>
            </w:r>
          </w:p>
        </w:tc>
      </w:tr>
    </w:tbl>
    <w:p w14:paraId="66167256" w14:textId="72BB1B68" w:rsidR="00013F7F" w:rsidRPr="001936AC" w:rsidRDefault="008361D3" w:rsidP="00013F7F">
      <w:pPr>
        <w:rPr>
          <w:rFonts w:ascii="Calibri" w:eastAsia="Calibri" w:hAnsi="Calibri" w:cs="Mangal"/>
          <w:i/>
          <w:iCs/>
          <w:kern w:val="0"/>
          <w:szCs w:val="20"/>
          <w:lang w:val="sr-Latn-ME" w:bidi="hi-IN"/>
          <w14:ligatures w14:val="none"/>
        </w:rPr>
      </w:pPr>
      <w:r w:rsidRPr="001936AC">
        <w:rPr>
          <w:rFonts w:ascii="Calibri" w:eastAsia="Calibri" w:hAnsi="Calibri" w:cs="Mangal"/>
          <w:i/>
          <w:iCs/>
          <w:kern w:val="0"/>
          <w:szCs w:val="20"/>
          <w:lang w:val="sr-Latn-ME" w:bidi="hi-IN"/>
          <w14:ligatures w14:val="none"/>
        </w:rPr>
        <w:t>Izvor: Podaci MF o konsolidovanoj javnoj potrošnji</w:t>
      </w:r>
      <w:r w:rsidR="00D435B0" w:rsidRPr="001936AC">
        <w:rPr>
          <w:rFonts w:ascii="Calibri" w:eastAsia="Calibri" w:hAnsi="Calibri" w:cs="Mangal"/>
          <w:i/>
          <w:iCs/>
          <w:kern w:val="0"/>
          <w:szCs w:val="20"/>
          <w:lang w:val="sr-Latn-ME" w:bidi="hi-IN"/>
          <w14:ligatures w14:val="none"/>
        </w:rPr>
        <w:t>, Smjernice makroekonomske i fiskalne politike</w:t>
      </w:r>
      <w:r w:rsidR="00E379E8" w:rsidRPr="001936AC">
        <w:rPr>
          <w:rFonts w:ascii="Calibri" w:eastAsia="Calibri" w:hAnsi="Calibri" w:cs="Mangal"/>
          <w:i/>
          <w:iCs/>
          <w:kern w:val="0"/>
          <w:szCs w:val="20"/>
          <w:lang w:val="sr-Latn-ME" w:bidi="hi-IN"/>
          <w14:ligatures w14:val="none"/>
        </w:rPr>
        <w:t xml:space="preserve"> </w:t>
      </w:r>
      <w:r w:rsidR="003D7BA8" w:rsidRPr="001936AC">
        <w:rPr>
          <w:rFonts w:ascii="Calibri" w:eastAsia="Calibri" w:hAnsi="Calibri" w:cs="Mangal"/>
          <w:i/>
          <w:iCs/>
          <w:kern w:val="0"/>
          <w:szCs w:val="20"/>
          <w:lang w:val="sr-Latn-ME" w:bidi="hi-IN"/>
          <w14:ligatures w14:val="none"/>
        </w:rPr>
        <w:t xml:space="preserve">Crne Gore za period 2023-2026. </w:t>
      </w:r>
      <w:r w:rsidR="00E379E8" w:rsidRPr="001936AC">
        <w:rPr>
          <w:rFonts w:ascii="Calibri" w:eastAsia="Calibri" w:hAnsi="Calibri" w:cs="Mangal"/>
          <w:i/>
          <w:iCs/>
          <w:kern w:val="0"/>
          <w:szCs w:val="20"/>
          <w:lang w:val="sr-Latn-ME" w:bidi="hi-IN"/>
          <w14:ligatures w14:val="none"/>
        </w:rPr>
        <w:t>i k</w:t>
      </w:r>
      <w:r w:rsidR="008D64BE" w:rsidRPr="001936AC">
        <w:rPr>
          <w:rFonts w:ascii="Calibri" w:eastAsia="Calibri" w:hAnsi="Calibri" w:cs="Mangal"/>
          <w:i/>
          <w:iCs/>
          <w:kern w:val="0"/>
          <w:szCs w:val="20"/>
          <w:lang w:val="sr-Latn-ME" w:bidi="hi-IN"/>
          <w14:ligatures w14:val="none"/>
        </w:rPr>
        <w:t>al</w:t>
      </w:r>
      <w:r w:rsidR="00E379E8" w:rsidRPr="001936AC">
        <w:rPr>
          <w:rFonts w:ascii="Calibri" w:eastAsia="Calibri" w:hAnsi="Calibri" w:cs="Mangal"/>
          <w:i/>
          <w:iCs/>
          <w:kern w:val="0"/>
          <w:szCs w:val="20"/>
          <w:lang w:val="sr-Latn-ME" w:bidi="hi-IN"/>
          <w14:ligatures w14:val="none"/>
        </w:rPr>
        <w:t xml:space="preserve">kulacije stopa rasta na osnovu </w:t>
      </w:r>
      <w:r w:rsidR="006371CD" w:rsidRPr="001936AC">
        <w:rPr>
          <w:rFonts w:ascii="Calibri" w:eastAsia="Calibri" w:hAnsi="Calibri" w:cs="Mangal"/>
          <w:i/>
          <w:iCs/>
          <w:kern w:val="0"/>
          <w:szCs w:val="20"/>
          <w:lang w:val="sr-Latn-ME" w:bidi="hi-IN"/>
          <w14:ligatures w14:val="none"/>
        </w:rPr>
        <w:t>istih podataka</w:t>
      </w:r>
    </w:p>
    <w:p w14:paraId="062D31BA" w14:textId="46399002" w:rsidR="00013F7F" w:rsidRPr="00281886" w:rsidRDefault="00013F7F" w:rsidP="009364EF">
      <w:pPr>
        <w:spacing w:line="276" w:lineRule="auto"/>
        <w:jc w:val="both"/>
        <w:rPr>
          <w:rFonts w:ascii="Calibri" w:eastAsia="Calibri" w:hAnsi="Calibri" w:cs="Mangal"/>
          <w:kern w:val="0"/>
          <w:sz w:val="24"/>
          <w:szCs w:val="24"/>
          <w:lang w:val="sr-Latn-ME" w:bidi="hi-IN"/>
          <w14:ligatures w14:val="none"/>
        </w:rPr>
      </w:pPr>
      <w:r w:rsidRPr="00281886">
        <w:rPr>
          <w:rFonts w:ascii="Calibri" w:eastAsia="Calibri" w:hAnsi="Calibri" w:cs="Mangal"/>
          <w:kern w:val="0"/>
          <w:sz w:val="24"/>
          <w:szCs w:val="24"/>
          <w:lang w:val="sr-Latn-ME" w:bidi="hi-IN"/>
          <w14:ligatures w14:val="none"/>
        </w:rPr>
        <w:t>Prema zvaničnim podacima</w:t>
      </w:r>
      <w:r w:rsidR="003D7BA8">
        <w:rPr>
          <w:rFonts w:ascii="Calibri" w:eastAsia="Calibri" w:hAnsi="Calibri" w:cs="Mangal"/>
          <w:kern w:val="0"/>
          <w:sz w:val="24"/>
          <w:szCs w:val="24"/>
          <w:lang w:val="sr-Latn-ME" w:bidi="hi-IN"/>
          <w14:ligatures w14:val="none"/>
        </w:rPr>
        <w:t xml:space="preserve"> (Monstat)</w:t>
      </w:r>
      <w:r w:rsidRPr="00281886">
        <w:rPr>
          <w:rFonts w:ascii="Calibri" w:eastAsia="Calibri" w:hAnsi="Calibri" w:cs="Mangal"/>
          <w:kern w:val="0"/>
          <w:sz w:val="24"/>
          <w:szCs w:val="24"/>
          <w:lang w:val="sr-Latn-ME" w:bidi="hi-IN"/>
          <w14:ligatures w14:val="none"/>
        </w:rPr>
        <w:t xml:space="preserve"> u 2022. godini je došlo do značajnog rasta zaposlenosti, pa je prosječan broj zaposlenih povećan za skoro 35 hiljada</w:t>
      </w:r>
      <w:r w:rsidR="00A751A1">
        <w:rPr>
          <w:rFonts w:ascii="Calibri" w:eastAsia="Calibri" w:hAnsi="Calibri" w:cs="Mangal"/>
          <w:kern w:val="0"/>
          <w:sz w:val="24"/>
          <w:szCs w:val="24"/>
          <w:lang w:val="sr-Latn-ME" w:bidi="hi-IN"/>
          <w14:ligatures w14:val="none"/>
        </w:rPr>
        <w:t xml:space="preserve"> lica</w:t>
      </w:r>
      <w:r w:rsidRPr="00281886">
        <w:rPr>
          <w:rFonts w:ascii="Calibri" w:eastAsia="Calibri" w:hAnsi="Calibri" w:cs="Mangal"/>
          <w:kern w:val="0"/>
          <w:sz w:val="24"/>
          <w:szCs w:val="24"/>
          <w:lang w:val="sr-Latn-ME" w:bidi="hi-IN"/>
          <w14:ligatures w14:val="none"/>
        </w:rPr>
        <w:t xml:space="preserve">  i iznosio je oko  236 hiljada</w:t>
      </w:r>
      <w:r w:rsidR="00A751A1">
        <w:rPr>
          <w:rFonts w:ascii="Calibri" w:eastAsia="Calibri" w:hAnsi="Calibri" w:cs="Mangal"/>
          <w:kern w:val="0"/>
          <w:sz w:val="24"/>
          <w:szCs w:val="24"/>
          <w:lang w:val="sr-Latn-ME" w:bidi="hi-IN"/>
          <w14:ligatures w14:val="none"/>
        </w:rPr>
        <w:t xml:space="preserve"> lica</w:t>
      </w:r>
      <w:r w:rsidRPr="00281886">
        <w:rPr>
          <w:rFonts w:ascii="Calibri" w:eastAsia="Calibri" w:hAnsi="Calibri" w:cs="Mangal"/>
          <w:kern w:val="0"/>
          <w:sz w:val="24"/>
          <w:szCs w:val="24"/>
          <w:lang w:val="sr-Latn-ME" w:bidi="hi-IN"/>
          <w14:ligatures w14:val="none"/>
        </w:rPr>
        <w:t xml:space="preserve">. Za prvih </w:t>
      </w:r>
      <w:r w:rsidR="000F7C45">
        <w:rPr>
          <w:rFonts w:ascii="Calibri" w:eastAsia="Calibri" w:hAnsi="Calibri" w:cs="Mangal"/>
          <w:kern w:val="0"/>
          <w:sz w:val="24"/>
          <w:szCs w:val="24"/>
          <w:lang w:val="sr-Latn-ME" w:bidi="hi-IN"/>
          <w14:ligatures w14:val="none"/>
        </w:rPr>
        <w:t>7</w:t>
      </w:r>
      <w:r w:rsidRPr="00281886">
        <w:rPr>
          <w:rFonts w:ascii="Calibri" w:eastAsia="Calibri" w:hAnsi="Calibri" w:cs="Mangal"/>
          <w:kern w:val="0"/>
          <w:sz w:val="24"/>
          <w:szCs w:val="24"/>
          <w:lang w:val="sr-Latn-ME" w:bidi="hi-IN"/>
          <w14:ligatures w14:val="none"/>
        </w:rPr>
        <w:t xml:space="preserve"> mjeseci 2023.</w:t>
      </w:r>
      <w:r w:rsidR="0027431C">
        <w:rPr>
          <w:rFonts w:ascii="Calibri" w:eastAsia="Calibri" w:hAnsi="Calibri" w:cs="Mangal"/>
          <w:kern w:val="0"/>
          <w:sz w:val="24"/>
          <w:szCs w:val="24"/>
          <w:lang w:val="sr-Latn-ME" w:bidi="hi-IN"/>
          <w14:ligatures w14:val="none"/>
        </w:rPr>
        <w:t xml:space="preserve"> </w:t>
      </w:r>
      <w:r w:rsidRPr="00281886">
        <w:rPr>
          <w:rFonts w:ascii="Calibri" w:eastAsia="Calibri" w:hAnsi="Calibri" w:cs="Mangal"/>
          <w:kern w:val="0"/>
          <w:sz w:val="24"/>
          <w:szCs w:val="24"/>
          <w:lang w:val="sr-Latn-ME" w:bidi="hi-IN"/>
          <w14:ligatures w14:val="none"/>
        </w:rPr>
        <w:t xml:space="preserve">godine </w:t>
      </w:r>
      <w:r w:rsidR="0027431C">
        <w:rPr>
          <w:rFonts w:ascii="Calibri" w:eastAsia="Calibri" w:hAnsi="Calibri" w:cs="Mangal"/>
          <w:kern w:val="0"/>
          <w:sz w:val="24"/>
          <w:szCs w:val="24"/>
          <w:lang w:val="sr-Latn-ME" w:bidi="hi-IN"/>
          <w14:ligatures w14:val="none"/>
        </w:rPr>
        <w:t>zabilježen je</w:t>
      </w:r>
      <w:r w:rsidRPr="00281886">
        <w:rPr>
          <w:rFonts w:ascii="Calibri" w:eastAsia="Calibri" w:hAnsi="Calibri" w:cs="Mangal"/>
          <w:kern w:val="0"/>
          <w:sz w:val="24"/>
          <w:szCs w:val="24"/>
          <w:lang w:val="sr-Latn-ME" w:bidi="hi-IN"/>
          <w14:ligatures w14:val="none"/>
        </w:rPr>
        <w:t xml:space="preserve"> dalji trend rasta zaposlenost</w:t>
      </w:r>
      <w:r w:rsidR="000F7C45">
        <w:rPr>
          <w:rFonts w:ascii="Calibri" w:eastAsia="Calibri" w:hAnsi="Calibri" w:cs="Mangal"/>
          <w:kern w:val="0"/>
          <w:sz w:val="24"/>
          <w:szCs w:val="24"/>
          <w:lang w:val="sr-Latn-ME" w:bidi="hi-IN"/>
          <w14:ligatures w14:val="none"/>
        </w:rPr>
        <w:t>i koja je povećana za 9,3% u odnosu na prvih sedam mjes</w:t>
      </w:r>
      <w:r w:rsidR="001936AC">
        <w:rPr>
          <w:rFonts w:ascii="Calibri" w:eastAsia="Calibri" w:hAnsi="Calibri" w:cs="Mangal"/>
          <w:kern w:val="0"/>
          <w:sz w:val="24"/>
          <w:szCs w:val="24"/>
          <w:lang w:val="sr-Latn-ME" w:bidi="hi-IN"/>
          <w14:ligatures w14:val="none"/>
        </w:rPr>
        <w:t>e</w:t>
      </w:r>
      <w:r w:rsidR="000F7C45">
        <w:rPr>
          <w:rFonts w:ascii="Calibri" w:eastAsia="Calibri" w:hAnsi="Calibri" w:cs="Mangal"/>
          <w:kern w:val="0"/>
          <w:sz w:val="24"/>
          <w:szCs w:val="24"/>
          <w:lang w:val="sr-Latn-ME" w:bidi="hi-IN"/>
          <w14:ligatures w14:val="none"/>
        </w:rPr>
        <w:t>ci 2022</w:t>
      </w:r>
      <w:r w:rsidRPr="00281886">
        <w:rPr>
          <w:rFonts w:ascii="Calibri" w:eastAsia="Calibri" w:hAnsi="Calibri" w:cs="Mangal"/>
          <w:kern w:val="0"/>
          <w:sz w:val="24"/>
          <w:szCs w:val="24"/>
          <w:lang w:val="sr-Latn-ME" w:bidi="hi-IN"/>
          <w14:ligatures w14:val="none"/>
        </w:rPr>
        <w:t>. Procjen</w:t>
      </w:r>
      <w:r w:rsidR="006C691C">
        <w:rPr>
          <w:rFonts w:ascii="Calibri" w:eastAsia="Calibri" w:hAnsi="Calibri" w:cs="Mangal"/>
          <w:kern w:val="0"/>
          <w:sz w:val="24"/>
          <w:szCs w:val="24"/>
          <w:lang w:val="sr-Latn-ME" w:bidi="hi-IN"/>
          <w14:ligatures w14:val="none"/>
        </w:rPr>
        <w:t>a je</w:t>
      </w:r>
      <w:r w:rsidR="003D7BA8">
        <w:rPr>
          <w:rFonts w:ascii="Calibri" w:eastAsia="Calibri" w:hAnsi="Calibri" w:cs="Mangal"/>
          <w:kern w:val="0"/>
          <w:sz w:val="24"/>
          <w:szCs w:val="24"/>
          <w:lang w:val="sr-Latn-ME" w:bidi="hi-IN"/>
          <w14:ligatures w14:val="none"/>
        </w:rPr>
        <w:t xml:space="preserve"> da</w:t>
      </w:r>
      <w:r w:rsidRPr="00281886">
        <w:rPr>
          <w:rFonts w:ascii="Calibri" w:eastAsia="Calibri" w:hAnsi="Calibri" w:cs="Mangal"/>
          <w:kern w:val="0"/>
          <w:sz w:val="24"/>
          <w:szCs w:val="24"/>
          <w:lang w:val="sr-Latn-ME" w:bidi="hi-IN"/>
          <w14:ligatures w14:val="none"/>
        </w:rPr>
        <w:t xml:space="preserve"> bi prosječan broj zaposlenih</w:t>
      </w:r>
      <w:r w:rsidR="006C691C">
        <w:rPr>
          <w:rFonts w:ascii="Calibri" w:eastAsia="Calibri" w:hAnsi="Calibri" w:cs="Mangal"/>
          <w:kern w:val="0"/>
          <w:sz w:val="24"/>
          <w:szCs w:val="24"/>
          <w:lang w:val="sr-Latn-ME" w:bidi="hi-IN"/>
          <w14:ligatures w14:val="none"/>
        </w:rPr>
        <w:t>,</w:t>
      </w:r>
      <w:r w:rsidRPr="00281886">
        <w:rPr>
          <w:rFonts w:ascii="Calibri" w:eastAsia="Calibri" w:hAnsi="Calibri" w:cs="Mangal"/>
          <w:kern w:val="0"/>
          <w:sz w:val="24"/>
          <w:szCs w:val="24"/>
          <w:lang w:val="sr-Latn-ME" w:bidi="hi-IN"/>
          <w14:ligatures w14:val="none"/>
        </w:rPr>
        <w:t xml:space="preserve"> </w:t>
      </w:r>
      <w:r w:rsidR="006C691C">
        <w:rPr>
          <w:rFonts w:ascii="Calibri" w:eastAsia="Calibri" w:hAnsi="Calibri" w:cs="Mangal"/>
          <w:kern w:val="0"/>
          <w:sz w:val="24"/>
          <w:szCs w:val="24"/>
          <w:lang w:val="sr-Latn-ME" w:bidi="hi-IN"/>
          <w14:ligatures w14:val="none"/>
        </w:rPr>
        <w:t xml:space="preserve">prema administrativnim podacima, </w:t>
      </w:r>
      <w:r w:rsidRPr="00281886">
        <w:rPr>
          <w:rFonts w:ascii="Calibri" w:eastAsia="Calibri" w:hAnsi="Calibri" w:cs="Mangal"/>
          <w:kern w:val="0"/>
          <w:sz w:val="24"/>
          <w:szCs w:val="24"/>
          <w:lang w:val="sr-Latn-ME" w:bidi="hi-IN"/>
          <w14:ligatures w14:val="none"/>
        </w:rPr>
        <w:t>u 2023</w:t>
      </w:r>
      <w:r w:rsidR="003F37B5">
        <w:rPr>
          <w:rFonts w:ascii="Calibri" w:eastAsia="Calibri" w:hAnsi="Calibri" w:cs="Mangal"/>
          <w:kern w:val="0"/>
          <w:sz w:val="24"/>
          <w:szCs w:val="24"/>
          <w:lang w:val="sr-Latn-ME" w:bidi="hi-IN"/>
          <w14:ligatures w14:val="none"/>
        </w:rPr>
        <w:t>.</w:t>
      </w:r>
      <w:r w:rsidRPr="00281886">
        <w:rPr>
          <w:rFonts w:ascii="Calibri" w:eastAsia="Calibri" w:hAnsi="Calibri" w:cs="Mangal"/>
          <w:kern w:val="0"/>
          <w:sz w:val="24"/>
          <w:szCs w:val="24"/>
          <w:lang w:val="sr-Latn-ME" w:bidi="hi-IN"/>
          <w14:ligatures w14:val="none"/>
        </w:rPr>
        <w:t xml:space="preserve"> mogao da dostigne oko 258 hiljada</w:t>
      </w:r>
      <w:r w:rsidR="00A751A1">
        <w:rPr>
          <w:rFonts w:ascii="Calibri" w:eastAsia="Calibri" w:hAnsi="Calibri" w:cs="Mangal"/>
          <w:kern w:val="0"/>
          <w:sz w:val="24"/>
          <w:szCs w:val="24"/>
          <w:lang w:val="sr-Latn-ME" w:bidi="hi-IN"/>
          <w14:ligatures w14:val="none"/>
        </w:rPr>
        <w:t xml:space="preserve"> lica</w:t>
      </w:r>
      <w:r w:rsidRPr="00281886">
        <w:rPr>
          <w:rFonts w:ascii="Calibri" w:eastAsia="Calibri" w:hAnsi="Calibri" w:cs="Mangal"/>
          <w:kern w:val="0"/>
          <w:sz w:val="24"/>
          <w:szCs w:val="24"/>
          <w:lang w:val="sr-Latn-ME" w:bidi="hi-IN"/>
          <w14:ligatures w14:val="none"/>
        </w:rPr>
        <w:t xml:space="preserve">. </w:t>
      </w:r>
    </w:p>
    <w:p w14:paraId="0ED94FF1" w14:textId="16821944" w:rsidR="00013F7F" w:rsidRPr="00281886" w:rsidRDefault="00013F7F" w:rsidP="009364EF">
      <w:pPr>
        <w:spacing w:line="276" w:lineRule="auto"/>
        <w:jc w:val="both"/>
        <w:rPr>
          <w:rFonts w:ascii="Calibri" w:eastAsia="Calibri" w:hAnsi="Calibri" w:cs="Mangal"/>
          <w:kern w:val="0"/>
          <w:sz w:val="24"/>
          <w:szCs w:val="24"/>
          <w:lang w:val="sr-Latn-ME" w:bidi="hi-IN"/>
          <w14:ligatures w14:val="none"/>
        </w:rPr>
      </w:pPr>
      <w:r w:rsidRPr="00281886">
        <w:rPr>
          <w:rFonts w:ascii="Calibri" w:eastAsia="Calibri" w:hAnsi="Calibri" w:cs="Mangal"/>
          <w:kern w:val="0"/>
          <w:sz w:val="24"/>
          <w:szCs w:val="24"/>
          <w:lang w:val="sr-Latn-ME" w:bidi="hi-IN"/>
          <w14:ligatures w14:val="none"/>
        </w:rPr>
        <w:t>Po A</w:t>
      </w:r>
      <w:r w:rsidR="00A751A1">
        <w:rPr>
          <w:rFonts w:ascii="Calibri" w:eastAsia="Calibri" w:hAnsi="Calibri" w:cs="Mangal"/>
          <w:kern w:val="0"/>
          <w:sz w:val="24"/>
          <w:szCs w:val="24"/>
          <w:lang w:val="sr-Latn-ME" w:bidi="hi-IN"/>
          <w14:ligatures w14:val="none"/>
        </w:rPr>
        <w:t>RS</w:t>
      </w:r>
      <w:r w:rsidR="003D7BA8">
        <w:rPr>
          <w:rFonts w:ascii="Calibri" w:eastAsia="Calibri" w:hAnsi="Calibri" w:cs="Mangal"/>
          <w:kern w:val="0"/>
          <w:sz w:val="24"/>
          <w:szCs w:val="24"/>
          <w:lang w:val="sr-Latn-ME" w:bidi="hi-IN"/>
          <w14:ligatures w14:val="none"/>
        </w:rPr>
        <w:t xml:space="preserve">, </w:t>
      </w:r>
      <w:r w:rsidRPr="00281886">
        <w:rPr>
          <w:rFonts w:ascii="Calibri" w:eastAsia="Calibri" w:hAnsi="Calibri" w:cs="Mangal"/>
          <w:kern w:val="0"/>
          <w:sz w:val="24"/>
          <w:szCs w:val="24"/>
          <w:lang w:val="sr-Latn-ME" w:bidi="hi-IN"/>
          <w14:ligatures w14:val="none"/>
        </w:rPr>
        <w:t xml:space="preserve"> broj zaposlenih u 2022. iznosio je  251</w:t>
      </w:r>
      <w:r w:rsidRPr="00EF3227">
        <w:rPr>
          <w:rFonts w:ascii="Calibri" w:eastAsia="Calibri" w:hAnsi="Calibri" w:cs="Mangal"/>
          <w:kern w:val="0"/>
          <w:sz w:val="24"/>
          <w:szCs w:val="24"/>
          <w:lang w:val="sr-Latn-ME" w:bidi="hi-IN"/>
          <w14:ligatures w14:val="none"/>
        </w:rPr>
        <w:t xml:space="preserve">,2 hiljade. Shodno anketi, u </w:t>
      </w:r>
      <w:r w:rsidR="007E63A9" w:rsidRPr="00EF3227">
        <w:rPr>
          <w:rFonts w:ascii="Calibri" w:eastAsia="Calibri" w:hAnsi="Calibri" w:cs="Mangal"/>
          <w:kern w:val="0"/>
          <w:sz w:val="24"/>
          <w:szCs w:val="24"/>
          <w:lang w:val="sr-Latn-ME" w:bidi="hi-IN"/>
          <w14:ligatures w14:val="none"/>
        </w:rPr>
        <w:t xml:space="preserve">drugom </w:t>
      </w:r>
      <w:r w:rsidRPr="00EF3227">
        <w:rPr>
          <w:rFonts w:ascii="Calibri" w:eastAsia="Calibri" w:hAnsi="Calibri" w:cs="Mangal"/>
          <w:kern w:val="0"/>
          <w:sz w:val="24"/>
          <w:szCs w:val="24"/>
          <w:lang w:val="sr-Latn-ME" w:bidi="hi-IN"/>
          <w14:ligatures w14:val="none"/>
        </w:rPr>
        <w:t>kvartalu došlo je do rasta broja zaposlenih na 28</w:t>
      </w:r>
      <w:r w:rsidR="007E63A9" w:rsidRPr="00EF3227">
        <w:rPr>
          <w:rFonts w:ascii="Calibri" w:eastAsia="Calibri" w:hAnsi="Calibri" w:cs="Mangal"/>
          <w:kern w:val="0"/>
          <w:sz w:val="24"/>
          <w:szCs w:val="24"/>
          <w:lang w:val="sr-Latn-ME" w:bidi="hi-IN"/>
          <w14:ligatures w14:val="none"/>
        </w:rPr>
        <w:t xml:space="preserve">0 </w:t>
      </w:r>
      <w:r w:rsidRPr="00EF3227">
        <w:rPr>
          <w:rFonts w:ascii="Calibri" w:eastAsia="Calibri" w:hAnsi="Calibri" w:cs="Mangal"/>
          <w:kern w:val="0"/>
          <w:sz w:val="24"/>
          <w:szCs w:val="24"/>
          <w:lang w:val="sr-Latn-ME" w:bidi="hi-IN"/>
          <w14:ligatures w14:val="none"/>
        </w:rPr>
        <w:t>hiljad</w:t>
      </w:r>
      <w:r w:rsidR="00EF3227" w:rsidRPr="00EF3227">
        <w:rPr>
          <w:rFonts w:ascii="Calibri" w:eastAsia="Calibri" w:hAnsi="Calibri" w:cs="Mangal"/>
          <w:kern w:val="0"/>
          <w:sz w:val="24"/>
          <w:szCs w:val="24"/>
          <w:lang w:val="sr-Latn-ME" w:bidi="hi-IN"/>
          <w14:ligatures w14:val="none"/>
        </w:rPr>
        <w:t>a</w:t>
      </w:r>
      <w:r w:rsidR="007E63A9" w:rsidRPr="00EF3227">
        <w:rPr>
          <w:rFonts w:ascii="Calibri" w:eastAsia="Calibri" w:hAnsi="Calibri" w:cs="Mangal"/>
          <w:kern w:val="0"/>
          <w:sz w:val="24"/>
          <w:szCs w:val="24"/>
          <w:lang w:val="sr-Latn-ME" w:bidi="hi-IN"/>
          <w14:ligatures w14:val="none"/>
        </w:rPr>
        <w:t>.</w:t>
      </w:r>
      <w:r w:rsidRPr="00EF3227">
        <w:rPr>
          <w:rFonts w:ascii="Calibri" w:eastAsia="Calibri" w:hAnsi="Calibri" w:cs="Mangal"/>
          <w:kern w:val="0"/>
          <w:sz w:val="24"/>
          <w:szCs w:val="24"/>
          <w:lang w:val="sr-Latn-ME" w:bidi="hi-IN"/>
          <w14:ligatures w14:val="none"/>
        </w:rPr>
        <w:t xml:space="preserve"> </w:t>
      </w:r>
    </w:p>
    <w:p w14:paraId="4553A73C" w14:textId="6636BD23" w:rsidR="00677241" w:rsidRPr="00D56C3B" w:rsidRDefault="008D64BE" w:rsidP="003D7BA8">
      <w:pPr>
        <w:spacing w:line="276" w:lineRule="auto"/>
        <w:jc w:val="both"/>
        <w:rPr>
          <w:rFonts w:ascii="Calibri" w:eastAsia="Calibri" w:hAnsi="Calibri" w:cs="Mangal"/>
          <w:kern w:val="0"/>
          <w:sz w:val="24"/>
          <w:szCs w:val="24"/>
          <w:lang w:val="sr-Latn-ME" w:bidi="hi-IN"/>
          <w14:ligatures w14:val="none"/>
        </w:rPr>
      </w:pPr>
      <w:r w:rsidRPr="00D56C3B">
        <w:rPr>
          <w:rFonts w:ascii="Calibri" w:eastAsia="Calibri" w:hAnsi="Calibri" w:cs="Calibri"/>
          <w:kern w:val="0"/>
          <w:sz w:val="24"/>
          <w:szCs w:val="24"/>
          <w:shd w:val="clear" w:color="auto" w:fill="FFFFFF"/>
          <w:lang w:val="sr-Latn-ME" w:bidi="hi-IN"/>
          <w14:ligatures w14:val="none"/>
        </w:rPr>
        <w:t xml:space="preserve">Zvanična procjena Ministarstva finansija </w:t>
      </w:r>
      <w:r w:rsidRPr="00D56C3B">
        <w:rPr>
          <w:rFonts w:ascii="Calibri" w:eastAsia="Calibri" w:hAnsi="Calibri" w:cs="Calibri"/>
          <w:kern w:val="0"/>
          <w:sz w:val="24"/>
          <w:szCs w:val="24"/>
          <w:shd w:val="clear" w:color="auto" w:fill="FFFFFF"/>
          <w:lang w:val="sr-Cyrl-BA" w:bidi="hi-IN"/>
          <w14:ligatures w14:val="none"/>
        </w:rPr>
        <w:t>je da će prihodi od doprinosa na PIO biti veći za 67,8 miliona eura u 2023. godini u odnosu na 2022.</w:t>
      </w:r>
      <w:r w:rsidR="006C691C">
        <w:rPr>
          <w:rFonts w:ascii="Calibri" w:eastAsia="Calibri" w:hAnsi="Calibri" w:cs="Calibri"/>
          <w:kern w:val="0"/>
          <w:sz w:val="24"/>
          <w:szCs w:val="24"/>
          <w:shd w:val="clear" w:color="auto" w:fill="FFFFFF"/>
          <w:lang w:val="sr-Latn-ME" w:bidi="hi-IN"/>
          <w14:ligatures w14:val="none"/>
        </w:rPr>
        <w:t xml:space="preserve"> </w:t>
      </w:r>
      <w:r w:rsidRPr="00D56C3B">
        <w:rPr>
          <w:rFonts w:ascii="Calibri" w:eastAsia="Calibri" w:hAnsi="Calibri" w:cs="Calibri"/>
          <w:kern w:val="0"/>
          <w:sz w:val="24"/>
          <w:szCs w:val="24"/>
          <w:shd w:val="clear" w:color="auto" w:fill="FFFFFF"/>
          <w:lang w:val="sr-Cyrl-BA" w:bidi="hi-IN"/>
          <w14:ligatures w14:val="none"/>
        </w:rPr>
        <w:t xml:space="preserve">godinu, usljed povećanja zaposlenosti i </w:t>
      </w:r>
      <w:r w:rsidRPr="00D56C3B">
        <w:rPr>
          <w:rFonts w:ascii="Calibri" w:eastAsia="Calibri" w:hAnsi="Calibri" w:cs="Calibri"/>
          <w:kern w:val="0"/>
          <w:sz w:val="24"/>
          <w:szCs w:val="24"/>
          <w:shd w:val="clear" w:color="auto" w:fill="FFFFFF"/>
          <w:lang w:val="sr-Latn-ME" w:bidi="hi-IN"/>
          <w14:ligatures w14:val="none"/>
        </w:rPr>
        <w:t>zarada</w:t>
      </w:r>
      <w:r w:rsidRPr="00D56C3B">
        <w:rPr>
          <w:rFonts w:ascii="Calibri" w:eastAsia="Calibri" w:hAnsi="Calibri" w:cs="Calibri"/>
          <w:kern w:val="0"/>
          <w:sz w:val="24"/>
          <w:szCs w:val="24"/>
          <w:shd w:val="clear" w:color="auto" w:fill="FFFFFF"/>
          <w:lang w:val="sr-Cyrl-BA" w:bidi="hi-IN"/>
          <w14:ligatures w14:val="none"/>
        </w:rPr>
        <w:t>. P</w:t>
      </w:r>
      <w:r w:rsidR="007519E7" w:rsidRPr="00D56C3B">
        <w:rPr>
          <w:rFonts w:ascii="Calibri" w:eastAsia="Calibri" w:hAnsi="Calibri" w:cs="Calibri"/>
          <w:kern w:val="0"/>
          <w:sz w:val="24"/>
          <w:szCs w:val="24"/>
          <w:shd w:val="clear" w:color="auto" w:fill="FFFFFF"/>
          <w:lang w:val="sr-Latn-ME" w:bidi="hi-IN"/>
          <w14:ligatures w14:val="none"/>
        </w:rPr>
        <w:t>rocjena</w:t>
      </w:r>
      <w:r w:rsidRPr="00D56C3B">
        <w:rPr>
          <w:rFonts w:ascii="Calibri" w:eastAsia="Calibri" w:hAnsi="Calibri" w:cs="Calibri"/>
          <w:kern w:val="0"/>
          <w:sz w:val="24"/>
          <w:szCs w:val="24"/>
          <w:shd w:val="clear" w:color="auto" w:fill="FFFFFF"/>
          <w:lang w:val="sr-Latn-ME" w:bidi="hi-IN"/>
          <w14:ligatures w14:val="none"/>
        </w:rPr>
        <w:t xml:space="preserve"> u simulacionom modelu za potrebe ovog </w:t>
      </w:r>
      <w:r w:rsidR="00A751A1">
        <w:rPr>
          <w:rFonts w:ascii="Calibri" w:eastAsia="Calibri" w:hAnsi="Calibri" w:cs="Calibri"/>
          <w:kern w:val="0"/>
          <w:sz w:val="24"/>
          <w:szCs w:val="24"/>
          <w:shd w:val="clear" w:color="auto" w:fill="FFFFFF"/>
          <w:lang w:val="sr-Latn-ME" w:bidi="hi-IN"/>
          <w14:ligatures w14:val="none"/>
        </w:rPr>
        <w:t>p</w:t>
      </w:r>
      <w:r w:rsidRPr="00D56C3B">
        <w:rPr>
          <w:rFonts w:ascii="Calibri" w:eastAsia="Calibri" w:hAnsi="Calibri" w:cs="Calibri"/>
          <w:kern w:val="0"/>
          <w:sz w:val="24"/>
          <w:szCs w:val="24"/>
          <w:shd w:val="clear" w:color="auto" w:fill="FFFFFF"/>
          <w:lang w:val="sr-Latn-ME" w:bidi="hi-IN"/>
          <w14:ligatures w14:val="none"/>
        </w:rPr>
        <w:t>rograma je</w:t>
      </w:r>
      <w:r w:rsidRPr="00D56C3B">
        <w:rPr>
          <w:rFonts w:ascii="Calibri" w:eastAsia="Calibri" w:hAnsi="Calibri" w:cs="Calibri"/>
          <w:kern w:val="0"/>
          <w:sz w:val="24"/>
          <w:szCs w:val="24"/>
          <w:shd w:val="clear" w:color="auto" w:fill="FFFFFF"/>
          <w:lang w:val="sr-Cyrl-BA" w:bidi="hi-IN"/>
          <w14:ligatures w14:val="none"/>
        </w:rPr>
        <w:t xml:space="preserve"> da je oko </w:t>
      </w:r>
      <w:r w:rsidRPr="00D56C3B">
        <w:rPr>
          <w:rFonts w:ascii="Calibri" w:eastAsia="Calibri" w:hAnsi="Calibri" w:cs="Calibri"/>
          <w:kern w:val="0"/>
          <w:sz w:val="24"/>
          <w:szCs w:val="24"/>
          <w:shd w:val="clear" w:color="auto" w:fill="FFFFFF"/>
          <w:lang w:val="sr-Latn-ME" w:bidi="hi-IN"/>
          <w14:ligatures w14:val="none"/>
        </w:rPr>
        <w:t xml:space="preserve">42,4% </w:t>
      </w:r>
      <w:r w:rsidRPr="00D56C3B">
        <w:rPr>
          <w:rFonts w:ascii="Calibri" w:eastAsia="Calibri" w:hAnsi="Calibri" w:cs="Calibri"/>
          <w:kern w:val="0"/>
          <w:sz w:val="24"/>
          <w:szCs w:val="24"/>
          <w:shd w:val="clear" w:color="auto" w:fill="FFFFFF"/>
          <w:lang w:val="sr-Cyrl-BA" w:bidi="hi-IN"/>
          <w14:ligatures w14:val="none"/>
        </w:rPr>
        <w:t>ovog povećanja, ostvaren</w:t>
      </w:r>
      <w:r w:rsidR="00B81F40" w:rsidRPr="00D56C3B">
        <w:rPr>
          <w:rFonts w:ascii="Calibri" w:eastAsia="Calibri" w:hAnsi="Calibri" w:cs="Calibri"/>
          <w:kern w:val="0"/>
          <w:sz w:val="24"/>
          <w:szCs w:val="24"/>
          <w:shd w:val="clear" w:color="auto" w:fill="FFFFFF"/>
          <w:lang w:val="sr-Latn-ME" w:bidi="hi-IN"/>
          <w14:ligatures w14:val="none"/>
        </w:rPr>
        <w:t>o</w:t>
      </w:r>
      <w:r w:rsidRPr="00D56C3B">
        <w:rPr>
          <w:rFonts w:ascii="Calibri" w:eastAsia="Calibri" w:hAnsi="Calibri" w:cs="Calibri"/>
          <w:kern w:val="0"/>
          <w:sz w:val="24"/>
          <w:szCs w:val="24"/>
          <w:shd w:val="clear" w:color="auto" w:fill="FFFFFF"/>
          <w:lang w:val="sr-Cyrl-BA" w:bidi="hi-IN"/>
          <w14:ligatures w14:val="none"/>
        </w:rPr>
        <w:t xml:space="preserve"> zahvaljujući poreskoj reformi. </w:t>
      </w:r>
      <w:r w:rsidR="006C691C">
        <w:rPr>
          <w:rFonts w:ascii="Calibri" w:eastAsia="Calibri" w:hAnsi="Calibri" w:cs="Calibri"/>
          <w:kern w:val="0"/>
          <w:sz w:val="24"/>
          <w:szCs w:val="24"/>
          <w:shd w:val="clear" w:color="auto" w:fill="FFFFFF"/>
          <w:lang w:val="sr-Latn-ME" w:bidi="hi-IN"/>
          <w14:ligatures w14:val="none"/>
        </w:rPr>
        <w:t>Prema</w:t>
      </w:r>
      <w:r w:rsidRPr="00D56C3B">
        <w:rPr>
          <w:rFonts w:ascii="Calibri" w:eastAsia="Calibri" w:hAnsi="Calibri" w:cs="Calibri"/>
          <w:kern w:val="0"/>
          <w:sz w:val="24"/>
          <w:szCs w:val="24"/>
          <w:shd w:val="clear" w:color="auto" w:fill="FFFFFF"/>
          <w:lang w:val="sr-Cyrl-BA" w:bidi="hi-IN"/>
          <w14:ligatures w14:val="none"/>
        </w:rPr>
        <w:t xml:space="preserve"> istraživanju IPSOS</w:t>
      </w:r>
      <w:r w:rsidR="00686BAF">
        <w:rPr>
          <w:rFonts w:ascii="Calibri" w:eastAsia="Calibri" w:hAnsi="Calibri" w:cs="Calibri"/>
          <w:kern w:val="0"/>
          <w:sz w:val="24"/>
          <w:szCs w:val="24"/>
          <w:shd w:val="clear" w:color="auto" w:fill="FFFFFF"/>
          <w:lang w:val="sr-Latn-ME" w:bidi="hi-IN"/>
          <w14:ligatures w14:val="none"/>
        </w:rPr>
        <w:t>,</w:t>
      </w:r>
      <w:r w:rsidR="00686BAF" w:rsidRPr="00686BAF">
        <w:rPr>
          <w:lang w:val="sr-Latn-ME"/>
        </w:rPr>
        <w:t xml:space="preserve"> </w:t>
      </w:r>
      <w:r w:rsidR="00686BAF" w:rsidRPr="00686BAF">
        <w:rPr>
          <w:rFonts w:ascii="Calibri" w:eastAsia="Calibri" w:hAnsi="Calibri" w:cs="Calibri"/>
          <w:kern w:val="0"/>
          <w:sz w:val="24"/>
          <w:szCs w:val="24"/>
          <w:shd w:val="clear" w:color="auto" w:fill="FFFFFF"/>
          <w:lang w:val="sr-Latn-ME" w:bidi="hi-IN"/>
          <w14:ligatures w14:val="none"/>
        </w:rPr>
        <w:t>Radulović, Krstić, 2022</w:t>
      </w:r>
      <w:r w:rsidRPr="00D56C3B">
        <w:rPr>
          <w:rFonts w:ascii="Calibri" w:eastAsia="Calibri" w:hAnsi="Calibri" w:cs="Calibri"/>
          <w:kern w:val="0"/>
          <w:sz w:val="24"/>
          <w:szCs w:val="24"/>
          <w:shd w:val="clear" w:color="auto" w:fill="FFFFFF"/>
          <w:lang w:val="sr-Latn-ME" w:bidi="hi-IN"/>
          <w14:ligatures w14:val="none"/>
        </w:rPr>
        <w:t xml:space="preserve">, </w:t>
      </w:r>
      <w:r w:rsidRPr="00D56C3B">
        <w:rPr>
          <w:rFonts w:ascii="Calibri" w:eastAsia="Calibri" w:hAnsi="Calibri" w:cs="Calibri"/>
          <w:kern w:val="0"/>
          <w:sz w:val="24"/>
          <w:szCs w:val="24"/>
          <w:shd w:val="clear" w:color="auto" w:fill="FFFFFF"/>
          <w:lang w:val="sr-Cyrl-BA" w:bidi="hi-IN"/>
          <w14:ligatures w14:val="none"/>
        </w:rPr>
        <w:t>učešće neprijavljenih zarada u sivoj ekonomiji iznosilo 56,3%  ili oko 670 milion eura</w:t>
      </w:r>
      <w:r w:rsidRPr="00D56C3B">
        <w:rPr>
          <w:rFonts w:ascii="Calibri" w:eastAsia="Calibri" w:hAnsi="Calibri" w:cs="Calibri"/>
          <w:kern w:val="0"/>
          <w:sz w:val="24"/>
          <w:szCs w:val="24"/>
          <w:shd w:val="clear" w:color="auto" w:fill="FFFFFF"/>
          <w:lang w:val="sr-Latn-ME" w:bidi="hi-IN"/>
          <w14:ligatures w14:val="none"/>
        </w:rPr>
        <w:t xml:space="preserve"> u 2022.</w:t>
      </w:r>
      <w:r w:rsidRPr="00D56C3B">
        <w:rPr>
          <w:rFonts w:ascii="Calibri" w:eastAsia="Calibri" w:hAnsi="Calibri" w:cs="Calibri"/>
          <w:kern w:val="0"/>
          <w:sz w:val="24"/>
          <w:szCs w:val="24"/>
          <w:shd w:val="clear" w:color="auto" w:fill="FFFFFF"/>
          <w:lang w:val="sr-Cyrl-BA" w:bidi="hi-IN"/>
          <w14:ligatures w14:val="none"/>
        </w:rPr>
        <w:t xml:space="preserve">, </w:t>
      </w:r>
      <w:r w:rsidR="00B81F40" w:rsidRPr="00D56C3B">
        <w:rPr>
          <w:rFonts w:ascii="Calibri" w:eastAsia="Calibri" w:hAnsi="Calibri" w:cs="Calibri"/>
          <w:kern w:val="0"/>
          <w:sz w:val="24"/>
          <w:szCs w:val="24"/>
          <w:shd w:val="clear" w:color="auto" w:fill="FFFFFF"/>
          <w:lang w:val="sr-Latn-ME" w:bidi="hi-IN"/>
          <w14:ligatures w14:val="none"/>
        </w:rPr>
        <w:t>a</w:t>
      </w:r>
      <w:r w:rsidRPr="00D56C3B">
        <w:rPr>
          <w:rFonts w:ascii="Calibri" w:eastAsia="Calibri" w:hAnsi="Calibri" w:cs="Calibri"/>
          <w:kern w:val="0"/>
          <w:sz w:val="24"/>
          <w:szCs w:val="24"/>
          <w:shd w:val="clear" w:color="auto" w:fill="FFFFFF"/>
          <w:lang w:val="sr-Latn-ME" w:bidi="hi-IN"/>
          <w14:ligatures w14:val="none"/>
        </w:rPr>
        <w:t xml:space="preserve"> prema Smjernicama makroekonomske i fiskalne politike za period 2023-2026</w:t>
      </w:r>
      <w:r w:rsidR="006C691C">
        <w:rPr>
          <w:rFonts w:ascii="Calibri" w:eastAsia="Calibri" w:hAnsi="Calibri" w:cs="Calibri"/>
          <w:kern w:val="0"/>
          <w:sz w:val="24"/>
          <w:szCs w:val="24"/>
          <w:shd w:val="clear" w:color="auto" w:fill="FFFFFF"/>
          <w:lang w:val="sr-Latn-ME" w:bidi="hi-IN"/>
          <w14:ligatures w14:val="none"/>
        </w:rPr>
        <w:t>.</w:t>
      </w:r>
      <w:r w:rsidRPr="00D56C3B">
        <w:rPr>
          <w:rFonts w:ascii="Calibri" w:eastAsia="Calibri" w:hAnsi="Calibri" w:cs="Calibri"/>
          <w:kern w:val="0"/>
          <w:sz w:val="24"/>
          <w:szCs w:val="24"/>
          <w:shd w:val="clear" w:color="auto" w:fill="FFFFFF"/>
          <w:lang w:val="sr-Latn-ME" w:bidi="hi-IN"/>
          <w14:ligatures w14:val="none"/>
        </w:rPr>
        <w:t xml:space="preserve"> </w:t>
      </w:r>
      <w:r w:rsidRPr="00D56C3B">
        <w:rPr>
          <w:rFonts w:ascii="Calibri" w:eastAsia="Calibri" w:hAnsi="Calibri" w:cs="Calibri"/>
          <w:kern w:val="0"/>
          <w:sz w:val="24"/>
          <w:szCs w:val="24"/>
          <w:shd w:val="clear" w:color="auto" w:fill="FFFFFF"/>
          <w:lang w:val="sr-Cyrl-BA" w:bidi="hi-IN"/>
          <w14:ligatures w14:val="none"/>
        </w:rPr>
        <w:t xml:space="preserve">procijenjeno povećanje </w:t>
      </w:r>
      <w:r w:rsidR="007519E7" w:rsidRPr="00D56C3B">
        <w:rPr>
          <w:rFonts w:ascii="Calibri" w:eastAsia="Calibri" w:hAnsi="Calibri" w:cs="Calibri"/>
          <w:kern w:val="0"/>
          <w:sz w:val="24"/>
          <w:szCs w:val="24"/>
          <w:shd w:val="clear" w:color="auto" w:fill="FFFFFF"/>
          <w:lang w:val="sr-Latn-ME" w:bidi="hi-IN"/>
          <w14:ligatures w14:val="none"/>
        </w:rPr>
        <w:t xml:space="preserve">ukupnih </w:t>
      </w:r>
      <w:r w:rsidRPr="00D56C3B">
        <w:rPr>
          <w:rFonts w:ascii="Calibri" w:eastAsia="Calibri" w:hAnsi="Calibri" w:cs="Calibri"/>
          <w:kern w:val="0"/>
          <w:sz w:val="24"/>
          <w:szCs w:val="24"/>
          <w:shd w:val="clear" w:color="auto" w:fill="FFFFFF"/>
          <w:lang w:val="sr-Cyrl-BA" w:bidi="hi-IN"/>
          <w14:ligatures w14:val="none"/>
        </w:rPr>
        <w:t xml:space="preserve">prihoda od doprinosa </w:t>
      </w:r>
      <w:r w:rsidR="006C691C">
        <w:rPr>
          <w:rFonts w:ascii="Calibri" w:eastAsia="Calibri" w:hAnsi="Calibri" w:cs="Calibri"/>
          <w:kern w:val="0"/>
          <w:sz w:val="24"/>
          <w:szCs w:val="24"/>
          <w:shd w:val="clear" w:color="auto" w:fill="FFFFFF"/>
          <w:lang w:val="sr-Latn-ME" w:bidi="hi-IN"/>
          <w14:ligatures w14:val="none"/>
        </w:rPr>
        <w:t>na</w:t>
      </w:r>
      <w:r w:rsidRPr="00D56C3B">
        <w:rPr>
          <w:rFonts w:ascii="Calibri" w:eastAsia="Calibri" w:hAnsi="Calibri" w:cs="Calibri"/>
          <w:kern w:val="0"/>
          <w:sz w:val="24"/>
          <w:szCs w:val="24"/>
          <w:shd w:val="clear" w:color="auto" w:fill="FFFFFF"/>
          <w:lang w:val="sr-Cyrl-BA" w:bidi="hi-IN"/>
          <w14:ligatures w14:val="none"/>
        </w:rPr>
        <w:t xml:space="preserve"> PIO za 67,8 miliona za 2023.</w:t>
      </w:r>
      <w:r w:rsidR="007519E7" w:rsidRPr="00D56C3B">
        <w:rPr>
          <w:rFonts w:ascii="Calibri" w:eastAsia="Calibri" w:hAnsi="Calibri" w:cs="Calibri"/>
          <w:kern w:val="0"/>
          <w:sz w:val="24"/>
          <w:szCs w:val="24"/>
          <w:shd w:val="clear" w:color="auto" w:fill="FFFFFF"/>
          <w:lang w:val="sr-Latn-ME" w:bidi="hi-IN"/>
          <w14:ligatures w14:val="none"/>
        </w:rPr>
        <w:t xml:space="preserve"> </w:t>
      </w:r>
      <w:r w:rsidRPr="00D56C3B">
        <w:rPr>
          <w:rFonts w:ascii="Calibri" w:eastAsia="Calibri" w:hAnsi="Calibri" w:cs="Calibri"/>
          <w:kern w:val="0"/>
          <w:sz w:val="24"/>
          <w:szCs w:val="24"/>
          <w:shd w:val="clear" w:color="auto" w:fill="FFFFFF"/>
          <w:lang w:val="sr-Cyrl-BA" w:bidi="hi-IN"/>
          <w14:ligatures w14:val="none"/>
        </w:rPr>
        <w:t>godini</w:t>
      </w:r>
      <w:r w:rsidRPr="00D56C3B">
        <w:rPr>
          <w:rFonts w:ascii="Calibri" w:eastAsia="Calibri" w:hAnsi="Calibri" w:cs="Calibri"/>
          <w:kern w:val="0"/>
          <w:sz w:val="24"/>
          <w:szCs w:val="24"/>
          <w:shd w:val="clear" w:color="auto" w:fill="FFFFFF"/>
          <w:lang w:val="sr-Latn-ME" w:bidi="hi-IN"/>
          <w14:ligatures w14:val="none"/>
        </w:rPr>
        <w:t xml:space="preserve"> u odnosu na 2022</w:t>
      </w:r>
      <w:r w:rsidR="006C691C">
        <w:rPr>
          <w:rFonts w:ascii="Calibri" w:eastAsia="Calibri" w:hAnsi="Calibri" w:cs="Calibri"/>
          <w:kern w:val="0"/>
          <w:sz w:val="24"/>
          <w:szCs w:val="24"/>
          <w:shd w:val="clear" w:color="auto" w:fill="FFFFFF"/>
          <w:lang w:val="sr-Latn-ME" w:bidi="hi-IN"/>
          <w14:ligatures w14:val="none"/>
        </w:rPr>
        <w:t xml:space="preserve">.godini. Polazeći od toga, </w:t>
      </w:r>
      <w:r w:rsidRPr="00D56C3B">
        <w:rPr>
          <w:rFonts w:ascii="Calibri" w:eastAsia="Calibri" w:hAnsi="Calibri" w:cs="Calibri"/>
          <w:kern w:val="0"/>
          <w:sz w:val="24"/>
          <w:szCs w:val="24"/>
          <w:shd w:val="clear" w:color="auto" w:fill="FFFFFF"/>
          <w:lang w:val="sr-Latn-ME" w:bidi="hi-IN"/>
          <w14:ligatures w14:val="none"/>
        </w:rPr>
        <w:t xml:space="preserve"> prema simulacionom modelu korišćenom za potrebe ovog </w:t>
      </w:r>
      <w:r w:rsidR="00A751A1">
        <w:rPr>
          <w:rFonts w:ascii="Calibri" w:eastAsia="Calibri" w:hAnsi="Calibri" w:cs="Calibri"/>
          <w:kern w:val="0"/>
          <w:sz w:val="24"/>
          <w:szCs w:val="24"/>
          <w:shd w:val="clear" w:color="auto" w:fill="FFFFFF"/>
          <w:lang w:val="sr-Latn-ME" w:bidi="hi-IN"/>
          <w14:ligatures w14:val="none"/>
        </w:rPr>
        <w:t>p</w:t>
      </w:r>
      <w:r w:rsidRPr="00D56C3B">
        <w:rPr>
          <w:rFonts w:ascii="Calibri" w:eastAsia="Calibri" w:hAnsi="Calibri" w:cs="Calibri"/>
          <w:kern w:val="0"/>
          <w:sz w:val="24"/>
          <w:szCs w:val="24"/>
          <w:shd w:val="clear" w:color="auto" w:fill="FFFFFF"/>
          <w:lang w:val="sr-Latn-ME" w:bidi="hi-IN"/>
          <w14:ligatures w14:val="none"/>
        </w:rPr>
        <w:t xml:space="preserve">rograma, procjena </w:t>
      </w:r>
      <w:r w:rsidRPr="00D56C3B">
        <w:rPr>
          <w:rFonts w:ascii="Calibri" w:eastAsia="Calibri" w:hAnsi="Calibri" w:cs="Calibri"/>
          <w:kern w:val="0"/>
          <w:sz w:val="24"/>
          <w:szCs w:val="24"/>
          <w:shd w:val="clear" w:color="auto" w:fill="FFFFFF"/>
          <w:lang w:val="sr-Latn-ME" w:bidi="hi-IN"/>
          <w14:ligatures w14:val="none"/>
        </w:rPr>
        <w:lastRenderedPageBreak/>
        <w:t>povećanja prihoda od doprinosa za 2023.</w:t>
      </w:r>
      <w:r w:rsidR="006C691C">
        <w:rPr>
          <w:rFonts w:ascii="Calibri" w:eastAsia="Calibri" w:hAnsi="Calibri" w:cs="Calibri"/>
          <w:kern w:val="0"/>
          <w:sz w:val="24"/>
          <w:szCs w:val="24"/>
          <w:shd w:val="clear" w:color="auto" w:fill="FFFFFF"/>
          <w:lang w:val="sr-Latn-ME" w:bidi="hi-IN"/>
          <w14:ligatures w14:val="none"/>
        </w:rPr>
        <w:t xml:space="preserve"> </w:t>
      </w:r>
      <w:r w:rsidRPr="00D56C3B">
        <w:rPr>
          <w:rFonts w:ascii="Calibri" w:eastAsia="Calibri" w:hAnsi="Calibri" w:cs="Calibri"/>
          <w:kern w:val="0"/>
          <w:sz w:val="24"/>
          <w:szCs w:val="24"/>
          <w:shd w:val="clear" w:color="auto" w:fill="FFFFFF"/>
          <w:lang w:val="sr-Latn-ME" w:bidi="hi-IN"/>
          <w14:ligatures w14:val="none"/>
        </w:rPr>
        <w:t xml:space="preserve">godinu usljed poreske reforme </w:t>
      </w:r>
      <w:r w:rsidR="006C691C">
        <w:rPr>
          <w:rFonts w:ascii="Calibri" w:eastAsia="Calibri" w:hAnsi="Calibri" w:cs="Calibri"/>
          <w:kern w:val="0"/>
          <w:sz w:val="24"/>
          <w:szCs w:val="24"/>
          <w:shd w:val="clear" w:color="auto" w:fill="FFFFFF"/>
          <w:lang w:val="sr-Latn-ME" w:bidi="hi-IN"/>
          <w14:ligatures w14:val="none"/>
        </w:rPr>
        <w:t xml:space="preserve">kroz Program „Evropa sad“, </w:t>
      </w:r>
      <w:r w:rsidRPr="00D56C3B">
        <w:rPr>
          <w:rFonts w:ascii="Calibri" w:eastAsia="Calibri" w:hAnsi="Calibri" w:cs="Calibri"/>
          <w:kern w:val="0"/>
          <w:sz w:val="24"/>
          <w:szCs w:val="24"/>
          <w:shd w:val="clear" w:color="auto" w:fill="FFFFFF"/>
          <w:lang w:val="sr-Latn-ME" w:bidi="hi-IN"/>
          <w14:ligatures w14:val="none"/>
        </w:rPr>
        <w:t xml:space="preserve">iznosi oko 22,8 miliona eura. Pretpostavka je da se </w:t>
      </w:r>
      <w:r w:rsidR="007519E7" w:rsidRPr="00D56C3B">
        <w:rPr>
          <w:rFonts w:ascii="Calibri" w:eastAsia="Calibri" w:hAnsi="Calibri" w:cs="Calibri"/>
          <w:kern w:val="0"/>
          <w:sz w:val="24"/>
          <w:szCs w:val="24"/>
          <w:shd w:val="clear" w:color="auto" w:fill="FFFFFF"/>
          <w:lang w:val="sr-Latn-ME" w:bidi="hi-IN"/>
          <w14:ligatures w14:val="none"/>
        </w:rPr>
        <w:t xml:space="preserve">značajan </w:t>
      </w:r>
      <w:r w:rsidRPr="00D56C3B">
        <w:rPr>
          <w:rFonts w:ascii="Calibri" w:eastAsia="Calibri" w:hAnsi="Calibri" w:cs="Calibri"/>
          <w:kern w:val="0"/>
          <w:sz w:val="24"/>
          <w:szCs w:val="24"/>
          <w:shd w:val="clear" w:color="auto" w:fill="FFFFFF"/>
          <w:lang w:val="sr-Latn-ME" w:bidi="hi-IN"/>
          <w14:ligatures w14:val="none"/>
        </w:rPr>
        <w:t>dio smanjenja neprijavljenih zarada iz prethodni</w:t>
      </w:r>
      <w:r w:rsidR="007519E7" w:rsidRPr="00D56C3B">
        <w:rPr>
          <w:rFonts w:ascii="Calibri" w:eastAsia="Calibri" w:hAnsi="Calibri" w:cs="Calibri"/>
          <w:kern w:val="0"/>
          <w:sz w:val="24"/>
          <w:szCs w:val="24"/>
          <w:shd w:val="clear" w:color="auto" w:fill="FFFFFF"/>
          <w:lang w:val="sr-Latn-ME" w:bidi="hi-IN"/>
          <w14:ligatures w14:val="none"/>
        </w:rPr>
        <w:t>h</w:t>
      </w:r>
      <w:r w:rsidRPr="00D56C3B">
        <w:rPr>
          <w:rFonts w:ascii="Calibri" w:eastAsia="Calibri" w:hAnsi="Calibri" w:cs="Calibri"/>
          <w:kern w:val="0"/>
          <w:sz w:val="24"/>
          <w:szCs w:val="24"/>
          <w:shd w:val="clear" w:color="auto" w:fill="FFFFFF"/>
          <w:lang w:val="sr-Latn-ME" w:bidi="hi-IN"/>
          <w14:ligatures w14:val="none"/>
        </w:rPr>
        <w:t xml:space="preserve"> godina odnosi na dohodak do 700 eura bruto, budući da je to prag neoporezivog dohotka. Imajući</w:t>
      </w:r>
      <w:r w:rsidRPr="00D56C3B">
        <w:rPr>
          <w:rFonts w:ascii="Calibri" w:eastAsia="Calibri" w:hAnsi="Calibri" w:cs="Calibri"/>
          <w:kern w:val="0"/>
          <w:sz w:val="24"/>
          <w:szCs w:val="24"/>
          <w:shd w:val="clear" w:color="auto" w:fill="FFFFFF"/>
          <w:lang w:val="sr-Cyrl-BA" w:bidi="hi-IN"/>
          <w14:ligatures w14:val="none"/>
        </w:rPr>
        <w:t xml:space="preserve"> u vidu da je stopa doprinosa na PIO 15% na teret poslodavca i 5,5% na teret zaposlenog,</w:t>
      </w:r>
      <w:r w:rsidRPr="00D56C3B">
        <w:rPr>
          <w:rFonts w:ascii="Calibri" w:eastAsia="Calibri" w:hAnsi="Calibri" w:cs="Calibri"/>
          <w:kern w:val="0"/>
          <w:sz w:val="24"/>
          <w:szCs w:val="24"/>
          <w:shd w:val="clear" w:color="auto" w:fill="FFFFFF"/>
          <w:lang w:val="sr-Latn-ME" w:bidi="hi-IN"/>
          <w14:ligatures w14:val="none"/>
        </w:rPr>
        <w:t xml:space="preserve"> </w:t>
      </w:r>
      <w:r w:rsidRPr="00D56C3B">
        <w:rPr>
          <w:rFonts w:ascii="Calibri" w:eastAsia="Calibri" w:hAnsi="Calibri" w:cs="Calibri"/>
          <w:kern w:val="0"/>
          <w:sz w:val="24"/>
          <w:szCs w:val="24"/>
          <w:shd w:val="clear" w:color="auto" w:fill="FFFFFF"/>
          <w:lang w:val="sr-Cyrl-BA" w:bidi="hi-IN"/>
          <w14:ligatures w14:val="none"/>
        </w:rPr>
        <w:t xml:space="preserve">onda </w:t>
      </w:r>
      <w:r w:rsidR="00B81F40" w:rsidRPr="00D56C3B">
        <w:rPr>
          <w:rFonts w:ascii="Calibri" w:eastAsia="Calibri" w:hAnsi="Calibri" w:cs="Calibri"/>
          <w:kern w:val="0"/>
          <w:sz w:val="24"/>
          <w:szCs w:val="24"/>
          <w:shd w:val="clear" w:color="auto" w:fill="FFFFFF"/>
          <w:lang w:val="sr-Latn-ME" w:bidi="hi-IN"/>
          <w14:ligatures w14:val="none"/>
        </w:rPr>
        <w:t>je</w:t>
      </w:r>
      <w:r w:rsidRPr="00D56C3B">
        <w:rPr>
          <w:rFonts w:ascii="Calibri" w:eastAsia="Calibri" w:hAnsi="Calibri" w:cs="Calibri"/>
          <w:kern w:val="0"/>
          <w:sz w:val="24"/>
          <w:szCs w:val="24"/>
          <w:shd w:val="clear" w:color="auto" w:fill="FFFFFF"/>
          <w:lang w:val="sr-Cyrl-BA" w:bidi="hi-IN"/>
          <w14:ligatures w14:val="none"/>
        </w:rPr>
        <w:t xml:space="preserve"> procijenjeni iznos novoprijavljenih zarada u 2023. </w:t>
      </w:r>
      <w:r w:rsidRPr="00D56C3B">
        <w:rPr>
          <w:rFonts w:ascii="Calibri" w:eastAsia="Calibri" w:hAnsi="Calibri" w:cs="Calibri"/>
          <w:kern w:val="0"/>
          <w:sz w:val="24"/>
          <w:szCs w:val="24"/>
          <w:shd w:val="clear" w:color="auto" w:fill="FFFFFF"/>
          <w:lang w:val="sr-Latn-ME" w:bidi="hi-IN"/>
          <w14:ligatures w14:val="none"/>
        </w:rPr>
        <w:t>oko 400</w:t>
      </w:r>
      <w:r w:rsidRPr="00D56C3B">
        <w:rPr>
          <w:rFonts w:ascii="Calibri" w:eastAsia="Calibri" w:hAnsi="Calibri" w:cs="Calibri"/>
          <w:kern w:val="0"/>
          <w:sz w:val="24"/>
          <w:szCs w:val="24"/>
          <w:shd w:val="clear" w:color="auto" w:fill="FFFFFF"/>
          <w:lang w:val="sr-Cyrl-BA" w:bidi="hi-IN"/>
          <w14:ligatures w14:val="none"/>
        </w:rPr>
        <w:t xml:space="preserve"> miliona eura. </w:t>
      </w:r>
      <w:r w:rsidRPr="00D56C3B">
        <w:rPr>
          <w:rFonts w:ascii="Calibri" w:eastAsia="Calibri" w:hAnsi="Calibri" w:cs="Calibri"/>
          <w:kern w:val="0"/>
          <w:sz w:val="24"/>
          <w:szCs w:val="24"/>
          <w:shd w:val="clear" w:color="auto" w:fill="FFFFFF"/>
          <w:lang w:val="sr-Latn-ME" w:bidi="hi-IN"/>
          <w14:ligatures w14:val="none"/>
        </w:rPr>
        <w:t xml:space="preserve">Budući da je prema procjeni u simulacionom modelu za potrebe ovog Programa, 42,4% ovog povećanja nastalo </w:t>
      </w:r>
      <w:r w:rsidRPr="00D56C3B">
        <w:rPr>
          <w:rFonts w:ascii="Calibri" w:eastAsia="Calibri" w:hAnsi="Calibri" w:cs="Calibri"/>
          <w:kern w:val="0"/>
          <w:sz w:val="24"/>
          <w:szCs w:val="24"/>
          <w:shd w:val="clear" w:color="auto" w:fill="FFFFFF"/>
          <w:lang w:val="sr-Cyrl-BA" w:bidi="hi-IN"/>
          <w14:ligatures w14:val="none"/>
        </w:rPr>
        <w:t>formalizacij</w:t>
      </w:r>
      <w:r w:rsidRPr="00D56C3B">
        <w:rPr>
          <w:rFonts w:ascii="Calibri" w:eastAsia="Calibri" w:hAnsi="Calibri" w:cs="Calibri"/>
          <w:kern w:val="0"/>
          <w:sz w:val="24"/>
          <w:szCs w:val="24"/>
          <w:shd w:val="clear" w:color="auto" w:fill="FFFFFF"/>
          <w:lang w:val="sr-Latn-ME" w:bidi="hi-IN"/>
          <w14:ligatures w14:val="none"/>
        </w:rPr>
        <w:t>om</w:t>
      </w:r>
      <w:r w:rsidRPr="00D56C3B">
        <w:rPr>
          <w:rFonts w:ascii="Calibri" w:eastAsia="Calibri" w:hAnsi="Calibri" w:cs="Calibri"/>
          <w:kern w:val="0"/>
          <w:sz w:val="24"/>
          <w:szCs w:val="24"/>
          <w:shd w:val="clear" w:color="auto" w:fill="FFFFFF"/>
          <w:lang w:val="sr-Cyrl-BA" w:bidi="hi-IN"/>
          <w14:ligatures w14:val="none"/>
        </w:rPr>
        <w:t xml:space="preserve"> ranije nepriijavljenih zarada</w:t>
      </w:r>
      <w:r w:rsidRPr="00D56C3B">
        <w:rPr>
          <w:rFonts w:ascii="Calibri" w:eastAsia="Calibri" w:hAnsi="Calibri" w:cs="Calibri"/>
          <w:kern w:val="0"/>
          <w:sz w:val="24"/>
          <w:szCs w:val="24"/>
          <w:shd w:val="clear" w:color="auto" w:fill="FFFFFF"/>
          <w:lang w:val="sr-Latn-ME" w:bidi="hi-IN"/>
          <w14:ligatures w14:val="none"/>
        </w:rPr>
        <w:t xml:space="preserve"> usljed poreske reforme</w:t>
      </w:r>
      <w:r w:rsidR="006C691C">
        <w:rPr>
          <w:rFonts w:ascii="Calibri" w:eastAsia="Calibri" w:hAnsi="Calibri" w:cs="Calibri"/>
          <w:kern w:val="0"/>
          <w:sz w:val="24"/>
          <w:szCs w:val="24"/>
          <w:shd w:val="clear" w:color="auto" w:fill="FFFFFF"/>
          <w:lang w:val="sr-Latn-ME" w:bidi="hi-IN"/>
          <w14:ligatures w14:val="none"/>
        </w:rPr>
        <w:t xml:space="preserve"> kroz Program „Evropa sad“</w:t>
      </w:r>
      <w:r w:rsidRPr="00D56C3B">
        <w:rPr>
          <w:rFonts w:ascii="Calibri" w:eastAsia="Calibri" w:hAnsi="Calibri" w:cs="Calibri"/>
          <w:kern w:val="0"/>
          <w:sz w:val="24"/>
          <w:szCs w:val="24"/>
          <w:shd w:val="clear" w:color="auto" w:fill="FFFFFF"/>
          <w:lang w:val="sr-Cyrl-BA" w:bidi="hi-IN"/>
          <w14:ligatures w14:val="none"/>
        </w:rPr>
        <w:t>, onda bi</w:t>
      </w:r>
      <w:r w:rsidR="007519E7" w:rsidRPr="00D56C3B">
        <w:rPr>
          <w:rFonts w:ascii="Calibri" w:eastAsia="Calibri" w:hAnsi="Calibri" w:cs="Calibri"/>
          <w:kern w:val="0"/>
          <w:sz w:val="24"/>
          <w:szCs w:val="24"/>
          <w:shd w:val="clear" w:color="auto" w:fill="FFFFFF"/>
          <w:lang w:val="sr-Latn-ME" w:bidi="hi-IN"/>
          <w14:ligatures w14:val="none"/>
        </w:rPr>
        <w:t xml:space="preserve"> se</w:t>
      </w:r>
      <w:r w:rsidRPr="00D56C3B">
        <w:rPr>
          <w:rFonts w:ascii="Calibri" w:eastAsia="Calibri" w:hAnsi="Calibri" w:cs="Calibri"/>
          <w:kern w:val="0"/>
          <w:sz w:val="24"/>
          <w:szCs w:val="24"/>
          <w:shd w:val="clear" w:color="auto" w:fill="FFFFFF"/>
          <w:lang w:val="sr-Latn-ME" w:bidi="hi-IN"/>
          <w14:ligatures w14:val="none"/>
        </w:rPr>
        <w:t>, polazeći od učešća neprij</w:t>
      </w:r>
      <w:r w:rsidR="0022467F" w:rsidRPr="00D56C3B">
        <w:rPr>
          <w:rFonts w:ascii="Calibri" w:eastAsia="Calibri" w:hAnsi="Calibri" w:cs="Calibri"/>
          <w:kern w:val="0"/>
          <w:sz w:val="24"/>
          <w:szCs w:val="24"/>
          <w:shd w:val="clear" w:color="auto" w:fill="FFFFFF"/>
          <w:lang w:val="sr-Latn-ME" w:bidi="hi-IN"/>
          <w14:ligatures w14:val="none"/>
        </w:rPr>
        <w:t>a</w:t>
      </w:r>
      <w:r w:rsidRPr="00D56C3B">
        <w:rPr>
          <w:rFonts w:ascii="Calibri" w:eastAsia="Calibri" w:hAnsi="Calibri" w:cs="Calibri"/>
          <w:kern w:val="0"/>
          <w:sz w:val="24"/>
          <w:szCs w:val="24"/>
          <w:shd w:val="clear" w:color="auto" w:fill="FFFFFF"/>
          <w:lang w:val="sr-Latn-ME" w:bidi="hi-IN"/>
          <w14:ligatures w14:val="none"/>
        </w:rPr>
        <w:t xml:space="preserve">vljenih zarada zaposlenih u sivoj ekonomiji uistraživanju  IPSOS, Radulović, Krstić  (2022), </w:t>
      </w:r>
      <w:r w:rsidRPr="00D56C3B">
        <w:rPr>
          <w:rFonts w:ascii="Calibri" w:eastAsia="Calibri" w:hAnsi="Calibri" w:cs="Calibri"/>
          <w:kern w:val="0"/>
          <w:sz w:val="24"/>
          <w:szCs w:val="24"/>
          <w:shd w:val="clear" w:color="auto" w:fill="FFFFFF"/>
          <w:lang w:val="sr-Cyrl-BA" w:bidi="hi-IN"/>
          <w14:ligatures w14:val="none"/>
        </w:rPr>
        <w:t xml:space="preserve">učešće </w:t>
      </w:r>
      <w:r w:rsidR="007519E7" w:rsidRPr="00D56C3B">
        <w:rPr>
          <w:rFonts w:ascii="Calibri" w:eastAsia="Calibri" w:hAnsi="Calibri" w:cs="Calibri"/>
          <w:kern w:val="0"/>
          <w:sz w:val="24"/>
          <w:szCs w:val="24"/>
          <w:shd w:val="clear" w:color="auto" w:fill="FFFFFF"/>
          <w:lang w:val="sr-Latn-ME" w:bidi="hi-IN"/>
          <w14:ligatures w14:val="none"/>
        </w:rPr>
        <w:t xml:space="preserve">neprijavljenih </w:t>
      </w:r>
      <w:r w:rsidRPr="00D56C3B">
        <w:rPr>
          <w:rFonts w:ascii="Calibri" w:eastAsia="Calibri" w:hAnsi="Calibri" w:cs="Calibri"/>
          <w:kern w:val="0"/>
          <w:sz w:val="24"/>
          <w:szCs w:val="24"/>
          <w:shd w:val="clear" w:color="auto" w:fill="FFFFFF"/>
          <w:lang w:val="sr-Cyrl-BA" w:bidi="hi-IN"/>
          <w14:ligatures w14:val="none"/>
        </w:rPr>
        <w:t xml:space="preserve">zarada u </w:t>
      </w:r>
      <w:r w:rsidR="007519E7" w:rsidRPr="00D56C3B">
        <w:rPr>
          <w:rFonts w:ascii="Calibri" w:eastAsia="Calibri" w:hAnsi="Calibri" w:cs="Calibri"/>
          <w:kern w:val="0"/>
          <w:sz w:val="24"/>
          <w:szCs w:val="24"/>
          <w:shd w:val="clear" w:color="auto" w:fill="FFFFFF"/>
          <w:lang w:val="sr-Latn-ME" w:bidi="hi-IN"/>
          <w14:ligatures w14:val="none"/>
        </w:rPr>
        <w:t xml:space="preserve">sivoj ekonomiji </w:t>
      </w:r>
      <w:r w:rsidRPr="00D56C3B">
        <w:rPr>
          <w:rFonts w:ascii="Calibri" w:eastAsia="Calibri" w:hAnsi="Calibri" w:cs="Calibri"/>
          <w:kern w:val="0"/>
          <w:sz w:val="24"/>
          <w:szCs w:val="24"/>
          <w:shd w:val="clear" w:color="auto" w:fill="FFFFFF"/>
          <w:lang w:val="sr-Cyrl-BA" w:bidi="hi-IN"/>
          <w14:ligatures w14:val="none"/>
        </w:rPr>
        <w:t>2023. trebalo smanjiti za oko 1</w:t>
      </w:r>
      <w:r w:rsidRPr="00D56C3B">
        <w:rPr>
          <w:rFonts w:ascii="Calibri" w:eastAsia="Calibri" w:hAnsi="Calibri" w:cs="Calibri"/>
          <w:kern w:val="0"/>
          <w:sz w:val="24"/>
          <w:szCs w:val="24"/>
          <w:shd w:val="clear" w:color="auto" w:fill="FFFFFF"/>
          <w:lang w:val="sr-Latn-ME" w:bidi="hi-IN"/>
          <w14:ligatures w14:val="none"/>
        </w:rPr>
        <w:t>76</w:t>
      </w:r>
      <w:r w:rsidRPr="00D56C3B">
        <w:rPr>
          <w:rFonts w:ascii="Calibri" w:eastAsia="Calibri" w:hAnsi="Calibri" w:cs="Calibri"/>
          <w:kern w:val="0"/>
          <w:sz w:val="24"/>
          <w:szCs w:val="24"/>
          <w:shd w:val="clear" w:color="auto" w:fill="FFFFFF"/>
          <w:lang w:val="sr-Cyrl-BA" w:bidi="hi-IN"/>
          <w14:ligatures w14:val="none"/>
        </w:rPr>
        <w:t xml:space="preserve"> miliona</w:t>
      </w:r>
      <w:r w:rsidR="00641737" w:rsidRPr="00D56C3B">
        <w:rPr>
          <w:rFonts w:ascii="Calibri" w:eastAsia="Calibri" w:hAnsi="Calibri" w:cs="Calibri"/>
          <w:kern w:val="0"/>
          <w:sz w:val="24"/>
          <w:szCs w:val="24"/>
          <w:shd w:val="clear" w:color="auto" w:fill="FFFFFF"/>
          <w:lang w:val="sr-Latn-ME" w:bidi="hi-IN"/>
          <w14:ligatures w14:val="none"/>
        </w:rPr>
        <w:t xml:space="preserve"> eura</w:t>
      </w:r>
      <w:r w:rsidR="007519E7" w:rsidRPr="00D56C3B">
        <w:rPr>
          <w:rFonts w:ascii="Calibri" w:eastAsia="Calibri" w:hAnsi="Calibri" w:cs="Calibri"/>
          <w:kern w:val="0"/>
          <w:sz w:val="24"/>
          <w:szCs w:val="24"/>
          <w:shd w:val="clear" w:color="auto" w:fill="FFFFFF"/>
          <w:lang w:val="sr-Latn-ME" w:bidi="hi-IN"/>
          <w14:ligatures w14:val="none"/>
        </w:rPr>
        <w:t>.</w:t>
      </w:r>
      <w:r w:rsidR="00D56C3B" w:rsidRPr="00D56C3B">
        <w:rPr>
          <w:rFonts w:ascii="Calibri" w:eastAsia="Calibri" w:hAnsi="Calibri" w:cs="Calibri"/>
          <w:kern w:val="0"/>
          <w:sz w:val="24"/>
          <w:szCs w:val="24"/>
          <w:shd w:val="clear" w:color="auto" w:fill="FFFFFF"/>
          <w:lang w:val="sr-Latn-ME" w:bidi="hi-IN"/>
          <w14:ligatures w14:val="none"/>
        </w:rPr>
        <w:t xml:space="preserve"> </w:t>
      </w:r>
      <w:r w:rsidR="00677241" w:rsidRPr="00D56C3B">
        <w:rPr>
          <w:rFonts w:ascii="Calibri" w:eastAsia="Calibri" w:hAnsi="Calibri" w:cs="Mangal"/>
          <w:kern w:val="0"/>
          <w:sz w:val="24"/>
          <w:szCs w:val="24"/>
          <w:lang w:val="sr-Latn-ME" w:bidi="hi-IN"/>
          <w14:ligatures w14:val="none"/>
        </w:rPr>
        <w:t>Dakle, procjenjuje se</w:t>
      </w:r>
      <w:r w:rsidR="00F34CDA" w:rsidRPr="00D56C3B">
        <w:rPr>
          <w:rFonts w:ascii="Calibri" w:eastAsia="Calibri" w:hAnsi="Calibri" w:cs="Mangal"/>
          <w:kern w:val="0"/>
          <w:sz w:val="24"/>
          <w:szCs w:val="24"/>
          <w:lang w:val="sr-Latn-ME" w:bidi="hi-IN"/>
          <w14:ligatures w14:val="none"/>
        </w:rPr>
        <w:t xml:space="preserve"> se da je nivo sive ekonomije u oblasti zarada </w:t>
      </w:r>
      <w:r w:rsidR="007519E7" w:rsidRPr="00D56C3B">
        <w:rPr>
          <w:rFonts w:ascii="Calibri" w:eastAsia="Calibri" w:hAnsi="Calibri" w:cs="Mangal"/>
          <w:kern w:val="0"/>
          <w:sz w:val="24"/>
          <w:szCs w:val="24"/>
          <w:lang w:val="sr-Latn-ME" w:bidi="hi-IN"/>
          <w14:ligatures w14:val="none"/>
        </w:rPr>
        <w:t xml:space="preserve">u 2023. </w:t>
      </w:r>
      <w:r w:rsidR="00F34CDA" w:rsidRPr="00D56C3B">
        <w:rPr>
          <w:rFonts w:ascii="Calibri" w:eastAsia="Calibri" w:hAnsi="Calibri" w:cs="Mangal"/>
          <w:kern w:val="0"/>
          <w:sz w:val="24"/>
          <w:szCs w:val="24"/>
          <w:lang w:val="sr-Latn-ME" w:bidi="hi-IN"/>
          <w14:ligatures w14:val="none"/>
        </w:rPr>
        <w:t xml:space="preserve">niži u odnosu na period prije primjene mjera poreske reforme uvedenih od 1. janaura 2022. </w:t>
      </w:r>
    </w:p>
    <w:p w14:paraId="47BDD4FD" w14:textId="24D3BF82" w:rsidR="00F34CDA" w:rsidRPr="00D56C3B" w:rsidRDefault="00F34CDA" w:rsidP="008C0127">
      <w:pPr>
        <w:shd w:val="clear" w:color="auto" w:fill="FFFFFF"/>
        <w:spacing w:after="150" w:line="276" w:lineRule="auto"/>
        <w:jc w:val="both"/>
        <w:rPr>
          <w:rFonts w:ascii="Calibri" w:eastAsia="Times New Roman" w:hAnsi="Calibri" w:cs="Calibri"/>
          <w:b/>
          <w:bCs/>
          <w:kern w:val="0"/>
          <w:sz w:val="24"/>
          <w:szCs w:val="24"/>
          <w:lang w:val="sr-Latn-ME" w:eastAsia="sr-Cyrl-BA" w:bidi="hi-IN"/>
          <w14:ligatures w14:val="none"/>
        </w:rPr>
      </w:pPr>
      <w:r w:rsidRPr="00D56C3B">
        <w:rPr>
          <w:rFonts w:ascii="Calibri" w:eastAsia="Times New Roman" w:hAnsi="Calibri" w:cs="Calibri"/>
          <w:kern w:val="0"/>
          <w:sz w:val="24"/>
          <w:szCs w:val="24"/>
          <w:lang w:val="sr-Latn-ME" w:eastAsia="sr-Cyrl-BA" w:bidi="hi-IN"/>
          <w14:ligatures w14:val="none"/>
        </w:rPr>
        <w:t xml:space="preserve">Shodno svemu navedenom, može se zaključiti da ako uzmemo u </w:t>
      </w:r>
      <w:r w:rsidRPr="00D56C3B">
        <w:rPr>
          <w:rFonts w:ascii="Calibri" w:eastAsia="Times New Roman" w:hAnsi="Calibri" w:cs="Calibri"/>
          <w:b/>
          <w:bCs/>
          <w:kern w:val="0"/>
          <w:sz w:val="24"/>
          <w:szCs w:val="24"/>
          <w:lang w:val="sr-Latn-ME" w:eastAsia="sr-Cyrl-BA" w:bidi="hi-IN"/>
          <w14:ligatures w14:val="none"/>
        </w:rPr>
        <w:t>obzir rast prosječne bruto zarade, rast minimalne zarade i rast broja zaposlenih i uporedimo sa naplatom prihoda od direktnih poreza i doprinosa, dolazimo do zaključka da su poslodavci prijavili značajan broj neprijavljenih zaposlenih</w:t>
      </w:r>
      <w:r w:rsidR="000B0E8F" w:rsidRPr="00D56C3B">
        <w:rPr>
          <w:rFonts w:ascii="Calibri" w:eastAsia="Times New Roman" w:hAnsi="Calibri" w:cs="Calibri"/>
          <w:b/>
          <w:bCs/>
          <w:kern w:val="0"/>
          <w:sz w:val="24"/>
          <w:szCs w:val="24"/>
          <w:lang w:val="sr-Latn-ME" w:eastAsia="sr-Cyrl-BA" w:bidi="hi-IN"/>
          <w14:ligatures w14:val="none"/>
        </w:rPr>
        <w:t xml:space="preserve"> u 2022.</w:t>
      </w:r>
      <w:r w:rsidR="00A751A1">
        <w:rPr>
          <w:rFonts w:ascii="Calibri" w:eastAsia="Times New Roman" w:hAnsi="Calibri" w:cs="Calibri"/>
          <w:b/>
          <w:bCs/>
          <w:kern w:val="0"/>
          <w:sz w:val="24"/>
          <w:szCs w:val="24"/>
          <w:lang w:val="sr-Latn-ME" w:eastAsia="sr-Cyrl-BA" w:bidi="hi-IN"/>
          <w14:ligatures w14:val="none"/>
        </w:rPr>
        <w:t xml:space="preserve"> </w:t>
      </w:r>
      <w:r w:rsidR="000B0E8F" w:rsidRPr="00D56C3B">
        <w:rPr>
          <w:rFonts w:ascii="Calibri" w:eastAsia="Times New Roman" w:hAnsi="Calibri" w:cs="Calibri"/>
          <w:b/>
          <w:bCs/>
          <w:kern w:val="0"/>
          <w:sz w:val="24"/>
          <w:szCs w:val="24"/>
          <w:lang w:val="sr-Latn-ME" w:eastAsia="sr-Cyrl-BA" w:bidi="hi-IN"/>
          <w14:ligatures w14:val="none"/>
        </w:rPr>
        <w:t>godini</w:t>
      </w:r>
      <w:r w:rsidRPr="00D56C3B">
        <w:rPr>
          <w:rFonts w:ascii="Calibri" w:eastAsia="Times New Roman" w:hAnsi="Calibri" w:cs="Calibri"/>
          <w:b/>
          <w:bCs/>
          <w:kern w:val="0"/>
          <w:sz w:val="24"/>
          <w:szCs w:val="24"/>
          <w:lang w:val="sr-Latn-ME" w:eastAsia="sr-Cyrl-BA" w:bidi="hi-IN"/>
          <w14:ligatures w14:val="none"/>
        </w:rPr>
        <w:t>, ali da je i dalje</w:t>
      </w:r>
      <w:r w:rsidR="000B0E8F" w:rsidRPr="00D56C3B">
        <w:rPr>
          <w:rFonts w:ascii="Calibri" w:eastAsia="Times New Roman" w:hAnsi="Calibri" w:cs="Calibri"/>
          <w:b/>
          <w:bCs/>
          <w:kern w:val="0"/>
          <w:sz w:val="24"/>
          <w:szCs w:val="24"/>
          <w:lang w:val="sr-Latn-ME" w:eastAsia="sr-Cyrl-BA" w:bidi="hi-IN"/>
          <w14:ligatures w14:val="none"/>
        </w:rPr>
        <w:t xml:space="preserve"> bila</w:t>
      </w:r>
      <w:r w:rsidRPr="00D56C3B">
        <w:rPr>
          <w:rFonts w:ascii="Calibri" w:eastAsia="Times New Roman" w:hAnsi="Calibri" w:cs="Calibri"/>
          <w:b/>
          <w:bCs/>
          <w:kern w:val="0"/>
          <w:sz w:val="24"/>
          <w:szCs w:val="24"/>
          <w:lang w:val="sr-Latn-ME" w:eastAsia="sr-Cyrl-BA" w:bidi="hi-IN"/>
          <w14:ligatures w14:val="none"/>
        </w:rPr>
        <w:t xml:space="preserve"> prisutna praksa plaćanja dijela zarade </w:t>
      </w:r>
      <w:r w:rsidR="00A751A1">
        <w:rPr>
          <w:rFonts w:ascii="Calibri" w:eastAsia="Times New Roman" w:hAnsi="Calibri" w:cs="Calibri"/>
          <w:b/>
          <w:bCs/>
          <w:kern w:val="0"/>
          <w:sz w:val="24"/>
          <w:szCs w:val="24"/>
          <w:lang w:val="sr-Latn-ME" w:eastAsia="sr-Cyrl-BA" w:bidi="hi-IN"/>
          <w14:ligatures w14:val="none"/>
        </w:rPr>
        <w:t>„</w:t>
      </w:r>
      <w:r w:rsidRPr="00D56C3B">
        <w:rPr>
          <w:rFonts w:ascii="Calibri" w:eastAsia="Times New Roman" w:hAnsi="Calibri" w:cs="Calibri"/>
          <w:b/>
          <w:bCs/>
          <w:kern w:val="0"/>
          <w:sz w:val="24"/>
          <w:szCs w:val="24"/>
          <w:lang w:val="sr-Latn-ME" w:eastAsia="sr-Cyrl-BA" w:bidi="hi-IN"/>
          <w14:ligatures w14:val="none"/>
        </w:rPr>
        <w:t>na ruke</w:t>
      </w:r>
      <w:r w:rsidR="00A751A1">
        <w:rPr>
          <w:rFonts w:ascii="Calibri" w:eastAsia="Times New Roman" w:hAnsi="Calibri" w:cs="Calibri"/>
          <w:b/>
          <w:bCs/>
          <w:kern w:val="0"/>
          <w:sz w:val="24"/>
          <w:szCs w:val="24"/>
          <w:lang w:val="sr-Latn-ME" w:eastAsia="sr-Cyrl-BA" w:bidi="hi-IN"/>
          <w14:ligatures w14:val="none"/>
        </w:rPr>
        <w:t>“</w:t>
      </w:r>
      <w:r w:rsidRPr="00D56C3B">
        <w:rPr>
          <w:rFonts w:ascii="Calibri" w:eastAsia="Times New Roman" w:hAnsi="Calibri" w:cs="Calibri"/>
          <w:b/>
          <w:bCs/>
          <w:kern w:val="0"/>
          <w:sz w:val="24"/>
          <w:szCs w:val="24"/>
          <w:lang w:val="sr-Latn-ME" w:eastAsia="sr-Cyrl-BA" w:bidi="hi-IN"/>
          <w14:ligatures w14:val="none"/>
        </w:rPr>
        <w:t xml:space="preserve"> jer kombinovani rast zarada i zaposlenosti prevazilazi</w:t>
      </w:r>
      <w:r w:rsidR="000B0E8F" w:rsidRPr="00D56C3B">
        <w:rPr>
          <w:rFonts w:ascii="Calibri" w:eastAsia="Times New Roman" w:hAnsi="Calibri" w:cs="Calibri"/>
          <w:b/>
          <w:bCs/>
          <w:kern w:val="0"/>
          <w:sz w:val="24"/>
          <w:szCs w:val="24"/>
          <w:lang w:val="sr-Latn-ME" w:eastAsia="sr-Cyrl-BA" w:bidi="hi-IN"/>
          <w14:ligatures w14:val="none"/>
        </w:rPr>
        <w:t>o</w:t>
      </w:r>
      <w:r w:rsidR="0022467F" w:rsidRPr="00D56C3B">
        <w:rPr>
          <w:rFonts w:ascii="Calibri" w:eastAsia="Times New Roman" w:hAnsi="Calibri" w:cs="Calibri"/>
          <w:b/>
          <w:bCs/>
          <w:kern w:val="0"/>
          <w:sz w:val="24"/>
          <w:szCs w:val="24"/>
          <w:lang w:val="sr-Latn-ME" w:eastAsia="sr-Cyrl-BA" w:bidi="hi-IN"/>
          <w14:ligatures w14:val="none"/>
        </w:rPr>
        <w:t xml:space="preserve"> ukupno</w:t>
      </w:r>
      <w:r w:rsidRPr="00D56C3B">
        <w:rPr>
          <w:rFonts w:ascii="Calibri" w:eastAsia="Times New Roman" w:hAnsi="Calibri" w:cs="Calibri"/>
          <w:b/>
          <w:bCs/>
          <w:kern w:val="0"/>
          <w:sz w:val="24"/>
          <w:szCs w:val="24"/>
          <w:lang w:val="sr-Latn-ME" w:eastAsia="sr-Cyrl-BA" w:bidi="hi-IN"/>
          <w14:ligatures w14:val="none"/>
        </w:rPr>
        <w:t xml:space="preserve"> povećanje naplate prihoda od</w:t>
      </w:r>
      <w:r w:rsidR="0022467F" w:rsidRPr="00D56C3B">
        <w:rPr>
          <w:rFonts w:ascii="Calibri" w:eastAsia="Times New Roman" w:hAnsi="Calibri" w:cs="Calibri"/>
          <w:b/>
          <w:bCs/>
          <w:kern w:val="0"/>
          <w:sz w:val="24"/>
          <w:szCs w:val="24"/>
          <w:lang w:val="sr-Latn-ME" w:eastAsia="sr-Cyrl-BA" w:bidi="hi-IN"/>
          <w14:ligatures w14:val="none"/>
        </w:rPr>
        <w:t xml:space="preserve"> </w:t>
      </w:r>
      <w:r w:rsidRPr="00D56C3B">
        <w:rPr>
          <w:rFonts w:ascii="Calibri" w:eastAsia="Times New Roman" w:hAnsi="Calibri" w:cs="Calibri"/>
          <w:b/>
          <w:bCs/>
          <w:kern w:val="0"/>
          <w:sz w:val="24"/>
          <w:szCs w:val="24"/>
          <w:lang w:val="sr-Latn-ME" w:eastAsia="sr-Cyrl-BA" w:bidi="hi-IN"/>
          <w14:ligatures w14:val="none"/>
        </w:rPr>
        <w:t>doprinosa za PIO i doprinosa za osiguranje od nezaposlenosti.</w:t>
      </w:r>
      <w:r w:rsidRPr="00D56C3B">
        <w:rPr>
          <w:rFonts w:ascii="Calibri" w:eastAsia="Times New Roman" w:hAnsi="Calibri" w:cs="Calibri"/>
          <w:kern w:val="0"/>
          <w:sz w:val="24"/>
          <w:szCs w:val="24"/>
          <w:lang w:val="sr-Latn-ME" w:eastAsia="sr-Cyrl-BA" w:bidi="hi-IN"/>
          <w14:ligatures w14:val="none"/>
        </w:rPr>
        <w:t xml:space="preserve">  </w:t>
      </w:r>
      <w:r w:rsidR="000B0E8F" w:rsidRPr="00D56C3B">
        <w:rPr>
          <w:rFonts w:ascii="Calibri" w:eastAsia="Times New Roman" w:hAnsi="Calibri" w:cs="Calibri"/>
          <w:b/>
          <w:bCs/>
          <w:kern w:val="0"/>
          <w:sz w:val="24"/>
          <w:szCs w:val="24"/>
          <w:lang w:val="sr-Latn-ME" w:eastAsia="sr-Cyrl-BA" w:bidi="hi-IN"/>
          <w14:ligatures w14:val="none"/>
        </w:rPr>
        <w:t xml:space="preserve">Za 2023.godinu se procjenjuje da će kombinovani rast zarada i zaposlenosti ipak biti niži od rasta prihoda od doprinosa na PIO i nezaposlenost koje je procijenilo Ministarstvo finansija. To ukazuje na smanjenje sive ekonomije na tržištu rada u ovoj godini, ali ostaje izazov njenog postojanja u srednjem roku, kroz isplatu dijela zarada </w:t>
      </w:r>
      <w:r w:rsidR="00A751A1">
        <w:rPr>
          <w:rFonts w:ascii="Calibri" w:eastAsia="Times New Roman" w:hAnsi="Calibri" w:cs="Calibri"/>
          <w:b/>
          <w:bCs/>
          <w:kern w:val="0"/>
          <w:sz w:val="24"/>
          <w:szCs w:val="24"/>
          <w:lang w:val="sr-Latn-ME" w:eastAsia="sr-Cyrl-BA" w:bidi="hi-IN"/>
          <w14:ligatures w14:val="none"/>
        </w:rPr>
        <w:t>„</w:t>
      </w:r>
      <w:r w:rsidR="000B0E8F" w:rsidRPr="00D56C3B">
        <w:rPr>
          <w:rFonts w:ascii="Calibri" w:eastAsia="Times New Roman" w:hAnsi="Calibri" w:cs="Calibri"/>
          <w:b/>
          <w:bCs/>
          <w:kern w:val="0"/>
          <w:sz w:val="24"/>
          <w:szCs w:val="24"/>
          <w:lang w:val="sr-Latn-ME" w:eastAsia="sr-Cyrl-BA" w:bidi="hi-IN"/>
          <w14:ligatures w14:val="none"/>
        </w:rPr>
        <w:t>na ruke</w:t>
      </w:r>
      <w:r w:rsidR="00A751A1">
        <w:rPr>
          <w:rFonts w:ascii="Calibri" w:eastAsia="Times New Roman" w:hAnsi="Calibri" w:cs="Calibri"/>
          <w:b/>
          <w:bCs/>
          <w:kern w:val="0"/>
          <w:sz w:val="24"/>
          <w:szCs w:val="24"/>
          <w:lang w:val="sr-Latn-ME" w:eastAsia="sr-Cyrl-BA" w:bidi="hi-IN"/>
          <w14:ligatures w14:val="none"/>
        </w:rPr>
        <w:t>“</w:t>
      </w:r>
      <w:r w:rsidR="000B0E8F" w:rsidRPr="00D56C3B">
        <w:rPr>
          <w:rFonts w:ascii="Calibri" w:eastAsia="Times New Roman" w:hAnsi="Calibri" w:cs="Calibri"/>
          <w:b/>
          <w:bCs/>
          <w:kern w:val="0"/>
          <w:sz w:val="24"/>
          <w:szCs w:val="24"/>
          <w:lang w:val="sr-Latn-ME" w:eastAsia="sr-Cyrl-BA" w:bidi="hi-IN"/>
          <w14:ligatures w14:val="none"/>
        </w:rPr>
        <w:t>.</w:t>
      </w:r>
    </w:p>
    <w:p w14:paraId="522498A7" w14:textId="74C50CDE" w:rsidR="00A751A1" w:rsidRPr="00B67D63" w:rsidRDefault="00D62DF4" w:rsidP="008C0127">
      <w:pPr>
        <w:shd w:val="clear" w:color="auto" w:fill="FFFFFF"/>
        <w:spacing w:after="150" w:line="276" w:lineRule="auto"/>
        <w:jc w:val="both"/>
        <w:rPr>
          <w:rFonts w:ascii="Calibri" w:eastAsia="Times New Roman" w:hAnsi="Calibri" w:cs="Calibri"/>
          <w:b/>
          <w:bCs/>
          <w:kern w:val="0"/>
          <w:sz w:val="24"/>
          <w:szCs w:val="24"/>
          <w:lang w:val="pl-PL" w:eastAsia="sr-Cyrl-BA" w:bidi="hi-IN"/>
          <w14:ligatures w14:val="none"/>
        </w:rPr>
      </w:pPr>
      <w:r w:rsidRPr="00D56C3B">
        <w:rPr>
          <w:rFonts w:ascii="Calibri" w:eastAsia="Times New Roman" w:hAnsi="Calibri" w:cs="Calibri"/>
          <w:kern w:val="0"/>
          <w:sz w:val="24"/>
          <w:szCs w:val="24"/>
          <w:lang w:val="sr-Latn-ME" w:eastAsia="sr-Cyrl-BA" w:bidi="hi-IN"/>
          <w14:ligatures w14:val="none"/>
        </w:rPr>
        <w:t>Kada se uzmu u obzir ukupno analizirani efekti</w:t>
      </w:r>
      <w:r w:rsidR="00125FC3" w:rsidRPr="00D56C3B">
        <w:rPr>
          <w:rFonts w:ascii="Calibri" w:eastAsia="Times New Roman" w:hAnsi="Calibri" w:cs="Calibri"/>
          <w:kern w:val="0"/>
          <w:sz w:val="24"/>
          <w:szCs w:val="24"/>
          <w:lang w:val="sr-Latn-ME" w:eastAsia="sr-Cyrl-BA" w:bidi="hi-IN"/>
          <w14:ligatures w14:val="none"/>
        </w:rPr>
        <w:t xml:space="preserve"> uticaja poreske reforme na prihode od poreza na dobit, </w:t>
      </w:r>
      <w:r w:rsidRPr="00D56C3B">
        <w:rPr>
          <w:rFonts w:ascii="Calibri" w:eastAsia="Times New Roman" w:hAnsi="Calibri" w:cs="Calibri"/>
          <w:kern w:val="0"/>
          <w:sz w:val="24"/>
          <w:szCs w:val="24"/>
          <w:lang w:val="sr-Latn-ME" w:eastAsia="sr-Cyrl-BA" w:bidi="hi-IN"/>
          <w14:ligatures w14:val="none"/>
        </w:rPr>
        <w:t xml:space="preserve">kroz povećano prijavljivanje dobiti, </w:t>
      </w:r>
      <w:r w:rsidR="00125FC3" w:rsidRPr="00D56C3B">
        <w:rPr>
          <w:rFonts w:ascii="Calibri" w:eastAsia="Times New Roman" w:hAnsi="Calibri" w:cs="Calibri"/>
          <w:kern w:val="0"/>
          <w:sz w:val="24"/>
          <w:szCs w:val="24"/>
          <w:lang w:val="sr-Latn-ME" w:eastAsia="sr-Cyrl-BA" w:bidi="hi-IN"/>
          <w14:ligatures w14:val="none"/>
        </w:rPr>
        <w:t xml:space="preserve">kao i </w:t>
      </w:r>
      <w:r w:rsidR="007519E7" w:rsidRPr="00D56C3B">
        <w:rPr>
          <w:rFonts w:ascii="Calibri" w:eastAsia="Times New Roman" w:hAnsi="Calibri" w:cs="Calibri"/>
          <w:kern w:val="0"/>
          <w:sz w:val="24"/>
          <w:szCs w:val="24"/>
          <w:lang w:val="sr-Latn-ME" w:eastAsia="sr-Cyrl-BA" w:bidi="hi-IN"/>
          <w14:ligatures w14:val="none"/>
        </w:rPr>
        <w:t>na prihode od doprinosa na PIO usljed povećanja prijavljenih zarada,</w:t>
      </w:r>
      <w:r w:rsidR="00125FC3" w:rsidRPr="00D56C3B">
        <w:rPr>
          <w:rFonts w:ascii="Calibri" w:eastAsia="Times New Roman" w:hAnsi="Calibri" w:cs="Calibri"/>
          <w:kern w:val="0"/>
          <w:sz w:val="24"/>
          <w:szCs w:val="24"/>
          <w:lang w:val="sr-Latn-ME" w:eastAsia="sr-Cyrl-BA" w:bidi="hi-IN"/>
          <w14:ligatures w14:val="none"/>
        </w:rPr>
        <w:t xml:space="preserve"> procjena prema simulacionom modelu je </w:t>
      </w:r>
      <w:r w:rsidR="00125FC3" w:rsidRPr="00D56C3B">
        <w:rPr>
          <w:rFonts w:ascii="Calibri" w:eastAsia="Times New Roman" w:hAnsi="Calibri" w:cs="Calibri"/>
          <w:b/>
          <w:bCs/>
          <w:kern w:val="0"/>
          <w:sz w:val="24"/>
          <w:szCs w:val="24"/>
          <w:lang w:val="sr-Latn-ME" w:eastAsia="sr-Cyrl-BA" w:bidi="hi-IN"/>
          <w14:ligatures w14:val="none"/>
        </w:rPr>
        <w:t xml:space="preserve">da </w:t>
      </w:r>
      <w:r w:rsidRPr="00D56C3B">
        <w:rPr>
          <w:rFonts w:ascii="Calibri" w:eastAsia="Times New Roman" w:hAnsi="Calibri" w:cs="Calibri"/>
          <w:b/>
          <w:bCs/>
          <w:kern w:val="0"/>
          <w:sz w:val="24"/>
          <w:szCs w:val="24"/>
          <w:lang w:val="sr-Latn-ME" w:eastAsia="sr-Cyrl-BA" w:bidi="hi-IN"/>
          <w14:ligatures w14:val="none"/>
        </w:rPr>
        <w:t>je ukupno učešće sive ekonomije u oblasti dobiti i zarada u Crnoj Gori smanjeno</w:t>
      </w:r>
      <w:r w:rsidR="009960CB" w:rsidRPr="00D56C3B">
        <w:rPr>
          <w:rFonts w:ascii="Calibri" w:eastAsia="Times New Roman" w:hAnsi="Calibri" w:cs="Calibri"/>
          <w:kern w:val="0"/>
          <w:sz w:val="24"/>
          <w:szCs w:val="24"/>
          <w:lang w:val="sr-Latn-ME" w:eastAsia="sr-Cyrl-BA" w:bidi="hi-IN"/>
          <w14:ligatures w14:val="none"/>
        </w:rPr>
        <w:t xml:space="preserve"> </w:t>
      </w:r>
      <w:r w:rsidR="006A6EFE" w:rsidRPr="00D56C3B">
        <w:rPr>
          <w:rFonts w:ascii="Calibri" w:eastAsia="Times New Roman" w:hAnsi="Calibri" w:cs="Calibri"/>
          <w:b/>
          <w:bCs/>
          <w:kern w:val="0"/>
          <w:sz w:val="24"/>
          <w:szCs w:val="24"/>
          <w:lang w:val="sr-Latn-ME" w:eastAsia="sr-Cyrl-BA" w:bidi="hi-IN"/>
          <w14:ligatures w14:val="none"/>
        </w:rPr>
        <w:t>na nivo između 15,7% i 18,2</w:t>
      </w:r>
      <w:r w:rsidR="00125FC3" w:rsidRPr="00D56C3B">
        <w:rPr>
          <w:rFonts w:ascii="Calibri" w:eastAsia="Times New Roman" w:hAnsi="Calibri" w:cs="Calibri"/>
          <w:b/>
          <w:bCs/>
          <w:kern w:val="0"/>
          <w:sz w:val="24"/>
          <w:szCs w:val="24"/>
          <w:lang w:val="sr-Latn-ME" w:eastAsia="sr-Cyrl-BA" w:bidi="hi-IN"/>
          <w14:ligatures w14:val="none"/>
        </w:rPr>
        <w:t>% procijenjenog BDP-a u 2023</w:t>
      </w:r>
      <w:r w:rsidR="00125FC3" w:rsidRPr="00D56C3B">
        <w:rPr>
          <w:rFonts w:ascii="Calibri" w:eastAsia="Times New Roman" w:hAnsi="Calibri" w:cs="Calibri"/>
          <w:b/>
          <w:bCs/>
          <w:kern w:val="0"/>
          <w:sz w:val="24"/>
          <w:szCs w:val="24"/>
          <w:vertAlign w:val="superscript"/>
          <w:lang w:val="sr-Latn-ME" w:eastAsia="sr-Cyrl-BA" w:bidi="hi-IN"/>
          <w14:ligatures w14:val="none"/>
        </w:rPr>
        <w:footnoteReference w:id="7"/>
      </w:r>
      <w:r w:rsidR="00125FC3" w:rsidRPr="00D56C3B">
        <w:rPr>
          <w:rFonts w:ascii="Calibri" w:eastAsia="Times New Roman" w:hAnsi="Calibri" w:cs="Calibri"/>
          <w:b/>
          <w:bCs/>
          <w:kern w:val="0"/>
          <w:sz w:val="24"/>
          <w:szCs w:val="24"/>
          <w:lang w:val="sr-Latn-ME" w:eastAsia="sr-Cyrl-BA" w:bidi="hi-IN"/>
          <w14:ligatures w14:val="none"/>
        </w:rPr>
        <w:t>.</w:t>
      </w:r>
      <w:r w:rsidR="00125FC3" w:rsidRPr="00BF69E2">
        <w:rPr>
          <w:rFonts w:ascii="Calibri" w:eastAsia="Times New Roman" w:hAnsi="Calibri" w:cs="Calibri"/>
          <w:kern w:val="0"/>
          <w:sz w:val="24"/>
          <w:szCs w:val="24"/>
          <w:lang w:val="pl-PL" w:eastAsia="sr-Cyrl-BA" w:bidi="hi-IN"/>
          <w14:ligatures w14:val="none"/>
        </w:rPr>
        <w:t xml:space="preserve"> </w:t>
      </w:r>
      <w:r w:rsidR="00EA49F3" w:rsidRPr="00BF69E2">
        <w:rPr>
          <w:rFonts w:ascii="Calibri" w:eastAsia="Times New Roman" w:hAnsi="Calibri" w:cs="Calibri"/>
          <w:kern w:val="0"/>
          <w:sz w:val="24"/>
          <w:szCs w:val="24"/>
          <w:lang w:val="pl-PL" w:eastAsia="sr-Cyrl-BA" w:bidi="hi-IN"/>
          <w14:ligatures w14:val="none"/>
        </w:rPr>
        <w:t xml:space="preserve">  </w:t>
      </w:r>
    </w:p>
    <w:p w14:paraId="721804EE" w14:textId="125A0323" w:rsidR="00470183" w:rsidRDefault="00A03DDB" w:rsidP="00ED1C81">
      <w:pPr>
        <w:pStyle w:val="Heading2"/>
        <w:numPr>
          <w:ilvl w:val="1"/>
          <w:numId w:val="25"/>
        </w:numPr>
        <w:rPr>
          <w:rFonts w:eastAsia="Calibri"/>
          <w:lang w:val="pl-PL"/>
        </w:rPr>
      </w:pPr>
      <w:bookmarkStart w:id="25" w:name="_Toc147990149"/>
      <w:r w:rsidRPr="00A03DDB">
        <w:rPr>
          <w:rFonts w:eastAsia="Calibri"/>
          <w:lang w:val="pl-PL"/>
        </w:rPr>
        <w:lastRenderedPageBreak/>
        <w:t>Uzroci i posljedice</w:t>
      </w:r>
      <w:r w:rsidR="0043756E" w:rsidRPr="00A03DDB">
        <w:rPr>
          <w:rFonts w:eastAsia="Calibri"/>
          <w:lang w:val="pl-PL"/>
        </w:rPr>
        <w:t xml:space="preserve"> neformalne ekonomije u Crnoj Gori</w:t>
      </w:r>
      <w:bookmarkEnd w:id="25"/>
      <w:r w:rsidR="0043756E" w:rsidRPr="00281886">
        <w:rPr>
          <w:rFonts w:eastAsia="Calibri"/>
          <w:lang w:val="pl-PL"/>
        </w:rPr>
        <w:t xml:space="preserve"> </w:t>
      </w:r>
    </w:p>
    <w:p w14:paraId="64197BAF" w14:textId="515F116A" w:rsidR="0096597E" w:rsidRPr="00281886" w:rsidRDefault="0096597E"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pl-PL"/>
          <w14:ligatures w14:val="none"/>
        </w:rPr>
        <w:t>Prema po</w:t>
      </w:r>
      <w:r w:rsidR="00FF087D" w:rsidRPr="00281886">
        <w:rPr>
          <w:rFonts w:eastAsia="Calibri" w:cstheme="minorHAnsi"/>
          <w:color w:val="000000"/>
          <w:kern w:val="0"/>
          <w:sz w:val="24"/>
          <w:szCs w:val="24"/>
          <w:lang w:val="pl-PL"/>
          <w14:ligatures w14:val="none"/>
        </w:rPr>
        <w:t>j</w:t>
      </w:r>
      <w:r w:rsidRPr="00281886">
        <w:rPr>
          <w:rFonts w:eastAsia="Calibri" w:cstheme="minorHAnsi"/>
          <w:color w:val="000000"/>
          <w:kern w:val="0"/>
          <w:sz w:val="24"/>
          <w:szCs w:val="24"/>
          <w:lang w:val="pl-PL"/>
          <w14:ligatures w14:val="none"/>
        </w:rPr>
        <w:t xml:space="preserve">edinim autorima, poput </w:t>
      </w:r>
      <w:r w:rsidRPr="00281886">
        <w:rPr>
          <w:rFonts w:eastAsia="Calibri" w:cstheme="minorHAnsi"/>
          <w:color w:val="000000"/>
          <w:kern w:val="0"/>
          <w:sz w:val="24"/>
          <w:szCs w:val="24"/>
          <w:lang w:val="sr-Cyrl-RS"/>
          <w14:ligatures w14:val="none"/>
        </w:rPr>
        <w:t xml:space="preserve">Sarac </w:t>
      </w:r>
      <w:r w:rsidR="00D45B03" w:rsidRPr="00281886">
        <w:rPr>
          <w:rFonts w:eastAsia="Calibri" w:cstheme="minorHAnsi"/>
          <w:color w:val="000000"/>
          <w:kern w:val="0"/>
          <w:sz w:val="24"/>
          <w:szCs w:val="24"/>
          <w:lang w:val="sr-Latn-ME"/>
          <w14:ligatures w14:val="none"/>
        </w:rPr>
        <w:t>i</w:t>
      </w:r>
      <w:r w:rsidRPr="00281886">
        <w:rPr>
          <w:rFonts w:eastAsia="Calibri" w:cstheme="minorHAnsi"/>
          <w:color w:val="000000"/>
          <w:kern w:val="0"/>
          <w:sz w:val="24"/>
          <w:szCs w:val="24"/>
          <w:lang w:val="sr-Cyrl-RS"/>
          <w14:ligatures w14:val="none"/>
        </w:rPr>
        <w:t xml:space="preserve"> Basar (2014) </w:t>
      </w:r>
      <w:r w:rsidRPr="00281886">
        <w:rPr>
          <w:rFonts w:eastAsia="Calibri" w:cstheme="minorHAnsi"/>
          <w:color w:val="000000"/>
          <w:kern w:val="0"/>
          <w:sz w:val="24"/>
          <w:szCs w:val="24"/>
          <w:lang w:val="sr-Latn-ME"/>
          <w14:ligatures w14:val="none"/>
        </w:rPr>
        <w:t>uzroci sive, odnosno neformalne ekonomije se mogu grupisati  na sljedeći način:</w:t>
      </w:r>
    </w:p>
    <w:p w14:paraId="14CBF859" w14:textId="205539D1" w:rsidR="003134BE" w:rsidRPr="00281886" w:rsidRDefault="003134BE"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-politički uzroci</w:t>
      </w:r>
    </w:p>
    <w:p w14:paraId="12E3E8F2" w14:textId="650E3BD5" w:rsidR="003134BE" w:rsidRPr="00281886" w:rsidRDefault="003134BE"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 xml:space="preserve">-društveni uzorci </w:t>
      </w:r>
      <w:r w:rsidR="004A20E5" w:rsidRPr="00281886">
        <w:rPr>
          <w:rFonts w:eastAsia="Calibri" w:cstheme="minorHAnsi"/>
          <w:color w:val="000000"/>
          <w:kern w:val="0"/>
          <w:sz w:val="24"/>
          <w:szCs w:val="24"/>
          <w:lang w:val="sr-Latn-ME"/>
          <w14:ligatures w14:val="none"/>
        </w:rPr>
        <w:t>(</w:t>
      </w:r>
      <w:r w:rsidRPr="00281886">
        <w:rPr>
          <w:rFonts w:eastAsia="Calibri" w:cstheme="minorHAnsi"/>
          <w:color w:val="000000"/>
          <w:kern w:val="0"/>
          <w:sz w:val="24"/>
          <w:szCs w:val="24"/>
          <w:lang w:val="sr-Latn-ME"/>
          <w14:ligatures w14:val="none"/>
        </w:rPr>
        <w:t xml:space="preserve"> poreski moral, bihejvioralni oblici ponašanja obveznika, istorijski uzroci</w:t>
      </w:r>
      <w:r w:rsidR="004A20E5" w:rsidRPr="00281886">
        <w:rPr>
          <w:rFonts w:eastAsia="Calibri" w:cstheme="minorHAnsi"/>
          <w:color w:val="000000"/>
          <w:kern w:val="0"/>
          <w:sz w:val="24"/>
          <w:szCs w:val="24"/>
          <w:lang w:val="sr-Latn-ME"/>
          <w14:ligatures w14:val="none"/>
        </w:rPr>
        <w:t>)</w:t>
      </w:r>
    </w:p>
    <w:p w14:paraId="2490F011" w14:textId="7EF001A6" w:rsidR="00425CEF" w:rsidRPr="00281886" w:rsidRDefault="00425CEF"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w:t>
      </w:r>
      <w:r w:rsidR="004A20E5" w:rsidRPr="00281886">
        <w:rPr>
          <w:rFonts w:eastAsia="Calibri" w:cstheme="minorHAnsi"/>
          <w:color w:val="000000"/>
          <w:kern w:val="0"/>
          <w:sz w:val="24"/>
          <w:szCs w:val="24"/>
          <w:lang w:val="sr-Latn-ME"/>
          <w14:ligatures w14:val="none"/>
        </w:rPr>
        <w:t>ekonomski uzroci  (nepravična distribucija prihoda, inflacija, nezaposlenost)</w:t>
      </w:r>
    </w:p>
    <w:p w14:paraId="53DC647A" w14:textId="55EFF6F1" w:rsidR="004A20E5" w:rsidRPr="00281886" w:rsidRDefault="004A20E5"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 fiskalni uzroci  (visoke poreske stope, parafiskalni nameti, propusti u nadzoru itd)</w:t>
      </w:r>
    </w:p>
    <w:p w14:paraId="3D22ED96" w14:textId="1DBCEBE8" w:rsidR="007F48E3" w:rsidRPr="00281886" w:rsidRDefault="007F48E3"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 xml:space="preserve">-regulativni uzroci </w:t>
      </w:r>
      <w:r w:rsidR="00690214" w:rsidRPr="00281886">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sr-Latn-ME"/>
          <w14:ligatures w14:val="none"/>
        </w:rPr>
        <w:t xml:space="preserve">komplikovan zakonski okvir i </w:t>
      </w:r>
      <w:r w:rsidR="000F7CF3" w:rsidRPr="00281886">
        <w:rPr>
          <w:rFonts w:eastAsia="Calibri" w:cstheme="minorHAnsi"/>
          <w:color w:val="000000"/>
          <w:kern w:val="0"/>
          <w:sz w:val="24"/>
          <w:szCs w:val="24"/>
          <w:lang w:val="sr-Latn-ME"/>
          <w14:ligatures w14:val="none"/>
        </w:rPr>
        <w:t>sl</w:t>
      </w:r>
      <w:r w:rsidR="00690214" w:rsidRPr="00281886">
        <w:rPr>
          <w:rFonts w:eastAsia="Calibri" w:cstheme="minorHAnsi"/>
          <w:color w:val="000000"/>
          <w:kern w:val="0"/>
          <w:sz w:val="24"/>
          <w:szCs w:val="24"/>
          <w:lang w:val="sr-Latn-ME"/>
          <w14:ligatures w14:val="none"/>
        </w:rPr>
        <w:t>).</w:t>
      </w:r>
    </w:p>
    <w:p w14:paraId="6291B8A3" w14:textId="0E693167" w:rsidR="0096597E" w:rsidRPr="00281886" w:rsidRDefault="007F48E3"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 administrativni uzroci, poput  nedovoljno optimalne organi</w:t>
      </w:r>
      <w:r w:rsidR="002346A4" w:rsidRPr="00281886">
        <w:rPr>
          <w:rFonts w:eastAsia="Calibri" w:cstheme="minorHAnsi"/>
          <w:color w:val="000000"/>
          <w:kern w:val="0"/>
          <w:sz w:val="24"/>
          <w:szCs w:val="24"/>
          <w:lang w:val="sr-Latn-ME"/>
          <w14:ligatures w14:val="none"/>
        </w:rPr>
        <w:t>z</w:t>
      </w:r>
      <w:r w:rsidRPr="00281886">
        <w:rPr>
          <w:rFonts w:eastAsia="Calibri" w:cstheme="minorHAnsi"/>
          <w:color w:val="000000"/>
          <w:kern w:val="0"/>
          <w:sz w:val="24"/>
          <w:szCs w:val="24"/>
          <w:lang w:val="sr-Latn-ME"/>
          <w14:ligatures w14:val="none"/>
        </w:rPr>
        <w:t>acije i nedovoljnih administrativnih kapaciteta nad</w:t>
      </w:r>
      <w:r w:rsidR="00D25650" w:rsidRPr="00281886">
        <w:rPr>
          <w:rFonts w:eastAsia="Calibri" w:cstheme="minorHAnsi"/>
          <w:color w:val="000000"/>
          <w:kern w:val="0"/>
          <w:sz w:val="24"/>
          <w:szCs w:val="24"/>
          <w:lang w:val="sr-Latn-ME"/>
          <w14:ligatures w14:val="none"/>
        </w:rPr>
        <w:t>zo</w:t>
      </w:r>
      <w:r w:rsidRPr="00281886">
        <w:rPr>
          <w:rFonts w:eastAsia="Calibri" w:cstheme="minorHAnsi"/>
          <w:color w:val="000000"/>
          <w:kern w:val="0"/>
          <w:sz w:val="24"/>
          <w:szCs w:val="24"/>
          <w:lang w:val="sr-Latn-ME"/>
          <w14:ligatures w14:val="none"/>
        </w:rPr>
        <w:t>rnih organa.</w:t>
      </w:r>
    </w:p>
    <w:p w14:paraId="35488FD2" w14:textId="644849C0" w:rsidR="00C379A9" w:rsidRPr="00281886" w:rsidRDefault="00C379A9"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sr-Latn-ME"/>
          <w14:ligatures w14:val="none"/>
        </w:rPr>
        <w:t>Prema analizi Evropske komisije</w:t>
      </w:r>
      <w:r w:rsidRPr="00281886">
        <w:rPr>
          <w:rFonts w:eastAsia="Calibri" w:cstheme="minorHAnsi"/>
          <w:color w:val="000000"/>
          <w:kern w:val="0"/>
          <w:sz w:val="24"/>
          <w:szCs w:val="24"/>
          <w:vertAlign w:val="superscript"/>
          <w:lang w:val="sr-Latn-ME"/>
          <w14:ligatures w14:val="none"/>
        </w:rPr>
        <w:footnoteReference w:id="8"/>
      </w:r>
      <w:r w:rsidRPr="00281886">
        <w:rPr>
          <w:rFonts w:eastAsia="Calibri" w:cstheme="minorHAnsi"/>
          <w:color w:val="000000"/>
          <w:kern w:val="0"/>
          <w:sz w:val="24"/>
          <w:szCs w:val="24"/>
          <w:lang w:val="sr-Latn-ME"/>
          <w14:ligatures w14:val="none"/>
        </w:rPr>
        <w:t xml:space="preserve"> pored velike javne potrošnje i visokog javnog duga, kjučni strukturni izazovi crnogorske ekonomije su: (i) pitanje povećanja zaposlenosti (naročito žena, mladih i pitanje dugoročne nezaposlenosti),</w:t>
      </w:r>
      <w:r w:rsidR="00ED1C81">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sr-Latn-ME"/>
          <w14:ligatures w14:val="none"/>
        </w:rPr>
        <w:t xml:space="preserve"> (ii) nedovoljno konkurentno poslovno okruženje i (iii) neformalna ekonomija. Prema analizi Svjetske banke ključni strukturni izazovi obuhvataju: (i) jake cikluse ekonomskog buma i ekonomskog pada, (ii) ranjivost na šokove (iii) preokrete tj. poništavanja postignutog društvenog i ekonomskog napretka.</w:t>
      </w:r>
    </w:p>
    <w:p w14:paraId="285A5560" w14:textId="43097898" w:rsidR="00D87D91" w:rsidRDefault="00F53AD6" w:rsidP="009364EF">
      <w:p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color w:val="000000"/>
          <w:kern w:val="0"/>
          <w:sz w:val="24"/>
          <w:szCs w:val="24"/>
          <w:lang w:val="pl-PL"/>
          <w14:ligatures w14:val="none"/>
        </w:rPr>
        <w:t>Na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osnovu</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sprovedenog</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desk</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istra</w:t>
      </w:r>
      <w:r w:rsidRPr="00021CDC">
        <w:rPr>
          <w:rFonts w:eastAsia="Calibri" w:cstheme="minorHAnsi"/>
          <w:color w:val="000000"/>
          <w:kern w:val="0"/>
          <w:sz w:val="24"/>
          <w:szCs w:val="24"/>
          <w:lang w:val="sr-Latn-ME"/>
          <w14:ligatures w14:val="none"/>
        </w:rPr>
        <w:t>ž</w:t>
      </w:r>
      <w:r w:rsidRPr="00281886">
        <w:rPr>
          <w:rFonts w:eastAsia="Calibri" w:cstheme="minorHAnsi"/>
          <w:color w:val="000000"/>
          <w:kern w:val="0"/>
          <w:sz w:val="24"/>
          <w:szCs w:val="24"/>
          <w:lang w:val="pl-PL"/>
          <w14:ligatures w14:val="none"/>
        </w:rPr>
        <w:t>ivanja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o</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uzrocima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neformalne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ekonomije</w:t>
      </w:r>
      <w:r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pr</w:t>
      </w:r>
      <w:r w:rsidRPr="00281886">
        <w:rPr>
          <w:rFonts w:eastAsia="Calibri" w:cstheme="minorHAnsi"/>
          <w:color w:val="000000"/>
          <w:kern w:val="0"/>
          <w:sz w:val="24"/>
          <w:szCs w:val="24"/>
          <w:lang w:val="pl-PL"/>
          <w14:ligatures w14:val="none"/>
        </w:rPr>
        <w:t>e</w:t>
      </w:r>
      <w:r w:rsidR="00ED1C81">
        <w:rPr>
          <w:rFonts w:eastAsia="Calibri" w:cstheme="minorHAnsi"/>
          <w:color w:val="000000"/>
          <w:kern w:val="0"/>
          <w:sz w:val="24"/>
          <w:szCs w:val="24"/>
          <w:lang w:val="pl-PL"/>
          <w14:ligatures w14:val="none"/>
        </w:rPr>
        <w:t>po</w:t>
      </w:r>
      <w:r w:rsidRPr="00281886">
        <w:rPr>
          <w:rFonts w:eastAsia="Calibri" w:cstheme="minorHAnsi"/>
          <w:color w:val="000000"/>
          <w:kern w:val="0"/>
          <w:sz w:val="24"/>
          <w:szCs w:val="24"/>
          <w:lang w:val="pl-PL"/>
          <w14:ligatures w14:val="none"/>
        </w:rPr>
        <w:t>znatim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u</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s</w:t>
      </w:r>
      <w:r w:rsidRPr="00281886">
        <w:rPr>
          <w:rFonts w:eastAsia="Calibri" w:cstheme="minorHAnsi"/>
          <w:color w:val="000000"/>
          <w:kern w:val="0"/>
          <w:sz w:val="24"/>
          <w:szCs w:val="24"/>
          <w:lang w:val="pl-PL"/>
          <w14:ligatures w14:val="none"/>
        </w:rPr>
        <w:t>trate</w:t>
      </w:r>
      <w:r w:rsidRPr="00021CDC">
        <w:rPr>
          <w:rFonts w:eastAsia="Calibri" w:cstheme="minorHAnsi"/>
          <w:color w:val="000000"/>
          <w:kern w:val="0"/>
          <w:sz w:val="24"/>
          <w:szCs w:val="24"/>
          <w:lang w:val="sr-Latn-ME"/>
          <w14:ligatures w14:val="none"/>
        </w:rPr>
        <w:t>š</w:t>
      </w:r>
      <w:r w:rsidRPr="00281886">
        <w:rPr>
          <w:rFonts w:eastAsia="Calibri" w:cstheme="minorHAnsi"/>
          <w:color w:val="000000"/>
          <w:kern w:val="0"/>
          <w:sz w:val="24"/>
          <w:szCs w:val="24"/>
          <w:lang w:val="pl-PL"/>
          <w14:ligatures w14:val="none"/>
        </w:rPr>
        <w:t>kim</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dokumentima</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Crne</w:t>
      </w:r>
      <w:r w:rsidRPr="00021CDC">
        <w:rPr>
          <w:rFonts w:eastAsia="Calibri" w:cstheme="minorHAnsi"/>
          <w:color w:val="000000"/>
          <w:kern w:val="0"/>
          <w:sz w:val="24"/>
          <w:szCs w:val="24"/>
          <w:lang w:val="sr-Latn-ME"/>
          <w14:ligatures w14:val="none"/>
        </w:rPr>
        <w:t xml:space="preserve"> </w:t>
      </w:r>
      <w:r w:rsidRPr="00281886">
        <w:rPr>
          <w:rFonts w:eastAsia="Calibri" w:cstheme="minorHAnsi"/>
          <w:color w:val="000000"/>
          <w:kern w:val="0"/>
          <w:sz w:val="24"/>
          <w:szCs w:val="24"/>
          <w:lang w:val="pl-PL"/>
          <w14:ligatures w14:val="none"/>
        </w:rPr>
        <w:t>Gore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naro</w:t>
      </w:r>
      <w:r w:rsidR="00203011" w:rsidRPr="00021CDC">
        <w:rPr>
          <w:rFonts w:eastAsia="Calibri" w:cstheme="minorHAnsi"/>
          <w:color w:val="000000"/>
          <w:kern w:val="0"/>
          <w:sz w:val="24"/>
          <w:szCs w:val="24"/>
          <w:lang w:val="sr-Latn-ME"/>
          <w14:ligatures w14:val="none"/>
        </w:rPr>
        <w:t>č</w:t>
      </w:r>
      <w:r w:rsidR="00203011" w:rsidRPr="00281886">
        <w:rPr>
          <w:rFonts w:eastAsia="Calibri" w:cstheme="minorHAnsi"/>
          <w:color w:val="000000"/>
          <w:kern w:val="0"/>
          <w:sz w:val="24"/>
          <w:szCs w:val="24"/>
          <w:lang w:val="pl-PL"/>
          <w14:ligatures w14:val="none"/>
        </w:rPr>
        <w:t>ito</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nalaza</w:t>
      </w:r>
      <w:r w:rsidR="00203011" w:rsidRPr="00021CDC">
        <w:rPr>
          <w:rFonts w:eastAsia="Calibri" w:cstheme="minorHAnsi"/>
          <w:color w:val="000000"/>
          <w:kern w:val="0"/>
          <w:sz w:val="24"/>
          <w:szCs w:val="24"/>
          <w:lang w:val="sr-Latn-ME"/>
          <w14:ligatures w14:val="none"/>
        </w:rPr>
        <w:t xml:space="preserve"> </w:t>
      </w:r>
      <w:r w:rsidR="001A4561">
        <w:rPr>
          <w:rFonts w:eastAsia="Calibri" w:cstheme="minorHAnsi"/>
          <w:color w:val="000000"/>
          <w:kern w:val="0"/>
          <w:sz w:val="24"/>
          <w:szCs w:val="24"/>
          <w:lang w:val="sr-Latn-ME"/>
          <w14:ligatures w14:val="none"/>
        </w:rPr>
        <w:t>„</w:t>
      </w:r>
      <w:r w:rsidR="00203011" w:rsidRPr="00281886">
        <w:rPr>
          <w:rFonts w:eastAsia="Calibri" w:cstheme="minorHAnsi"/>
          <w:color w:val="000000"/>
          <w:kern w:val="0"/>
          <w:sz w:val="24"/>
          <w:szCs w:val="24"/>
          <w:lang w:val="pl-PL"/>
          <w14:ligatures w14:val="none"/>
        </w:rPr>
        <w:t>Istra</w:t>
      </w:r>
      <w:r w:rsidR="00203011" w:rsidRPr="00021CDC">
        <w:rPr>
          <w:rFonts w:eastAsia="Calibri" w:cstheme="minorHAnsi"/>
          <w:color w:val="000000"/>
          <w:kern w:val="0"/>
          <w:sz w:val="24"/>
          <w:szCs w:val="24"/>
          <w:lang w:val="sr-Latn-ME"/>
          <w14:ligatures w14:val="none"/>
        </w:rPr>
        <w:t>ž</w:t>
      </w:r>
      <w:r w:rsidR="00203011" w:rsidRPr="00281886">
        <w:rPr>
          <w:rFonts w:eastAsia="Calibri" w:cstheme="minorHAnsi"/>
          <w:color w:val="000000"/>
          <w:kern w:val="0"/>
          <w:sz w:val="24"/>
          <w:szCs w:val="24"/>
          <w:lang w:val="pl-PL"/>
          <w14:ligatures w14:val="none"/>
        </w:rPr>
        <w:t>ivanja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me</w:t>
      </w:r>
      <w:r w:rsidR="00203011" w:rsidRPr="00021CDC">
        <w:rPr>
          <w:rFonts w:eastAsia="Calibri" w:cstheme="minorHAnsi"/>
          <w:color w:val="000000"/>
          <w:kern w:val="0"/>
          <w:sz w:val="24"/>
          <w:szCs w:val="24"/>
          <w:lang w:val="sr-Latn-ME"/>
          <w14:ligatures w14:val="none"/>
        </w:rPr>
        <w:t>đ</w:t>
      </w:r>
      <w:r w:rsidR="00203011" w:rsidRPr="00281886">
        <w:rPr>
          <w:rFonts w:eastAsia="Calibri" w:cstheme="minorHAnsi"/>
          <w:color w:val="000000"/>
          <w:kern w:val="0"/>
          <w:sz w:val="24"/>
          <w:szCs w:val="24"/>
          <w:lang w:val="pl-PL"/>
          <w14:ligatures w14:val="none"/>
        </w:rPr>
        <w:t>u</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doma</w:t>
      </w:r>
      <w:r w:rsidR="00203011" w:rsidRPr="00021CDC">
        <w:rPr>
          <w:rFonts w:eastAsia="Calibri" w:cstheme="minorHAnsi"/>
          <w:color w:val="000000"/>
          <w:kern w:val="0"/>
          <w:sz w:val="24"/>
          <w:szCs w:val="24"/>
          <w:lang w:val="sr-Latn-ME"/>
          <w14:ligatures w14:val="none"/>
        </w:rPr>
        <w:t>ć</w:t>
      </w:r>
      <w:r w:rsidR="00203011" w:rsidRPr="00281886">
        <w:rPr>
          <w:rFonts w:eastAsia="Calibri" w:cstheme="minorHAnsi"/>
          <w:color w:val="000000"/>
          <w:kern w:val="0"/>
          <w:sz w:val="24"/>
          <w:szCs w:val="24"/>
          <w:lang w:val="pl-PL"/>
          <w14:ligatures w14:val="none"/>
        </w:rPr>
        <w:t>instvima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i</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preduze</w:t>
      </w:r>
      <w:r w:rsidR="00203011" w:rsidRPr="00021CDC">
        <w:rPr>
          <w:rFonts w:eastAsia="Calibri" w:cstheme="minorHAnsi"/>
          <w:color w:val="000000"/>
          <w:kern w:val="0"/>
          <w:sz w:val="24"/>
          <w:szCs w:val="24"/>
          <w:lang w:val="sr-Latn-ME"/>
          <w14:ligatures w14:val="none"/>
        </w:rPr>
        <w:t>ć</w:t>
      </w:r>
      <w:r w:rsidR="00203011" w:rsidRPr="00281886">
        <w:rPr>
          <w:rFonts w:eastAsia="Calibri" w:cstheme="minorHAnsi"/>
          <w:color w:val="000000"/>
          <w:kern w:val="0"/>
          <w:sz w:val="24"/>
          <w:szCs w:val="24"/>
          <w:lang w:val="pl-PL"/>
          <w14:ligatures w14:val="none"/>
        </w:rPr>
        <w:t>ima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sa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ciljem</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utvr</w:t>
      </w:r>
      <w:r w:rsidR="00203011" w:rsidRPr="00021CDC">
        <w:rPr>
          <w:rFonts w:eastAsia="Calibri" w:cstheme="minorHAnsi"/>
          <w:color w:val="000000"/>
          <w:kern w:val="0"/>
          <w:sz w:val="24"/>
          <w:szCs w:val="24"/>
          <w:lang w:val="sr-Latn-ME"/>
          <w14:ligatures w14:val="none"/>
        </w:rPr>
        <w:t>đ</w:t>
      </w:r>
      <w:r w:rsidR="00203011" w:rsidRPr="00281886">
        <w:rPr>
          <w:rFonts w:eastAsia="Calibri" w:cstheme="minorHAnsi"/>
          <w:color w:val="000000"/>
          <w:kern w:val="0"/>
          <w:sz w:val="24"/>
          <w:szCs w:val="24"/>
          <w:lang w:val="pl-PL"/>
          <w14:ligatures w14:val="none"/>
        </w:rPr>
        <w:t>ivanja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obima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i</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strukture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sive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ekonomije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u</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Crnoj</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Gori</w:t>
      </w:r>
      <w:r w:rsidR="001A4561" w:rsidRPr="00686BAF">
        <w:rPr>
          <w:rFonts w:eastAsia="Calibri" w:cstheme="minorHAnsi"/>
          <w:color w:val="000000"/>
          <w:kern w:val="0"/>
          <w:sz w:val="24"/>
          <w:szCs w:val="24"/>
          <w:lang w:val="sr-Latn-ME"/>
          <w14:ligatures w14:val="none"/>
        </w:rPr>
        <w:t>”</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kao</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i</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na</w:t>
      </w:r>
      <w:r w:rsidR="00203011" w:rsidRPr="00021CDC">
        <w:rPr>
          <w:rFonts w:eastAsia="Calibri" w:cstheme="minorHAnsi"/>
          <w:color w:val="000000"/>
          <w:kern w:val="0"/>
          <w:sz w:val="24"/>
          <w:szCs w:val="24"/>
          <w:lang w:val="sr-Latn-ME"/>
          <w14:ligatures w14:val="none"/>
        </w:rPr>
        <w:t xml:space="preserve"> </w:t>
      </w:r>
      <w:r w:rsidR="00433E06">
        <w:rPr>
          <w:rFonts w:eastAsia="Calibri" w:cstheme="minorHAnsi"/>
          <w:color w:val="000000"/>
          <w:kern w:val="0"/>
          <w:sz w:val="24"/>
          <w:szCs w:val="24"/>
          <w:lang w:val="pl-PL"/>
          <w14:ligatures w14:val="none"/>
        </w:rPr>
        <w:t>osnovu</w:t>
      </w:r>
      <w:r w:rsidR="00433E06" w:rsidRPr="00686BAF">
        <w:rPr>
          <w:rFonts w:eastAsia="Calibri" w:cstheme="minorHAnsi"/>
          <w:color w:val="000000"/>
          <w:kern w:val="0"/>
          <w:sz w:val="24"/>
          <w:szCs w:val="24"/>
          <w:lang w:val="sr-Latn-ME"/>
          <w14:ligatures w14:val="none"/>
        </w:rPr>
        <w:t xml:space="preserve"> </w:t>
      </w:r>
      <w:r w:rsidR="00433E06">
        <w:rPr>
          <w:rFonts w:eastAsia="Calibri" w:cstheme="minorHAnsi"/>
          <w:color w:val="000000"/>
          <w:kern w:val="0"/>
          <w:sz w:val="24"/>
          <w:szCs w:val="24"/>
          <w:lang w:val="pl-PL"/>
          <w14:ligatures w14:val="none"/>
        </w:rPr>
        <w:t>istra</w:t>
      </w:r>
      <w:r w:rsidR="00433E06" w:rsidRPr="00686BAF">
        <w:rPr>
          <w:rFonts w:eastAsia="Calibri" w:cstheme="minorHAnsi"/>
          <w:color w:val="000000"/>
          <w:kern w:val="0"/>
          <w:sz w:val="24"/>
          <w:szCs w:val="24"/>
          <w:lang w:val="sr-Latn-ME"/>
          <w14:ligatures w14:val="none"/>
        </w:rPr>
        <w:t>ž</w:t>
      </w:r>
      <w:r w:rsidR="00433E06">
        <w:rPr>
          <w:rFonts w:eastAsia="Calibri" w:cstheme="minorHAnsi"/>
          <w:color w:val="000000"/>
          <w:kern w:val="0"/>
          <w:sz w:val="24"/>
          <w:szCs w:val="24"/>
          <w:lang w:val="pl-PL"/>
          <w14:ligatures w14:val="none"/>
        </w:rPr>
        <w:t>ivanja</w:t>
      </w:r>
      <w:r w:rsidR="00433E06" w:rsidRPr="00686BAF">
        <w:rPr>
          <w:rFonts w:eastAsia="Calibri" w:cstheme="minorHAnsi"/>
          <w:color w:val="000000"/>
          <w:kern w:val="0"/>
          <w:sz w:val="24"/>
          <w:szCs w:val="24"/>
          <w:lang w:val="sr-Latn-ME"/>
          <w14:ligatures w14:val="none"/>
        </w:rPr>
        <w:t xml:space="preserve"> </w:t>
      </w:r>
      <w:r w:rsidR="00433E06">
        <w:rPr>
          <w:rFonts w:eastAsia="Calibri" w:cstheme="minorHAnsi"/>
          <w:color w:val="000000"/>
          <w:kern w:val="0"/>
          <w:sz w:val="24"/>
          <w:szCs w:val="24"/>
          <w:lang w:val="pl-PL"/>
          <w14:ligatures w14:val="none"/>
        </w:rPr>
        <w:t>zainteresovanih</w:t>
      </w:r>
      <w:r w:rsidR="00433E06" w:rsidRPr="00686BAF">
        <w:rPr>
          <w:rFonts w:eastAsia="Calibri" w:cstheme="minorHAnsi"/>
          <w:color w:val="000000"/>
          <w:kern w:val="0"/>
          <w:sz w:val="24"/>
          <w:szCs w:val="24"/>
          <w:lang w:val="sr-Latn-ME"/>
          <w14:ligatures w14:val="none"/>
        </w:rPr>
        <w:t xml:space="preserve"> </w:t>
      </w:r>
      <w:r w:rsidR="00433E06">
        <w:rPr>
          <w:rFonts w:eastAsia="Calibri" w:cstheme="minorHAnsi"/>
          <w:color w:val="000000"/>
          <w:kern w:val="0"/>
          <w:sz w:val="24"/>
          <w:szCs w:val="24"/>
          <w:lang w:val="pl-PL"/>
          <w14:ligatures w14:val="none"/>
        </w:rPr>
        <w:t>strana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toku</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konsultativnog</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procesa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izrade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ovog</w:t>
      </w:r>
      <w:r w:rsidR="00203011" w:rsidRPr="00021CDC">
        <w:rPr>
          <w:rFonts w:eastAsia="Calibri" w:cstheme="minorHAnsi"/>
          <w:color w:val="000000"/>
          <w:kern w:val="0"/>
          <w:sz w:val="24"/>
          <w:szCs w:val="24"/>
          <w:lang w:val="sr-Latn-ME"/>
          <w14:ligatures w14:val="none"/>
        </w:rPr>
        <w:t xml:space="preserve"> </w:t>
      </w:r>
      <w:r w:rsidR="001A4561">
        <w:rPr>
          <w:rFonts w:eastAsia="Calibri" w:cstheme="minorHAnsi"/>
          <w:color w:val="000000"/>
          <w:kern w:val="0"/>
          <w:sz w:val="24"/>
          <w:szCs w:val="24"/>
          <w:lang w:val="pl-PL"/>
          <w14:ligatures w14:val="none"/>
        </w:rPr>
        <w:t>p</w:t>
      </w:r>
      <w:r w:rsidR="00203011" w:rsidRPr="00281886">
        <w:rPr>
          <w:rFonts w:eastAsia="Calibri" w:cstheme="minorHAnsi"/>
          <w:color w:val="000000"/>
          <w:kern w:val="0"/>
          <w:sz w:val="24"/>
          <w:szCs w:val="24"/>
          <w:lang w:val="pl-PL"/>
          <w14:ligatures w14:val="none"/>
        </w:rPr>
        <w:t>rograma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identifikovani</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su</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uz</w:t>
      </w:r>
      <w:r w:rsidR="004D3AA4">
        <w:rPr>
          <w:rFonts w:eastAsia="Calibri" w:cstheme="minorHAnsi"/>
          <w:color w:val="000000"/>
          <w:kern w:val="0"/>
          <w:sz w:val="24"/>
          <w:szCs w:val="24"/>
          <w:lang w:val="pl-PL"/>
          <w14:ligatures w14:val="none"/>
        </w:rPr>
        <w:t>ro</w:t>
      </w:r>
      <w:r w:rsidR="00203011" w:rsidRPr="00281886">
        <w:rPr>
          <w:rFonts w:eastAsia="Calibri" w:cstheme="minorHAnsi"/>
          <w:color w:val="000000"/>
          <w:kern w:val="0"/>
          <w:sz w:val="24"/>
          <w:szCs w:val="24"/>
          <w:lang w:val="pl-PL"/>
          <w14:ligatures w14:val="none"/>
        </w:rPr>
        <w:t>ci</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postojanja</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neformalne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ekonomije</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u</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Crnoj</w:t>
      </w:r>
      <w:r w:rsidR="00203011" w:rsidRPr="00021CDC">
        <w:rPr>
          <w:rFonts w:eastAsia="Calibri" w:cstheme="minorHAnsi"/>
          <w:color w:val="000000"/>
          <w:kern w:val="0"/>
          <w:sz w:val="24"/>
          <w:szCs w:val="24"/>
          <w:lang w:val="sr-Latn-ME"/>
          <w14:ligatures w14:val="none"/>
        </w:rPr>
        <w:t xml:space="preserve"> </w:t>
      </w:r>
      <w:r w:rsidR="00203011" w:rsidRPr="00281886">
        <w:rPr>
          <w:rFonts w:eastAsia="Calibri" w:cstheme="minorHAnsi"/>
          <w:color w:val="000000"/>
          <w:kern w:val="0"/>
          <w:sz w:val="24"/>
          <w:szCs w:val="24"/>
          <w:lang w:val="pl-PL"/>
          <w14:ligatures w14:val="none"/>
        </w:rPr>
        <w:t>Gori</w:t>
      </w:r>
      <w:r w:rsidR="00E21F32" w:rsidRPr="00021CDC">
        <w:rPr>
          <w:rFonts w:eastAsia="Calibri" w:cstheme="minorHAnsi"/>
          <w:color w:val="000000"/>
          <w:kern w:val="0"/>
          <w:sz w:val="24"/>
          <w:szCs w:val="24"/>
          <w:lang w:val="sr-Latn-ME"/>
          <w14:ligatures w14:val="none"/>
        </w:rPr>
        <w:t xml:space="preserve">. </w:t>
      </w:r>
      <w:r w:rsidR="00D87D91" w:rsidRPr="00281886">
        <w:rPr>
          <w:rFonts w:eastAsia="Calibri" w:cstheme="minorHAnsi"/>
          <w:color w:val="000000"/>
          <w:kern w:val="0"/>
          <w:sz w:val="24"/>
          <w:szCs w:val="24"/>
          <w:lang w:val="pl-PL"/>
          <w14:ligatures w14:val="none"/>
        </w:rPr>
        <w:t>U sprovedenom istraživanju zainteresovanih strana, 76% ispitanika je istaklo da neformalna ekonomija u Crnoj Gori postoji u velikoj mjeri, dok 24% sm</w:t>
      </w:r>
      <w:r w:rsidR="004D3AA4">
        <w:rPr>
          <w:rFonts w:eastAsia="Calibri" w:cstheme="minorHAnsi"/>
          <w:color w:val="000000"/>
          <w:kern w:val="0"/>
          <w:sz w:val="24"/>
          <w:szCs w:val="24"/>
          <w:lang w:val="pl-PL"/>
          <w14:ligatures w14:val="none"/>
        </w:rPr>
        <w:t>atr</w:t>
      </w:r>
      <w:r w:rsidR="00D87D91" w:rsidRPr="00281886">
        <w:rPr>
          <w:rFonts w:eastAsia="Calibri" w:cstheme="minorHAnsi"/>
          <w:color w:val="000000"/>
          <w:kern w:val="0"/>
          <w:sz w:val="24"/>
          <w:szCs w:val="24"/>
          <w:lang w:val="pl-PL"/>
          <w14:ligatures w14:val="none"/>
        </w:rPr>
        <w:t>a da pos</w:t>
      </w:r>
      <w:r w:rsidR="00062CBF" w:rsidRPr="00281886">
        <w:rPr>
          <w:rFonts w:eastAsia="Calibri" w:cstheme="minorHAnsi"/>
          <w:color w:val="000000"/>
          <w:kern w:val="0"/>
          <w:sz w:val="24"/>
          <w:szCs w:val="24"/>
          <w:lang w:val="pl-PL"/>
          <w14:ligatures w14:val="none"/>
        </w:rPr>
        <w:t>t</w:t>
      </w:r>
      <w:r w:rsidR="00D87D91" w:rsidRPr="00281886">
        <w:rPr>
          <w:rFonts w:eastAsia="Calibri" w:cstheme="minorHAnsi"/>
          <w:color w:val="000000"/>
          <w:kern w:val="0"/>
          <w:sz w:val="24"/>
          <w:szCs w:val="24"/>
          <w:lang w:val="pl-PL"/>
          <w14:ligatures w14:val="none"/>
        </w:rPr>
        <w:t>oji, ali u manjoj mjeri.</w:t>
      </w:r>
    </w:p>
    <w:p w14:paraId="1C85EE13" w14:textId="4031DB12" w:rsidR="005D5C0E" w:rsidRPr="00281886" w:rsidRDefault="005D5C0E" w:rsidP="009364EF">
      <w:pPr>
        <w:spacing w:after="150" w:line="276" w:lineRule="auto"/>
        <w:jc w:val="both"/>
        <w:rPr>
          <w:rFonts w:eastAsia="Calibri" w:cstheme="minorHAnsi"/>
          <w:color w:val="000000"/>
          <w:kern w:val="0"/>
          <w:sz w:val="24"/>
          <w:szCs w:val="24"/>
          <w:lang w:val="sr-Latn-ME"/>
          <w14:ligatures w14:val="none"/>
        </w:rPr>
      </w:pPr>
      <w:r>
        <w:rPr>
          <w:rFonts w:eastAsia="Calibri" w:cstheme="minorHAnsi"/>
          <w:color w:val="000000"/>
          <w:kern w:val="0"/>
          <w:sz w:val="24"/>
          <w:szCs w:val="24"/>
          <w:lang w:val="pl-PL"/>
          <w14:ligatures w14:val="none"/>
        </w:rPr>
        <w:t>Prema posljednjem istraživanju Privredne komore Crne Gore o poslovnom ambijentu (PKCG, 2023), siva ekonomija, nelojalna konkurencija, nedostatak radne snage, neadekvtna zakonska rješenja, spora naplata potraživanja i n</w:t>
      </w:r>
      <w:bookmarkStart w:id="26" w:name="_GoBack"/>
      <w:r>
        <w:rPr>
          <w:rFonts w:eastAsia="Calibri" w:cstheme="minorHAnsi"/>
          <w:color w:val="000000"/>
          <w:kern w:val="0"/>
          <w:sz w:val="24"/>
          <w:szCs w:val="24"/>
          <w:lang w:val="pl-PL"/>
          <w14:ligatures w14:val="none"/>
        </w:rPr>
        <w:t>ee</w:t>
      </w:r>
      <w:bookmarkEnd w:id="26"/>
      <w:r>
        <w:rPr>
          <w:rFonts w:eastAsia="Calibri" w:cstheme="minorHAnsi"/>
          <w:color w:val="000000"/>
          <w:kern w:val="0"/>
          <w:sz w:val="24"/>
          <w:szCs w:val="24"/>
          <w:lang w:val="pl-PL"/>
          <w14:ligatures w14:val="none"/>
        </w:rPr>
        <w:t>fikasna jav</w:t>
      </w:r>
      <w:r w:rsidR="004D3AA4">
        <w:rPr>
          <w:rFonts w:eastAsia="Calibri" w:cstheme="minorHAnsi"/>
          <w:color w:val="000000"/>
          <w:kern w:val="0"/>
          <w:sz w:val="24"/>
          <w:szCs w:val="24"/>
          <w:lang w:val="pl-PL"/>
          <w14:ligatures w14:val="none"/>
        </w:rPr>
        <w:t>na</w:t>
      </w:r>
      <w:r>
        <w:rPr>
          <w:rFonts w:eastAsia="Calibri" w:cstheme="minorHAnsi"/>
          <w:color w:val="000000"/>
          <w:kern w:val="0"/>
          <w:sz w:val="24"/>
          <w:szCs w:val="24"/>
          <w:lang w:val="pl-PL"/>
          <w14:ligatures w14:val="none"/>
        </w:rPr>
        <w:t xml:space="preserve"> administracija, predstavljaju najveće biznis barijere u Crnoj Gori. Pre</w:t>
      </w:r>
      <w:r w:rsidR="005544AD">
        <w:rPr>
          <w:rFonts w:eastAsia="Calibri" w:cstheme="minorHAnsi"/>
          <w:color w:val="000000"/>
          <w:kern w:val="0"/>
          <w:sz w:val="24"/>
          <w:szCs w:val="24"/>
          <w:lang w:val="pl-PL"/>
          <w14:ligatures w14:val="none"/>
        </w:rPr>
        <w:t>ma</w:t>
      </w:r>
      <w:r>
        <w:rPr>
          <w:rFonts w:eastAsia="Calibri" w:cstheme="minorHAnsi"/>
          <w:color w:val="000000"/>
          <w:kern w:val="0"/>
          <w:sz w:val="24"/>
          <w:szCs w:val="24"/>
          <w:lang w:val="pl-PL"/>
          <w14:ligatures w14:val="none"/>
        </w:rPr>
        <w:t xml:space="preserve"> istom istraživanju, </w:t>
      </w:r>
      <w:r w:rsidR="005544AD">
        <w:rPr>
          <w:rFonts w:eastAsia="Calibri" w:cstheme="minorHAnsi"/>
          <w:color w:val="000000"/>
          <w:kern w:val="0"/>
          <w:sz w:val="24"/>
          <w:szCs w:val="24"/>
          <w:lang w:val="pl-PL"/>
          <w14:ligatures w14:val="none"/>
        </w:rPr>
        <w:t>procjena sveukupnog stanja poslovnog ambijenta je umjereno nepovoljna, sa ocjenom 2,41, što je lošije u odnosu na period prije pandemije, kada je ta ocjena bila 3,05 (na skali od 1 do 5).</w:t>
      </w:r>
    </w:p>
    <w:p w14:paraId="555CA84A" w14:textId="6ADC2171" w:rsidR="00470183" w:rsidRPr="00281886" w:rsidRDefault="00D87D91" w:rsidP="009364EF">
      <w:pPr>
        <w:spacing w:after="150" w:line="276" w:lineRule="auto"/>
        <w:jc w:val="both"/>
        <w:rPr>
          <w:rFonts w:eastAsia="Calibri" w:cstheme="minorHAnsi"/>
          <w:color w:val="000000"/>
          <w:kern w:val="0"/>
          <w:sz w:val="24"/>
          <w:szCs w:val="24"/>
          <w:lang w:val="sr-Latn-ME"/>
          <w14:ligatures w14:val="none"/>
        </w:rPr>
      </w:pPr>
      <w:r w:rsidRPr="00281886">
        <w:rPr>
          <w:rFonts w:eastAsia="Calibri" w:cstheme="minorHAnsi"/>
          <w:color w:val="000000"/>
          <w:kern w:val="0"/>
          <w:sz w:val="24"/>
          <w:szCs w:val="24"/>
          <w:lang w:val="pl-PL"/>
          <w14:ligatures w14:val="none"/>
        </w:rPr>
        <w:t>Uzroci neform</w:t>
      </w:r>
      <w:r w:rsidR="00B27EAA" w:rsidRPr="00281886">
        <w:rPr>
          <w:rFonts w:eastAsia="Calibri" w:cstheme="minorHAnsi"/>
          <w:color w:val="000000"/>
          <w:kern w:val="0"/>
          <w:sz w:val="24"/>
          <w:szCs w:val="24"/>
          <w:lang w:val="pl-PL"/>
          <w14:ligatures w14:val="none"/>
        </w:rPr>
        <w:t>al</w:t>
      </w:r>
      <w:r w:rsidRPr="00281886">
        <w:rPr>
          <w:rFonts w:eastAsia="Calibri" w:cstheme="minorHAnsi"/>
          <w:color w:val="000000"/>
          <w:kern w:val="0"/>
          <w:sz w:val="24"/>
          <w:szCs w:val="24"/>
          <w:lang w:val="pl-PL"/>
          <w14:ligatures w14:val="none"/>
        </w:rPr>
        <w:t xml:space="preserve">ne ekonomije </w:t>
      </w:r>
      <w:r w:rsidR="0008727F" w:rsidRPr="00281886">
        <w:rPr>
          <w:rFonts w:eastAsia="Calibri" w:cstheme="minorHAnsi"/>
          <w:color w:val="000000"/>
          <w:kern w:val="0"/>
          <w:sz w:val="24"/>
          <w:szCs w:val="24"/>
          <w:lang w:val="sr-Latn-ME"/>
          <w14:ligatures w14:val="none"/>
        </w:rPr>
        <w:t xml:space="preserve">u Crnoj Gori </w:t>
      </w:r>
      <w:r w:rsidR="00470183" w:rsidRPr="00281886">
        <w:rPr>
          <w:rFonts w:eastAsia="Calibri" w:cstheme="minorHAnsi"/>
          <w:color w:val="000000"/>
          <w:kern w:val="0"/>
          <w:sz w:val="24"/>
          <w:szCs w:val="24"/>
          <w:lang w:val="sr-Latn-ME"/>
          <w14:ligatures w14:val="none"/>
        </w:rPr>
        <w:t>se u širem smislu mogu podijeliti u više kategorija.</w:t>
      </w:r>
    </w:p>
    <w:p w14:paraId="1E80D01B" w14:textId="21B5A1F5" w:rsidR="0008727F" w:rsidRPr="00021CDC" w:rsidRDefault="00933BF3">
      <w:pPr>
        <w:numPr>
          <w:ilvl w:val="0"/>
          <w:numId w:val="5"/>
        </w:numPr>
        <w:spacing w:after="150" w:line="276" w:lineRule="auto"/>
        <w:jc w:val="both"/>
        <w:rPr>
          <w:rFonts w:eastAsia="Calibri" w:cstheme="minorHAnsi"/>
          <w:color w:val="000000"/>
          <w:kern w:val="0"/>
          <w:sz w:val="24"/>
          <w:szCs w:val="24"/>
          <w:lang w:val="pl-PL"/>
          <w14:ligatures w14:val="none"/>
        </w:rPr>
      </w:pPr>
      <w:r w:rsidRPr="00021CDC">
        <w:rPr>
          <w:rFonts w:eastAsia="Calibri" w:cstheme="minorHAnsi"/>
          <w:color w:val="000000"/>
          <w:kern w:val="0"/>
          <w:sz w:val="24"/>
          <w:szCs w:val="24"/>
          <w:lang w:val="pl-PL"/>
          <w14:ligatures w14:val="none"/>
        </w:rPr>
        <w:lastRenderedPageBreak/>
        <w:t>E</w:t>
      </w:r>
      <w:r w:rsidR="00DB4988" w:rsidRPr="00021CDC">
        <w:rPr>
          <w:rFonts w:eastAsia="Calibri" w:cstheme="minorHAnsi"/>
          <w:color w:val="000000"/>
          <w:kern w:val="0"/>
          <w:sz w:val="24"/>
          <w:szCs w:val="24"/>
          <w:lang w:val="pl-PL"/>
          <w14:ligatures w14:val="none"/>
        </w:rPr>
        <w:t xml:space="preserve">konomski i </w:t>
      </w:r>
      <w:r w:rsidR="00690214" w:rsidRPr="00021CDC">
        <w:rPr>
          <w:rFonts w:eastAsia="Calibri" w:cstheme="minorHAnsi"/>
          <w:color w:val="000000"/>
          <w:kern w:val="0"/>
          <w:sz w:val="24"/>
          <w:szCs w:val="24"/>
          <w:lang w:val="pl-PL"/>
          <w14:ligatures w14:val="none"/>
        </w:rPr>
        <w:t>f</w:t>
      </w:r>
      <w:r w:rsidR="00DB4988" w:rsidRPr="00021CDC">
        <w:rPr>
          <w:rFonts w:eastAsia="Calibri" w:cstheme="minorHAnsi"/>
          <w:color w:val="000000"/>
          <w:kern w:val="0"/>
          <w:sz w:val="24"/>
          <w:szCs w:val="24"/>
          <w:lang w:val="pl-PL"/>
          <w14:ligatures w14:val="none"/>
        </w:rPr>
        <w:t xml:space="preserve">iskalni </w:t>
      </w:r>
      <w:r w:rsidR="001C7881" w:rsidRPr="00021CDC">
        <w:rPr>
          <w:rFonts w:eastAsia="Calibri" w:cstheme="minorHAnsi"/>
          <w:color w:val="000000"/>
          <w:kern w:val="0"/>
          <w:sz w:val="24"/>
          <w:szCs w:val="24"/>
          <w:lang w:val="pl-PL"/>
          <w14:ligatures w14:val="none"/>
        </w:rPr>
        <w:t>-</w:t>
      </w:r>
      <w:r w:rsidR="00D56C3B">
        <w:rPr>
          <w:rFonts w:eastAsia="Calibri" w:cstheme="minorHAnsi"/>
          <w:color w:val="000000"/>
          <w:kern w:val="0"/>
          <w:sz w:val="24"/>
          <w:szCs w:val="24"/>
          <w:lang w:val="pl-PL"/>
          <w14:ligatures w14:val="none"/>
        </w:rPr>
        <w:t xml:space="preserve"> </w:t>
      </w:r>
      <w:r w:rsidR="002346A4" w:rsidRPr="001C7881">
        <w:rPr>
          <w:rFonts w:eastAsia="Calibri" w:cstheme="minorHAnsi"/>
          <w:color w:val="000000"/>
          <w:kern w:val="0"/>
          <w:sz w:val="24"/>
          <w:szCs w:val="24"/>
          <w:lang w:val="sr-Latn-ME"/>
          <w14:ligatures w14:val="none"/>
        </w:rPr>
        <w:t>poreski moral, bihejvioralni oblici ponašanja obveznika</w:t>
      </w:r>
      <w:r w:rsidR="001A4561">
        <w:rPr>
          <w:rFonts w:eastAsia="Calibri" w:cstheme="minorHAnsi"/>
          <w:color w:val="000000"/>
          <w:kern w:val="0"/>
          <w:sz w:val="24"/>
          <w:szCs w:val="24"/>
          <w:lang w:val="sr-Latn-ME"/>
          <w14:ligatures w14:val="none"/>
        </w:rPr>
        <w:t>,</w:t>
      </w:r>
      <w:r w:rsidR="002346A4" w:rsidRPr="001C7881">
        <w:rPr>
          <w:rFonts w:eastAsia="Calibri" w:cstheme="minorHAnsi"/>
          <w:color w:val="000000"/>
          <w:kern w:val="0"/>
          <w:sz w:val="24"/>
          <w:szCs w:val="24"/>
          <w:lang w:val="sr-Latn-ME"/>
          <w14:ligatures w14:val="none"/>
        </w:rPr>
        <w:t xml:space="preserve"> </w:t>
      </w:r>
    </w:p>
    <w:p w14:paraId="5B882D7D" w14:textId="76E22516" w:rsidR="00470183" w:rsidRPr="00281886" w:rsidRDefault="00DB4988">
      <w:pPr>
        <w:pStyle w:val="ListParagraph"/>
        <w:numPr>
          <w:ilvl w:val="0"/>
          <w:numId w:val="5"/>
        </w:numPr>
        <w:spacing w:after="150" w:line="276" w:lineRule="auto"/>
        <w:jc w:val="both"/>
        <w:rPr>
          <w:rFonts w:eastAsia="Calibri" w:cstheme="minorHAnsi"/>
          <w:color w:val="000000"/>
          <w:sz w:val="24"/>
          <w:szCs w:val="24"/>
        </w:rPr>
      </w:pPr>
      <w:proofErr w:type="spellStart"/>
      <w:r w:rsidRPr="00281886">
        <w:rPr>
          <w:rFonts w:eastAsia="Calibri" w:cstheme="minorHAnsi"/>
          <w:color w:val="000000"/>
          <w:sz w:val="24"/>
          <w:szCs w:val="24"/>
        </w:rPr>
        <w:t>Regulatorni</w:t>
      </w:r>
      <w:proofErr w:type="spellEnd"/>
      <w:r w:rsidRPr="00281886">
        <w:rPr>
          <w:rFonts w:eastAsia="Calibri" w:cstheme="minorHAnsi"/>
          <w:color w:val="000000"/>
          <w:sz w:val="24"/>
          <w:szCs w:val="24"/>
        </w:rPr>
        <w:t xml:space="preserve"> </w:t>
      </w:r>
      <w:proofErr w:type="spellStart"/>
      <w:r w:rsidR="00F66218" w:rsidRPr="00281886">
        <w:rPr>
          <w:rFonts w:eastAsia="Calibri" w:cstheme="minorHAnsi"/>
          <w:color w:val="000000"/>
          <w:sz w:val="24"/>
          <w:szCs w:val="24"/>
        </w:rPr>
        <w:t>i</w:t>
      </w:r>
      <w:proofErr w:type="spellEnd"/>
      <w:r w:rsidRPr="00281886">
        <w:rPr>
          <w:rFonts w:eastAsia="Calibri" w:cstheme="minorHAnsi"/>
          <w:color w:val="000000"/>
          <w:sz w:val="24"/>
          <w:szCs w:val="24"/>
        </w:rPr>
        <w:t xml:space="preserve"> </w:t>
      </w:r>
      <w:proofErr w:type="spellStart"/>
      <w:r w:rsidRPr="00281886">
        <w:rPr>
          <w:rFonts w:eastAsia="Calibri" w:cstheme="minorHAnsi"/>
          <w:color w:val="000000"/>
          <w:sz w:val="24"/>
          <w:szCs w:val="24"/>
        </w:rPr>
        <w:t>administrativni</w:t>
      </w:r>
      <w:proofErr w:type="spellEnd"/>
      <w:r w:rsidR="00BB53AA">
        <w:rPr>
          <w:rFonts w:eastAsia="Calibri" w:cstheme="minorHAnsi"/>
          <w:color w:val="000000"/>
          <w:sz w:val="24"/>
          <w:szCs w:val="24"/>
        </w:rPr>
        <w:t xml:space="preserve"> </w:t>
      </w:r>
      <w:r w:rsidRPr="00281886">
        <w:rPr>
          <w:rFonts w:eastAsia="Calibri" w:cstheme="minorHAnsi"/>
          <w:color w:val="000000"/>
          <w:sz w:val="24"/>
          <w:szCs w:val="24"/>
        </w:rPr>
        <w:t>-</w:t>
      </w:r>
      <w:r w:rsidR="00470183" w:rsidRPr="00281886">
        <w:rPr>
          <w:rFonts w:eastAsia="Calibri" w:cstheme="minorHAnsi"/>
          <w:color w:val="000000"/>
          <w:sz w:val="24"/>
          <w:szCs w:val="24"/>
          <w:lang w:val="sr-Latn-ME"/>
        </w:rPr>
        <w:t xml:space="preserve"> složene administrativne procedure, kao i nedovoljan pristup finansiranju startapova i inovacija</w:t>
      </w:r>
      <w:r w:rsidR="001A4561">
        <w:rPr>
          <w:rFonts w:eastAsia="Calibri" w:cstheme="minorHAnsi"/>
          <w:color w:val="000000"/>
          <w:sz w:val="24"/>
          <w:szCs w:val="24"/>
          <w:lang w:val="sr-Latn-ME"/>
        </w:rPr>
        <w:t>,</w:t>
      </w:r>
    </w:p>
    <w:p w14:paraId="768501E5" w14:textId="236CD78C" w:rsidR="00DB4988" w:rsidRPr="00021CDC" w:rsidRDefault="00DB4988">
      <w:pPr>
        <w:numPr>
          <w:ilvl w:val="0"/>
          <w:numId w:val="5"/>
        </w:numPr>
        <w:spacing w:after="150" w:line="276" w:lineRule="auto"/>
        <w:jc w:val="both"/>
        <w:rPr>
          <w:rFonts w:eastAsia="Calibri" w:cstheme="minorHAnsi"/>
          <w:color w:val="000000"/>
          <w:kern w:val="0"/>
          <w:sz w:val="24"/>
          <w:szCs w:val="24"/>
          <w:lang w:val="pl-PL"/>
          <w14:ligatures w14:val="none"/>
        </w:rPr>
      </w:pPr>
      <w:r w:rsidRPr="00281886">
        <w:rPr>
          <w:rFonts w:eastAsia="Calibri" w:cstheme="minorHAnsi"/>
          <w:color w:val="000000"/>
          <w:kern w:val="0"/>
          <w:sz w:val="24"/>
          <w:szCs w:val="24"/>
          <w:lang w:val="sr-Latn-ME"/>
          <w14:ligatures w14:val="none"/>
        </w:rPr>
        <w:t>Politički i širi društveni uzroci</w:t>
      </w:r>
      <w:r w:rsidR="00161E6C" w:rsidRPr="00281886">
        <w:rPr>
          <w:rFonts w:eastAsia="Calibri" w:cstheme="minorHAnsi"/>
          <w:color w:val="000000"/>
          <w:kern w:val="0"/>
          <w:sz w:val="24"/>
          <w:szCs w:val="24"/>
          <w:lang w:val="sr-Latn-ME"/>
          <w14:ligatures w14:val="none"/>
        </w:rPr>
        <w:t>.</w:t>
      </w:r>
    </w:p>
    <w:p w14:paraId="5DB47E6B" w14:textId="77777777" w:rsidR="00B67D63" w:rsidRDefault="00B67D63" w:rsidP="00690214">
      <w:pPr>
        <w:spacing w:after="150" w:line="276" w:lineRule="auto"/>
        <w:jc w:val="both"/>
        <w:rPr>
          <w:rFonts w:eastAsia="Calibri" w:cstheme="minorHAnsi"/>
          <w:color w:val="000000"/>
          <w:kern w:val="0"/>
          <w:sz w:val="24"/>
          <w:szCs w:val="24"/>
          <w:lang w:val="pl-PL"/>
          <w14:ligatures w14:val="none"/>
        </w:rPr>
      </w:pPr>
    </w:p>
    <w:p w14:paraId="53CF6DCB" w14:textId="54F5330E" w:rsidR="00690214" w:rsidRPr="00B67D63" w:rsidRDefault="00A03DDB" w:rsidP="00690214">
      <w:pPr>
        <w:spacing w:after="150" w:line="276" w:lineRule="auto"/>
        <w:jc w:val="both"/>
        <w:rPr>
          <w:rFonts w:eastAsia="Calibri" w:cstheme="minorHAnsi"/>
          <w:color w:val="44546A" w:themeColor="text2"/>
          <w:kern w:val="0"/>
          <w:sz w:val="24"/>
          <w:szCs w:val="24"/>
          <w:lang w:val="pl-PL"/>
          <w14:ligatures w14:val="none"/>
        </w:rPr>
      </w:pPr>
      <w:r w:rsidRPr="00B67D63">
        <w:rPr>
          <w:rFonts w:eastAsia="Calibri" w:cstheme="minorHAnsi"/>
          <w:color w:val="44546A" w:themeColor="text2"/>
          <w:kern w:val="0"/>
          <w:sz w:val="24"/>
          <w:szCs w:val="24"/>
          <w:lang w:val="pl-PL"/>
          <w14:ligatures w14:val="none"/>
        </w:rPr>
        <w:t xml:space="preserve">2.4.1 </w:t>
      </w:r>
      <w:r w:rsidR="00933BF3" w:rsidRPr="00B67D63">
        <w:rPr>
          <w:rFonts w:eastAsia="Calibri" w:cstheme="minorHAnsi"/>
          <w:color w:val="44546A" w:themeColor="text2"/>
          <w:kern w:val="0"/>
          <w:sz w:val="24"/>
          <w:szCs w:val="24"/>
          <w:lang w:val="pl-PL"/>
          <w14:ligatures w14:val="none"/>
        </w:rPr>
        <w:t>E</w:t>
      </w:r>
      <w:r w:rsidR="00690214" w:rsidRPr="00B67D63">
        <w:rPr>
          <w:rFonts w:eastAsia="Calibri" w:cstheme="minorHAnsi"/>
          <w:color w:val="44546A" w:themeColor="text2"/>
          <w:kern w:val="0"/>
          <w:sz w:val="24"/>
          <w:szCs w:val="24"/>
          <w:lang w:val="pl-PL"/>
          <w14:ligatures w14:val="none"/>
        </w:rPr>
        <w:t xml:space="preserve">konomski i fiskalni </w:t>
      </w:r>
    </w:p>
    <w:p w14:paraId="5DC3C3AD" w14:textId="0AF74B0A" w:rsidR="00933BF3" w:rsidRPr="00BB53AA" w:rsidRDefault="00690214" w:rsidP="009364EF">
      <w:pPr>
        <w:spacing w:after="150" w:line="276" w:lineRule="auto"/>
        <w:jc w:val="both"/>
        <w:rPr>
          <w:rFonts w:eastAsia="Calibri" w:cstheme="minorHAnsi"/>
          <w:i/>
          <w:iCs/>
          <w:color w:val="000000"/>
          <w:sz w:val="24"/>
          <w:szCs w:val="24"/>
          <w:lang w:val="pl-PL"/>
        </w:rPr>
      </w:pPr>
      <w:r w:rsidRPr="00CE07A9">
        <w:rPr>
          <w:rFonts w:eastAsia="Calibri" w:cstheme="minorHAnsi"/>
          <w:color w:val="000000"/>
          <w:sz w:val="24"/>
          <w:szCs w:val="24"/>
          <w:lang w:val="pl-PL"/>
        </w:rPr>
        <w:t xml:space="preserve">Makroekonomski uzroci neformalne ekonomije u Crnoj Gori </w:t>
      </w:r>
      <w:r w:rsidR="0008727F" w:rsidRPr="00CE07A9">
        <w:rPr>
          <w:rFonts w:eastAsia="Calibri" w:cstheme="minorHAnsi"/>
          <w:color w:val="000000"/>
          <w:sz w:val="24"/>
          <w:szCs w:val="24"/>
          <w:lang w:val="pl-PL"/>
        </w:rPr>
        <w:t xml:space="preserve"> prije svega proizilaze iz stru</w:t>
      </w:r>
      <w:r w:rsidR="006E18EC" w:rsidRPr="00CE07A9">
        <w:rPr>
          <w:rFonts w:eastAsia="Calibri" w:cstheme="minorHAnsi"/>
          <w:color w:val="000000"/>
          <w:sz w:val="24"/>
          <w:szCs w:val="24"/>
          <w:lang w:val="pl-PL"/>
        </w:rPr>
        <w:t>k</w:t>
      </w:r>
      <w:r w:rsidR="0008727F" w:rsidRPr="00CE07A9">
        <w:rPr>
          <w:rFonts w:eastAsia="Calibri" w:cstheme="minorHAnsi"/>
          <w:color w:val="000000"/>
          <w:sz w:val="24"/>
          <w:szCs w:val="24"/>
          <w:lang w:val="pl-PL"/>
        </w:rPr>
        <w:t>ture crnogorske ekonomi</w:t>
      </w:r>
      <w:r w:rsidR="006E18EC" w:rsidRPr="00CE07A9">
        <w:rPr>
          <w:rFonts w:eastAsia="Calibri" w:cstheme="minorHAnsi"/>
          <w:color w:val="000000"/>
          <w:sz w:val="24"/>
          <w:szCs w:val="24"/>
          <w:lang w:val="pl-PL"/>
        </w:rPr>
        <w:t>je</w:t>
      </w:r>
      <w:r w:rsidR="0008727F" w:rsidRPr="00CE07A9">
        <w:rPr>
          <w:rFonts w:eastAsia="Calibri" w:cstheme="minorHAnsi"/>
          <w:color w:val="000000"/>
          <w:sz w:val="24"/>
          <w:szCs w:val="24"/>
          <w:lang w:val="pl-PL"/>
        </w:rPr>
        <w:t xml:space="preserve">, koja je dominantno uslužnog karaktera, </w:t>
      </w:r>
      <w:r w:rsidR="006E18EC" w:rsidRPr="00CE07A9">
        <w:rPr>
          <w:rFonts w:eastAsia="Calibri" w:cstheme="minorHAnsi"/>
          <w:color w:val="000000"/>
          <w:sz w:val="24"/>
          <w:szCs w:val="24"/>
          <w:lang w:val="pl-PL"/>
        </w:rPr>
        <w:t xml:space="preserve">a neki od </w:t>
      </w:r>
      <w:r w:rsidR="00AF0E0E" w:rsidRPr="00CE07A9">
        <w:rPr>
          <w:rFonts w:eastAsia="Calibri" w:cstheme="minorHAnsi"/>
          <w:color w:val="000000"/>
          <w:sz w:val="24"/>
          <w:szCs w:val="24"/>
          <w:lang w:val="pl-PL"/>
        </w:rPr>
        <w:t xml:space="preserve">ostalih </w:t>
      </w:r>
      <w:r w:rsidR="006E18EC" w:rsidRPr="00CE07A9">
        <w:rPr>
          <w:rFonts w:eastAsia="Calibri" w:cstheme="minorHAnsi"/>
          <w:color w:val="000000"/>
          <w:sz w:val="24"/>
          <w:szCs w:val="24"/>
          <w:lang w:val="pl-PL"/>
        </w:rPr>
        <w:t xml:space="preserve">faktora uticaja </w:t>
      </w:r>
      <w:r w:rsidR="00AF0E0E" w:rsidRPr="00CE07A9">
        <w:rPr>
          <w:rFonts w:eastAsia="Calibri" w:cstheme="minorHAnsi"/>
          <w:color w:val="000000"/>
          <w:sz w:val="24"/>
          <w:szCs w:val="24"/>
          <w:lang w:val="pl-PL"/>
        </w:rPr>
        <w:t xml:space="preserve">na </w:t>
      </w:r>
      <w:r w:rsidR="006E18EC" w:rsidRPr="00CE07A9">
        <w:rPr>
          <w:rFonts w:eastAsia="Calibri" w:cstheme="minorHAnsi"/>
          <w:color w:val="000000"/>
          <w:sz w:val="24"/>
          <w:szCs w:val="24"/>
          <w:lang w:val="pl-PL"/>
        </w:rPr>
        <w:t>su inflacija, faktorska</w:t>
      </w:r>
      <w:r w:rsidRPr="00CE07A9">
        <w:rPr>
          <w:rFonts w:eastAsia="Calibri" w:cstheme="minorHAnsi"/>
          <w:color w:val="000000"/>
          <w:sz w:val="24"/>
          <w:szCs w:val="24"/>
          <w:lang w:val="pl-PL"/>
        </w:rPr>
        <w:t xml:space="preserve"> </w:t>
      </w:r>
      <w:r w:rsidR="006E18EC" w:rsidRPr="00CE07A9">
        <w:rPr>
          <w:rFonts w:eastAsia="Calibri" w:cstheme="minorHAnsi"/>
          <w:color w:val="000000"/>
          <w:sz w:val="24"/>
          <w:szCs w:val="24"/>
          <w:lang w:val="pl-PL"/>
        </w:rPr>
        <w:t xml:space="preserve">produktivnost, </w:t>
      </w:r>
      <w:r w:rsidR="00FF221D" w:rsidRPr="00CE07A9">
        <w:rPr>
          <w:rFonts w:eastAsia="Calibri" w:cstheme="minorHAnsi"/>
          <w:color w:val="000000"/>
          <w:sz w:val="24"/>
          <w:szCs w:val="24"/>
          <w:lang w:val="pl-PL"/>
        </w:rPr>
        <w:t xml:space="preserve">kao </w:t>
      </w:r>
      <w:r w:rsidR="00062CBF" w:rsidRPr="00CE07A9">
        <w:rPr>
          <w:rFonts w:eastAsia="Calibri" w:cstheme="minorHAnsi"/>
          <w:color w:val="000000"/>
          <w:sz w:val="24"/>
          <w:szCs w:val="24"/>
          <w:lang w:val="pl-PL"/>
        </w:rPr>
        <w:t>i</w:t>
      </w:r>
      <w:r w:rsidR="00FF221D" w:rsidRPr="00CE07A9">
        <w:rPr>
          <w:rFonts w:eastAsia="Calibri" w:cstheme="minorHAnsi"/>
          <w:color w:val="000000"/>
          <w:sz w:val="24"/>
          <w:szCs w:val="24"/>
          <w:lang w:val="pl-PL"/>
        </w:rPr>
        <w:t xml:space="preserve"> nezaposlenost</w:t>
      </w:r>
      <w:r w:rsidRPr="00CE07A9">
        <w:rPr>
          <w:rFonts w:eastAsia="Calibri" w:cstheme="minorHAnsi"/>
          <w:color w:val="000000"/>
          <w:sz w:val="24"/>
          <w:szCs w:val="24"/>
          <w:lang w:val="pl-PL"/>
        </w:rPr>
        <w:t>.</w:t>
      </w:r>
      <w:r w:rsidR="000818DB" w:rsidRPr="00CE07A9">
        <w:rPr>
          <w:rFonts w:eastAsia="Calibri" w:cstheme="minorHAnsi"/>
          <w:bCs/>
          <w:i/>
          <w:iCs/>
          <w:kern w:val="0"/>
          <w:sz w:val="24"/>
          <w:szCs w:val="24"/>
          <w:lang w:val="pl-PL"/>
          <w14:ligatures w14:val="none"/>
        </w:rPr>
        <w:t xml:space="preserve"> </w:t>
      </w:r>
      <w:r w:rsidR="002F46F5" w:rsidRPr="00CE07A9">
        <w:rPr>
          <w:rFonts w:eastAsia="Calibri" w:cstheme="minorHAnsi"/>
          <w:bCs/>
          <w:i/>
          <w:iCs/>
          <w:kern w:val="0"/>
          <w:sz w:val="24"/>
          <w:szCs w:val="24"/>
          <w:lang w:val="pl-PL"/>
          <w14:ligatures w14:val="none"/>
        </w:rPr>
        <w:t>Pored toga</w:t>
      </w:r>
      <w:r w:rsidR="00B81405" w:rsidRPr="00CE07A9">
        <w:rPr>
          <w:rFonts w:eastAsia="Calibri" w:cstheme="minorHAnsi"/>
          <w:bCs/>
          <w:i/>
          <w:iCs/>
          <w:kern w:val="0"/>
          <w:sz w:val="24"/>
          <w:szCs w:val="24"/>
          <w:lang w:val="pl-PL"/>
          <w14:ligatures w14:val="none"/>
        </w:rPr>
        <w:t>, bihejvioralni faktori su tako</w:t>
      </w:r>
      <w:r w:rsidR="002F46F5" w:rsidRPr="00CE07A9">
        <w:rPr>
          <w:rFonts w:eastAsia="Calibri" w:cstheme="minorHAnsi"/>
          <w:bCs/>
          <w:i/>
          <w:iCs/>
          <w:kern w:val="0"/>
          <w:sz w:val="24"/>
          <w:szCs w:val="24"/>
          <w:lang w:val="pl-PL"/>
          <w14:ligatures w14:val="none"/>
        </w:rPr>
        <w:t>đ</w:t>
      </w:r>
      <w:r w:rsidR="00B81405" w:rsidRPr="00CE07A9">
        <w:rPr>
          <w:rFonts w:eastAsia="Calibri" w:cstheme="minorHAnsi"/>
          <w:bCs/>
          <w:i/>
          <w:iCs/>
          <w:kern w:val="0"/>
          <w:sz w:val="24"/>
          <w:szCs w:val="24"/>
          <w:lang w:val="pl-PL"/>
          <w14:ligatures w14:val="none"/>
        </w:rPr>
        <w:t>e u</w:t>
      </w:r>
      <w:r w:rsidR="00BB53AA" w:rsidRPr="00CE07A9">
        <w:rPr>
          <w:rFonts w:eastAsia="Calibri" w:cstheme="minorHAnsi"/>
          <w:bCs/>
          <w:i/>
          <w:iCs/>
          <w:kern w:val="0"/>
          <w:sz w:val="24"/>
          <w:szCs w:val="24"/>
          <w:lang w:val="pl-PL"/>
          <w14:ligatures w14:val="none"/>
        </w:rPr>
        <w:t>zr</w:t>
      </w:r>
      <w:r w:rsidR="00B81405" w:rsidRPr="00CE07A9">
        <w:rPr>
          <w:rFonts w:eastAsia="Calibri" w:cstheme="minorHAnsi"/>
          <w:bCs/>
          <w:i/>
          <w:iCs/>
          <w:kern w:val="0"/>
          <w:sz w:val="24"/>
          <w:szCs w:val="24"/>
          <w:lang w:val="pl-PL"/>
          <w14:ligatures w14:val="none"/>
        </w:rPr>
        <w:t>oci postojanja neformalne ekonomije jer je rad u neformalnoj ekonomiji</w:t>
      </w:r>
      <w:r w:rsidR="000818DB" w:rsidRPr="00CE07A9">
        <w:rPr>
          <w:rFonts w:eastAsia="Calibri" w:cstheme="minorHAnsi"/>
          <w:bCs/>
          <w:i/>
          <w:iCs/>
          <w:color w:val="000000"/>
          <w:sz w:val="24"/>
          <w:szCs w:val="24"/>
          <w:lang w:val="pl-PL"/>
        </w:rPr>
        <w:t xml:space="preserve"> </w:t>
      </w:r>
      <w:r w:rsidR="00B81405" w:rsidRPr="00CE07A9">
        <w:rPr>
          <w:rFonts w:eastAsia="Calibri" w:cstheme="minorHAnsi"/>
          <w:bCs/>
          <w:i/>
          <w:iCs/>
          <w:color w:val="000000"/>
          <w:sz w:val="24"/>
          <w:szCs w:val="24"/>
          <w:lang w:val="pl-PL"/>
        </w:rPr>
        <w:t>“</w:t>
      </w:r>
      <w:r w:rsidR="000818DB" w:rsidRPr="00CE07A9">
        <w:rPr>
          <w:rFonts w:eastAsia="Calibri" w:cstheme="minorHAnsi"/>
          <w:bCs/>
          <w:i/>
          <w:iCs/>
          <w:color w:val="000000"/>
          <w:sz w:val="24"/>
          <w:szCs w:val="24"/>
          <w:lang w:val="pl-PL"/>
        </w:rPr>
        <w:t>često je društveno ukorijenjen, kulturno i obrazovno predodređen, a ne samo stvar racionalnog izbora povećanja lične koristi</w:t>
      </w:r>
      <w:r w:rsidR="00B81405" w:rsidRPr="00CE07A9">
        <w:rPr>
          <w:rFonts w:eastAsia="Calibri" w:cstheme="minorHAnsi"/>
          <w:bCs/>
          <w:i/>
          <w:iCs/>
          <w:color w:val="000000"/>
          <w:sz w:val="24"/>
          <w:szCs w:val="24"/>
          <w:lang w:val="pl-PL"/>
        </w:rPr>
        <w:t>” (SEldi.net, 2016)</w:t>
      </w:r>
      <w:r w:rsidR="000818DB" w:rsidRPr="00CE07A9">
        <w:rPr>
          <w:rFonts w:eastAsia="Calibri" w:cstheme="minorHAnsi"/>
          <w:bCs/>
          <w:i/>
          <w:iCs/>
          <w:color w:val="000000"/>
          <w:sz w:val="24"/>
          <w:szCs w:val="24"/>
          <w:lang w:val="pl-PL"/>
        </w:rPr>
        <w:t xml:space="preserve">. </w:t>
      </w:r>
      <w:r w:rsidR="00B81405" w:rsidRPr="00CE07A9">
        <w:rPr>
          <w:rFonts w:eastAsia="Calibri" w:cstheme="minorHAnsi"/>
          <w:bCs/>
          <w:i/>
          <w:iCs/>
          <w:color w:val="000000"/>
          <w:sz w:val="24"/>
          <w:szCs w:val="24"/>
          <w:lang w:val="pl-PL"/>
        </w:rPr>
        <w:t xml:space="preserve">Dakle, veći je broj ekonomskih </w:t>
      </w:r>
      <w:r w:rsidR="001C7881" w:rsidRPr="00CE07A9">
        <w:rPr>
          <w:rFonts w:eastAsia="Calibri" w:cstheme="minorHAnsi"/>
          <w:bCs/>
          <w:i/>
          <w:iCs/>
          <w:color w:val="000000"/>
          <w:sz w:val="24"/>
          <w:szCs w:val="24"/>
          <w:lang w:val="pl-PL"/>
        </w:rPr>
        <w:t>i</w:t>
      </w:r>
      <w:r w:rsidR="00B81405" w:rsidRPr="00CE07A9">
        <w:rPr>
          <w:rFonts w:eastAsia="Calibri" w:cstheme="minorHAnsi"/>
          <w:bCs/>
          <w:i/>
          <w:iCs/>
          <w:color w:val="000000"/>
          <w:sz w:val="24"/>
          <w:szCs w:val="24"/>
          <w:lang w:val="pl-PL"/>
        </w:rPr>
        <w:t xml:space="preserve"> socijalnih faktora koji utiču na aktivnosti u neformalnoj ekonomijii oni su često horizontalnog karaktera, obuhvatajući dio lanaca </w:t>
      </w:r>
      <w:r w:rsidR="000818DB" w:rsidRPr="00CE07A9">
        <w:rPr>
          <w:rFonts w:eastAsia="Calibri" w:cstheme="minorHAnsi"/>
          <w:bCs/>
          <w:i/>
          <w:iCs/>
          <w:color w:val="000000"/>
          <w:sz w:val="24"/>
          <w:szCs w:val="24"/>
          <w:lang w:val="pl-PL"/>
        </w:rPr>
        <w:t xml:space="preserve"> ekonomske vrijednosti (ili značajan dio njega) i klastera ekonomskih aktera</w:t>
      </w:r>
      <w:r w:rsidR="00BB53AA" w:rsidRPr="00CE07A9">
        <w:rPr>
          <w:rFonts w:eastAsia="Calibri" w:cstheme="minorHAnsi"/>
          <w:bCs/>
          <w:i/>
          <w:iCs/>
          <w:color w:val="000000"/>
          <w:sz w:val="24"/>
          <w:szCs w:val="24"/>
          <w:lang w:val="pl-PL"/>
        </w:rPr>
        <w:t>.</w:t>
      </w:r>
      <w:r w:rsidRPr="00CE07A9">
        <w:rPr>
          <w:rFonts w:eastAsia="Calibri" w:cstheme="minorHAnsi"/>
          <w:color w:val="000000"/>
          <w:sz w:val="24"/>
          <w:szCs w:val="24"/>
          <w:lang w:val="pl-PL"/>
        </w:rPr>
        <w:t xml:space="preserve"> Imajući u vidu da najveći dio crnogorske ekonomije čine</w:t>
      </w:r>
      <w:r w:rsidRPr="00CE07A9">
        <w:rPr>
          <w:rFonts w:eastAsia="Calibri" w:cstheme="minorHAnsi"/>
          <w:b/>
          <w:bCs/>
          <w:color w:val="000000"/>
          <w:sz w:val="24"/>
          <w:szCs w:val="24"/>
          <w:lang w:val="pl-PL"/>
        </w:rPr>
        <w:t xml:space="preserve"> usluge</w:t>
      </w:r>
      <w:r w:rsidR="001C7881" w:rsidRPr="00CE07A9">
        <w:rPr>
          <w:rFonts w:eastAsia="Calibri" w:cstheme="minorHAnsi"/>
          <w:b/>
          <w:bCs/>
          <w:color w:val="000000"/>
          <w:sz w:val="24"/>
          <w:szCs w:val="24"/>
          <w:lang w:val="pl-PL"/>
        </w:rPr>
        <w:t xml:space="preserve"> </w:t>
      </w:r>
      <w:r w:rsidR="001C7881" w:rsidRPr="00CE07A9">
        <w:rPr>
          <w:rFonts w:eastAsia="Calibri" w:cstheme="minorHAnsi"/>
          <w:color w:val="000000"/>
          <w:sz w:val="24"/>
          <w:szCs w:val="24"/>
          <w:lang w:val="pl-PL"/>
        </w:rPr>
        <w:t>(prvenstveno turizam i trgovina)</w:t>
      </w:r>
      <w:r w:rsidRPr="00CE07A9">
        <w:rPr>
          <w:rFonts w:eastAsia="Calibri" w:cstheme="minorHAnsi"/>
          <w:color w:val="000000"/>
          <w:sz w:val="24"/>
          <w:szCs w:val="24"/>
          <w:lang w:val="pl-PL"/>
        </w:rPr>
        <w:t>, to je u p</w:t>
      </w:r>
      <w:r w:rsidR="0079009F" w:rsidRPr="00CE07A9">
        <w:rPr>
          <w:rFonts w:eastAsia="Calibri" w:cstheme="minorHAnsi"/>
          <w:color w:val="000000"/>
          <w:sz w:val="24"/>
          <w:szCs w:val="24"/>
          <w:lang w:val="pl-PL"/>
        </w:rPr>
        <w:t>os</w:t>
      </w:r>
      <w:r w:rsidRPr="00CE07A9">
        <w:rPr>
          <w:rFonts w:eastAsia="Calibri" w:cstheme="minorHAnsi"/>
          <w:color w:val="000000"/>
          <w:sz w:val="24"/>
          <w:szCs w:val="24"/>
          <w:lang w:val="pl-PL"/>
        </w:rPr>
        <w:t>tojećem insti</w:t>
      </w:r>
      <w:r w:rsidR="002577AA" w:rsidRPr="00CE07A9">
        <w:rPr>
          <w:rFonts w:eastAsia="Calibri" w:cstheme="minorHAnsi"/>
          <w:color w:val="000000"/>
          <w:sz w:val="24"/>
          <w:szCs w:val="24"/>
          <w:lang w:val="pl-PL"/>
        </w:rPr>
        <w:t>tu</w:t>
      </w:r>
      <w:r w:rsidRPr="00CE07A9">
        <w:rPr>
          <w:rFonts w:eastAsia="Calibri" w:cstheme="minorHAnsi"/>
          <w:color w:val="000000"/>
          <w:sz w:val="24"/>
          <w:szCs w:val="24"/>
          <w:lang w:val="pl-PL"/>
        </w:rPr>
        <w:t xml:space="preserve">cionalnom </w:t>
      </w:r>
      <w:r w:rsidR="0079009F" w:rsidRPr="00CE07A9">
        <w:rPr>
          <w:rFonts w:eastAsia="Calibri" w:cstheme="minorHAnsi"/>
          <w:color w:val="000000"/>
          <w:sz w:val="24"/>
          <w:szCs w:val="24"/>
          <w:lang w:val="pl-PL"/>
        </w:rPr>
        <w:t xml:space="preserve">okviru i administrativnim kapacitetima, u </w:t>
      </w:r>
      <w:r w:rsidR="0079009F" w:rsidRPr="00CE07A9">
        <w:rPr>
          <w:rFonts w:eastAsia="Calibri" w:cstheme="minorHAnsi"/>
          <w:b/>
          <w:bCs/>
          <w:color w:val="000000"/>
          <w:sz w:val="24"/>
          <w:szCs w:val="24"/>
          <w:lang w:val="pl-PL"/>
        </w:rPr>
        <w:t>pitanju sektor sa većom vjerovatnoćom poslovanja u neformalnoj ekonomiji</w:t>
      </w:r>
      <w:r w:rsidR="0079009F" w:rsidRPr="00CE07A9">
        <w:rPr>
          <w:rFonts w:eastAsia="Calibri" w:cstheme="minorHAnsi"/>
          <w:color w:val="000000"/>
          <w:sz w:val="24"/>
          <w:szCs w:val="24"/>
          <w:lang w:val="pl-PL"/>
        </w:rPr>
        <w:t xml:space="preserve">, nego sektor industrije, energetike </w:t>
      </w:r>
      <w:r w:rsidR="00AF0E0E" w:rsidRPr="00CE07A9">
        <w:rPr>
          <w:rFonts w:eastAsia="Calibri" w:cstheme="minorHAnsi"/>
          <w:color w:val="000000"/>
          <w:sz w:val="24"/>
          <w:szCs w:val="24"/>
          <w:lang w:val="pl-PL"/>
        </w:rPr>
        <w:t>i</w:t>
      </w:r>
      <w:r w:rsidR="0079009F" w:rsidRPr="00CE07A9">
        <w:rPr>
          <w:rFonts w:eastAsia="Calibri" w:cstheme="minorHAnsi"/>
          <w:color w:val="000000"/>
          <w:sz w:val="24"/>
          <w:szCs w:val="24"/>
          <w:lang w:val="pl-PL"/>
        </w:rPr>
        <w:t xml:space="preserve"> sl.</w:t>
      </w:r>
      <w:r w:rsidR="00FF087D" w:rsidRPr="00CE07A9">
        <w:rPr>
          <w:rFonts w:eastAsia="Calibri" w:cstheme="minorHAnsi"/>
          <w:color w:val="000000"/>
          <w:sz w:val="24"/>
          <w:szCs w:val="24"/>
          <w:lang w:val="pl-PL"/>
        </w:rPr>
        <w:t xml:space="preserve"> </w:t>
      </w:r>
      <w:r w:rsidR="00FF087D" w:rsidRPr="00021CDC">
        <w:rPr>
          <w:rFonts w:eastAsia="Calibri" w:cstheme="minorHAnsi"/>
          <w:color w:val="000000"/>
          <w:sz w:val="24"/>
          <w:szCs w:val="24"/>
          <w:lang w:val="pl-PL"/>
        </w:rPr>
        <w:t>Slično je i sa sektorom poljoprivrede</w:t>
      </w:r>
      <w:r w:rsidR="00BB53AA" w:rsidRPr="00021CDC">
        <w:rPr>
          <w:rFonts w:eastAsia="Calibri" w:cstheme="minorHAnsi"/>
          <w:color w:val="000000"/>
          <w:sz w:val="24"/>
          <w:szCs w:val="24"/>
          <w:lang w:val="pl-PL"/>
        </w:rPr>
        <w:t>, a oba sektora su povezana sa nizom drugih sektora koji se u lancu vrijednosti suočavaju sa izazovima neformalne ekonomije.</w:t>
      </w:r>
    </w:p>
    <w:p w14:paraId="710932FB" w14:textId="4B00EC8C" w:rsidR="002577AA" w:rsidRPr="00021CDC" w:rsidRDefault="00933BF3" w:rsidP="009364EF">
      <w:pPr>
        <w:spacing w:after="150" w:line="276" w:lineRule="auto"/>
        <w:jc w:val="both"/>
        <w:rPr>
          <w:rFonts w:eastAsia="Calibri" w:cstheme="minorHAnsi"/>
          <w:color w:val="000000"/>
          <w:sz w:val="24"/>
          <w:szCs w:val="24"/>
          <w:lang w:val="pl-PL"/>
        </w:rPr>
      </w:pPr>
      <w:r w:rsidRPr="00021CDC">
        <w:rPr>
          <w:rFonts w:eastAsia="Calibri" w:cstheme="minorHAnsi"/>
          <w:color w:val="000000"/>
          <w:sz w:val="24"/>
          <w:szCs w:val="24"/>
          <w:lang w:val="pl-PL"/>
        </w:rPr>
        <w:t>Više je ekonomskih faktora zbog kojih se privredni subjekti opredjeljuju da poslovanje u potpunosti ili u</w:t>
      </w:r>
      <w:r w:rsidR="00D56C3B">
        <w:rPr>
          <w:rFonts w:eastAsia="Calibri" w:cstheme="minorHAnsi"/>
          <w:color w:val="000000"/>
          <w:sz w:val="24"/>
          <w:szCs w:val="24"/>
          <w:lang w:val="pl-PL"/>
        </w:rPr>
        <w:t xml:space="preserve"> </w:t>
      </w:r>
      <w:r w:rsidRPr="00021CDC">
        <w:rPr>
          <w:rFonts w:eastAsia="Calibri" w:cstheme="minorHAnsi"/>
          <w:color w:val="000000"/>
          <w:sz w:val="24"/>
          <w:szCs w:val="24"/>
          <w:lang w:val="pl-PL"/>
        </w:rPr>
        <w:t>dijelu prenesu u neformalni sektor i oni su navedeni u nastavku.</w:t>
      </w:r>
    </w:p>
    <w:p w14:paraId="74EF5F5C" w14:textId="7422FB84" w:rsidR="000F7CF3" w:rsidRPr="00021CDC" w:rsidRDefault="00933BF3" w:rsidP="009364EF">
      <w:pPr>
        <w:spacing w:after="150" w:line="276" w:lineRule="auto"/>
        <w:jc w:val="both"/>
        <w:rPr>
          <w:rFonts w:eastAsia="Calibri" w:cstheme="minorHAnsi"/>
          <w:color w:val="000000"/>
          <w:sz w:val="24"/>
          <w:szCs w:val="24"/>
          <w:lang w:val="pl-PL"/>
        </w:rPr>
      </w:pPr>
      <w:r w:rsidRPr="00021CDC">
        <w:rPr>
          <w:rFonts w:eastAsia="Calibri" w:cstheme="minorHAnsi"/>
          <w:color w:val="000000"/>
          <w:sz w:val="24"/>
          <w:szCs w:val="24"/>
          <w:lang w:val="pl-PL"/>
        </w:rPr>
        <w:t xml:space="preserve">Jedna od faktora je nedovoljan </w:t>
      </w:r>
      <w:r w:rsidRPr="00021CDC">
        <w:rPr>
          <w:rFonts w:eastAsia="Calibri" w:cstheme="minorHAnsi"/>
          <w:b/>
          <w:bCs/>
          <w:color w:val="000000"/>
          <w:sz w:val="24"/>
          <w:szCs w:val="24"/>
          <w:lang w:val="pl-PL"/>
        </w:rPr>
        <w:t>stepen poreskog morala,</w:t>
      </w:r>
      <w:r w:rsidRPr="00021CDC">
        <w:rPr>
          <w:rFonts w:eastAsia="Calibri" w:cstheme="minorHAnsi"/>
          <w:color w:val="000000"/>
          <w:sz w:val="24"/>
          <w:szCs w:val="24"/>
          <w:lang w:val="pl-PL"/>
        </w:rPr>
        <w:t xml:space="preserve"> odnosno sk</w:t>
      </w:r>
      <w:r w:rsidR="00062CBF" w:rsidRPr="00021CDC">
        <w:rPr>
          <w:rFonts w:eastAsia="Calibri" w:cstheme="minorHAnsi"/>
          <w:color w:val="000000"/>
          <w:sz w:val="24"/>
          <w:szCs w:val="24"/>
          <w:lang w:val="pl-PL"/>
        </w:rPr>
        <w:t>l</w:t>
      </w:r>
      <w:r w:rsidRPr="00021CDC">
        <w:rPr>
          <w:rFonts w:eastAsia="Calibri" w:cstheme="minorHAnsi"/>
          <w:color w:val="000000"/>
          <w:sz w:val="24"/>
          <w:szCs w:val="24"/>
          <w:lang w:val="pl-PL"/>
        </w:rPr>
        <w:t xml:space="preserve">onost i navika u prijavljivanju obaveza prema državi. </w:t>
      </w:r>
      <w:r w:rsidR="00C90A3A" w:rsidRPr="00021CDC">
        <w:rPr>
          <w:rFonts w:eastAsia="Calibri" w:cstheme="minorHAnsi"/>
          <w:color w:val="000000"/>
          <w:sz w:val="24"/>
          <w:szCs w:val="24"/>
          <w:lang w:val="pl-PL"/>
        </w:rPr>
        <w:t>Činjenica da dio stanovništva</w:t>
      </w:r>
      <w:r w:rsidR="005546B6" w:rsidRPr="00021CDC">
        <w:rPr>
          <w:rFonts w:eastAsia="Calibri" w:cstheme="minorHAnsi"/>
          <w:color w:val="000000"/>
          <w:sz w:val="24"/>
          <w:szCs w:val="24"/>
          <w:lang w:val="pl-PL"/>
        </w:rPr>
        <w:t xml:space="preserve"> često</w:t>
      </w:r>
      <w:r w:rsidR="00C90A3A" w:rsidRPr="00021CDC">
        <w:rPr>
          <w:rFonts w:eastAsia="Calibri" w:cstheme="minorHAnsi"/>
          <w:color w:val="000000"/>
          <w:sz w:val="24"/>
          <w:szCs w:val="24"/>
          <w:lang w:val="pl-PL"/>
        </w:rPr>
        <w:t xml:space="preserve"> otvoreno ignoriše zakone, propise i poreze, može oslabiti poštovanje koje građani imaju prema državi. Pored </w:t>
      </w:r>
      <w:r w:rsidR="000F7CF3" w:rsidRPr="00021CDC">
        <w:rPr>
          <w:rFonts w:eastAsia="Calibri" w:cstheme="minorHAnsi"/>
          <w:color w:val="000000"/>
          <w:sz w:val="24"/>
          <w:szCs w:val="24"/>
          <w:lang w:val="pl-PL"/>
        </w:rPr>
        <w:t>toga,</w:t>
      </w:r>
      <w:r w:rsidR="000F7CF3" w:rsidRPr="00021CDC">
        <w:rPr>
          <w:rFonts w:cstheme="minorHAnsi"/>
          <w:sz w:val="24"/>
          <w:szCs w:val="24"/>
          <w:lang w:val="pl-PL"/>
        </w:rPr>
        <w:t xml:space="preserve"> </w:t>
      </w:r>
      <w:r w:rsidR="00C90A3A" w:rsidRPr="00021CDC">
        <w:rPr>
          <w:rFonts w:eastAsia="Calibri" w:cstheme="minorHAnsi"/>
          <w:color w:val="000000"/>
          <w:sz w:val="24"/>
          <w:szCs w:val="24"/>
          <w:lang w:val="pl-PL"/>
        </w:rPr>
        <w:t>n</w:t>
      </w:r>
      <w:r w:rsidR="000F7CF3" w:rsidRPr="00021CDC">
        <w:rPr>
          <w:rFonts w:eastAsia="Calibri" w:cstheme="minorHAnsi"/>
          <w:color w:val="000000"/>
          <w:sz w:val="24"/>
          <w:szCs w:val="24"/>
          <w:lang w:val="pl-PL"/>
        </w:rPr>
        <w:t>a prisustvo neformalne ekonomije značajno utiče visok nivo gotovine u finansijskim transakcijama i neformalni izvori finansiranja, što izme</w:t>
      </w:r>
      <w:r w:rsidR="00D56C3B">
        <w:rPr>
          <w:rFonts w:eastAsia="Calibri" w:cstheme="minorHAnsi"/>
          <w:color w:val="000000"/>
          <w:sz w:val="24"/>
          <w:szCs w:val="24"/>
          <w:lang w:val="pl-PL"/>
        </w:rPr>
        <w:t>đ</w:t>
      </w:r>
      <w:r w:rsidR="000F7CF3" w:rsidRPr="00021CDC">
        <w:rPr>
          <w:rFonts w:eastAsia="Calibri" w:cstheme="minorHAnsi"/>
          <w:color w:val="000000"/>
          <w:sz w:val="24"/>
          <w:szCs w:val="24"/>
          <w:lang w:val="pl-PL"/>
        </w:rPr>
        <w:t xml:space="preserve">u ostalog proizilazi iz </w:t>
      </w:r>
      <w:r w:rsidR="00062CBF" w:rsidRPr="00021CDC">
        <w:rPr>
          <w:rFonts w:eastAsia="Calibri" w:cstheme="minorHAnsi"/>
          <w:color w:val="000000"/>
          <w:sz w:val="24"/>
          <w:szCs w:val="24"/>
          <w:lang w:val="pl-PL"/>
        </w:rPr>
        <w:t>b</w:t>
      </w:r>
      <w:r w:rsidR="000F7CF3" w:rsidRPr="00021CDC">
        <w:rPr>
          <w:rFonts w:eastAsia="Calibri" w:cstheme="minorHAnsi"/>
          <w:color w:val="000000"/>
          <w:sz w:val="24"/>
          <w:szCs w:val="24"/>
          <w:lang w:val="pl-PL"/>
        </w:rPr>
        <w:t xml:space="preserve">ihejvioralnih razloga sklonosti građana da većinu plaćanja vrše u kešu, ali </w:t>
      </w:r>
      <w:r w:rsidR="00D56C3B">
        <w:rPr>
          <w:rFonts w:eastAsia="Calibri" w:cstheme="minorHAnsi"/>
          <w:color w:val="000000"/>
          <w:sz w:val="24"/>
          <w:szCs w:val="24"/>
          <w:lang w:val="pl-PL"/>
        </w:rPr>
        <w:t>i</w:t>
      </w:r>
      <w:r w:rsidR="000F7CF3" w:rsidRPr="00021CDC">
        <w:rPr>
          <w:rFonts w:eastAsia="Calibri" w:cstheme="minorHAnsi"/>
          <w:color w:val="000000"/>
          <w:sz w:val="24"/>
          <w:szCs w:val="24"/>
          <w:lang w:val="pl-PL"/>
        </w:rPr>
        <w:t xml:space="preserve"> činjenice transakcionih troškova koje građani imaju kada je u pitanju plaćanje karticama.</w:t>
      </w:r>
      <w:r w:rsidR="00962796" w:rsidRPr="00021CDC">
        <w:rPr>
          <w:rFonts w:eastAsia="Calibri" w:cstheme="minorHAnsi"/>
          <w:color w:val="000000"/>
          <w:sz w:val="24"/>
          <w:szCs w:val="24"/>
          <w:lang w:val="pl-PL"/>
        </w:rPr>
        <w:t xml:space="preserve"> </w:t>
      </w:r>
      <w:bookmarkStart w:id="27" w:name="_Hlk141851240"/>
      <w:bookmarkStart w:id="28" w:name="_Hlk141843006"/>
      <w:r w:rsidR="00962796" w:rsidRPr="00021CDC">
        <w:rPr>
          <w:rFonts w:eastAsia="Calibri" w:cstheme="minorHAnsi"/>
          <w:color w:val="000000"/>
          <w:sz w:val="24"/>
          <w:szCs w:val="24"/>
          <w:lang w:val="pl-PL"/>
        </w:rPr>
        <w:t>Prema i</w:t>
      </w:r>
      <w:r w:rsidR="00062CBF" w:rsidRPr="00021CDC">
        <w:rPr>
          <w:rFonts w:eastAsia="Calibri" w:cstheme="minorHAnsi"/>
          <w:color w:val="000000"/>
          <w:sz w:val="24"/>
          <w:szCs w:val="24"/>
          <w:lang w:val="pl-PL"/>
        </w:rPr>
        <w:t>s</w:t>
      </w:r>
      <w:r w:rsidR="00962796" w:rsidRPr="00021CDC">
        <w:rPr>
          <w:rFonts w:eastAsia="Calibri" w:cstheme="minorHAnsi"/>
          <w:color w:val="000000"/>
          <w:sz w:val="24"/>
          <w:szCs w:val="24"/>
          <w:lang w:val="pl-PL"/>
        </w:rPr>
        <w:t xml:space="preserve">traživanju zainteresovanih strana za potrebe pisanja ovog </w:t>
      </w:r>
      <w:r w:rsidR="001A4561">
        <w:rPr>
          <w:rFonts w:eastAsia="Calibri" w:cstheme="minorHAnsi"/>
          <w:color w:val="000000"/>
          <w:sz w:val="24"/>
          <w:szCs w:val="24"/>
          <w:lang w:val="pl-PL"/>
        </w:rPr>
        <w:t>p</w:t>
      </w:r>
      <w:r w:rsidR="00962796" w:rsidRPr="00021CDC">
        <w:rPr>
          <w:rFonts w:eastAsia="Calibri" w:cstheme="minorHAnsi"/>
          <w:color w:val="000000"/>
          <w:sz w:val="24"/>
          <w:szCs w:val="24"/>
          <w:lang w:val="pl-PL"/>
        </w:rPr>
        <w:t xml:space="preserve">rograma, najveći broj ispitanika </w:t>
      </w:r>
      <w:r w:rsidR="00902734" w:rsidRPr="00021CDC">
        <w:rPr>
          <w:rFonts w:eastAsia="Calibri" w:cstheme="minorHAnsi"/>
          <w:color w:val="000000"/>
          <w:sz w:val="24"/>
          <w:szCs w:val="24"/>
          <w:lang w:val="pl-PL"/>
        </w:rPr>
        <w:t xml:space="preserve">ili oko </w:t>
      </w:r>
      <w:r w:rsidR="00062CBF" w:rsidRPr="00021CDC">
        <w:rPr>
          <w:rFonts w:eastAsia="Calibri" w:cstheme="minorHAnsi"/>
          <w:color w:val="000000"/>
          <w:sz w:val="24"/>
          <w:szCs w:val="24"/>
          <w:lang w:val="pl-PL"/>
        </w:rPr>
        <w:t>30%</w:t>
      </w:r>
      <w:r w:rsidR="00902734" w:rsidRPr="00021CDC">
        <w:rPr>
          <w:rFonts w:eastAsia="Calibri" w:cstheme="minorHAnsi"/>
          <w:color w:val="000000"/>
          <w:sz w:val="24"/>
          <w:szCs w:val="24"/>
          <w:lang w:val="pl-PL"/>
        </w:rPr>
        <w:t xml:space="preserve"> njih smatra da je nizak stepen p</w:t>
      </w:r>
      <w:r w:rsidR="00062CBF" w:rsidRPr="00021CDC">
        <w:rPr>
          <w:rFonts w:eastAsia="Calibri" w:cstheme="minorHAnsi"/>
          <w:color w:val="000000"/>
          <w:sz w:val="24"/>
          <w:szCs w:val="24"/>
          <w:lang w:val="pl-PL"/>
        </w:rPr>
        <w:t>or</w:t>
      </w:r>
      <w:r w:rsidR="00902734" w:rsidRPr="00021CDC">
        <w:rPr>
          <w:rFonts w:eastAsia="Calibri" w:cstheme="minorHAnsi"/>
          <w:color w:val="000000"/>
          <w:sz w:val="24"/>
          <w:szCs w:val="24"/>
          <w:lang w:val="pl-PL"/>
        </w:rPr>
        <w:t>eskog morala najveći uzročnik neformalne ekonomije</w:t>
      </w:r>
      <w:bookmarkEnd w:id="27"/>
      <w:r w:rsidR="00902734" w:rsidRPr="00021CDC">
        <w:rPr>
          <w:rFonts w:eastAsia="Calibri" w:cstheme="minorHAnsi"/>
          <w:color w:val="000000"/>
          <w:sz w:val="24"/>
          <w:szCs w:val="24"/>
          <w:lang w:val="pl-PL"/>
        </w:rPr>
        <w:t>.</w:t>
      </w:r>
    </w:p>
    <w:bookmarkEnd w:id="28"/>
    <w:p w14:paraId="064E6DE4" w14:textId="3CF352C2" w:rsidR="00690214" w:rsidRPr="00021CDC" w:rsidRDefault="00F66218" w:rsidP="009364EF">
      <w:pPr>
        <w:spacing w:after="150" w:line="276" w:lineRule="auto"/>
        <w:jc w:val="both"/>
        <w:rPr>
          <w:rFonts w:eastAsia="Calibri" w:cstheme="minorHAnsi"/>
          <w:color w:val="000000"/>
          <w:sz w:val="24"/>
          <w:szCs w:val="24"/>
          <w:lang w:val="pl-PL"/>
        </w:rPr>
      </w:pPr>
      <w:r w:rsidRPr="00021CDC">
        <w:rPr>
          <w:rFonts w:eastAsia="Calibri" w:cstheme="minorHAnsi"/>
          <w:b/>
          <w:bCs/>
          <w:color w:val="000000"/>
          <w:sz w:val="24"/>
          <w:szCs w:val="24"/>
          <w:lang w:val="pl-PL"/>
        </w:rPr>
        <w:t xml:space="preserve"> </w:t>
      </w:r>
      <w:r w:rsidR="00AF0E0E" w:rsidRPr="00021CDC">
        <w:rPr>
          <w:rFonts w:eastAsia="Calibri" w:cstheme="minorHAnsi"/>
          <w:b/>
          <w:bCs/>
          <w:color w:val="000000"/>
          <w:sz w:val="24"/>
          <w:szCs w:val="24"/>
          <w:lang w:val="pl-PL"/>
        </w:rPr>
        <w:t>V</w:t>
      </w:r>
      <w:r w:rsidRPr="00021CDC">
        <w:rPr>
          <w:rFonts w:eastAsia="Calibri" w:cstheme="minorHAnsi"/>
          <w:b/>
          <w:bCs/>
          <w:color w:val="000000"/>
          <w:sz w:val="24"/>
          <w:szCs w:val="24"/>
          <w:lang w:val="pl-PL"/>
        </w:rPr>
        <w:t>isoka</w:t>
      </w:r>
      <w:r w:rsidR="002577AA" w:rsidRPr="00021CDC">
        <w:rPr>
          <w:rFonts w:eastAsia="Calibri" w:cstheme="minorHAnsi"/>
          <w:b/>
          <w:bCs/>
          <w:color w:val="000000"/>
          <w:sz w:val="24"/>
          <w:szCs w:val="24"/>
          <w:lang w:val="pl-PL"/>
        </w:rPr>
        <w:t xml:space="preserve"> </w:t>
      </w:r>
      <w:r w:rsidRPr="00021CDC">
        <w:rPr>
          <w:rFonts w:eastAsia="Calibri" w:cstheme="minorHAnsi"/>
          <w:b/>
          <w:bCs/>
          <w:color w:val="000000"/>
          <w:sz w:val="24"/>
          <w:szCs w:val="24"/>
          <w:lang w:val="pl-PL"/>
        </w:rPr>
        <w:t>stopa inflacije</w:t>
      </w:r>
      <w:r w:rsidRPr="00021CDC">
        <w:rPr>
          <w:rFonts w:eastAsia="Calibri" w:cstheme="minorHAnsi"/>
          <w:color w:val="000000"/>
          <w:sz w:val="24"/>
          <w:szCs w:val="24"/>
          <w:lang w:val="pl-PL"/>
        </w:rPr>
        <w:t xml:space="preserve"> </w:t>
      </w:r>
      <w:r w:rsidR="002577AA" w:rsidRPr="00021CDC">
        <w:rPr>
          <w:rFonts w:eastAsia="Calibri" w:cstheme="minorHAnsi"/>
          <w:color w:val="000000"/>
          <w:sz w:val="24"/>
          <w:szCs w:val="24"/>
          <w:lang w:val="pl-PL"/>
        </w:rPr>
        <w:t xml:space="preserve">od čak 13% </w:t>
      </w:r>
      <w:r w:rsidR="00933BF3" w:rsidRPr="00021CDC">
        <w:rPr>
          <w:rFonts w:eastAsia="Calibri" w:cstheme="minorHAnsi"/>
          <w:color w:val="000000"/>
          <w:sz w:val="24"/>
          <w:szCs w:val="24"/>
          <w:lang w:val="pl-PL"/>
        </w:rPr>
        <w:t xml:space="preserve">u </w:t>
      </w:r>
      <w:r w:rsidR="002577AA" w:rsidRPr="00021CDC">
        <w:rPr>
          <w:rFonts w:eastAsia="Calibri" w:cstheme="minorHAnsi"/>
          <w:color w:val="000000"/>
          <w:sz w:val="24"/>
          <w:szCs w:val="24"/>
          <w:lang w:val="pl-PL"/>
        </w:rPr>
        <w:t>2022.</w:t>
      </w:r>
      <w:r w:rsidR="004E2305">
        <w:rPr>
          <w:rFonts w:eastAsia="Calibri" w:cstheme="minorHAnsi"/>
          <w:color w:val="000000"/>
          <w:sz w:val="24"/>
          <w:szCs w:val="24"/>
          <w:lang w:val="pl-PL"/>
        </w:rPr>
        <w:t xml:space="preserve"> </w:t>
      </w:r>
      <w:r w:rsidR="002577AA" w:rsidRPr="00021CDC">
        <w:rPr>
          <w:rFonts w:eastAsia="Calibri" w:cstheme="minorHAnsi"/>
          <w:color w:val="000000"/>
          <w:sz w:val="24"/>
          <w:szCs w:val="24"/>
          <w:lang w:val="pl-PL"/>
        </w:rPr>
        <w:t>godin</w:t>
      </w:r>
      <w:r w:rsidR="00933BF3" w:rsidRPr="00021CDC">
        <w:rPr>
          <w:rFonts w:eastAsia="Calibri" w:cstheme="minorHAnsi"/>
          <w:color w:val="000000"/>
          <w:sz w:val="24"/>
          <w:szCs w:val="24"/>
          <w:lang w:val="pl-PL"/>
        </w:rPr>
        <w:t>i</w:t>
      </w:r>
      <w:r w:rsidR="002577AA" w:rsidRPr="00021CDC">
        <w:rPr>
          <w:rFonts w:eastAsia="Calibri" w:cstheme="minorHAnsi"/>
          <w:color w:val="000000"/>
          <w:sz w:val="24"/>
          <w:szCs w:val="24"/>
          <w:lang w:val="pl-PL"/>
        </w:rPr>
        <w:t xml:space="preserve"> </w:t>
      </w:r>
      <w:r w:rsidRPr="00021CDC">
        <w:rPr>
          <w:rFonts w:eastAsia="Calibri" w:cstheme="minorHAnsi"/>
          <w:color w:val="000000"/>
          <w:sz w:val="24"/>
          <w:szCs w:val="24"/>
          <w:lang w:val="pl-PL"/>
        </w:rPr>
        <w:t>izaz</w:t>
      </w:r>
      <w:r w:rsidR="00AF0E0E" w:rsidRPr="00021CDC">
        <w:rPr>
          <w:rFonts w:eastAsia="Calibri" w:cstheme="minorHAnsi"/>
          <w:color w:val="000000"/>
          <w:sz w:val="24"/>
          <w:szCs w:val="24"/>
          <w:lang w:val="pl-PL"/>
        </w:rPr>
        <w:t>va</w:t>
      </w:r>
      <w:r w:rsidRPr="00021CDC">
        <w:rPr>
          <w:rFonts w:eastAsia="Calibri" w:cstheme="minorHAnsi"/>
          <w:color w:val="000000"/>
          <w:sz w:val="24"/>
          <w:szCs w:val="24"/>
          <w:lang w:val="pl-PL"/>
        </w:rPr>
        <w:t>na dom</w:t>
      </w:r>
      <w:r w:rsidR="002577AA" w:rsidRPr="00021CDC">
        <w:rPr>
          <w:rFonts w:eastAsia="Calibri" w:cstheme="minorHAnsi"/>
          <w:color w:val="000000"/>
          <w:sz w:val="24"/>
          <w:szCs w:val="24"/>
          <w:lang w:val="pl-PL"/>
        </w:rPr>
        <w:t>a</w:t>
      </w:r>
      <w:r w:rsidRPr="00021CDC">
        <w:rPr>
          <w:rFonts w:eastAsia="Calibri" w:cstheme="minorHAnsi"/>
          <w:color w:val="000000"/>
          <w:sz w:val="24"/>
          <w:szCs w:val="24"/>
          <w:lang w:val="pl-PL"/>
        </w:rPr>
        <w:t xml:space="preserve">ćim, kao </w:t>
      </w:r>
      <w:r w:rsidR="00933BF3" w:rsidRPr="00021CDC">
        <w:rPr>
          <w:rFonts w:eastAsia="Calibri" w:cstheme="minorHAnsi"/>
          <w:color w:val="000000"/>
          <w:sz w:val="24"/>
          <w:szCs w:val="24"/>
          <w:lang w:val="pl-PL"/>
        </w:rPr>
        <w:t>i</w:t>
      </w:r>
      <w:r w:rsidRPr="00021CDC">
        <w:rPr>
          <w:rFonts w:eastAsia="Calibri" w:cstheme="minorHAnsi"/>
          <w:color w:val="000000"/>
          <w:sz w:val="24"/>
          <w:szCs w:val="24"/>
          <w:lang w:val="pl-PL"/>
        </w:rPr>
        <w:t xml:space="preserve"> faktorima s</w:t>
      </w:r>
      <w:r w:rsidR="002577AA" w:rsidRPr="00021CDC">
        <w:rPr>
          <w:rFonts w:eastAsia="Calibri" w:cstheme="minorHAnsi"/>
          <w:color w:val="000000"/>
          <w:sz w:val="24"/>
          <w:szCs w:val="24"/>
          <w:lang w:val="pl-PL"/>
        </w:rPr>
        <w:t xml:space="preserve">a </w:t>
      </w:r>
      <w:r w:rsidRPr="00021CDC">
        <w:rPr>
          <w:rFonts w:eastAsia="Calibri" w:cstheme="minorHAnsi"/>
          <w:color w:val="000000"/>
          <w:sz w:val="24"/>
          <w:szCs w:val="24"/>
          <w:lang w:val="pl-PL"/>
        </w:rPr>
        <w:t>međunarodnog tržišta u posljednje dvije godine je</w:t>
      </w:r>
      <w:r w:rsidR="00AF0E0E" w:rsidRPr="00021CDC">
        <w:rPr>
          <w:rFonts w:eastAsia="Calibri" w:cstheme="minorHAnsi"/>
          <w:color w:val="000000"/>
          <w:sz w:val="24"/>
          <w:szCs w:val="24"/>
          <w:lang w:val="pl-PL"/>
        </w:rPr>
        <w:t xml:space="preserve"> u izvjesnoj mjeri mogla uticati</w:t>
      </w:r>
      <w:r w:rsidRPr="00021CDC">
        <w:rPr>
          <w:rFonts w:eastAsia="Calibri" w:cstheme="minorHAnsi"/>
          <w:color w:val="000000"/>
          <w:sz w:val="24"/>
          <w:szCs w:val="24"/>
          <w:lang w:val="pl-PL"/>
        </w:rPr>
        <w:t xml:space="preserve"> na neformalnu ekonomiju, pa čak </w:t>
      </w:r>
      <w:r w:rsidR="00AF0E0E" w:rsidRPr="00021CDC">
        <w:rPr>
          <w:rFonts w:eastAsia="Calibri" w:cstheme="minorHAnsi"/>
          <w:color w:val="000000"/>
          <w:sz w:val="24"/>
          <w:szCs w:val="24"/>
          <w:lang w:val="pl-PL"/>
        </w:rPr>
        <w:t>i</w:t>
      </w:r>
      <w:r w:rsidRPr="00021CDC">
        <w:rPr>
          <w:rFonts w:eastAsia="Calibri" w:cstheme="minorHAnsi"/>
          <w:color w:val="000000"/>
          <w:sz w:val="24"/>
          <w:szCs w:val="24"/>
          <w:lang w:val="pl-PL"/>
        </w:rPr>
        <w:t xml:space="preserve"> </w:t>
      </w:r>
      <w:r w:rsidR="002577AA" w:rsidRPr="00021CDC">
        <w:rPr>
          <w:rFonts w:eastAsia="Calibri" w:cstheme="minorHAnsi"/>
          <w:color w:val="000000"/>
          <w:sz w:val="24"/>
          <w:szCs w:val="24"/>
          <w:lang w:val="pl-PL"/>
        </w:rPr>
        <w:t xml:space="preserve">na moguću </w:t>
      </w:r>
      <w:r w:rsidRPr="00021CDC">
        <w:rPr>
          <w:rFonts w:eastAsia="Calibri" w:cstheme="minorHAnsi"/>
          <w:color w:val="000000"/>
          <w:sz w:val="24"/>
          <w:szCs w:val="24"/>
          <w:lang w:val="pl-PL"/>
        </w:rPr>
        <w:t xml:space="preserve">nelegalnu trgovinu </w:t>
      </w:r>
      <w:r w:rsidR="00AF0E0E" w:rsidRPr="00021CDC">
        <w:rPr>
          <w:rFonts w:eastAsia="Calibri" w:cstheme="minorHAnsi"/>
          <w:color w:val="000000"/>
          <w:sz w:val="24"/>
          <w:szCs w:val="24"/>
          <w:lang w:val="pl-PL"/>
        </w:rPr>
        <w:t>i</w:t>
      </w:r>
      <w:r w:rsidRPr="00021CDC">
        <w:rPr>
          <w:rFonts w:eastAsia="Calibri" w:cstheme="minorHAnsi"/>
          <w:color w:val="000000"/>
          <w:sz w:val="24"/>
          <w:szCs w:val="24"/>
          <w:lang w:val="pl-PL"/>
        </w:rPr>
        <w:t xml:space="preserve"> trampu pojedinim prozvodima, budući da inflacija utiče na povećanje iznosa carina i PDV-a koji su preduzeća u obavezi platiti državi.</w:t>
      </w:r>
      <w:r w:rsidR="00AF0E0E" w:rsidRPr="00021CDC">
        <w:rPr>
          <w:rFonts w:eastAsia="Calibri" w:cstheme="minorHAnsi"/>
          <w:color w:val="000000"/>
          <w:sz w:val="24"/>
          <w:szCs w:val="24"/>
          <w:lang w:val="pl-PL"/>
        </w:rPr>
        <w:t xml:space="preserve"> </w:t>
      </w:r>
    </w:p>
    <w:p w14:paraId="7D9350AE" w14:textId="194EF9B2" w:rsidR="006F03C5" w:rsidRPr="00281886" w:rsidRDefault="000F4629" w:rsidP="009364EF">
      <w:pPr>
        <w:spacing w:after="150" w:line="276" w:lineRule="auto"/>
        <w:jc w:val="both"/>
        <w:rPr>
          <w:rFonts w:eastAsia="Calibri" w:cstheme="minorHAnsi"/>
          <w:color w:val="000000"/>
          <w:sz w:val="24"/>
          <w:szCs w:val="24"/>
          <w:lang w:val="sr-Latn-ME"/>
        </w:rPr>
      </w:pPr>
      <w:r w:rsidRPr="00281886">
        <w:rPr>
          <w:rFonts w:eastAsia="Calibri" w:cstheme="minorHAnsi"/>
          <w:b/>
          <w:bCs/>
          <w:color w:val="000000"/>
          <w:sz w:val="24"/>
          <w:szCs w:val="24"/>
          <w:lang w:val="sr-Latn-ME"/>
        </w:rPr>
        <w:lastRenderedPageBreak/>
        <w:t>Nepovoljna faktorska produktivnost</w:t>
      </w:r>
      <w:r w:rsidR="000E6504" w:rsidRPr="00281886">
        <w:rPr>
          <w:rFonts w:eastAsia="Calibri" w:cstheme="minorHAnsi"/>
          <w:b/>
          <w:bCs/>
          <w:color w:val="000000"/>
          <w:sz w:val="24"/>
          <w:szCs w:val="24"/>
          <w:lang w:val="sr-Latn-ME"/>
        </w:rPr>
        <w:t xml:space="preserve"> </w:t>
      </w:r>
      <w:r w:rsidR="000E6504" w:rsidRPr="00281886">
        <w:rPr>
          <w:rFonts w:eastAsia="Calibri" w:cstheme="minorHAnsi"/>
          <w:color w:val="000000"/>
          <w:sz w:val="24"/>
          <w:szCs w:val="24"/>
          <w:lang w:val="sr-Latn-ME"/>
        </w:rPr>
        <w:t>je tako</w:t>
      </w:r>
      <w:r w:rsidR="00D56C3B">
        <w:rPr>
          <w:rFonts w:eastAsia="Calibri" w:cstheme="minorHAnsi"/>
          <w:color w:val="000000"/>
          <w:sz w:val="24"/>
          <w:szCs w:val="24"/>
          <w:lang w:val="sr-Latn-ME"/>
        </w:rPr>
        <w:t>đ</w:t>
      </w:r>
      <w:r w:rsidR="000E6504" w:rsidRPr="00281886">
        <w:rPr>
          <w:rFonts w:eastAsia="Calibri" w:cstheme="minorHAnsi"/>
          <w:color w:val="000000"/>
          <w:sz w:val="24"/>
          <w:szCs w:val="24"/>
          <w:lang w:val="sr-Latn-ME"/>
        </w:rPr>
        <w:t>e jedan od ekono</w:t>
      </w:r>
      <w:r w:rsidR="00BC0BCC" w:rsidRPr="00281886">
        <w:rPr>
          <w:rFonts w:eastAsia="Calibri" w:cstheme="minorHAnsi"/>
          <w:color w:val="000000"/>
          <w:sz w:val="24"/>
          <w:szCs w:val="24"/>
          <w:lang w:val="sr-Latn-ME"/>
        </w:rPr>
        <w:t>m</w:t>
      </w:r>
      <w:r w:rsidR="000E6504" w:rsidRPr="00281886">
        <w:rPr>
          <w:rFonts w:eastAsia="Calibri" w:cstheme="minorHAnsi"/>
          <w:color w:val="000000"/>
          <w:sz w:val="24"/>
          <w:szCs w:val="24"/>
          <w:lang w:val="sr-Latn-ME"/>
        </w:rPr>
        <w:t>skih uz</w:t>
      </w:r>
      <w:r w:rsidR="00FA16D7" w:rsidRPr="00281886">
        <w:rPr>
          <w:rFonts w:eastAsia="Calibri" w:cstheme="minorHAnsi"/>
          <w:color w:val="000000"/>
          <w:sz w:val="24"/>
          <w:szCs w:val="24"/>
          <w:lang w:val="sr-Latn-ME"/>
        </w:rPr>
        <w:t>ro</w:t>
      </w:r>
      <w:r w:rsidR="000E6504" w:rsidRPr="00281886">
        <w:rPr>
          <w:rFonts w:eastAsia="Calibri" w:cstheme="minorHAnsi"/>
          <w:color w:val="000000"/>
          <w:sz w:val="24"/>
          <w:szCs w:val="24"/>
          <w:lang w:val="sr-Latn-ME"/>
        </w:rPr>
        <w:t>ka neformalne ekonomije</w:t>
      </w:r>
      <w:r w:rsidR="00FA16D7" w:rsidRPr="00281886">
        <w:rPr>
          <w:rFonts w:eastAsia="Calibri" w:cstheme="minorHAnsi"/>
          <w:color w:val="000000"/>
          <w:sz w:val="24"/>
          <w:szCs w:val="24"/>
          <w:lang w:val="sr-Latn-ME"/>
        </w:rPr>
        <w:t>, prvenstveno neformalne zaposlenosti</w:t>
      </w:r>
      <w:r w:rsidRPr="00281886">
        <w:rPr>
          <w:rFonts w:eastAsia="Calibri" w:cstheme="minorHAnsi"/>
          <w:color w:val="000000"/>
          <w:sz w:val="24"/>
          <w:szCs w:val="24"/>
          <w:lang w:val="sr-Latn-ME"/>
        </w:rPr>
        <w:t>.</w:t>
      </w:r>
      <w:r w:rsidRPr="00281886">
        <w:rPr>
          <w:rFonts w:eastAsia="Calibri" w:cstheme="minorHAnsi"/>
          <w:b/>
          <w:bCs/>
          <w:color w:val="000000"/>
          <w:sz w:val="24"/>
          <w:szCs w:val="24"/>
          <w:lang w:val="sr-Latn-ME"/>
        </w:rPr>
        <w:t xml:space="preserve"> </w:t>
      </w:r>
      <w:r w:rsidR="00B22EF7" w:rsidRPr="00B22EF7">
        <w:rPr>
          <w:rFonts w:eastAsia="Calibri" w:cstheme="minorHAnsi"/>
          <w:bCs/>
          <w:color w:val="000000"/>
          <w:sz w:val="24"/>
          <w:szCs w:val="24"/>
          <w:lang w:val="sr-Latn-ME"/>
        </w:rPr>
        <w:t>Analiza kretanja produktivnosti,</w:t>
      </w:r>
      <w:r w:rsidR="00B22EF7" w:rsidRPr="00B22EF7">
        <w:rPr>
          <w:rFonts w:eastAsia="Calibri" w:cstheme="minorHAnsi"/>
          <w:color w:val="000000"/>
          <w:sz w:val="24"/>
          <w:szCs w:val="24"/>
          <w:lang w:val="sr-Latn-ME"/>
        </w:rPr>
        <w:t xml:space="preserve"> izražene kao odnosa realnog BDP-a i broja zaposlenih na nivou ekonomije, pokazuje trend rasta produktivnosti, sa prosječnom stopom od 1,6% u periodu 2008-2022</w:t>
      </w:r>
      <w:r w:rsidR="00ED1C81">
        <w:rPr>
          <w:rFonts w:eastAsia="Calibri" w:cstheme="minorHAnsi"/>
          <w:color w:val="000000"/>
          <w:sz w:val="24"/>
          <w:szCs w:val="24"/>
          <w:lang w:val="sr-Latn-ME"/>
        </w:rPr>
        <w:t>.</w:t>
      </w:r>
      <w:r w:rsidR="00B22EF7" w:rsidRPr="00B22EF7">
        <w:rPr>
          <w:rFonts w:eastAsia="Calibri" w:cstheme="minorHAnsi"/>
          <w:color w:val="000000"/>
          <w:sz w:val="24"/>
          <w:szCs w:val="24"/>
          <w:lang w:val="sr-Latn-ME"/>
        </w:rPr>
        <w:t xml:space="preserve"> (PER 2023-2025). Prema projekcijama za period 2023-2025, produktivnost će rasti po prosječnoj godišnjoj stopi od 0,5%, usljed većeg rasta zaposlenosti od rasta BDP-a</w:t>
      </w:r>
      <w:r w:rsidR="00051D3A">
        <w:rPr>
          <w:rFonts w:eastAsia="Calibri" w:cstheme="minorHAnsi"/>
          <w:color w:val="000000"/>
          <w:sz w:val="24"/>
          <w:szCs w:val="24"/>
          <w:lang w:val="sr-Latn-ME"/>
        </w:rPr>
        <w:t>. I</w:t>
      </w:r>
      <w:r w:rsidR="00B22EF7" w:rsidRPr="00B22EF7">
        <w:rPr>
          <w:rFonts w:eastAsia="Calibri" w:cstheme="minorHAnsi"/>
          <w:color w:val="000000"/>
          <w:sz w:val="24"/>
          <w:szCs w:val="24"/>
          <w:lang w:val="sr-Latn-ME"/>
        </w:rPr>
        <w:t xml:space="preserve">pak, rizik </w:t>
      </w:r>
      <w:r w:rsidR="00A326DF">
        <w:rPr>
          <w:rFonts w:eastAsia="Calibri" w:cstheme="minorHAnsi"/>
          <w:color w:val="000000"/>
          <w:sz w:val="24"/>
          <w:szCs w:val="24"/>
          <w:lang w:val="sr-Latn-ME"/>
        </w:rPr>
        <w:t>značajnog</w:t>
      </w:r>
      <w:r w:rsidR="00B22EF7" w:rsidRPr="00B22EF7">
        <w:rPr>
          <w:rFonts w:eastAsia="Calibri" w:cstheme="minorHAnsi"/>
          <w:color w:val="000000"/>
          <w:sz w:val="24"/>
          <w:szCs w:val="24"/>
          <w:lang w:val="sr-Latn-ME"/>
        </w:rPr>
        <w:t xml:space="preserve"> povećanja minimalne zarade u 2022. godini, koje prevazilazi rast produktivnosti, prema ekonomskoj teoriji može dovesti do povećanih makroekonomskih neravnoteža i pitanja održanja visokog potencijala rasta</w:t>
      </w:r>
      <w:r w:rsidR="00A326DF">
        <w:rPr>
          <w:rFonts w:eastAsia="Calibri" w:cstheme="minorHAnsi"/>
          <w:color w:val="000000"/>
          <w:sz w:val="24"/>
          <w:szCs w:val="24"/>
          <w:lang w:val="sr-Latn-ME"/>
        </w:rPr>
        <w:t>. Ovo je bez</w:t>
      </w:r>
      <w:r w:rsidR="00B22EF7" w:rsidRPr="00B22EF7">
        <w:rPr>
          <w:rFonts w:eastAsia="Calibri" w:cstheme="minorHAnsi"/>
          <w:color w:val="000000"/>
          <w:sz w:val="24"/>
          <w:szCs w:val="24"/>
          <w:lang w:val="sr-Latn-ME"/>
        </w:rPr>
        <w:t xml:space="preserve"> pratećeg snaženja konkurentnosti i mjera strukturnih reformi koje bi omogućile porast produktivnosti u privatnom sektoru i veću dodatu vrijednost u ekonomiji.</w:t>
      </w:r>
      <w:r w:rsidR="00B22EF7">
        <w:rPr>
          <w:rFonts w:eastAsia="Calibri" w:cstheme="minorHAnsi"/>
          <w:color w:val="000000"/>
          <w:sz w:val="24"/>
          <w:szCs w:val="24"/>
          <w:lang w:val="sr-Latn-ME"/>
        </w:rPr>
        <w:t xml:space="preserve"> </w:t>
      </w:r>
      <w:r w:rsidR="00A326DF">
        <w:rPr>
          <w:rFonts w:eastAsia="Calibri" w:cstheme="minorHAnsi"/>
          <w:color w:val="000000"/>
          <w:sz w:val="24"/>
          <w:szCs w:val="24"/>
          <w:lang w:val="sr-Latn-ME"/>
        </w:rPr>
        <w:t>Minimalna</w:t>
      </w:r>
      <w:r w:rsidRPr="00281886">
        <w:rPr>
          <w:rFonts w:eastAsia="Calibri" w:cstheme="minorHAnsi"/>
          <w:color w:val="000000"/>
          <w:sz w:val="24"/>
          <w:szCs w:val="24"/>
          <w:lang w:val="sr-Latn-ME"/>
        </w:rPr>
        <w:t xml:space="preserve"> zarada u 2022. </w:t>
      </w:r>
      <w:r w:rsidRPr="00CE07A9">
        <w:rPr>
          <w:rFonts w:eastAsia="Calibri" w:cstheme="minorHAnsi"/>
          <w:color w:val="000000"/>
          <w:sz w:val="24"/>
          <w:szCs w:val="24"/>
          <w:lang w:val="pl-PL"/>
        </w:rPr>
        <w:t xml:space="preserve">povećana </w:t>
      </w:r>
      <w:r w:rsidR="00A326DF" w:rsidRPr="00CE07A9">
        <w:rPr>
          <w:rFonts w:eastAsia="Calibri" w:cstheme="minorHAnsi"/>
          <w:color w:val="000000"/>
          <w:sz w:val="24"/>
          <w:szCs w:val="24"/>
          <w:lang w:val="pl-PL"/>
        </w:rPr>
        <w:t xml:space="preserve">je </w:t>
      </w:r>
      <w:r w:rsidRPr="00CE07A9">
        <w:rPr>
          <w:rFonts w:eastAsia="Calibri" w:cstheme="minorHAnsi"/>
          <w:color w:val="000000"/>
          <w:sz w:val="24"/>
          <w:szCs w:val="24"/>
          <w:lang w:val="pl-PL"/>
        </w:rPr>
        <w:t>na 66% prosječne zarade u Crnoj Gori, što je najviše u regionu Jugoisto</w:t>
      </w:r>
      <w:r w:rsidR="00F42C15" w:rsidRPr="00CE07A9">
        <w:rPr>
          <w:rFonts w:eastAsia="Calibri" w:cstheme="minorHAnsi"/>
          <w:color w:val="000000"/>
          <w:sz w:val="24"/>
          <w:szCs w:val="24"/>
          <w:lang w:val="pl-PL"/>
        </w:rPr>
        <w:t>č</w:t>
      </w:r>
      <w:r w:rsidRPr="00CE07A9">
        <w:rPr>
          <w:rFonts w:eastAsia="Calibri" w:cstheme="minorHAnsi"/>
          <w:color w:val="000000"/>
          <w:sz w:val="24"/>
          <w:szCs w:val="24"/>
          <w:lang w:val="pl-PL"/>
        </w:rPr>
        <w:t>ne Evrope i predstavlja prilično odstupanje od prosjeka. Toliko povećana minimalna zarada, međutim, nije rezultat povećane dodate vrijednosti po zaposlenom. Drugim riječima, visina minimalne zarade je  slična onoj u Hrvatskoj, ali je prosječna dodata vrijednost po zaposlenom oko 25% niža u Crnoj Gori.</w:t>
      </w:r>
      <w:r w:rsidRPr="00281886">
        <w:rPr>
          <w:rFonts w:eastAsia="Calibri" w:cstheme="minorHAnsi"/>
          <w:color w:val="000000"/>
          <w:sz w:val="24"/>
          <w:szCs w:val="24"/>
          <w:vertAlign w:val="superscript"/>
        </w:rPr>
        <w:footnoteReference w:id="9"/>
      </w:r>
      <w:r w:rsidR="00FA16D7" w:rsidRPr="00281886">
        <w:rPr>
          <w:rFonts w:eastAsia="Calibri" w:cstheme="minorHAnsi"/>
          <w:color w:val="000000"/>
          <w:sz w:val="24"/>
          <w:szCs w:val="24"/>
          <w:lang w:val="sr-Latn-ME"/>
        </w:rPr>
        <w:t xml:space="preserve">. </w:t>
      </w:r>
      <w:r w:rsidRPr="00281886">
        <w:rPr>
          <w:rFonts w:eastAsia="Calibri" w:cstheme="minorHAnsi"/>
          <w:color w:val="000000"/>
          <w:sz w:val="24"/>
          <w:szCs w:val="24"/>
          <w:lang w:val="sr-Latn-ME"/>
        </w:rPr>
        <w:t xml:space="preserve"> </w:t>
      </w:r>
    </w:p>
    <w:p w14:paraId="4AC11DB0" w14:textId="1F2DAF4F" w:rsidR="000F4629" w:rsidRPr="00021CDC" w:rsidRDefault="000F4629" w:rsidP="000F4629">
      <w:pPr>
        <w:spacing w:after="150" w:line="276" w:lineRule="auto"/>
        <w:jc w:val="both"/>
        <w:rPr>
          <w:rFonts w:eastAsia="Calibri" w:cstheme="minorHAnsi"/>
          <w:b/>
          <w:bCs/>
          <w:iCs/>
          <w:color w:val="000000"/>
          <w:sz w:val="24"/>
          <w:szCs w:val="24"/>
          <w:lang w:val="pl-PL"/>
        </w:rPr>
      </w:pPr>
      <w:r w:rsidRPr="00021CDC">
        <w:rPr>
          <w:rFonts w:eastAsia="Calibri" w:cstheme="minorHAnsi"/>
          <w:b/>
          <w:bCs/>
          <w:iCs/>
          <w:color w:val="000000"/>
          <w:sz w:val="24"/>
          <w:szCs w:val="24"/>
          <w:lang w:val="pl-PL"/>
        </w:rPr>
        <w:t>Grafik</w:t>
      </w:r>
      <w:r w:rsidR="008361D3" w:rsidRPr="00021CDC">
        <w:rPr>
          <w:rFonts w:eastAsia="Calibri" w:cstheme="minorHAnsi"/>
          <w:b/>
          <w:bCs/>
          <w:iCs/>
          <w:color w:val="000000"/>
          <w:sz w:val="24"/>
          <w:szCs w:val="24"/>
          <w:lang w:val="pl-PL"/>
        </w:rPr>
        <w:t xml:space="preserve"> 6</w:t>
      </w:r>
      <w:r w:rsidRPr="00021CDC">
        <w:rPr>
          <w:rFonts w:eastAsia="Calibri" w:cstheme="minorHAnsi"/>
          <w:b/>
          <w:bCs/>
          <w:iCs/>
          <w:color w:val="000000"/>
          <w:sz w:val="24"/>
          <w:szCs w:val="24"/>
          <w:lang w:val="pl-PL"/>
        </w:rPr>
        <w:t>: Dodata vrijednost po zaposlenom i minimalna zarada</w:t>
      </w:r>
    </w:p>
    <w:p w14:paraId="6D9CBA62" w14:textId="77777777" w:rsidR="000F4629" w:rsidRPr="00281886" w:rsidRDefault="000F4629" w:rsidP="000F4629">
      <w:pPr>
        <w:spacing w:after="150" w:line="276" w:lineRule="auto"/>
        <w:jc w:val="both"/>
        <w:rPr>
          <w:rFonts w:eastAsia="Calibri" w:cstheme="minorHAnsi"/>
          <w:b/>
          <w:bCs/>
          <w:color w:val="000000"/>
          <w:sz w:val="24"/>
          <w:szCs w:val="24"/>
        </w:rPr>
      </w:pPr>
      <w:r w:rsidRPr="00281886">
        <w:rPr>
          <w:rFonts w:eastAsia="Calibri" w:cstheme="minorHAnsi"/>
          <w:b/>
          <w:bCs/>
          <w:noProof/>
          <w:color w:val="000000"/>
          <w:sz w:val="24"/>
          <w:szCs w:val="24"/>
        </w:rPr>
        <w:drawing>
          <wp:inline distT="0" distB="0" distL="0" distR="0" wp14:anchorId="3FAD2287" wp14:editId="7EF02D3B">
            <wp:extent cx="5958840" cy="2197510"/>
            <wp:effectExtent l="0" t="0" r="3810" b="0"/>
            <wp:docPr id="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2425" cy="2198832"/>
                    </a:xfrm>
                    <a:prstGeom prst="rect">
                      <a:avLst/>
                    </a:prstGeom>
                    <a:noFill/>
                    <a:ln>
                      <a:noFill/>
                    </a:ln>
                  </pic:spPr>
                </pic:pic>
              </a:graphicData>
            </a:graphic>
          </wp:inline>
        </w:drawing>
      </w:r>
    </w:p>
    <w:p w14:paraId="18611285" w14:textId="1FFD7F67" w:rsidR="000F4629" w:rsidRPr="00F42C15" w:rsidRDefault="000F4629" w:rsidP="000F4629">
      <w:pPr>
        <w:spacing w:after="150" w:line="276" w:lineRule="auto"/>
        <w:jc w:val="both"/>
        <w:rPr>
          <w:rFonts w:eastAsia="Calibri" w:cstheme="minorHAnsi"/>
          <w:i/>
          <w:iCs/>
          <w:color w:val="000000"/>
          <w:sz w:val="24"/>
          <w:szCs w:val="24"/>
        </w:rPr>
      </w:pPr>
      <w:proofErr w:type="spellStart"/>
      <w:r w:rsidRPr="00F42C15">
        <w:rPr>
          <w:rFonts w:eastAsia="Calibri" w:cstheme="minorHAnsi"/>
          <w:i/>
          <w:iCs/>
          <w:color w:val="000000"/>
          <w:sz w:val="24"/>
          <w:szCs w:val="24"/>
        </w:rPr>
        <w:t>Izvori</w:t>
      </w:r>
      <w:proofErr w:type="spellEnd"/>
      <w:r w:rsidRPr="00F42C15">
        <w:rPr>
          <w:rFonts w:eastAsia="Calibri" w:cstheme="minorHAnsi"/>
          <w:i/>
          <w:iCs/>
          <w:color w:val="000000"/>
          <w:sz w:val="24"/>
          <w:szCs w:val="24"/>
        </w:rPr>
        <w:t xml:space="preserve">: MMF, </w:t>
      </w:r>
      <w:proofErr w:type="spellStart"/>
      <w:r w:rsidRPr="00F42C15">
        <w:rPr>
          <w:rFonts w:eastAsia="Calibri" w:cstheme="minorHAnsi"/>
          <w:i/>
          <w:iCs/>
          <w:color w:val="000000"/>
          <w:sz w:val="24"/>
          <w:szCs w:val="24"/>
        </w:rPr>
        <w:t>kalkulacije</w:t>
      </w:r>
      <w:proofErr w:type="spellEnd"/>
      <w:r w:rsidRPr="00F42C15">
        <w:rPr>
          <w:rFonts w:eastAsia="Calibri" w:cstheme="minorHAnsi"/>
          <w:i/>
          <w:iCs/>
          <w:color w:val="000000"/>
          <w:sz w:val="24"/>
          <w:szCs w:val="24"/>
        </w:rPr>
        <w:t xml:space="preserve"> </w:t>
      </w:r>
      <w:proofErr w:type="spellStart"/>
      <w:r w:rsidRPr="00F42C15">
        <w:rPr>
          <w:rFonts w:eastAsia="Calibri" w:cstheme="minorHAnsi"/>
          <w:i/>
          <w:iCs/>
          <w:color w:val="000000"/>
          <w:sz w:val="24"/>
          <w:szCs w:val="24"/>
        </w:rPr>
        <w:t>autora</w:t>
      </w:r>
      <w:proofErr w:type="spellEnd"/>
    </w:p>
    <w:p w14:paraId="712BB409" w14:textId="22C10309" w:rsidR="00F23386" w:rsidRPr="00CE07A9" w:rsidRDefault="000F4629" w:rsidP="009364EF">
      <w:pPr>
        <w:spacing w:after="150" w:line="276" w:lineRule="auto"/>
        <w:jc w:val="both"/>
        <w:rPr>
          <w:rFonts w:cstheme="minorHAnsi"/>
          <w:kern w:val="0"/>
          <w:sz w:val="24"/>
          <w:szCs w:val="24"/>
          <w:lang w:val="pl-PL"/>
          <w14:ligatures w14:val="none"/>
        </w:rPr>
      </w:pPr>
      <w:r w:rsidRPr="00281886">
        <w:rPr>
          <w:rFonts w:eastAsia="Calibri" w:cstheme="minorHAnsi"/>
          <w:b/>
          <w:bCs/>
          <w:color w:val="000000"/>
          <w:sz w:val="24"/>
          <w:szCs w:val="24"/>
          <w:lang w:val="sr-Latn-ME"/>
        </w:rPr>
        <w:t>Nezaposlenost, naročito žena</w:t>
      </w:r>
      <w:r w:rsidR="002C25DD" w:rsidRPr="00281886">
        <w:rPr>
          <w:rFonts w:eastAsia="Calibri" w:cstheme="minorHAnsi"/>
          <w:b/>
          <w:bCs/>
          <w:color w:val="000000"/>
          <w:sz w:val="24"/>
          <w:szCs w:val="24"/>
          <w:lang w:val="sr-Latn-ME"/>
        </w:rPr>
        <w:t xml:space="preserve"> i</w:t>
      </w:r>
      <w:r w:rsidRPr="00281886">
        <w:rPr>
          <w:rFonts w:eastAsia="Calibri" w:cstheme="minorHAnsi"/>
          <w:b/>
          <w:bCs/>
          <w:color w:val="000000"/>
          <w:sz w:val="24"/>
          <w:szCs w:val="24"/>
          <w:lang w:val="sr-Latn-ME"/>
        </w:rPr>
        <w:t xml:space="preserve"> mladih i dugoročna nezaposlenost,  posebno onih sa najnižim stepenom obrazovanja</w:t>
      </w:r>
      <w:r w:rsidR="002C25DD" w:rsidRPr="00281886">
        <w:rPr>
          <w:rFonts w:eastAsia="Calibri" w:cstheme="minorHAnsi"/>
          <w:b/>
          <w:bCs/>
          <w:color w:val="000000"/>
          <w:sz w:val="24"/>
          <w:szCs w:val="24"/>
          <w:lang w:val="sr-Latn-ME"/>
        </w:rPr>
        <w:t xml:space="preserve"> je jedna od značajnih makroekono</w:t>
      </w:r>
      <w:r w:rsidR="00D45B03" w:rsidRPr="00281886">
        <w:rPr>
          <w:rFonts w:eastAsia="Calibri" w:cstheme="minorHAnsi"/>
          <w:b/>
          <w:bCs/>
          <w:color w:val="000000"/>
          <w:sz w:val="24"/>
          <w:szCs w:val="24"/>
          <w:lang w:val="sr-Latn-ME"/>
        </w:rPr>
        <w:t>mskih i s</w:t>
      </w:r>
      <w:r w:rsidR="002C25DD" w:rsidRPr="00281886">
        <w:rPr>
          <w:rFonts w:eastAsia="Calibri" w:cstheme="minorHAnsi"/>
          <w:b/>
          <w:bCs/>
          <w:color w:val="000000"/>
          <w:sz w:val="24"/>
          <w:szCs w:val="24"/>
          <w:lang w:val="sr-Latn-ME"/>
        </w:rPr>
        <w:t>trukturnih izazova</w:t>
      </w:r>
      <w:r w:rsidR="001427A5">
        <w:rPr>
          <w:rFonts w:eastAsia="Calibri" w:cstheme="minorHAnsi"/>
          <w:b/>
          <w:bCs/>
          <w:color w:val="000000"/>
          <w:sz w:val="24"/>
          <w:szCs w:val="24"/>
          <w:lang w:val="sr-Latn-ME"/>
        </w:rPr>
        <w:t xml:space="preserve"> koji utiče na neformalnu ekonomiju</w:t>
      </w:r>
      <w:r w:rsidR="002C25DD" w:rsidRPr="00281886">
        <w:rPr>
          <w:rFonts w:eastAsia="Calibri" w:cstheme="minorHAnsi"/>
          <w:b/>
          <w:bCs/>
          <w:color w:val="000000"/>
          <w:sz w:val="24"/>
          <w:szCs w:val="24"/>
          <w:lang w:val="sr-Latn-ME"/>
        </w:rPr>
        <w:t xml:space="preserve">. </w:t>
      </w:r>
      <w:r w:rsidR="00CF13C6" w:rsidRPr="00CE07A9">
        <w:rPr>
          <w:rFonts w:cstheme="minorHAnsi"/>
          <w:kern w:val="0"/>
          <w:sz w:val="24"/>
          <w:szCs w:val="24"/>
          <w:lang w:val="pl-PL"/>
          <w14:ligatures w14:val="none"/>
        </w:rPr>
        <w:t xml:space="preserve">Veliki je </w:t>
      </w:r>
      <w:r w:rsidR="001613D9" w:rsidRPr="00281886">
        <w:rPr>
          <w:rFonts w:cstheme="minorHAnsi"/>
          <w:kern w:val="0"/>
          <w:sz w:val="24"/>
          <w:szCs w:val="24"/>
          <w:lang w:val="sr-Latn-ME"/>
          <w14:ligatures w14:val="none"/>
        </w:rPr>
        <w:t xml:space="preserve">jaz u </w:t>
      </w:r>
      <w:r w:rsidR="00CF13C6" w:rsidRPr="00281886">
        <w:rPr>
          <w:rFonts w:cstheme="minorHAnsi"/>
          <w:kern w:val="0"/>
          <w:sz w:val="24"/>
          <w:szCs w:val="24"/>
          <w:lang w:val="sr-Latn-ME"/>
          <w14:ligatures w14:val="none"/>
        </w:rPr>
        <w:t xml:space="preserve">nezaposlenosti </w:t>
      </w:r>
      <w:r w:rsidR="001613D9" w:rsidRPr="00281886">
        <w:rPr>
          <w:rFonts w:cstheme="minorHAnsi"/>
          <w:kern w:val="0"/>
          <w:sz w:val="24"/>
          <w:szCs w:val="24"/>
          <w:lang w:val="sr-Latn-ME"/>
          <w14:ligatures w14:val="none"/>
        </w:rPr>
        <w:t>muškaraca i žena, budući da</w:t>
      </w:r>
      <w:r w:rsidR="00CF13C6" w:rsidRPr="00281886">
        <w:rPr>
          <w:rFonts w:cstheme="minorHAnsi"/>
          <w:kern w:val="0"/>
          <w:sz w:val="24"/>
          <w:szCs w:val="24"/>
          <w:lang w:val="sr-Latn-ME"/>
          <w14:ligatures w14:val="none"/>
        </w:rPr>
        <w:t xml:space="preserve">, </w:t>
      </w:r>
      <w:r w:rsidR="001613D9" w:rsidRPr="00281886">
        <w:rPr>
          <w:rFonts w:cstheme="minorHAnsi"/>
          <w:kern w:val="0"/>
          <w:sz w:val="24"/>
          <w:szCs w:val="24"/>
          <w:lang w:val="sr-Latn-ME"/>
          <w14:ligatures w14:val="none"/>
        </w:rPr>
        <w:t>o</w:t>
      </w:r>
      <w:r w:rsidR="001613D9" w:rsidRPr="00CE07A9">
        <w:rPr>
          <w:rFonts w:cstheme="minorHAnsi"/>
          <w:kern w:val="0"/>
          <w:sz w:val="24"/>
          <w:szCs w:val="24"/>
          <w:lang w:val="pl-PL"/>
          <w14:ligatures w14:val="none"/>
        </w:rPr>
        <w:t xml:space="preserve">d ukupnog broja </w:t>
      </w:r>
      <w:r w:rsidR="00AC7373" w:rsidRPr="00CE07A9">
        <w:rPr>
          <w:rFonts w:cstheme="minorHAnsi"/>
          <w:kern w:val="0"/>
          <w:sz w:val="24"/>
          <w:szCs w:val="24"/>
          <w:lang w:val="pl-PL"/>
          <w14:ligatures w14:val="none"/>
        </w:rPr>
        <w:t>ne</w:t>
      </w:r>
      <w:r w:rsidR="001613D9" w:rsidRPr="00CE07A9">
        <w:rPr>
          <w:rFonts w:cstheme="minorHAnsi"/>
          <w:kern w:val="0"/>
          <w:sz w:val="24"/>
          <w:szCs w:val="24"/>
          <w:lang w:val="pl-PL"/>
          <w14:ligatures w14:val="none"/>
        </w:rPr>
        <w:t>zaposlenih</w:t>
      </w:r>
      <w:r w:rsidR="00AC7373" w:rsidRPr="00CE07A9">
        <w:rPr>
          <w:rFonts w:cstheme="minorHAnsi"/>
          <w:kern w:val="0"/>
          <w:sz w:val="24"/>
          <w:szCs w:val="24"/>
          <w:lang w:val="pl-PL"/>
          <w14:ligatures w14:val="none"/>
        </w:rPr>
        <w:t xml:space="preserve"> kojih je bio 40.304 na kraju juna 2023. godine, </w:t>
      </w:r>
      <w:r w:rsidR="00CF13C6" w:rsidRPr="00CE07A9">
        <w:rPr>
          <w:rFonts w:cstheme="minorHAnsi"/>
          <w:kern w:val="0"/>
          <w:sz w:val="24"/>
          <w:szCs w:val="24"/>
          <w:lang w:val="pl-PL"/>
          <w14:ligatures w14:val="none"/>
        </w:rPr>
        <w:t>čak 57,7</w:t>
      </w:r>
      <w:r w:rsidR="00AC7373" w:rsidRPr="00CE07A9">
        <w:rPr>
          <w:rFonts w:cstheme="minorHAnsi"/>
          <w:kern w:val="0"/>
          <w:sz w:val="24"/>
          <w:szCs w:val="24"/>
          <w:lang w:val="pl-PL"/>
          <w14:ligatures w14:val="none"/>
        </w:rPr>
        <w:t>%</w:t>
      </w:r>
      <w:r w:rsidR="001613D9" w:rsidRPr="00CE07A9">
        <w:rPr>
          <w:rFonts w:cstheme="minorHAnsi"/>
          <w:kern w:val="0"/>
          <w:sz w:val="24"/>
          <w:szCs w:val="24"/>
          <w:lang w:val="pl-PL"/>
          <w14:ligatures w14:val="none"/>
        </w:rPr>
        <w:t xml:space="preserve"> čine</w:t>
      </w:r>
      <w:r w:rsidR="00CF13C6" w:rsidRPr="00CE07A9">
        <w:rPr>
          <w:rFonts w:cstheme="minorHAnsi"/>
          <w:kern w:val="0"/>
          <w:sz w:val="24"/>
          <w:szCs w:val="24"/>
          <w:lang w:val="pl-PL"/>
          <w14:ligatures w14:val="none"/>
        </w:rPr>
        <w:t xml:space="preserve"> </w:t>
      </w:r>
      <w:r w:rsidR="001613D9" w:rsidRPr="00CE07A9">
        <w:rPr>
          <w:rFonts w:cstheme="minorHAnsi"/>
          <w:kern w:val="0"/>
          <w:sz w:val="24"/>
          <w:szCs w:val="24"/>
          <w:lang w:val="pl-PL"/>
          <w14:ligatures w14:val="none"/>
        </w:rPr>
        <w:t>žene</w:t>
      </w:r>
      <w:r w:rsidR="00AC7373" w:rsidRPr="00CE07A9">
        <w:rPr>
          <w:rFonts w:cstheme="minorHAnsi"/>
          <w:kern w:val="0"/>
          <w:sz w:val="24"/>
          <w:szCs w:val="24"/>
          <w:lang w:val="pl-PL"/>
          <w14:ligatures w14:val="none"/>
        </w:rPr>
        <w:t>.</w:t>
      </w:r>
      <w:r w:rsidR="00CF13C6" w:rsidRPr="00CE07A9">
        <w:rPr>
          <w:rFonts w:cstheme="minorHAnsi"/>
          <w:kern w:val="0"/>
          <w:sz w:val="24"/>
          <w:szCs w:val="24"/>
          <w:lang w:val="pl-PL"/>
          <w14:ligatures w14:val="none"/>
        </w:rPr>
        <w:t xml:space="preserve"> Iako </w:t>
      </w:r>
      <w:r w:rsidR="00F23386" w:rsidRPr="00CE07A9">
        <w:rPr>
          <w:rFonts w:cstheme="minorHAnsi"/>
          <w:kern w:val="0"/>
          <w:sz w:val="24"/>
          <w:szCs w:val="24"/>
          <w:lang w:val="pl-PL"/>
          <w14:ligatures w14:val="none"/>
        </w:rPr>
        <w:t>je smanjen za oko 5.000 lica u posljednjih godinu dana, i oko 10.000 lica u odnosu na jun 2021.godine kao post-COVID 19 period</w:t>
      </w:r>
      <w:r w:rsidR="001613D9" w:rsidRPr="00CE07A9">
        <w:rPr>
          <w:rFonts w:cstheme="minorHAnsi"/>
          <w:kern w:val="0"/>
          <w:sz w:val="24"/>
          <w:szCs w:val="24"/>
          <w:lang w:val="pl-PL"/>
          <w14:ligatures w14:val="none"/>
        </w:rPr>
        <w:t xml:space="preserve">, </w:t>
      </w:r>
      <w:r w:rsidR="00AC7373" w:rsidRPr="00CE07A9">
        <w:rPr>
          <w:rFonts w:cstheme="minorHAnsi"/>
          <w:kern w:val="0"/>
          <w:sz w:val="24"/>
          <w:szCs w:val="24"/>
          <w:lang w:val="pl-PL"/>
          <w14:ligatures w14:val="none"/>
        </w:rPr>
        <w:t xml:space="preserve">broj nezaposlenih, uz stopu nezaposlenosi od </w:t>
      </w:r>
      <w:r w:rsidR="003B02BE">
        <w:rPr>
          <w:rFonts w:cstheme="minorHAnsi"/>
          <w:kern w:val="0"/>
          <w:sz w:val="24"/>
          <w:szCs w:val="24"/>
          <w:lang w:val="pl-PL"/>
          <w14:ligatures w14:val="none"/>
        </w:rPr>
        <w:t>1</w:t>
      </w:r>
      <w:r w:rsidR="00AC7373" w:rsidRPr="00CE07A9">
        <w:rPr>
          <w:rFonts w:cstheme="minorHAnsi"/>
          <w:kern w:val="0"/>
          <w:sz w:val="24"/>
          <w:szCs w:val="24"/>
          <w:lang w:val="pl-PL"/>
          <w14:ligatures w14:val="none"/>
        </w:rPr>
        <w:t xml:space="preserve">7,4% </w:t>
      </w:r>
      <w:r w:rsidR="001613D9" w:rsidRPr="00CE07A9">
        <w:rPr>
          <w:rFonts w:cstheme="minorHAnsi"/>
          <w:kern w:val="0"/>
          <w:sz w:val="24"/>
          <w:szCs w:val="24"/>
          <w:lang w:val="pl-PL"/>
          <w14:ligatures w14:val="none"/>
        </w:rPr>
        <w:t xml:space="preserve">je i dalje visok. </w:t>
      </w:r>
      <w:r w:rsidR="00AC7373" w:rsidRPr="00CE07A9">
        <w:rPr>
          <w:rFonts w:cstheme="minorHAnsi"/>
          <w:kern w:val="0"/>
          <w:sz w:val="24"/>
          <w:szCs w:val="24"/>
          <w:lang w:val="pl-PL"/>
          <w14:ligatures w14:val="none"/>
        </w:rPr>
        <w:t>P</w:t>
      </w:r>
      <w:r w:rsidR="002C25DD" w:rsidRPr="00CE07A9">
        <w:rPr>
          <w:rFonts w:cstheme="minorHAnsi"/>
          <w:kern w:val="0"/>
          <w:sz w:val="24"/>
          <w:szCs w:val="24"/>
          <w:lang w:val="pl-PL"/>
          <w14:ligatures w14:val="none"/>
        </w:rPr>
        <w:t>r</w:t>
      </w:r>
      <w:r w:rsidR="00AC7373" w:rsidRPr="00CE07A9">
        <w:rPr>
          <w:rFonts w:cstheme="minorHAnsi"/>
          <w:kern w:val="0"/>
          <w:sz w:val="24"/>
          <w:szCs w:val="24"/>
          <w:lang w:val="pl-PL"/>
          <w14:ligatures w14:val="none"/>
        </w:rPr>
        <w:t>i tome</w:t>
      </w:r>
      <w:r w:rsidR="002C25DD" w:rsidRPr="00CE07A9">
        <w:rPr>
          <w:rFonts w:cstheme="minorHAnsi"/>
          <w:kern w:val="0"/>
          <w:sz w:val="24"/>
          <w:szCs w:val="24"/>
          <w:lang w:val="pl-PL"/>
          <w14:ligatures w14:val="none"/>
        </w:rPr>
        <w:t xml:space="preserve"> je najveći udio dugoročno nezapos</w:t>
      </w:r>
      <w:r w:rsidR="00A6463F" w:rsidRPr="00CE07A9">
        <w:rPr>
          <w:rFonts w:cstheme="minorHAnsi"/>
          <w:kern w:val="0"/>
          <w:sz w:val="24"/>
          <w:szCs w:val="24"/>
          <w:lang w:val="pl-PL"/>
          <w14:ligatures w14:val="none"/>
        </w:rPr>
        <w:t>le</w:t>
      </w:r>
      <w:r w:rsidR="002C25DD" w:rsidRPr="00CE07A9">
        <w:rPr>
          <w:rFonts w:cstheme="minorHAnsi"/>
          <w:kern w:val="0"/>
          <w:sz w:val="24"/>
          <w:szCs w:val="24"/>
          <w:lang w:val="pl-PL"/>
          <w14:ligatures w14:val="none"/>
        </w:rPr>
        <w:t xml:space="preserve">nih, budući da čak 17.812 lica na kraju juna 2023.godine ili 44,2% nezaposlenih traži zaposlenje duže od  tri godine,  a čak 56% njih su </w:t>
      </w:r>
      <w:r w:rsidR="002C25DD" w:rsidRPr="00CE07A9">
        <w:rPr>
          <w:rFonts w:cstheme="minorHAnsi"/>
          <w:kern w:val="0"/>
          <w:sz w:val="24"/>
          <w:szCs w:val="24"/>
          <w:lang w:val="pl-PL"/>
          <w14:ligatures w14:val="none"/>
        </w:rPr>
        <w:lastRenderedPageBreak/>
        <w:t xml:space="preserve">žene. </w:t>
      </w:r>
      <w:r w:rsidR="00CF13C6" w:rsidRPr="00CE07A9">
        <w:rPr>
          <w:rFonts w:cstheme="minorHAnsi"/>
          <w:kern w:val="0"/>
          <w:sz w:val="24"/>
          <w:szCs w:val="24"/>
          <w:lang w:val="pl-PL"/>
          <w14:ligatures w14:val="none"/>
        </w:rPr>
        <w:t xml:space="preserve">Pri tome, </w:t>
      </w:r>
      <w:r w:rsidR="002C25DD" w:rsidRPr="00CE07A9">
        <w:rPr>
          <w:rFonts w:cstheme="minorHAnsi"/>
          <w:kern w:val="0"/>
          <w:sz w:val="24"/>
          <w:szCs w:val="24"/>
          <w:lang w:val="pl-PL"/>
          <w14:ligatures w14:val="none"/>
        </w:rPr>
        <w:t xml:space="preserve">nezaposleni koji su </w:t>
      </w:r>
      <w:r w:rsidR="00CF13C6" w:rsidRPr="00CE07A9">
        <w:rPr>
          <w:rFonts w:cstheme="minorHAnsi"/>
          <w:kern w:val="0"/>
          <w:sz w:val="24"/>
          <w:szCs w:val="24"/>
          <w:lang w:val="pl-PL"/>
          <w14:ligatures w14:val="none"/>
        </w:rPr>
        <w:t xml:space="preserve">korisnici socijalne pomoći ili naknada po osnovu nezaposlenosti </w:t>
      </w:r>
      <w:r w:rsidR="001427A5" w:rsidRPr="00CE07A9">
        <w:rPr>
          <w:rFonts w:cstheme="minorHAnsi"/>
          <w:kern w:val="0"/>
          <w:sz w:val="24"/>
          <w:szCs w:val="24"/>
          <w:lang w:val="pl-PL"/>
          <w14:ligatures w14:val="none"/>
        </w:rPr>
        <w:t xml:space="preserve">često </w:t>
      </w:r>
      <w:r w:rsidR="00CF13C6" w:rsidRPr="00CE07A9">
        <w:rPr>
          <w:rFonts w:cstheme="minorHAnsi"/>
          <w:kern w:val="0"/>
          <w:sz w:val="24"/>
          <w:szCs w:val="24"/>
          <w:lang w:val="pl-PL"/>
          <w14:ligatures w14:val="none"/>
        </w:rPr>
        <w:t>imaj</w:t>
      </w:r>
      <w:r w:rsidR="002C25DD" w:rsidRPr="00CE07A9">
        <w:rPr>
          <w:rFonts w:cstheme="minorHAnsi"/>
          <w:kern w:val="0"/>
          <w:sz w:val="24"/>
          <w:szCs w:val="24"/>
          <w:lang w:val="pl-PL"/>
          <w14:ligatures w14:val="none"/>
        </w:rPr>
        <w:t>u</w:t>
      </w:r>
      <w:r w:rsidR="00CF13C6" w:rsidRPr="00CE07A9">
        <w:rPr>
          <w:rFonts w:cstheme="minorHAnsi"/>
          <w:kern w:val="0"/>
          <w:sz w:val="24"/>
          <w:szCs w:val="24"/>
          <w:lang w:val="pl-PL"/>
          <w14:ligatures w14:val="none"/>
        </w:rPr>
        <w:t xml:space="preserve"> neformalne radne a</w:t>
      </w:r>
      <w:r w:rsidR="006C691C">
        <w:rPr>
          <w:rFonts w:cstheme="minorHAnsi"/>
          <w:kern w:val="0"/>
          <w:sz w:val="24"/>
          <w:szCs w:val="24"/>
          <w:lang w:val="pl-PL"/>
          <w14:ligatures w14:val="none"/>
        </w:rPr>
        <w:t>ran</w:t>
      </w:r>
      <w:r w:rsidR="00CF13C6" w:rsidRPr="00CE07A9">
        <w:rPr>
          <w:rFonts w:cstheme="minorHAnsi"/>
          <w:kern w:val="0"/>
          <w:sz w:val="24"/>
          <w:szCs w:val="24"/>
          <w:lang w:val="pl-PL"/>
          <w14:ligatures w14:val="none"/>
        </w:rPr>
        <w:t>žmane,</w:t>
      </w:r>
      <w:r w:rsidR="002C25DD" w:rsidRPr="00CE07A9">
        <w:rPr>
          <w:rFonts w:cstheme="minorHAnsi"/>
          <w:kern w:val="0"/>
          <w:sz w:val="24"/>
          <w:szCs w:val="24"/>
          <w:lang w:val="pl-PL"/>
          <w14:ligatures w14:val="none"/>
        </w:rPr>
        <w:t xml:space="preserve"> </w:t>
      </w:r>
      <w:r w:rsidR="001427A5" w:rsidRPr="00CE07A9">
        <w:rPr>
          <w:rFonts w:cstheme="minorHAnsi"/>
          <w:kern w:val="0"/>
          <w:sz w:val="24"/>
          <w:szCs w:val="24"/>
          <w:lang w:val="pl-PL"/>
          <w14:ligatures w14:val="none"/>
        </w:rPr>
        <w:t>naročito</w:t>
      </w:r>
      <w:r w:rsidR="002C25DD" w:rsidRPr="00CE07A9">
        <w:rPr>
          <w:rFonts w:cstheme="minorHAnsi"/>
          <w:kern w:val="0"/>
          <w:sz w:val="24"/>
          <w:szCs w:val="24"/>
          <w:lang w:val="pl-PL"/>
          <w14:ligatures w14:val="none"/>
        </w:rPr>
        <w:t xml:space="preserve"> u sezoni,</w:t>
      </w:r>
      <w:r w:rsidR="00CF13C6" w:rsidRPr="00CE07A9">
        <w:rPr>
          <w:rFonts w:cstheme="minorHAnsi"/>
          <w:kern w:val="0"/>
          <w:sz w:val="24"/>
          <w:szCs w:val="24"/>
          <w:lang w:val="pl-PL"/>
          <w14:ligatures w14:val="none"/>
        </w:rPr>
        <w:t xml:space="preserve"> </w:t>
      </w:r>
      <w:r w:rsidR="002C25DD" w:rsidRPr="00CE07A9">
        <w:rPr>
          <w:rFonts w:cstheme="minorHAnsi"/>
          <w:kern w:val="0"/>
          <w:sz w:val="24"/>
          <w:szCs w:val="24"/>
          <w:lang w:val="pl-PL"/>
          <w14:ligatures w14:val="none"/>
        </w:rPr>
        <w:t xml:space="preserve"> koje uglavnom ne formalizuju</w:t>
      </w:r>
      <w:r w:rsidR="00CF13C6" w:rsidRPr="00CE07A9">
        <w:rPr>
          <w:rFonts w:cstheme="minorHAnsi"/>
          <w:kern w:val="0"/>
          <w:sz w:val="24"/>
          <w:szCs w:val="24"/>
          <w:lang w:val="pl-PL"/>
          <w14:ligatures w14:val="none"/>
        </w:rPr>
        <w:t xml:space="preserve">, budući da bi  formalizacijom zaposlenja izgubili </w:t>
      </w:r>
      <w:r w:rsidR="00D45B03" w:rsidRPr="00CE07A9">
        <w:rPr>
          <w:rFonts w:cstheme="minorHAnsi"/>
          <w:kern w:val="0"/>
          <w:sz w:val="24"/>
          <w:szCs w:val="24"/>
          <w:lang w:val="pl-PL"/>
          <w14:ligatures w14:val="none"/>
        </w:rPr>
        <w:t>prava po</w:t>
      </w:r>
      <w:r w:rsidR="003B02BE">
        <w:rPr>
          <w:rFonts w:cstheme="minorHAnsi"/>
          <w:kern w:val="0"/>
          <w:sz w:val="24"/>
          <w:szCs w:val="24"/>
          <w:lang w:val="pl-PL"/>
          <w14:ligatures w14:val="none"/>
        </w:rPr>
        <w:t xml:space="preserve"> o</w:t>
      </w:r>
      <w:r w:rsidR="00D45B03" w:rsidRPr="00CE07A9">
        <w:rPr>
          <w:rFonts w:cstheme="minorHAnsi"/>
          <w:kern w:val="0"/>
          <w:sz w:val="24"/>
          <w:szCs w:val="24"/>
          <w:lang w:val="pl-PL"/>
          <w14:ligatures w14:val="none"/>
        </w:rPr>
        <w:t>snovu</w:t>
      </w:r>
      <w:r w:rsidR="002C25DD" w:rsidRPr="00CE07A9">
        <w:rPr>
          <w:rFonts w:cstheme="minorHAnsi"/>
          <w:kern w:val="0"/>
          <w:sz w:val="24"/>
          <w:szCs w:val="24"/>
          <w:lang w:val="pl-PL"/>
          <w14:ligatures w14:val="none"/>
        </w:rPr>
        <w:t xml:space="preserve"> socijalne</w:t>
      </w:r>
      <w:r w:rsidR="00CF13C6" w:rsidRPr="00CE07A9">
        <w:rPr>
          <w:rFonts w:cstheme="minorHAnsi"/>
          <w:kern w:val="0"/>
          <w:sz w:val="24"/>
          <w:szCs w:val="24"/>
          <w:lang w:val="pl-PL"/>
          <w14:ligatures w14:val="none"/>
        </w:rPr>
        <w:t xml:space="preserve"> pomoć</w:t>
      </w:r>
      <w:r w:rsidR="002C25DD" w:rsidRPr="00CE07A9">
        <w:rPr>
          <w:rFonts w:cstheme="minorHAnsi"/>
          <w:kern w:val="0"/>
          <w:sz w:val="24"/>
          <w:szCs w:val="24"/>
          <w:lang w:val="pl-PL"/>
          <w14:ligatures w14:val="none"/>
        </w:rPr>
        <w:t>i</w:t>
      </w:r>
      <w:r w:rsidR="00CF13C6" w:rsidRPr="00CE07A9">
        <w:rPr>
          <w:rFonts w:cstheme="minorHAnsi"/>
          <w:kern w:val="0"/>
          <w:sz w:val="24"/>
          <w:szCs w:val="24"/>
          <w:lang w:val="pl-PL"/>
          <w14:ligatures w14:val="none"/>
        </w:rPr>
        <w:t xml:space="preserve">. </w:t>
      </w:r>
    </w:p>
    <w:p w14:paraId="1FC63A44" w14:textId="23614851" w:rsidR="000A5AFA" w:rsidRPr="00895772" w:rsidRDefault="000A5AFA" w:rsidP="009364EF">
      <w:pPr>
        <w:spacing w:after="150" w:line="276" w:lineRule="auto"/>
        <w:jc w:val="both"/>
        <w:rPr>
          <w:rFonts w:eastAsia="Calibri" w:cstheme="minorHAnsi"/>
          <w:color w:val="000000"/>
          <w:sz w:val="24"/>
          <w:szCs w:val="24"/>
          <w:lang w:val="pl-PL"/>
        </w:rPr>
      </w:pPr>
      <w:r w:rsidRPr="00021CDC">
        <w:rPr>
          <w:rFonts w:eastAsia="Calibri" w:cstheme="minorHAnsi"/>
          <w:color w:val="000000"/>
          <w:sz w:val="24"/>
          <w:szCs w:val="24"/>
          <w:lang w:val="pl-PL"/>
        </w:rPr>
        <w:t xml:space="preserve">Kada su u pitanju žene, </w:t>
      </w:r>
      <w:r w:rsidR="00A6463F" w:rsidRPr="00021CDC">
        <w:rPr>
          <w:rFonts w:eastAsia="Calibri" w:cstheme="minorHAnsi"/>
          <w:color w:val="000000"/>
          <w:sz w:val="24"/>
          <w:szCs w:val="24"/>
          <w:lang w:val="pl-PL"/>
        </w:rPr>
        <w:t xml:space="preserve">takodje je </w:t>
      </w:r>
      <w:r w:rsidRPr="00021CDC">
        <w:rPr>
          <w:rFonts w:eastAsia="Calibri" w:cstheme="minorHAnsi"/>
          <w:color w:val="000000"/>
          <w:sz w:val="24"/>
          <w:szCs w:val="24"/>
          <w:lang w:val="pl-PL"/>
        </w:rPr>
        <w:t>veoma važno prepoznati problem neplaćenog kućnog rada koji u 92% slučajeva obavljaju žene u Crnoj Gori, a čija je vrijednost procijenjena na 122 miliona tokom tri mjeseca trajanja pandemije COVID-19</w:t>
      </w:r>
      <w:r w:rsidRPr="00281886">
        <w:rPr>
          <w:rFonts w:eastAsia="Calibri" w:cstheme="minorHAnsi"/>
          <w:color w:val="000000"/>
          <w:sz w:val="24"/>
          <w:szCs w:val="24"/>
          <w:vertAlign w:val="superscript"/>
        </w:rPr>
        <w:footnoteReference w:id="10"/>
      </w:r>
      <w:r w:rsidRPr="00021CDC">
        <w:rPr>
          <w:rFonts w:eastAsia="Calibri" w:cstheme="minorHAnsi"/>
          <w:color w:val="000000"/>
          <w:sz w:val="24"/>
          <w:szCs w:val="24"/>
          <w:lang w:val="pl-PL"/>
        </w:rPr>
        <w:t>.  Jedan od razloga toga je i što zakonodavni okvir tržišta rada nije u dovoljnoj mjeri fleksibilan i prilagodljiv savremenim okolnostima. Potrebna je</w:t>
      </w:r>
      <w:r w:rsidR="00895772">
        <w:rPr>
          <w:rFonts w:eastAsia="Calibri" w:cstheme="minorHAnsi"/>
          <w:color w:val="000000"/>
          <w:sz w:val="24"/>
          <w:szCs w:val="24"/>
          <w:lang w:val="pl-PL"/>
        </w:rPr>
        <w:t xml:space="preserve"> njegova veća fleksibilnost koja će pratiti</w:t>
      </w:r>
      <w:r w:rsidRPr="00021CDC">
        <w:rPr>
          <w:rFonts w:eastAsia="Calibri" w:cstheme="minorHAnsi"/>
          <w:color w:val="000000"/>
          <w:sz w:val="24"/>
          <w:szCs w:val="24"/>
          <w:lang w:val="pl-PL"/>
        </w:rPr>
        <w:t xml:space="preserve"> digitalne promjene, definisanjem novih šema rada koje omogućavaju rad na daljinu, dodatno unaprijeđenje rada od kuće (teleworking), a sve u kontekstu socijalne zaštite zaposlenih ove ciljne grupe i obezbjeđivanja dostojanstvenog radnog mjesta.</w:t>
      </w:r>
      <w:r w:rsidRPr="00281886">
        <w:rPr>
          <w:rFonts w:eastAsia="Calibri" w:cstheme="minorHAnsi"/>
          <w:color w:val="000000"/>
          <w:sz w:val="24"/>
          <w:szCs w:val="24"/>
          <w:lang w:val="sr-Latn-ME"/>
        </w:rPr>
        <w:t xml:space="preserve"> </w:t>
      </w:r>
    </w:p>
    <w:p w14:paraId="2244C5F4" w14:textId="491DFDA2" w:rsidR="00E578DF" w:rsidRPr="00281886" w:rsidRDefault="00E578DF" w:rsidP="009364EF">
      <w:pPr>
        <w:spacing w:after="150" w:line="276" w:lineRule="auto"/>
        <w:jc w:val="both"/>
        <w:rPr>
          <w:rFonts w:eastAsia="Calibri" w:cstheme="minorHAnsi"/>
          <w:color w:val="000000"/>
          <w:sz w:val="24"/>
          <w:szCs w:val="24"/>
          <w:lang w:val="sr-Latn-ME"/>
        </w:rPr>
      </w:pPr>
      <w:r>
        <w:rPr>
          <w:rFonts w:eastAsia="Calibri" w:cstheme="minorHAnsi"/>
          <w:color w:val="000000"/>
          <w:sz w:val="24"/>
          <w:szCs w:val="24"/>
          <w:lang w:val="sr-Latn-ME"/>
        </w:rPr>
        <w:t xml:space="preserve">NEET </w:t>
      </w:r>
      <w:r w:rsidR="003B02BE">
        <w:rPr>
          <w:rFonts w:eastAsia="Calibri" w:cstheme="minorHAnsi"/>
          <w:color w:val="000000"/>
          <w:sz w:val="24"/>
          <w:szCs w:val="24"/>
          <w:lang w:val="sr-Latn-ME"/>
        </w:rPr>
        <w:t xml:space="preserve">stopa koja se odnosi na mlade dobi 15-29 </w:t>
      </w:r>
      <w:r>
        <w:rPr>
          <w:rFonts w:eastAsia="Calibri" w:cstheme="minorHAnsi"/>
          <w:color w:val="000000"/>
          <w:sz w:val="24"/>
          <w:szCs w:val="24"/>
          <w:lang w:val="sr-Latn-ME"/>
        </w:rPr>
        <w:t>je i d</w:t>
      </w:r>
      <w:r w:rsidR="00403D11">
        <w:rPr>
          <w:rFonts w:eastAsia="Calibri" w:cstheme="minorHAnsi"/>
          <w:color w:val="000000"/>
          <w:sz w:val="24"/>
          <w:szCs w:val="24"/>
          <w:lang w:val="sr-Latn-ME"/>
        </w:rPr>
        <w:t>al</w:t>
      </w:r>
      <w:r>
        <w:rPr>
          <w:rFonts w:eastAsia="Calibri" w:cstheme="minorHAnsi"/>
          <w:color w:val="000000"/>
          <w:sz w:val="24"/>
          <w:szCs w:val="24"/>
          <w:lang w:val="sr-Latn-ME"/>
        </w:rPr>
        <w:t>je visoka, i prema podacima iz 2021. godine je iznosila 26,5%, što je znatno iznad EU prosjeka.</w:t>
      </w:r>
    </w:p>
    <w:p w14:paraId="4BDBB92D" w14:textId="783375C6" w:rsidR="002346A4" w:rsidRDefault="002C25DD" w:rsidP="009364EF">
      <w:pPr>
        <w:spacing w:after="150" w:line="276" w:lineRule="auto"/>
        <w:jc w:val="both"/>
        <w:rPr>
          <w:rFonts w:eastAsia="Calibri" w:cstheme="minorHAnsi"/>
          <w:color w:val="000000"/>
          <w:sz w:val="24"/>
          <w:szCs w:val="24"/>
          <w:lang w:val="sr-Latn-ME"/>
        </w:rPr>
      </w:pPr>
      <w:r w:rsidRPr="00281886">
        <w:rPr>
          <w:rFonts w:eastAsia="Calibri" w:cstheme="minorHAnsi"/>
          <w:color w:val="000000"/>
          <w:sz w:val="24"/>
          <w:szCs w:val="24"/>
          <w:lang w:val="sr-Latn-ME"/>
        </w:rPr>
        <w:t>Upore</w:t>
      </w:r>
      <w:r w:rsidR="00844F63">
        <w:rPr>
          <w:rFonts w:eastAsia="Calibri" w:cstheme="minorHAnsi"/>
          <w:color w:val="000000"/>
          <w:sz w:val="24"/>
          <w:szCs w:val="24"/>
          <w:lang w:val="sr-Latn-ME"/>
        </w:rPr>
        <w:t>đ</w:t>
      </w:r>
      <w:r w:rsidRPr="00281886">
        <w:rPr>
          <w:rFonts w:eastAsia="Calibri" w:cstheme="minorHAnsi"/>
          <w:color w:val="000000"/>
          <w:sz w:val="24"/>
          <w:szCs w:val="24"/>
          <w:lang w:val="sr-Latn-ME"/>
        </w:rPr>
        <w:t>ivanjem podataka o nezaposlenosti iz administrativnih i anketnih izvora na kraju prvog kvartala 2023.</w:t>
      </w:r>
      <w:r w:rsidR="003422A7" w:rsidRPr="00281886">
        <w:rPr>
          <w:rFonts w:eastAsia="Calibri" w:cstheme="minorHAnsi"/>
          <w:color w:val="000000"/>
          <w:sz w:val="24"/>
          <w:szCs w:val="24"/>
          <w:lang w:val="sr-Latn-ME"/>
        </w:rPr>
        <w:t xml:space="preserve"> </w:t>
      </w:r>
      <w:r w:rsidRPr="00281886">
        <w:rPr>
          <w:rFonts w:eastAsia="Calibri" w:cstheme="minorHAnsi"/>
          <w:color w:val="000000"/>
          <w:sz w:val="24"/>
          <w:szCs w:val="24"/>
          <w:lang w:val="sr-Latn-ME"/>
        </w:rPr>
        <w:t>godine, b</w:t>
      </w:r>
      <w:r w:rsidR="003422A7" w:rsidRPr="00281886">
        <w:rPr>
          <w:rFonts w:eastAsia="Calibri" w:cstheme="minorHAnsi"/>
          <w:color w:val="000000"/>
          <w:sz w:val="24"/>
          <w:szCs w:val="24"/>
          <w:lang w:val="sr-Latn-ME"/>
        </w:rPr>
        <w:t>r</w:t>
      </w:r>
      <w:r w:rsidRPr="00281886">
        <w:rPr>
          <w:rFonts w:eastAsia="Calibri" w:cstheme="minorHAnsi"/>
          <w:color w:val="000000"/>
          <w:sz w:val="24"/>
          <w:szCs w:val="24"/>
          <w:lang w:val="sr-Latn-ME"/>
        </w:rPr>
        <w:t xml:space="preserve">oj nezaposlenih prema anketi je bio 47.400, dok je broj </w:t>
      </w:r>
      <w:r w:rsidR="003422A7" w:rsidRPr="00281886">
        <w:rPr>
          <w:rFonts w:eastAsia="Calibri" w:cstheme="minorHAnsi"/>
          <w:color w:val="000000"/>
          <w:sz w:val="24"/>
          <w:szCs w:val="24"/>
          <w:lang w:val="sr-Latn-ME"/>
        </w:rPr>
        <w:t>nezaposlenih</w:t>
      </w:r>
      <w:r w:rsidRPr="00281886">
        <w:rPr>
          <w:rFonts w:eastAsia="Calibri" w:cstheme="minorHAnsi"/>
          <w:color w:val="000000"/>
          <w:sz w:val="24"/>
          <w:szCs w:val="24"/>
          <w:lang w:val="sr-Latn-ME"/>
        </w:rPr>
        <w:t xml:space="preserve"> prema administ</w:t>
      </w:r>
      <w:r w:rsidR="003422A7" w:rsidRPr="00281886">
        <w:rPr>
          <w:rFonts w:eastAsia="Calibri" w:cstheme="minorHAnsi"/>
          <w:color w:val="000000"/>
          <w:sz w:val="24"/>
          <w:szCs w:val="24"/>
          <w:lang w:val="sr-Latn-ME"/>
        </w:rPr>
        <w:t>ra</w:t>
      </w:r>
      <w:r w:rsidRPr="00281886">
        <w:rPr>
          <w:rFonts w:eastAsia="Calibri" w:cstheme="minorHAnsi"/>
          <w:color w:val="000000"/>
          <w:sz w:val="24"/>
          <w:szCs w:val="24"/>
          <w:lang w:val="sr-Latn-ME"/>
        </w:rPr>
        <w:t>t</w:t>
      </w:r>
      <w:r w:rsidR="003422A7" w:rsidRPr="00281886">
        <w:rPr>
          <w:rFonts w:eastAsia="Calibri" w:cstheme="minorHAnsi"/>
          <w:color w:val="000000"/>
          <w:sz w:val="24"/>
          <w:szCs w:val="24"/>
          <w:lang w:val="sr-Latn-ME"/>
        </w:rPr>
        <w:t>i</w:t>
      </w:r>
      <w:r w:rsidRPr="00281886">
        <w:rPr>
          <w:rFonts w:eastAsia="Calibri" w:cstheme="minorHAnsi"/>
          <w:color w:val="000000"/>
          <w:sz w:val="24"/>
          <w:szCs w:val="24"/>
          <w:lang w:val="sr-Latn-ME"/>
        </w:rPr>
        <w:t>vinim poda</w:t>
      </w:r>
      <w:r w:rsidR="003422A7" w:rsidRPr="00281886">
        <w:rPr>
          <w:rFonts w:eastAsia="Calibri" w:cstheme="minorHAnsi"/>
          <w:color w:val="000000"/>
          <w:sz w:val="24"/>
          <w:szCs w:val="24"/>
          <w:lang w:val="sr-Latn-ME"/>
        </w:rPr>
        <w:t>ci</w:t>
      </w:r>
      <w:r w:rsidRPr="00281886">
        <w:rPr>
          <w:rFonts w:eastAsia="Calibri" w:cstheme="minorHAnsi"/>
          <w:color w:val="000000"/>
          <w:sz w:val="24"/>
          <w:szCs w:val="24"/>
          <w:lang w:val="sr-Latn-ME"/>
        </w:rPr>
        <w:t>ma b</w:t>
      </w:r>
      <w:r w:rsidR="003422A7" w:rsidRPr="00281886">
        <w:rPr>
          <w:rFonts w:eastAsia="Calibri" w:cstheme="minorHAnsi"/>
          <w:color w:val="000000"/>
          <w:sz w:val="24"/>
          <w:szCs w:val="24"/>
          <w:lang w:val="sr-Latn-ME"/>
        </w:rPr>
        <w:t>io 43.837. Približno isti broj nezap</w:t>
      </w:r>
      <w:r w:rsidR="00A6463F" w:rsidRPr="00281886">
        <w:rPr>
          <w:rFonts w:eastAsia="Calibri" w:cstheme="minorHAnsi"/>
          <w:color w:val="000000"/>
          <w:sz w:val="24"/>
          <w:szCs w:val="24"/>
          <w:lang w:val="sr-Latn-ME"/>
        </w:rPr>
        <w:t>os</w:t>
      </w:r>
      <w:r w:rsidR="003422A7" w:rsidRPr="00281886">
        <w:rPr>
          <w:rFonts w:eastAsia="Calibri" w:cstheme="minorHAnsi"/>
          <w:color w:val="000000"/>
          <w:sz w:val="24"/>
          <w:szCs w:val="24"/>
          <w:lang w:val="sr-Latn-ME"/>
        </w:rPr>
        <w:t>l</w:t>
      </w:r>
      <w:r w:rsidR="00A6463F" w:rsidRPr="00281886">
        <w:rPr>
          <w:rFonts w:eastAsia="Calibri" w:cstheme="minorHAnsi"/>
          <w:color w:val="000000"/>
          <w:sz w:val="24"/>
          <w:szCs w:val="24"/>
          <w:lang w:val="sr-Latn-ME"/>
        </w:rPr>
        <w:t>e</w:t>
      </w:r>
      <w:r w:rsidR="003422A7" w:rsidRPr="00281886">
        <w:rPr>
          <w:rFonts w:eastAsia="Calibri" w:cstheme="minorHAnsi"/>
          <w:color w:val="000000"/>
          <w:sz w:val="24"/>
          <w:szCs w:val="24"/>
          <w:lang w:val="sr-Latn-ME"/>
        </w:rPr>
        <w:t xml:space="preserve">nih iz oba izvora ukazuje na značajno smanjenje </w:t>
      </w:r>
      <w:r w:rsidR="00A6463F" w:rsidRPr="00281886">
        <w:rPr>
          <w:rFonts w:eastAsia="Calibri" w:cstheme="minorHAnsi"/>
          <w:color w:val="000000"/>
          <w:sz w:val="24"/>
          <w:szCs w:val="24"/>
          <w:lang w:val="sr-Latn-ME"/>
        </w:rPr>
        <w:t>neformalne</w:t>
      </w:r>
      <w:r w:rsidR="003422A7" w:rsidRPr="00281886">
        <w:rPr>
          <w:rFonts w:eastAsia="Calibri" w:cstheme="minorHAnsi"/>
          <w:color w:val="000000"/>
          <w:sz w:val="24"/>
          <w:szCs w:val="24"/>
          <w:lang w:val="sr-Latn-ME"/>
        </w:rPr>
        <w:t xml:space="preserve"> ekonomije na tržištu rada u odnosu na prethodne godine. </w:t>
      </w:r>
      <w:r w:rsidR="00A6463F" w:rsidRPr="00281886">
        <w:rPr>
          <w:rFonts w:eastAsia="Calibri" w:cstheme="minorHAnsi"/>
          <w:color w:val="000000"/>
          <w:sz w:val="24"/>
          <w:szCs w:val="24"/>
          <w:lang w:val="sr-Latn-ME"/>
        </w:rPr>
        <w:t xml:space="preserve">Ovo iz razloga što je, prethodnih </w:t>
      </w:r>
      <w:r w:rsidR="003422A7" w:rsidRPr="00281886">
        <w:rPr>
          <w:rFonts w:eastAsia="Calibri" w:cstheme="minorHAnsi"/>
          <w:color w:val="000000"/>
          <w:sz w:val="24"/>
          <w:szCs w:val="24"/>
          <w:lang w:val="sr-Latn-ME"/>
        </w:rPr>
        <w:t>godina broj nezap</w:t>
      </w:r>
      <w:r w:rsidR="001427A5">
        <w:rPr>
          <w:rFonts w:eastAsia="Calibri" w:cstheme="minorHAnsi"/>
          <w:color w:val="000000"/>
          <w:sz w:val="24"/>
          <w:szCs w:val="24"/>
          <w:lang w:val="sr-Latn-ME"/>
        </w:rPr>
        <w:t>os</w:t>
      </w:r>
      <w:r w:rsidR="003422A7" w:rsidRPr="00281886">
        <w:rPr>
          <w:rFonts w:eastAsia="Calibri" w:cstheme="minorHAnsi"/>
          <w:color w:val="000000"/>
          <w:sz w:val="24"/>
          <w:szCs w:val="24"/>
          <w:lang w:val="sr-Latn-ME"/>
        </w:rPr>
        <w:t>lenih na evidenciji ZZCG bio mnogo veći od onog prema anketi, a razlika u broj zap</w:t>
      </w:r>
      <w:r w:rsidR="00A6463F" w:rsidRPr="00281886">
        <w:rPr>
          <w:rFonts w:eastAsia="Calibri" w:cstheme="minorHAnsi"/>
          <w:color w:val="000000"/>
          <w:sz w:val="24"/>
          <w:szCs w:val="24"/>
          <w:lang w:val="sr-Latn-ME"/>
        </w:rPr>
        <w:t>o</w:t>
      </w:r>
      <w:r w:rsidR="000D74D0" w:rsidRPr="00281886">
        <w:rPr>
          <w:rFonts w:eastAsia="Calibri" w:cstheme="minorHAnsi"/>
          <w:color w:val="000000"/>
          <w:sz w:val="24"/>
          <w:szCs w:val="24"/>
          <w:lang w:val="sr-Latn-ME"/>
        </w:rPr>
        <w:t>s</w:t>
      </w:r>
      <w:r w:rsidR="003422A7" w:rsidRPr="00281886">
        <w:rPr>
          <w:rFonts w:eastAsia="Calibri" w:cstheme="minorHAnsi"/>
          <w:color w:val="000000"/>
          <w:sz w:val="24"/>
          <w:szCs w:val="24"/>
          <w:lang w:val="sr-Latn-ME"/>
        </w:rPr>
        <w:t>lenih je ukazivala na postojanje neformalne zaposlenosti</w:t>
      </w:r>
      <w:r w:rsidR="00A6463F" w:rsidRPr="00281886">
        <w:rPr>
          <w:rFonts w:eastAsia="Calibri" w:cstheme="minorHAnsi"/>
          <w:color w:val="000000"/>
          <w:sz w:val="24"/>
          <w:szCs w:val="24"/>
          <w:lang w:val="sr-Latn-ME"/>
        </w:rPr>
        <w:t>, budući da anketa većinu obl</w:t>
      </w:r>
      <w:r w:rsidR="000D74D0" w:rsidRPr="00281886">
        <w:rPr>
          <w:rFonts w:eastAsia="Calibri" w:cstheme="minorHAnsi"/>
          <w:color w:val="000000"/>
          <w:sz w:val="24"/>
          <w:szCs w:val="24"/>
          <w:lang w:val="sr-Latn-ME"/>
        </w:rPr>
        <w:t xml:space="preserve">ika </w:t>
      </w:r>
      <w:r w:rsidR="00A6463F" w:rsidRPr="00281886">
        <w:rPr>
          <w:rFonts w:eastAsia="Calibri" w:cstheme="minorHAnsi"/>
          <w:color w:val="000000"/>
          <w:sz w:val="24"/>
          <w:szCs w:val="24"/>
          <w:lang w:val="sr-Latn-ME"/>
        </w:rPr>
        <w:t>ra</w:t>
      </w:r>
      <w:r w:rsidR="000D74D0" w:rsidRPr="00281886">
        <w:rPr>
          <w:rFonts w:eastAsia="Calibri" w:cstheme="minorHAnsi"/>
          <w:color w:val="000000"/>
          <w:sz w:val="24"/>
          <w:szCs w:val="24"/>
          <w:lang w:val="sr-Latn-ME"/>
        </w:rPr>
        <w:t>d</w:t>
      </w:r>
      <w:r w:rsidR="00A6463F" w:rsidRPr="00281886">
        <w:rPr>
          <w:rFonts w:eastAsia="Calibri" w:cstheme="minorHAnsi"/>
          <w:color w:val="000000"/>
          <w:sz w:val="24"/>
          <w:szCs w:val="24"/>
          <w:lang w:val="sr-Latn-ME"/>
        </w:rPr>
        <w:t>nog angažmana tretira kao zap</w:t>
      </w:r>
      <w:r w:rsidR="00C50996" w:rsidRPr="00281886">
        <w:rPr>
          <w:rFonts w:eastAsia="Calibri" w:cstheme="minorHAnsi"/>
          <w:color w:val="000000"/>
          <w:sz w:val="24"/>
          <w:szCs w:val="24"/>
          <w:lang w:val="sr-Latn-ME"/>
        </w:rPr>
        <w:t>os</w:t>
      </w:r>
      <w:r w:rsidR="00A6463F" w:rsidRPr="00281886">
        <w:rPr>
          <w:rFonts w:eastAsia="Calibri" w:cstheme="minorHAnsi"/>
          <w:color w:val="000000"/>
          <w:sz w:val="24"/>
          <w:szCs w:val="24"/>
          <w:lang w:val="sr-Latn-ME"/>
        </w:rPr>
        <w:t>lenost, bez obzira da li je formalizovana ili ne</w:t>
      </w:r>
      <w:r w:rsidR="003422A7" w:rsidRPr="00281886">
        <w:rPr>
          <w:rStyle w:val="FootnoteReference"/>
          <w:rFonts w:eastAsia="Calibri" w:cstheme="minorHAnsi"/>
          <w:color w:val="000000"/>
          <w:sz w:val="24"/>
          <w:szCs w:val="24"/>
          <w:lang w:val="sr-Latn-ME"/>
        </w:rPr>
        <w:footnoteReference w:id="11"/>
      </w:r>
      <w:r w:rsidR="003422A7" w:rsidRPr="00281886">
        <w:rPr>
          <w:rFonts w:eastAsia="Calibri" w:cstheme="minorHAnsi"/>
          <w:color w:val="000000"/>
          <w:sz w:val="24"/>
          <w:szCs w:val="24"/>
          <w:lang w:val="sr-Latn-ME"/>
        </w:rPr>
        <w:t xml:space="preserve">. </w:t>
      </w:r>
    </w:p>
    <w:p w14:paraId="67C4638B" w14:textId="5DBAAD79" w:rsidR="00495ACA" w:rsidRPr="00281886" w:rsidRDefault="00495ACA" w:rsidP="009364EF">
      <w:pPr>
        <w:spacing w:after="150" w:line="276" w:lineRule="auto"/>
        <w:jc w:val="both"/>
        <w:rPr>
          <w:rFonts w:eastAsia="Calibri" w:cstheme="minorHAnsi"/>
          <w:color w:val="000000"/>
          <w:sz w:val="24"/>
          <w:szCs w:val="24"/>
          <w:lang w:val="sr-Latn-ME"/>
        </w:rPr>
      </w:pPr>
      <w:r>
        <w:rPr>
          <w:rFonts w:eastAsia="Calibri" w:cstheme="minorHAnsi"/>
          <w:color w:val="000000"/>
          <w:sz w:val="24"/>
          <w:szCs w:val="24"/>
          <w:lang w:val="sr-Latn-ME"/>
        </w:rPr>
        <w:t>Prema IPSOS</w:t>
      </w:r>
      <w:r w:rsidR="00ED1C81">
        <w:rPr>
          <w:rFonts w:eastAsia="Calibri" w:cstheme="minorHAnsi"/>
          <w:color w:val="000000"/>
          <w:sz w:val="24"/>
          <w:szCs w:val="24"/>
          <w:lang w:val="sr-Latn-ME"/>
        </w:rPr>
        <w:t>, Radulović, Krstić (2022)</w:t>
      </w:r>
      <w:r>
        <w:rPr>
          <w:rFonts w:eastAsia="Calibri" w:cstheme="minorHAnsi"/>
          <w:color w:val="000000"/>
          <w:sz w:val="24"/>
          <w:szCs w:val="24"/>
          <w:lang w:val="sr-Latn-ME"/>
        </w:rPr>
        <w:t xml:space="preserve"> istraživanju iz 2022.</w:t>
      </w:r>
      <w:r w:rsidR="004E2305">
        <w:rPr>
          <w:rFonts w:eastAsia="Calibri" w:cstheme="minorHAnsi"/>
          <w:color w:val="000000"/>
          <w:sz w:val="24"/>
          <w:szCs w:val="24"/>
          <w:lang w:val="sr-Latn-ME"/>
        </w:rPr>
        <w:t xml:space="preserve"> </w:t>
      </w:r>
      <w:r>
        <w:rPr>
          <w:rFonts w:eastAsia="Calibri" w:cstheme="minorHAnsi"/>
          <w:color w:val="000000"/>
          <w:sz w:val="24"/>
          <w:szCs w:val="24"/>
          <w:lang w:val="sr-Latn-ME"/>
        </w:rPr>
        <w:t>godine, smanjeno je</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 neformalno</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zapo</w:t>
      </w:r>
      <w:r w:rsidRPr="00686BAF">
        <w:rPr>
          <w:rFonts w:eastAsia="Calibri" w:cstheme="minorHAnsi"/>
          <w:color w:val="000000"/>
          <w:sz w:val="24"/>
          <w:szCs w:val="24"/>
          <w:lang w:val="sr-Latn-ME"/>
        </w:rPr>
        <w:t>š</w:t>
      </w:r>
      <w:r w:rsidRPr="00021CDC">
        <w:rPr>
          <w:rFonts w:eastAsia="Calibri" w:cstheme="minorHAnsi"/>
          <w:color w:val="000000"/>
          <w:sz w:val="24"/>
          <w:szCs w:val="24"/>
          <w:lang w:val="pl-PL"/>
        </w:rPr>
        <w:t>ljavanje</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na</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tr</w:t>
      </w:r>
      <w:r w:rsidRPr="00686BAF">
        <w:rPr>
          <w:rFonts w:eastAsia="Calibri" w:cstheme="minorHAnsi"/>
          <w:color w:val="000000"/>
          <w:sz w:val="24"/>
          <w:szCs w:val="24"/>
          <w:lang w:val="sr-Latn-ME"/>
        </w:rPr>
        <w:t>ž</w:t>
      </w:r>
      <w:r w:rsidRPr="00021CDC">
        <w:rPr>
          <w:rFonts w:eastAsia="Calibri" w:cstheme="minorHAnsi"/>
          <w:color w:val="000000"/>
          <w:sz w:val="24"/>
          <w:szCs w:val="24"/>
          <w:lang w:val="pl-PL"/>
        </w:rPr>
        <w:t>i</w:t>
      </w:r>
      <w:r w:rsidRPr="00686BAF">
        <w:rPr>
          <w:rFonts w:eastAsia="Calibri" w:cstheme="minorHAnsi"/>
          <w:color w:val="000000"/>
          <w:sz w:val="24"/>
          <w:szCs w:val="24"/>
          <w:lang w:val="sr-Latn-ME"/>
        </w:rPr>
        <w:t>š</w:t>
      </w:r>
      <w:r w:rsidRPr="00021CDC">
        <w:rPr>
          <w:rFonts w:eastAsia="Calibri" w:cstheme="minorHAnsi"/>
          <w:color w:val="000000"/>
          <w:sz w:val="24"/>
          <w:szCs w:val="24"/>
          <w:lang w:val="pl-PL"/>
        </w:rPr>
        <w:t>tu</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rada</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u</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odnosu</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na</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anketnu</w:t>
      </w:r>
      <w:r w:rsidRPr="00686BAF">
        <w:rPr>
          <w:rFonts w:eastAsia="Calibri" w:cstheme="minorHAnsi"/>
          <w:color w:val="000000"/>
          <w:sz w:val="24"/>
          <w:szCs w:val="24"/>
          <w:lang w:val="sr-Latn-ME"/>
        </w:rPr>
        <w:t xml:space="preserve"> 2014. </w:t>
      </w:r>
      <w:r w:rsidRPr="00021CDC">
        <w:rPr>
          <w:rFonts w:eastAsia="Calibri" w:cstheme="minorHAnsi"/>
          <w:color w:val="000000"/>
          <w:sz w:val="24"/>
          <w:szCs w:val="24"/>
          <w:lang w:val="pl-PL"/>
        </w:rPr>
        <w:t>godinu</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pa</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je</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tako</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udio</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zaposlenih</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koji</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su</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radili</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bez</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pla</w:t>
      </w:r>
      <w:r w:rsidRPr="00686BAF">
        <w:rPr>
          <w:rFonts w:eastAsia="Calibri" w:cstheme="minorHAnsi"/>
          <w:color w:val="000000"/>
          <w:sz w:val="24"/>
          <w:szCs w:val="24"/>
          <w:lang w:val="sr-Latn-ME"/>
        </w:rPr>
        <w:t>ć</w:t>
      </w:r>
      <w:r w:rsidRPr="00021CDC">
        <w:rPr>
          <w:rFonts w:eastAsia="Calibri" w:cstheme="minorHAnsi"/>
          <w:color w:val="000000"/>
          <w:sz w:val="24"/>
          <w:szCs w:val="24"/>
          <w:lang w:val="pl-PL"/>
        </w:rPr>
        <w:t>enih</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poreza</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i</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doprinosa</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sa</w:t>
      </w:r>
      <w:r w:rsidRPr="00686BAF">
        <w:rPr>
          <w:rFonts w:eastAsia="Calibri" w:cstheme="minorHAnsi"/>
          <w:color w:val="000000"/>
          <w:sz w:val="24"/>
          <w:szCs w:val="24"/>
          <w:lang w:val="sr-Latn-ME"/>
        </w:rPr>
        <w:t xml:space="preserve"> 22,3% </w:t>
      </w:r>
      <w:r w:rsidRPr="00021CDC">
        <w:rPr>
          <w:rFonts w:eastAsia="Calibri" w:cstheme="minorHAnsi"/>
          <w:color w:val="000000"/>
          <w:sz w:val="24"/>
          <w:szCs w:val="24"/>
          <w:lang w:val="pl-PL"/>
        </w:rPr>
        <w:t>sni</w:t>
      </w:r>
      <w:r w:rsidRPr="00686BAF">
        <w:rPr>
          <w:rFonts w:eastAsia="Calibri" w:cstheme="minorHAnsi"/>
          <w:color w:val="000000"/>
          <w:sz w:val="24"/>
          <w:szCs w:val="24"/>
          <w:lang w:val="sr-Latn-ME"/>
        </w:rPr>
        <w:t>ž</w:t>
      </w:r>
      <w:r w:rsidRPr="00021CDC">
        <w:rPr>
          <w:rFonts w:eastAsia="Calibri" w:cstheme="minorHAnsi"/>
          <w:color w:val="000000"/>
          <w:sz w:val="24"/>
          <w:szCs w:val="24"/>
          <w:lang w:val="pl-PL"/>
        </w:rPr>
        <w:t>en</w:t>
      </w:r>
      <w:r w:rsidRPr="00686BAF">
        <w:rPr>
          <w:rFonts w:eastAsia="Calibri" w:cstheme="minorHAnsi"/>
          <w:color w:val="000000"/>
          <w:sz w:val="24"/>
          <w:szCs w:val="24"/>
          <w:lang w:val="sr-Latn-ME"/>
        </w:rPr>
        <w:t xml:space="preserve"> </w:t>
      </w:r>
      <w:r w:rsidRPr="00021CDC">
        <w:rPr>
          <w:rFonts w:eastAsia="Calibri" w:cstheme="minorHAnsi"/>
          <w:color w:val="000000"/>
          <w:sz w:val="24"/>
          <w:szCs w:val="24"/>
          <w:lang w:val="pl-PL"/>
        </w:rPr>
        <w:t>na</w:t>
      </w:r>
      <w:r w:rsidRPr="00686BAF">
        <w:rPr>
          <w:rFonts w:eastAsia="Calibri" w:cstheme="minorHAnsi"/>
          <w:color w:val="000000"/>
          <w:sz w:val="24"/>
          <w:szCs w:val="24"/>
          <w:lang w:val="sr-Latn-ME"/>
        </w:rPr>
        <w:t xml:space="preserve"> 15</w:t>
      </w:r>
      <w:r w:rsidR="00F621DD" w:rsidRPr="00686BAF">
        <w:rPr>
          <w:rFonts w:eastAsia="Calibri" w:cstheme="minorHAnsi"/>
          <w:color w:val="000000"/>
          <w:sz w:val="24"/>
          <w:szCs w:val="24"/>
          <w:lang w:val="sr-Latn-ME"/>
        </w:rPr>
        <w:t>,</w:t>
      </w:r>
      <w:r w:rsidRPr="00686BAF">
        <w:rPr>
          <w:rFonts w:eastAsia="Calibri" w:cstheme="minorHAnsi"/>
          <w:color w:val="000000"/>
          <w:sz w:val="24"/>
          <w:szCs w:val="24"/>
          <w:lang w:val="sr-Latn-ME"/>
        </w:rPr>
        <w:t xml:space="preserve">7%. </w:t>
      </w:r>
      <w:r w:rsidRPr="00021CDC">
        <w:rPr>
          <w:rFonts w:eastAsia="Calibri" w:cstheme="minorHAnsi"/>
          <w:color w:val="000000"/>
          <w:sz w:val="24"/>
          <w:szCs w:val="24"/>
          <w:lang w:val="pl-PL"/>
        </w:rPr>
        <w:t>Ipak, prema istom istraživanju, udio zaposlenih koji u primali dio zarade u gotovini bez plaćanja poreza i doprinosa je ostao na istom nivou.</w:t>
      </w:r>
    </w:p>
    <w:p w14:paraId="66EDA480" w14:textId="49AEC5C1" w:rsidR="000F4629" w:rsidRPr="006C1837" w:rsidRDefault="002346A4" w:rsidP="009364EF">
      <w:pPr>
        <w:spacing w:after="150" w:line="276" w:lineRule="auto"/>
        <w:jc w:val="both"/>
        <w:rPr>
          <w:rFonts w:eastAsia="Calibri" w:cstheme="minorHAnsi"/>
          <w:bCs/>
          <w:iCs/>
          <w:color w:val="000000"/>
          <w:sz w:val="24"/>
          <w:szCs w:val="24"/>
          <w:lang w:val="pl-PL"/>
        </w:rPr>
      </w:pPr>
      <w:r w:rsidRPr="00281886">
        <w:rPr>
          <w:rFonts w:eastAsia="Calibri" w:cstheme="minorHAnsi"/>
          <w:b/>
          <w:bCs/>
          <w:color w:val="000000"/>
          <w:sz w:val="24"/>
          <w:szCs w:val="24"/>
          <w:lang w:val="sr-Latn-ME"/>
        </w:rPr>
        <w:t>Mjere socijalne</w:t>
      </w:r>
      <w:r w:rsidR="007B7AA3" w:rsidRPr="00281886">
        <w:rPr>
          <w:rFonts w:eastAsia="Calibri" w:cstheme="minorHAnsi"/>
          <w:b/>
          <w:bCs/>
          <w:color w:val="000000"/>
          <w:sz w:val="24"/>
          <w:szCs w:val="24"/>
          <w:lang w:val="sr-Latn-ME"/>
        </w:rPr>
        <w:t xml:space="preserve"> zaštite</w:t>
      </w:r>
      <w:r w:rsidR="004D3553">
        <w:rPr>
          <w:rFonts w:eastAsia="Calibri" w:cstheme="minorHAnsi"/>
          <w:b/>
          <w:bCs/>
          <w:color w:val="000000"/>
          <w:sz w:val="24"/>
          <w:szCs w:val="24"/>
          <w:lang w:val="sr-Latn-ME"/>
        </w:rPr>
        <w:t xml:space="preserve"> i doznake iz inostranstva</w:t>
      </w:r>
      <w:r w:rsidRPr="00281886">
        <w:rPr>
          <w:rFonts w:eastAsia="Calibri" w:cstheme="minorHAnsi"/>
          <w:b/>
          <w:bCs/>
          <w:color w:val="000000"/>
          <w:sz w:val="24"/>
          <w:szCs w:val="24"/>
          <w:lang w:val="sr-Latn-ME"/>
        </w:rPr>
        <w:t>.</w:t>
      </w:r>
      <w:r w:rsidR="000F4629" w:rsidRPr="00281886">
        <w:rPr>
          <w:rFonts w:eastAsia="Calibri" w:cstheme="minorHAnsi"/>
          <w:b/>
          <w:bCs/>
          <w:color w:val="000000"/>
          <w:sz w:val="24"/>
          <w:szCs w:val="24"/>
          <w:lang w:val="sr-Latn-ME"/>
        </w:rPr>
        <w:t xml:space="preserve"> </w:t>
      </w:r>
      <w:r w:rsidR="00A6463F" w:rsidRPr="00281886">
        <w:rPr>
          <w:rFonts w:eastAsia="Calibri" w:cstheme="minorHAnsi"/>
          <w:color w:val="000000"/>
          <w:sz w:val="24"/>
          <w:szCs w:val="24"/>
          <w:lang w:val="sr-Latn-ME"/>
        </w:rPr>
        <w:t>I</w:t>
      </w:r>
      <w:r w:rsidR="000F4629" w:rsidRPr="00281886">
        <w:rPr>
          <w:rFonts w:eastAsia="Calibri" w:cstheme="minorHAnsi"/>
          <w:color w:val="000000"/>
          <w:sz w:val="24"/>
          <w:szCs w:val="24"/>
          <w:lang w:val="sr-Latn-ME"/>
        </w:rPr>
        <w:t xml:space="preserve">zdašna socijalna politika </w:t>
      </w:r>
      <w:r w:rsidR="00A6463F" w:rsidRPr="00281886">
        <w:rPr>
          <w:rFonts w:eastAsia="Calibri" w:cstheme="minorHAnsi"/>
          <w:color w:val="000000"/>
          <w:sz w:val="24"/>
          <w:szCs w:val="24"/>
          <w:lang w:val="sr-Latn-ME"/>
        </w:rPr>
        <w:t>destimuliše</w:t>
      </w:r>
      <w:r w:rsidR="000F4629" w:rsidRPr="00281886">
        <w:rPr>
          <w:rFonts w:eastAsia="Calibri" w:cstheme="minorHAnsi"/>
          <w:color w:val="000000"/>
          <w:sz w:val="24"/>
          <w:szCs w:val="24"/>
          <w:lang w:val="sr-Latn-ME"/>
        </w:rPr>
        <w:t xml:space="preserve"> aktivnost na tržištu rada</w:t>
      </w:r>
      <w:r w:rsidR="00A6463F" w:rsidRPr="00281886">
        <w:rPr>
          <w:rFonts w:eastAsia="Calibri" w:cstheme="minorHAnsi"/>
          <w:color w:val="000000"/>
          <w:sz w:val="24"/>
          <w:szCs w:val="24"/>
          <w:lang w:val="sr-Latn-ME"/>
        </w:rPr>
        <w:t xml:space="preserve"> i formalizaciju zaposlenja</w:t>
      </w:r>
      <w:r w:rsidRPr="00281886">
        <w:rPr>
          <w:rFonts w:eastAsia="Calibri" w:cstheme="minorHAnsi"/>
          <w:color w:val="000000"/>
          <w:sz w:val="24"/>
          <w:szCs w:val="24"/>
          <w:lang w:val="sr-Latn-ME"/>
        </w:rPr>
        <w:t>.</w:t>
      </w:r>
      <w:r w:rsidR="00A6463F" w:rsidRPr="00281886">
        <w:rPr>
          <w:rFonts w:eastAsia="Calibri" w:cstheme="minorHAnsi"/>
          <w:color w:val="000000"/>
          <w:sz w:val="24"/>
          <w:szCs w:val="24"/>
          <w:lang w:val="sr-Latn-ME"/>
        </w:rPr>
        <w:t xml:space="preserve"> </w:t>
      </w:r>
      <w:r w:rsidR="00A12289" w:rsidRPr="00281886">
        <w:rPr>
          <w:rFonts w:eastAsia="Calibri" w:cstheme="minorHAnsi"/>
          <w:color w:val="000000"/>
          <w:sz w:val="24"/>
          <w:szCs w:val="24"/>
        </w:rPr>
        <w:t>Prema</w:t>
      </w:r>
      <w:r w:rsidR="001427A5" w:rsidRPr="00CE07A9">
        <w:rPr>
          <w:rFonts w:eastAsia="Calibri" w:cstheme="minorHAnsi"/>
          <w:color w:val="000000"/>
          <w:sz w:val="24"/>
          <w:szCs w:val="24"/>
          <w:lang w:val="sr-Latn-ME"/>
        </w:rPr>
        <w:t xml:space="preserve"> </w:t>
      </w:r>
      <w:r w:rsidR="001427A5">
        <w:rPr>
          <w:rFonts w:eastAsia="Calibri" w:cstheme="minorHAnsi"/>
          <w:color w:val="000000"/>
          <w:sz w:val="24"/>
          <w:szCs w:val="24"/>
        </w:rPr>
        <w:t>IPSOS</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Istra</w:t>
      </w:r>
      <w:r w:rsidR="00A12289" w:rsidRPr="00CE07A9">
        <w:rPr>
          <w:rFonts w:eastAsia="Calibri" w:cstheme="minorHAnsi"/>
          <w:color w:val="000000"/>
          <w:sz w:val="24"/>
          <w:szCs w:val="24"/>
          <w:lang w:val="sr-Latn-ME"/>
        </w:rPr>
        <w:t>ž</w:t>
      </w:r>
      <w:r w:rsidR="00A12289" w:rsidRPr="001427A5">
        <w:rPr>
          <w:rFonts w:eastAsia="Calibri" w:cstheme="minorHAnsi"/>
          <w:color w:val="000000"/>
          <w:sz w:val="24"/>
          <w:szCs w:val="24"/>
          <w:lang w:val="pl-PL"/>
        </w:rPr>
        <w:t>ivanju</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me</w:t>
      </w:r>
      <w:r w:rsidR="00A12289" w:rsidRPr="00CE07A9">
        <w:rPr>
          <w:rFonts w:eastAsia="Calibri" w:cstheme="minorHAnsi"/>
          <w:color w:val="000000"/>
          <w:sz w:val="24"/>
          <w:szCs w:val="24"/>
          <w:lang w:val="sr-Latn-ME"/>
        </w:rPr>
        <w:t>đ</w:t>
      </w:r>
      <w:r w:rsidR="00A12289" w:rsidRPr="001427A5">
        <w:rPr>
          <w:rFonts w:eastAsia="Calibri" w:cstheme="minorHAnsi"/>
          <w:color w:val="000000"/>
          <w:sz w:val="24"/>
          <w:szCs w:val="24"/>
          <w:lang w:val="pl-PL"/>
        </w:rPr>
        <w:t>u</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doma</w:t>
      </w:r>
      <w:r w:rsidR="00A12289" w:rsidRPr="00CE07A9">
        <w:rPr>
          <w:rFonts w:eastAsia="Calibri" w:cstheme="minorHAnsi"/>
          <w:color w:val="000000"/>
          <w:sz w:val="24"/>
          <w:szCs w:val="24"/>
          <w:lang w:val="sr-Latn-ME"/>
        </w:rPr>
        <w:t>ć</w:t>
      </w:r>
      <w:r w:rsidR="00A12289" w:rsidRPr="001427A5">
        <w:rPr>
          <w:rFonts w:eastAsia="Calibri" w:cstheme="minorHAnsi"/>
          <w:color w:val="000000"/>
          <w:sz w:val="24"/>
          <w:szCs w:val="24"/>
          <w:lang w:val="pl-PL"/>
        </w:rPr>
        <w:t>instvima</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i</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preduze</w:t>
      </w:r>
      <w:r w:rsidR="00A12289" w:rsidRPr="00CE07A9">
        <w:rPr>
          <w:rFonts w:eastAsia="Calibri" w:cstheme="minorHAnsi"/>
          <w:color w:val="000000"/>
          <w:sz w:val="24"/>
          <w:szCs w:val="24"/>
          <w:lang w:val="sr-Latn-ME"/>
        </w:rPr>
        <w:t>ć</w:t>
      </w:r>
      <w:r w:rsidR="00A12289" w:rsidRPr="001427A5">
        <w:rPr>
          <w:rFonts w:eastAsia="Calibri" w:cstheme="minorHAnsi"/>
          <w:color w:val="000000"/>
          <w:sz w:val="24"/>
          <w:szCs w:val="24"/>
          <w:lang w:val="pl-PL"/>
        </w:rPr>
        <w:t>ima</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sa</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ciljem</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utvr</w:t>
      </w:r>
      <w:r w:rsidR="00A12289" w:rsidRPr="00CE07A9">
        <w:rPr>
          <w:rFonts w:eastAsia="Calibri" w:cstheme="minorHAnsi"/>
          <w:color w:val="000000"/>
          <w:sz w:val="24"/>
          <w:szCs w:val="24"/>
          <w:lang w:val="sr-Latn-ME"/>
        </w:rPr>
        <w:t>đ</w:t>
      </w:r>
      <w:r w:rsidR="00A12289" w:rsidRPr="001427A5">
        <w:rPr>
          <w:rFonts w:eastAsia="Calibri" w:cstheme="minorHAnsi"/>
          <w:color w:val="000000"/>
          <w:sz w:val="24"/>
          <w:szCs w:val="24"/>
          <w:lang w:val="pl-PL"/>
        </w:rPr>
        <w:t>ivanja</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obima</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i</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strukture</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sive</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ekonomije</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u</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Crnoj</w:t>
      </w:r>
      <w:r w:rsidR="00A12289" w:rsidRPr="00CE07A9">
        <w:rPr>
          <w:rFonts w:eastAsia="Calibri" w:cstheme="minorHAnsi"/>
          <w:color w:val="000000"/>
          <w:sz w:val="24"/>
          <w:szCs w:val="24"/>
          <w:lang w:val="sr-Latn-ME"/>
        </w:rPr>
        <w:t xml:space="preserve"> </w:t>
      </w:r>
      <w:r w:rsidR="00A12289" w:rsidRPr="001427A5">
        <w:rPr>
          <w:rFonts w:eastAsia="Calibri" w:cstheme="minorHAnsi"/>
          <w:color w:val="000000"/>
          <w:sz w:val="24"/>
          <w:szCs w:val="24"/>
          <w:lang w:val="pl-PL"/>
        </w:rPr>
        <w:t>Gori</w:t>
      </w:r>
      <w:r w:rsidR="00A12289" w:rsidRPr="00CE07A9">
        <w:rPr>
          <w:rFonts w:eastAsia="Calibri" w:cstheme="minorHAnsi"/>
          <w:b/>
          <w:bCs/>
          <w:color w:val="000000"/>
          <w:sz w:val="24"/>
          <w:szCs w:val="24"/>
          <w:lang w:val="sr-Latn-ME"/>
        </w:rPr>
        <w:t xml:space="preserve"> </w:t>
      </w:r>
      <w:r w:rsidR="00A12289" w:rsidRPr="00CE07A9">
        <w:rPr>
          <w:rFonts w:eastAsia="Calibri" w:cstheme="minorHAnsi"/>
          <w:color w:val="000000"/>
          <w:sz w:val="24"/>
          <w:szCs w:val="24"/>
          <w:lang w:val="sr-Latn-ME"/>
        </w:rPr>
        <w:t>(</w:t>
      </w:r>
      <w:r w:rsidR="00A12289" w:rsidRPr="00281886">
        <w:rPr>
          <w:rFonts w:eastAsia="Calibri" w:cstheme="minorHAnsi"/>
          <w:color w:val="000000"/>
          <w:sz w:val="24"/>
          <w:szCs w:val="24"/>
          <w:lang w:val="pl-PL"/>
        </w:rPr>
        <w:t>Krsti</w:t>
      </w:r>
      <w:r w:rsidR="00A12289" w:rsidRPr="00CE07A9">
        <w:rPr>
          <w:rFonts w:eastAsia="Calibri" w:cstheme="minorHAnsi"/>
          <w:color w:val="000000"/>
          <w:sz w:val="24"/>
          <w:szCs w:val="24"/>
          <w:lang w:val="sr-Latn-ME"/>
        </w:rPr>
        <w:t xml:space="preserve">ć </w:t>
      </w:r>
      <w:r w:rsidR="00A12289" w:rsidRPr="00281886">
        <w:rPr>
          <w:rFonts w:eastAsia="Calibri" w:cstheme="minorHAnsi"/>
          <w:color w:val="000000"/>
          <w:sz w:val="24"/>
          <w:szCs w:val="24"/>
          <w:lang w:val="pl-PL"/>
        </w:rPr>
        <w:t>et</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al</w:t>
      </w:r>
      <w:r w:rsidR="00A12289" w:rsidRPr="00CE07A9">
        <w:rPr>
          <w:rFonts w:eastAsia="Calibri" w:cstheme="minorHAnsi"/>
          <w:color w:val="000000"/>
          <w:sz w:val="24"/>
          <w:szCs w:val="24"/>
          <w:lang w:val="sr-Latn-ME"/>
        </w:rPr>
        <w:t xml:space="preserve">, 2022), </w:t>
      </w:r>
      <w:r w:rsidR="00A12289" w:rsidRPr="00281886">
        <w:rPr>
          <w:rFonts w:eastAsia="Calibri" w:cstheme="minorHAnsi"/>
          <w:color w:val="000000"/>
          <w:sz w:val="24"/>
          <w:szCs w:val="24"/>
          <w:lang w:val="pl-PL"/>
        </w:rPr>
        <w:t>Oko</w:t>
      </w:r>
      <w:r w:rsidR="00A12289" w:rsidRPr="00CE07A9">
        <w:rPr>
          <w:rFonts w:eastAsia="Calibri" w:cstheme="minorHAnsi"/>
          <w:color w:val="000000"/>
          <w:sz w:val="24"/>
          <w:szCs w:val="24"/>
          <w:lang w:val="sr-Latn-ME"/>
        </w:rPr>
        <w:t xml:space="preserve"> 6% </w:t>
      </w:r>
      <w:r w:rsidR="00A12289" w:rsidRPr="00281886">
        <w:rPr>
          <w:rFonts w:eastAsia="Calibri" w:cstheme="minorHAnsi"/>
          <w:color w:val="000000"/>
          <w:sz w:val="24"/>
          <w:szCs w:val="24"/>
          <w:lang w:val="pl-PL"/>
        </w:rPr>
        <w:t>zaposl</w:t>
      </w:r>
      <w:r w:rsidR="000D74D0" w:rsidRPr="00281886">
        <w:rPr>
          <w:rFonts w:eastAsia="Calibri" w:cstheme="minorHAnsi"/>
          <w:color w:val="000000"/>
          <w:sz w:val="24"/>
          <w:szCs w:val="24"/>
          <w:lang w:val="pl-PL"/>
        </w:rPr>
        <w:t>en</w:t>
      </w:r>
      <w:r w:rsidR="00A12289" w:rsidRPr="00281886">
        <w:rPr>
          <w:rFonts w:eastAsia="Calibri" w:cstheme="minorHAnsi"/>
          <w:color w:val="000000"/>
          <w:sz w:val="24"/>
          <w:szCs w:val="24"/>
          <w:lang w:val="pl-PL"/>
        </w:rPr>
        <w:t>ih</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i</w:t>
      </w:r>
      <w:r w:rsidR="00A12289" w:rsidRPr="00CE07A9">
        <w:rPr>
          <w:rFonts w:eastAsia="Calibri" w:cstheme="minorHAnsi"/>
          <w:color w:val="000000"/>
          <w:sz w:val="24"/>
          <w:szCs w:val="24"/>
          <w:lang w:val="sr-Latn-ME"/>
        </w:rPr>
        <w:t xml:space="preserve"> 8% </w:t>
      </w:r>
      <w:r w:rsidR="00A12289" w:rsidRPr="00281886">
        <w:rPr>
          <w:rFonts w:eastAsia="Calibri" w:cstheme="minorHAnsi"/>
          <w:color w:val="000000"/>
          <w:sz w:val="24"/>
          <w:szCs w:val="24"/>
          <w:lang w:val="pl-PL"/>
        </w:rPr>
        <w:t>poslo</w:t>
      </w:r>
      <w:r w:rsidR="000D74D0" w:rsidRPr="00281886">
        <w:rPr>
          <w:rFonts w:eastAsia="Calibri" w:cstheme="minorHAnsi"/>
          <w:color w:val="000000"/>
          <w:sz w:val="24"/>
          <w:szCs w:val="24"/>
          <w:lang w:val="pl-PL"/>
        </w:rPr>
        <w:t>davaca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u</w:t>
      </w:r>
      <w:r w:rsidR="00A12289" w:rsidRPr="00CE07A9">
        <w:rPr>
          <w:rFonts w:eastAsia="Calibri" w:cstheme="minorHAnsi"/>
          <w:color w:val="000000"/>
          <w:sz w:val="24"/>
          <w:szCs w:val="24"/>
          <w:lang w:val="sr-Latn-ME"/>
        </w:rPr>
        <w:t xml:space="preserve"> </w:t>
      </w:r>
      <w:r w:rsidR="000D74D0" w:rsidRPr="00281886">
        <w:rPr>
          <w:rFonts w:eastAsia="Calibri" w:cstheme="minorHAnsi"/>
          <w:color w:val="000000"/>
          <w:sz w:val="24"/>
          <w:szCs w:val="24"/>
          <w:lang w:val="pl-PL"/>
        </w:rPr>
        <w:t>pr</w:t>
      </w:r>
      <w:r w:rsidR="00A12289" w:rsidRPr="00281886">
        <w:rPr>
          <w:rFonts w:eastAsia="Calibri" w:cstheme="minorHAnsi"/>
          <w:color w:val="000000"/>
          <w:sz w:val="24"/>
          <w:szCs w:val="24"/>
          <w:lang w:val="pl-PL"/>
        </w:rPr>
        <w:t>ivatnom</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sektoru</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smatra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da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mogu</w:t>
      </w:r>
      <w:r w:rsidR="00A12289" w:rsidRPr="00CE07A9">
        <w:rPr>
          <w:rFonts w:eastAsia="Calibri" w:cstheme="minorHAnsi"/>
          <w:color w:val="000000"/>
          <w:sz w:val="24"/>
          <w:szCs w:val="24"/>
          <w:lang w:val="sr-Latn-ME"/>
        </w:rPr>
        <w:t>ć</w:t>
      </w:r>
      <w:r w:rsidR="00A12289" w:rsidRPr="00281886">
        <w:rPr>
          <w:rFonts w:eastAsia="Calibri" w:cstheme="minorHAnsi"/>
          <w:color w:val="000000"/>
          <w:sz w:val="24"/>
          <w:szCs w:val="24"/>
          <w:lang w:val="pl-PL"/>
        </w:rPr>
        <w:t>nost</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zap</w:t>
      </w:r>
      <w:r w:rsidR="000D74D0" w:rsidRPr="00281886">
        <w:rPr>
          <w:rFonts w:eastAsia="Calibri" w:cstheme="minorHAnsi"/>
          <w:color w:val="000000"/>
          <w:sz w:val="24"/>
          <w:szCs w:val="24"/>
          <w:lang w:val="pl-PL"/>
        </w:rPr>
        <w:t>os</w:t>
      </w:r>
      <w:r w:rsidR="00A12289" w:rsidRPr="00281886">
        <w:rPr>
          <w:rFonts w:eastAsia="Calibri" w:cstheme="minorHAnsi"/>
          <w:color w:val="000000"/>
          <w:sz w:val="24"/>
          <w:szCs w:val="24"/>
          <w:lang w:val="pl-PL"/>
        </w:rPr>
        <w:t>lenog</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na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crno</w:t>
      </w:r>
      <w:r w:rsidR="000D74D0"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da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k</w:t>
      </w:r>
      <w:r w:rsidR="000D74D0" w:rsidRPr="00281886">
        <w:rPr>
          <w:rFonts w:eastAsia="Calibri" w:cstheme="minorHAnsi"/>
          <w:color w:val="000000"/>
          <w:sz w:val="24"/>
          <w:szCs w:val="24"/>
          <w:lang w:val="pl-PL"/>
        </w:rPr>
        <w:t>oristi</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socijalnu</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pomo</w:t>
      </w:r>
      <w:r w:rsidR="00A12289" w:rsidRPr="00CE07A9">
        <w:rPr>
          <w:rFonts w:eastAsia="Calibri" w:cstheme="minorHAnsi"/>
          <w:color w:val="000000"/>
          <w:sz w:val="24"/>
          <w:szCs w:val="24"/>
          <w:lang w:val="sr-Latn-ME"/>
        </w:rPr>
        <w:t xml:space="preserve">ć </w:t>
      </w:r>
      <w:r w:rsidR="00A12289" w:rsidRPr="00281886">
        <w:rPr>
          <w:rFonts w:eastAsia="Calibri" w:cstheme="minorHAnsi"/>
          <w:color w:val="000000"/>
          <w:sz w:val="24"/>
          <w:szCs w:val="24"/>
          <w:lang w:val="pl-PL"/>
        </w:rPr>
        <w:t>i</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druga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davanja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koja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su</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n</w:t>
      </w:r>
      <w:r w:rsidR="000D74D0" w:rsidRPr="00281886">
        <w:rPr>
          <w:rFonts w:eastAsia="Calibri" w:cstheme="minorHAnsi"/>
          <w:color w:val="000000"/>
          <w:sz w:val="24"/>
          <w:szCs w:val="24"/>
          <w:lang w:val="pl-PL"/>
        </w:rPr>
        <w:t>a</w:t>
      </w:r>
      <w:r w:rsidR="00A12289" w:rsidRPr="00281886">
        <w:rPr>
          <w:rFonts w:eastAsia="Calibri" w:cstheme="minorHAnsi"/>
          <w:color w:val="000000"/>
          <w:sz w:val="24"/>
          <w:szCs w:val="24"/>
          <w:lang w:val="pl-PL"/>
        </w:rPr>
        <w:t>mijenjena</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nezaposlenim</w:t>
      </w:r>
      <w:r w:rsidR="00A12289" w:rsidRPr="00CE07A9">
        <w:rPr>
          <w:rFonts w:eastAsia="Calibri" w:cstheme="minorHAnsi"/>
          <w:color w:val="000000"/>
          <w:sz w:val="24"/>
          <w:szCs w:val="24"/>
          <w:lang w:val="sr-Latn-ME"/>
        </w:rPr>
        <w:t xml:space="preserve"> </w:t>
      </w:r>
      <w:r w:rsidR="00A12289" w:rsidRPr="00281886">
        <w:rPr>
          <w:rFonts w:eastAsia="Calibri" w:cstheme="minorHAnsi"/>
          <w:color w:val="000000"/>
          <w:sz w:val="24"/>
          <w:szCs w:val="24"/>
          <w:lang w:val="pl-PL"/>
        </w:rPr>
        <w:t>osobama</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predst</w:t>
      </w:r>
      <w:r w:rsidR="000D74D0" w:rsidRPr="00281886">
        <w:rPr>
          <w:rFonts w:eastAsia="Calibri" w:cstheme="minorHAnsi"/>
          <w:color w:val="000000"/>
          <w:sz w:val="24"/>
          <w:szCs w:val="24"/>
          <w:lang w:val="pl-PL"/>
        </w:rPr>
        <w:t>avlj</w:t>
      </w:r>
      <w:r w:rsidR="00697609" w:rsidRPr="00281886">
        <w:rPr>
          <w:rFonts w:eastAsia="Calibri" w:cstheme="minorHAnsi"/>
          <w:color w:val="000000"/>
          <w:sz w:val="24"/>
          <w:szCs w:val="24"/>
          <w:lang w:val="pl-PL"/>
        </w:rPr>
        <w:t>a</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jedan</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od</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faktora</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neformalnog</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zapo</w:t>
      </w:r>
      <w:r w:rsidR="00697609" w:rsidRPr="00CE07A9">
        <w:rPr>
          <w:rFonts w:eastAsia="Calibri" w:cstheme="minorHAnsi"/>
          <w:color w:val="000000"/>
          <w:sz w:val="24"/>
          <w:szCs w:val="24"/>
          <w:lang w:val="sr-Latn-ME"/>
        </w:rPr>
        <w:t>š</w:t>
      </w:r>
      <w:r w:rsidR="00697609" w:rsidRPr="00281886">
        <w:rPr>
          <w:rFonts w:eastAsia="Calibri" w:cstheme="minorHAnsi"/>
          <w:color w:val="000000"/>
          <w:sz w:val="24"/>
          <w:szCs w:val="24"/>
          <w:lang w:val="pl-PL"/>
        </w:rPr>
        <w:t>ljavanja</w:t>
      </w:r>
      <w:r w:rsidR="00697609" w:rsidRPr="00CE07A9">
        <w:rPr>
          <w:rFonts w:eastAsia="Calibri" w:cstheme="minorHAnsi"/>
          <w:color w:val="000000"/>
          <w:sz w:val="24"/>
          <w:szCs w:val="24"/>
          <w:lang w:val="sr-Latn-ME"/>
        </w:rPr>
        <w:t>/</w:t>
      </w:r>
      <w:r w:rsidR="00697609" w:rsidRPr="00281886">
        <w:rPr>
          <w:rFonts w:eastAsia="Calibri" w:cstheme="minorHAnsi"/>
          <w:color w:val="000000"/>
          <w:sz w:val="24"/>
          <w:szCs w:val="24"/>
          <w:lang w:val="pl-PL"/>
        </w:rPr>
        <w:t>poslovanja</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u</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Crnoj</w:t>
      </w:r>
      <w:r w:rsidR="00697609" w:rsidRPr="00CE07A9">
        <w:rPr>
          <w:rFonts w:eastAsia="Calibri" w:cstheme="minorHAnsi"/>
          <w:color w:val="000000"/>
          <w:sz w:val="24"/>
          <w:szCs w:val="24"/>
          <w:lang w:val="sr-Latn-ME"/>
        </w:rPr>
        <w:t xml:space="preserve"> </w:t>
      </w:r>
      <w:r w:rsidR="00697609" w:rsidRPr="00281886">
        <w:rPr>
          <w:rFonts w:eastAsia="Calibri" w:cstheme="minorHAnsi"/>
          <w:color w:val="000000"/>
          <w:sz w:val="24"/>
          <w:szCs w:val="24"/>
          <w:lang w:val="pl-PL"/>
        </w:rPr>
        <w:t>Gori</w:t>
      </w:r>
      <w:r w:rsidR="00697609" w:rsidRPr="00CE07A9">
        <w:rPr>
          <w:rFonts w:eastAsia="Calibri" w:cstheme="minorHAnsi"/>
          <w:color w:val="000000"/>
          <w:sz w:val="24"/>
          <w:szCs w:val="24"/>
          <w:lang w:val="sr-Latn-ME"/>
        </w:rPr>
        <w:t xml:space="preserve">. </w:t>
      </w:r>
      <w:r w:rsidR="00A6463F" w:rsidRPr="00281886">
        <w:rPr>
          <w:rFonts w:eastAsia="Calibri" w:cstheme="minorHAnsi"/>
          <w:color w:val="000000"/>
          <w:sz w:val="24"/>
          <w:szCs w:val="24"/>
          <w:lang w:val="sr-Latn-RS"/>
        </w:rPr>
        <w:t>E</w:t>
      </w:r>
      <w:r w:rsidRPr="00281886">
        <w:rPr>
          <w:rFonts w:eastAsia="Calibri" w:cstheme="minorHAnsi"/>
          <w:color w:val="000000"/>
          <w:sz w:val="24"/>
          <w:szCs w:val="24"/>
          <w:lang w:val="sr-Latn-RS"/>
        </w:rPr>
        <w:t xml:space="preserve">fekti </w:t>
      </w:r>
      <w:r w:rsidRPr="00281886">
        <w:rPr>
          <w:rFonts w:eastAsia="Calibri" w:cstheme="minorHAnsi"/>
          <w:color w:val="000000"/>
          <w:sz w:val="24"/>
          <w:szCs w:val="24"/>
          <w:lang w:val="sr-Latn-RS"/>
        </w:rPr>
        <w:lastRenderedPageBreak/>
        <w:t xml:space="preserve">socijalne pomoći su ograničeni nedovoljnim brojem adekvatno targetiranih programa i nedovoljnom povezanošću sa aktivnim politikama na tržištu rada, u cilju </w:t>
      </w:r>
      <w:r w:rsidR="00A6463F" w:rsidRPr="00281886">
        <w:rPr>
          <w:rFonts w:eastAsia="Calibri" w:cstheme="minorHAnsi"/>
          <w:color w:val="000000"/>
          <w:sz w:val="24"/>
          <w:szCs w:val="24"/>
          <w:lang w:val="sr-Latn-RS"/>
        </w:rPr>
        <w:t xml:space="preserve">formalnog </w:t>
      </w:r>
      <w:r w:rsidRPr="00281886">
        <w:rPr>
          <w:rFonts w:eastAsia="Calibri" w:cstheme="minorHAnsi"/>
          <w:color w:val="000000"/>
          <w:sz w:val="24"/>
          <w:szCs w:val="24"/>
          <w:lang w:val="sr-Latn-RS"/>
        </w:rPr>
        <w:t xml:space="preserve">zapošljavanja što većeg broja korisnika socijalne pomoći. </w:t>
      </w:r>
      <w:r w:rsidR="00A6463F" w:rsidRPr="00281886">
        <w:rPr>
          <w:rFonts w:eastAsia="Calibri" w:cstheme="minorHAnsi"/>
          <w:color w:val="000000"/>
          <w:sz w:val="24"/>
          <w:szCs w:val="24"/>
          <w:lang w:val="sr-Latn-RS"/>
        </w:rPr>
        <w:t>Česte izmjene</w:t>
      </w:r>
      <w:r w:rsidRPr="00281886">
        <w:rPr>
          <w:rFonts w:eastAsia="Calibri" w:cstheme="minorHAnsi"/>
          <w:color w:val="000000"/>
          <w:sz w:val="24"/>
          <w:szCs w:val="24"/>
          <w:lang w:val="sr-Latn-RS"/>
        </w:rPr>
        <w:t xml:space="preserve"> Zakon</w:t>
      </w:r>
      <w:r w:rsidR="00A6463F" w:rsidRPr="00281886">
        <w:rPr>
          <w:rFonts w:eastAsia="Calibri" w:cstheme="minorHAnsi"/>
          <w:color w:val="000000"/>
          <w:sz w:val="24"/>
          <w:szCs w:val="24"/>
          <w:lang w:val="sr-Latn-RS"/>
        </w:rPr>
        <w:t>a</w:t>
      </w:r>
      <w:r w:rsidRPr="00281886">
        <w:rPr>
          <w:rFonts w:eastAsia="Calibri" w:cstheme="minorHAnsi"/>
          <w:color w:val="000000"/>
          <w:sz w:val="24"/>
          <w:szCs w:val="24"/>
          <w:lang w:val="sr-Latn-RS"/>
        </w:rPr>
        <w:t xml:space="preserve"> o socijalnoj i dječjoj zašiti koji je relativno dobro targetirao najsiromašnije slojeve stanovništva i definisao kriterijume za dobijanje materijalnog obezbjeđenja porodice, dječjih dodataka itd. </w:t>
      </w:r>
      <w:r w:rsidR="00A6463F" w:rsidRPr="00281886">
        <w:rPr>
          <w:rFonts w:eastAsia="Calibri" w:cstheme="minorHAnsi"/>
          <w:color w:val="000000"/>
          <w:sz w:val="24"/>
          <w:szCs w:val="24"/>
          <w:lang w:val="sr-Latn-RS"/>
        </w:rPr>
        <w:t xml:space="preserve"> </w:t>
      </w:r>
      <w:r w:rsidR="00697609" w:rsidRPr="00281886">
        <w:rPr>
          <w:rFonts w:eastAsia="Calibri" w:cstheme="minorHAnsi"/>
          <w:color w:val="000000"/>
          <w:sz w:val="24"/>
          <w:szCs w:val="24"/>
          <w:lang w:val="sr-Latn-RS"/>
        </w:rPr>
        <w:t>d</w:t>
      </w:r>
      <w:r w:rsidR="00A6463F" w:rsidRPr="00281886">
        <w:rPr>
          <w:rFonts w:eastAsia="Calibri" w:cstheme="minorHAnsi"/>
          <w:color w:val="000000"/>
          <w:sz w:val="24"/>
          <w:szCs w:val="24"/>
          <w:lang w:val="sr-Latn-RS"/>
        </w:rPr>
        <w:t>ovele su do proširenja baze korisnika socijalne i dječje zaštite bez jansih kritrjuma za pravedni raspodjelu tih sredstva i targetiranje prema onima kojima su ta sredstva najptrebnija.  Proširenje baze korisnika socijalne i dječje zaštite je dovelo do usporavanja formalizacije zapošljavanja.</w:t>
      </w:r>
      <w:r w:rsidR="00D45B03" w:rsidRPr="00CE07A9">
        <w:rPr>
          <w:rFonts w:eastAsia="Calibri" w:cstheme="minorHAnsi"/>
          <w:color w:val="000000"/>
          <w:sz w:val="24"/>
          <w:szCs w:val="24"/>
          <w:lang w:val="pl-PL"/>
        </w:rPr>
        <w:t xml:space="preserve"> </w:t>
      </w:r>
      <w:r w:rsidRPr="00CE07A9">
        <w:rPr>
          <w:rFonts w:eastAsia="Calibri" w:cstheme="minorHAnsi"/>
          <w:color w:val="000000"/>
          <w:sz w:val="24"/>
          <w:szCs w:val="24"/>
          <w:lang w:val="pl-PL"/>
        </w:rPr>
        <w:t>Analiz</w:t>
      </w:r>
      <w:r w:rsidR="00697609" w:rsidRPr="00CE07A9">
        <w:rPr>
          <w:rFonts w:eastAsia="Calibri" w:cstheme="minorHAnsi"/>
          <w:color w:val="000000"/>
          <w:sz w:val="24"/>
          <w:szCs w:val="24"/>
          <w:lang w:val="pl-PL"/>
        </w:rPr>
        <w:t>a</w:t>
      </w:r>
      <w:r w:rsidRPr="00CE07A9">
        <w:rPr>
          <w:rFonts w:eastAsia="Calibri" w:cstheme="minorHAnsi"/>
          <w:color w:val="000000"/>
          <w:sz w:val="24"/>
          <w:szCs w:val="24"/>
          <w:lang w:val="pl-PL"/>
        </w:rPr>
        <w:t xml:space="preserve"> podataka o nezaposlenosti i socijalnim davanjima u Crnoj Gori</w:t>
      </w:r>
      <w:r w:rsidR="00697609" w:rsidRPr="00CE07A9">
        <w:rPr>
          <w:rFonts w:eastAsia="Calibri" w:cstheme="minorHAnsi"/>
          <w:color w:val="000000"/>
          <w:sz w:val="24"/>
          <w:szCs w:val="24"/>
          <w:lang w:val="pl-PL"/>
        </w:rPr>
        <w:t xml:space="preserve"> za potrebe izrade ovog </w:t>
      </w:r>
      <w:r w:rsidR="001A4561">
        <w:rPr>
          <w:rFonts w:eastAsia="Calibri" w:cstheme="minorHAnsi"/>
          <w:color w:val="000000"/>
          <w:sz w:val="24"/>
          <w:szCs w:val="24"/>
          <w:lang w:val="pl-PL"/>
        </w:rPr>
        <w:t>p</w:t>
      </w:r>
      <w:r w:rsidR="00697609" w:rsidRPr="00CE07A9">
        <w:rPr>
          <w:rFonts w:eastAsia="Calibri" w:cstheme="minorHAnsi"/>
          <w:color w:val="000000"/>
          <w:sz w:val="24"/>
          <w:szCs w:val="24"/>
          <w:lang w:val="pl-PL"/>
        </w:rPr>
        <w:t>rograma</w:t>
      </w:r>
      <w:r w:rsidRPr="00CE07A9">
        <w:rPr>
          <w:rFonts w:eastAsia="Calibri" w:cstheme="minorHAnsi"/>
          <w:color w:val="000000"/>
          <w:sz w:val="24"/>
          <w:szCs w:val="24"/>
          <w:lang w:val="pl-PL"/>
        </w:rPr>
        <w:t xml:space="preserve">, </w:t>
      </w:r>
      <w:r w:rsidR="00697609" w:rsidRPr="00CE07A9">
        <w:rPr>
          <w:rFonts w:eastAsia="Calibri" w:cstheme="minorHAnsi"/>
          <w:color w:val="000000"/>
          <w:sz w:val="24"/>
          <w:szCs w:val="24"/>
          <w:lang w:val="pl-PL"/>
        </w:rPr>
        <w:t>ukazuje</w:t>
      </w:r>
      <w:r w:rsidRPr="00CE07A9">
        <w:rPr>
          <w:rFonts w:eastAsia="Calibri" w:cstheme="minorHAnsi"/>
          <w:color w:val="000000"/>
          <w:sz w:val="24"/>
          <w:szCs w:val="24"/>
          <w:lang w:val="pl-PL"/>
        </w:rPr>
        <w:t xml:space="preserve"> da </w:t>
      </w:r>
      <w:r w:rsidRPr="00CE07A9">
        <w:rPr>
          <w:rFonts w:eastAsia="Calibri" w:cstheme="minorHAnsi"/>
          <w:iCs/>
          <w:color w:val="000000"/>
          <w:sz w:val="24"/>
          <w:szCs w:val="24"/>
          <w:lang w:val="pl-PL"/>
        </w:rPr>
        <w:t>socijalna davanja imaju uticaj na rast nezaposlenosti</w:t>
      </w:r>
      <w:r w:rsidR="00C50996" w:rsidRPr="00CE07A9">
        <w:rPr>
          <w:rFonts w:eastAsia="Calibri" w:cstheme="minorHAnsi"/>
          <w:iCs/>
          <w:color w:val="000000"/>
          <w:sz w:val="24"/>
          <w:szCs w:val="24"/>
          <w:lang w:val="pl-PL"/>
        </w:rPr>
        <w:t xml:space="preserve"> </w:t>
      </w:r>
      <w:r w:rsidR="001427A5" w:rsidRPr="00CE07A9">
        <w:rPr>
          <w:rFonts w:eastAsia="Calibri" w:cstheme="minorHAnsi"/>
          <w:iCs/>
          <w:color w:val="000000"/>
          <w:sz w:val="24"/>
          <w:szCs w:val="24"/>
          <w:lang w:val="pl-PL"/>
        </w:rPr>
        <w:t>i</w:t>
      </w:r>
      <w:r w:rsidR="00C50996" w:rsidRPr="00CE07A9">
        <w:rPr>
          <w:rFonts w:eastAsia="Calibri" w:cstheme="minorHAnsi"/>
          <w:iCs/>
          <w:color w:val="000000"/>
          <w:sz w:val="24"/>
          <w:szCs w:val="24"/>
          <w:lang w:val="pl-PL"/>
        </w:rPr>
        <w:t xml:space="preserve"> neformalne zaposlenosti</w:t>
      </w:r>
      <w:r w:rsidRPr="00CE07A9">
        <w:rPr>
          <w:rFonts w:eastAsia="Calibri" w:cstheme="minorHAnsi"/>
          <w:iCs/>
          <w:color w:val="000000"/>
          <w:sz w:val="24"/>
          <w:szCs w:val="24"/>
          <w:lang w:val="pl-PL"/>
        </w:rPr>
        <w:t>.</w:t>
      </w:r>
      <w:r w:rsidRPr="00CE07A9">
        <w:rPr>
          <w:rFonts w:eastAsia="Calibri" w:cstheme="minorHAnsi"/>
          <w:color w:val="000000"/>
          <w:sz w:val="24"/>
          <w:szCs w:val="24"/>
          <w:lang w:val="pl-PL"/>
        </w:rPr>
        <w:t xml:space="preserve"> Rast socijalnih davanja i subvencija u godinama kriza, 2008-2010.  zatim 2020-2021. kao i isplate  naknada za majke sa 3 i više djece u periodu 2016-2017, </w:t>
      </w:r>
      <w:r w:rsidR="00D45B03" w:rsidRPr="00CE07A9">
        <w:rPr>
          <w:rFonts w:eastAsia="Calibri" w:cstheme="minorHAnsi"/>
          <w:color w:val="000000"/>
          <w:sz w:val="24"/>
          <w:szCs w:val="24"/>
          <w:lang w:val="pl-PL"/>
        </w:rPr>
        <w:t>uticala je na</w:t>
      </w:r>
      <w:r w:rsidRPr="00CE07A9">
        <w:rPr>
          <w:rFonts w:eastAsia="Calibri" w:cstheme="minorHAnsi"/>
          <w:color w:val="000000"/>
          <w:sz w:val="24"/>
          <w:szCs w:val="24"/>
          <w:lang w:val="pl-PL"/>
        </w:rPr>
        <w:t xml:space="preserve"> rast nezaposlenosti u Crnoj Gori. </w:t>
      </w:r>
      <w:r w:rsidR="000D74D0" w:rsidRPr="00021CDC">
        <w:rPr>
          <w:rFonts w:eastAsia="Calibri" w:cstheme="minorHAnsi"/>
          <w:color w:val="000000"/>
          <w:sz w:val="24"/>
          <w:szCs w:val="24"/>
          <w:lang w:val="pl-PL"/>
        </w:rPr>
        <w:t xml:space="preserve">Prema istraživanju zainteresovanih strana za potrebe pisanja ovog </w:t>
      </w:r>
      <w:r w:rsidR="001A4561">
        <w:rPr>
          <w:rFonts w:eastAsia="Calibri" w:cstheme="minorHAnsi"/>
          <w:color w:val="000000"/>
          <w:sz w:val="24"/>
          <w:szCs w:val="24"/>
          <w:lang w:val="pl-PL"/>
        </w:rPr>
        <w:t>p</w:t>
      </w:r>
      <w:r w:rsidR="000D74D0" w:rsidRPr="00021CDC">
        <w:rPr>
          <w:rFonts w:eastAsia="Calibri" w:cstheme="minorHAnsi"/>
          <w:color w:val="000000"/>
          <w:sz w:val="24"/>
          <w:szCs w:val="24"/>
          <w:lang w:val="pl-PL"/>
        </w:rPr>
        <w:t xml:space="preserve">rograma, oko 7% ispitanika (predstavnika poslodavaca, </w:t>
      </w:r>
      <w:r w:rsidR="000D74D0" w:rsidRPr="00281886">
        <w:rPr>
          <w:rFonts w:eastAsia="Calibri" w:cstheme="minorHAnsi"/>
          <w:color w:val="000000"/>
          <w:sz w:val="24"/>
          <w:szCs w:val="24"/>
          <w:lang w:val="sr-Latn-ME"/>
        </w:rPr>
        <w:t>zaposlenih, državnih institucija i sl)</w:t>
      </w:r>
      <w:r w:rsidR="000D74D0" w:rsidRPr="00021CDC">
        <w:rPr>
          <w:rFonts w:eastAsia="Calibri" w:cstheme="minorHAnsi"/>
          <w:color w:val="000000"/>
          <w:sz w:val="24"/>
          <w:szCs w:val="24"/>
          <w:lang w:val="pl-PL"/>
        </w:rPr>
        <w:t xml:space="preserve"> smatra da je </w:t>
      </w:r>
      <w:r w:rsidR="00553689" w:rsidRPr="00281886">
        <w:rPr>
          <w:rFonts w:eastAsia="Calibri" w:cstheme="minorHAnsi"/>
          <w:color w:val="000000"/>
          <w:sz w:val="24"/>
          <w:szCs w:val="24"/>
          <w:lang w:val="sr-Latn-ME"/>
        </w:rPr>
        <w:t>pol</w:t>
      </w:r>
      <w:r w:rsidR="001427A5">
        <w:rPr>
          <w:rFonts w:eastAsia="Calibri" w:cstheme="minorHAnsi"/>
          <w:color w:val="000000"/>
          <w:sz w:val="24"/>
          <w:szCs w:val="24"/>
          <w:lang w:val="sr-Latn-ME"/>
        </w:rPr>
        <w:t>i</w:t>
      </w:r>
      <w:r w:rsidR="00553689" w:rsidRPr="00281886">
        <w:rPr>
          <w:rFonts w:eastAsia="Calibri" w:cstheme="minorHAnsi"/>
          <w:color w:val="000000"/>
          <w:sz w:val="24"/>
          <w:szCs w:val="24"/>
          <w:lang w:val="sr-Latn-ME"/>
        </w:rPr>
        <w:t>tika socijalne zaštite jedan od uzročnika</w:t>
      </w:r>
      <w:r w:rsidR="000D74D0" w:rsidRPr="00021CDC">
        <w:rPr>
          <w:rFonts w:eastAsia="Calibri" w:cstheme="minorHAnsi"/>
          <w:color w:val="000000"/>
          <w:sz w:val="24"/>
          <w:szCs w:val="24"/>
          <w:lang w:val="pl-PL"/>
        </w:rPr>
        <w:t xml:space="preserve"> neformalne ekonomije.</w:t>
      </w:r>
      <w:r w:rsidR="006870C2" w:rsidRPr="00281886">
        <w:rPr>
          <w:rFonts w:eastAsia="Calibri" w:cstheme="minorHAnsi"/>
          <w:bCs/>
          <w:iCs/>
          <w:color w:val="000000"/>
          <w:sz w:val="24"/>
          <w:szCs w:val="24"/>
          <w:lang w:val="pl-PL"/>
        </w:rPr>
        <w:t xml:space="preserve"> Ovo istraživanje je takodje pokazalo da je neophodno </w:t>
      </w:r>
      <w:r w:rsidR="006870C2" w:rsidRPr="006870C2">
        <w:rPr>
          <w:rFonts w:eastAsia="Calibri" w:cstheme="minorHAnsi"/>
          <w:bCs/>
          <w:iCs/>
          <w:color w:val="000000"/>
          <w:sz w:val="24"/>
          <w:szCs w:val="24"/>
          <w:lang w:val="pl-PL"/>
        </w:rPr>
        <w:t>uraditi reviziju</w:t>
      </w:r>
      <w:r w:rsidR="006870C2" w:rsidRPr="00281886">
        <w:rPr>
          <w:rFonts w:eastAsia="Calibri" w:cstheme="minorHAnsi"/>
          <w:bCs/>
          <w:iCs/>
          <w:color w:val="000000"/>
          <w:sz w:val="24"/>
          <w:szCs w:val="24"/>
          <w:lang w:val="pl-PL"/>
        </w:rPr>
        <w:t xml:space="preserve"> </w:t>
      </w:r>
      <w:r w:rsidR="006870C2" w:rsidRPr="006870C2">
        <w:rPr>
          <w:rFonts w:eastAsia="Calibri" w:cstheme="minorHAnsi"/>
          <w:bCs/>
          <w:iCs/>
          <w:color w:val="000000"/>
          <w:sz w:val="24"/>
          <w:szCs w:val="24"/>
          <w:lang w:val="pl-PL"/>
        </w:rPr>
        <w:t xml:space="preserve"> Zakona o profesionalnoj rehabilitaciji </w:t>
      </w:r>
      <w:r w:rsidR="001427A5">
        <w:rPr>
          <w:rFonts w:eastAsia="Calibri" w:cstheme="minorHAnsi"/>
          <w:bCs/>
          <w:iCs/>
          <w:color w:val="000000"/>
          <w:sz w:val="24"/>
          <w:szCs w:val="24"/>
          <w:lang w:val="pl-PL"/>
        </w:rPr>
        <w:t>i</w:t>
      </w:r>
      <w:r w:rsidR="006870C2" w:rsidRPr="006870C2">
        <w:rPr>
          <w:rFonts w:eastAsia="Calibri" w:cstheme="minorHAnsi"/>
          <w:bCs/>
          <w:iCs/>
          <w:color w:val="000000"/>
          <w:sz w:val="24"/>
          <w:szCs w:val="24"/>
          <w:lang w:val="pl-PL"/>
        </w:rPr>
        <w:t xml:space="preserve"> zapošljavanju lica sa invaliditetom</w:t>
      </w:r>
      <w:r w:rsidR="00ED1C81">
        <w:rPr>
          <w:rFonts w:eastAsia="Calibri" w:cstheme="minorHAnsi"/>
          <w:bCs/>
          <w:iCs/>
          <w:color w:val="000000"/>
          <w:sz w:val="24"/>
          <w:szCs w:val="24"/>
          <w:lang w:val="pl-PL"/>
        </w:rPr>
        <w:t xml:space="preserve"> i</w:t>
      </w:r>
      <w:r w:rsidR="006870C2" w:rsidRPr="006870C2">
        <w:rPr>
          <w:rFonts w:eastAsia="Calibri" w:cstheme="minorHAnsi"/>
          <w:bCs/>
          <w:iCs/>
          <w:color w:val="000000"/>
          <w:sz w:val="24"/>
          <w:szCs w:val="24"/>
          <w:lang w:val="pl-PL"/>
        </w:rPr>
        <w:t xml:space="preserve"> Zakona o socijalnoj </w:t>
      </w:r>
      <w:r w:rsidR="001427A5">
        <w:rPr>
          <w:rFonts w:eastAsia="Calibri" w:cstheme="minorHAnsi"/>
          <w:bCs/>
          <w:iCs/>
          <w:color w:val="000000"/>
          <w:sz w:val="24"/>
          <w:szCs w:val="24"/>
          <w:lang w:val="pl-PL"/>
        </w:rPr>
        <w:t>i</w:t>
      </w:r>
      <w:r w:rsidR="006870C2" w:rsidRPr="006870C2">
        <w:rPr>
          <w:rFonts w:eastAsia="Calibri" w:cstheme="minorHAnsi"/>
          <w:bCs/>
          <w:iCs/>
          <w:color w:val="000000"/>
          <w:sz w:val="24"/>
          <w:szCs w:val="24"/>
          <w:lang w:val="pl-PL"/>
        </w:rPr>
        <w:t xml:space="preserve"> dječijoj zaštiti u smislu dod</w:t>
      </w:r>
      <w:r w:rsidR="001427A5">
        <w:rPr>
          <w:rFonts w:eastAsia="Calibri" w:cstheme="minorHAnsi"/>
          <w:bCs/>
          <w:iCs/>
          <w:color w:val="000000"/>
          <w:sz w:val="24"/>
          <w:szCs w:val="24"/>
          <w:lang w:val="pl-PL"/>
        </w:rPr>
        <w:t>a</w:t>
      </w:r>
      <w:r w:rsidR="006870C2" w:rsidRPr="006870C2">
        <w:rPr>
          <w:rFonts w:eastAsia="Calibri" w:cstheme="minorHAnsi"/>
          <w:bCs/>
          <w:iCs/>
          <w:color w:val="000000"/>
          <w:sz w:val="24"/>
          <w:szCs w:val="24"/>
          <w:lang w:val="pl-PL"/>
        </w:rPr>
        <w:t>tne regulacije za radno spos</w:t>
      </w:r>
      <w:r w:rsidR="006870C2" w:rsidRPr="00281886">
        <w:rPr>
          <w:rFonts w:eastAsia="Calibri" w:cstheme="minorHAnsi"/>
          <w:bCs/>
          <w:iCs/>
          <w:color w:val="000000"/>
          <w:sz w:val="24"/>
          <w:szCs w:val="24"/>
          <w:lang w:val="pl-PL"/>
        </w:rPr>
        <w:t>o</w:t>
      </w:r>
      <w:r w:rsidR="006870C2" w:rsidRPr="006870C2">
        <w:rPr>
          <w:rFonts w:eastAsia="Calibri" w:cstheme="minorHAnsi"/>
          <w:bCs/>
          <w:iCs/>
          <w:color w:val="000000"/>
          <w:sz w:val="24"/>
          <w:szCs w:val="24"/>
          <w:lang w:val="pl-PL"/>
        </w:rPr>
        <w:t xml:space="preserve">bne korisnike prava iz ovog </w:t>
      </w:r>
      <w:r w:rsidR="006870C2" w:rsidRPr="006C1837">
        <w:rPr>
          <w:rFonts w:eastAsia="Calibri" w:cstheme="minorHAnsi"/>
          <w:bCs/>
          <w:iCs/>
          <w:color w:val="000000"/>
          <w:sz w:val="24"/>
          <w:szCs w:val="24"/>
          <w:lang w:val="pl-PL"/>
        </w:rPr>
        <w:t>zakona.</w:t>
      </w:r>
    </w:p>
    <w:p w14:paraId="5DC2C6D4" w14:textId="65EF863E" w:rsidR="004D3553" w:rsidRDefault="001427A5" w:rsidP="00690214">
      <w:pPr>
        <w:spacing w:after="150" w:line="276" w:lineRule="auto"/>
        <w:jc w:val="both"/>
        <w:rPr>
          <w:rFonts w:eastAsia="Calibri" w:cstheme="minorHAnsi"/>
          <w:bCs/>
          <w:iCs/>
          <w:color w:val="000000"/>
          <w:sz w:val="24"/>
          <w:szCs w:val="24"/>
          <w:lang w:val="pl-PL"/>
        </w:rPr>
      </w:pPr>
      <w:r w:rsidRPr="00CE07A9">
        <w:rPr>
          <w:rFonts w:eastAsia="Calibri" w:cstheme="minorHAnsi"/>
          <w:bCs/>
          <w:iCs/>
          <w:color w:val="000000"/>
          <w:sz w:val="24"/>
          <w:szCs w:val="24"/>
          <w:lang w:val="pl-PL"/>
        </w:rPr>
        <w:t xml:space="preserve">Dodatni faktor uticaja na nezaposlenost, a time </w:t>
      </w:r>
      <w:r w:rsidR="007479EB" w:rsidRPr="00CE07A9">
        <w:rPr>
          <w:rFonts w:eastAsia="Calibri" w:cstheme="minorHAnsi"/>
          <w:bCs/>
          <w:iCs/>
          <w:color w:val="000000"/>
          <w:sz w:val="24"/>
          <w:szCs w:val="24"/>
          <w:lang w:val="pl-PL"/>
        </w:rPr>
        <w:t>i</w:t>
      </w:r>
      <w:r w:rsidRPr="00CE07A9">
        <w:rPr>
          <w:rFonts w:eastAsia="Calibri" w:cstheme="minorHAnsi"/>
          <w:bCs/>
          <w:iCs/>
          <w:color w:val="000000"/>
          <w:sz w:val="24"/>
          <w:szCs w:val="24"/>
          <w:lang w:val="pl-PL"/>
        </w:rPr>
        <w:t xml:space="preserve"> veća socijalna davanja i neformalne radne aranžmane su </w:t>
      </w:r>
      <w:r w:rsidRPr="00CE07A9">
        <w:rPr>
          <w:rFonts w:eastAsia="Calibri" w:cstheme="minorHAnsi"/>
          <w:b/>
          <w:iCs/>
          <w:color w:val="000000"/>
          <w:sz w:val="24"/>
          <w:szCs w:val="24"/>
          <w:lang w:val="pl-PL"/>
        </w:rPr>
        <w:t>doznake iz inostra</w:t>
      </w:r>
      <w:r w:rsidR="000F44B4" w:rsidRPr="00CE07A9">
        <w:rPr>
          <w:rFonts w:eastAsia="Calibri" w:cstheme="minorHAnsi"/>
          <w:b/>
          <w:iCs/>
          <w:color w:val="000000"/>
          <w:sz w:val="24"/>
          <w:szCs w:val="24"/>
          <w:lang w:val="pl-PL"/>
        </w:rPr>
        <w:t>n</w:t>
      </w:r>
      <w:r w:rsidRPr="00CE07A9">
        <w:rPr>
          <w:rFonts w:eastAsia="Calibri" w:cstheme="minorHAnsi"/>
          <w:b/>
          <w:iCs/>
          <w:color w:val="000000"/>
          <w:sz w:val="24"/>
          <w:szCs w:val="24"/>
          <w:lang w:val="pl-PL"/>
        </w:rPr>
        <w:t>stva</w:t>
      </w:r>
      <w:r w:rsidRPr="00CE07A9">
        <w:rPr>
          <w:rFonts w:eastAsia="Calibri" w:cstheme="minorHAnsi"/>
          <w:bCs/>
          <w:iCs/>
          <w:color w:val="000000"/>
          <w:sz w:val="24"/>
          <w:szCs w:val="24"/>
          <w:lang w:val="pl-PL"/>
        </w:rPr>
        <w:t xml:space="preserve">. Ovo je manje izraženo u Crnoj Gori u odnosu </w:t>
      </w:r>
      <w:r w:rsidR="000F44B4" w:rsidRPr="00CE07A9">
        <w:rPr>
          <w:rFonts w:eastAsia="Calibri" w:cstheme="minorHAnsi"/>
          <w:bCs/>
          <w:iCs/>
          <w:color w:val="000000"/>
          <w:sz w:val="24"/>
          <w:szCs w:val="24"/>
          <w:lang w:val="pl-PL"/>
        </w:rPr>
        <w:t>na</w:t>
      </w:r>
      <w:r w:rsidRPr="00CE07A9">
        <w:rPr>
          <w:rFonts w:eastAsia="Calibri" w:cstheme="minorHAnsi"/>
          <w:bCs/>
          <w:iCs/>
          <w:color w:val="000000"/>
          <w:sz w:val="24"/>
          <w:szCs w:val="24"/>
          <w:lang w:val="pl-PL"/>
        </w:rPr>
        <w:t xml:space="preserve"> zemlje regiona Zapadnog </w:t>
      </w:r>
      <w:r w:rsidR="000F44B4" w:rsidRPr="00CE07A9">
        <w:rPr>
          <w:rFonts w:eastAsia="Calibri" w:cstheme="minorHAnsi"/>
          <w:bCs/>
          <w:iCs/>
          <w:color w:val="000000"/>
          <w:sz w:val="24"/>
          <w:szCs w:val="24"/>
          <w:lang w:val="pl-PL"/>
        </w:rPr>
        <w:t>B</w:t>
      </w:r>
      <w:r w:rsidRPr="00CE07A9">
        <w:rPr>
          <w:rFonts w:eastAsia="Calibri" w:cstheme="minorHAnsi"/>
          <w:bCs/>
          <w:iCs/>
          <w:color w:val="000000"/>
          <w:sz w:val="24"/>
          <w:szCs w:val="24"/>
          <w:lang w:val="pl-PL"/>
        </w:rPr>
        <w:t xml:space="preserve">alkana, ali svakako postoji,naročito u pojedinim opštinama Sjevernog </w:t>
      </w:r>
      <w:r w:rsidR="00CF369D" w:rsidRPr="00CE07A9">
        <w:rPr>
          <w:rFonts w:eastAsia="Calibri" w:cstheme="minorHAnsi"/>
          <w:bCs/>
          <w:iCs/>
          <w:color w:val="000000"/>
          <w:sz w:val="24"/>
          <w:szCs w:val="24"/>
          <w:lang w:val="pl-PL"/>
        </w:rPr>
        <w:t>i</w:t>
      </w:r>
      <w:r w:rsidRPr="00CE07A9">
        <w:rPr>
          <w:rFonts w:eastAsia="Calibri" w:cstheme="minorHAnsi"/>
          <w:bCs/>
          <w:iCs/>
          <w:color w:val="000000"/>
          <w:sz w:val="24"/>
          <w:szCs w:val="24"/>
          <w:lang w:val="pl-PL"/>
        </w:rPr>
        <w:t xml:space="preserve"> Primorskog regiona. </w:t>
      </w:r>
      <w:r w:rsidR="004D3553" w:rsidRPr="00CE07A9">
        <w:rPr>
          <w:rFonts w:eastAsia="Calibri" w:cstheme="minorHAnsi"/>
          <w:bCs/>
          <w:iCs/>
          <w:color w:val="000000"/>
          <w:sz w:val="24"/>
          <w:szCs w:val="24"/>
          <w:lang w:val="pl-PL"/>
        </w:rPr>
        <w:t xml:space="preserve"> </w:t>
      </w:r>
      <w:r w:rsidRPr="00021CDC">
        <w:rPr>
          <w:rFonts w:eastAsia="Calibri" w:cstheme="minorHAnsi"/>
          <w:bCs/>
          <w:iCs/>
          <w:color w:val="000000"/>
          <w:sz w:val="24"/>
          <w:szCs w:val="24"/>
          <w:lang w:val="pl-PL"/>
        </w:rPr>
        <w:t>Prema istraživanju SELDI iz 2016.godine, “p</w:t>
      </w:r>
      <w:r w:rsidR="004D3553" w:rsidRPr="00021CDC">
        <w:rPr>
          <w:rFonts w:eastAsia="Calibri" w:cstheme="minorHAnsi"/>
          <w:bCs/>
          <w:iCs/>
          <w:color w:val="000000"/>
          <w:sz w:val="24"/>
          <w:szCs w:val="24"/>
          <w:lang w:val="pl-PL"/>
        </w:rPr>
        <w:t>ovećanje procentnog poena transfera novca povezan je sa smanjenjem od 1,8 procentnih poena u zapošljavanju širom zemalja članica SELDI</w:t>
      </w:r>
      <w:r w:rsidR="006C1837" w:rsidRPr="006C1837">
        <w:rPr>
          <w:rStyle w:val="FootnoteReference"/>
          <w:rFonts w:eastAsia="Calibri" w:cstheme="minorHAnsi"/>
          <w:bCs/>
          <w:iCs/>
          <w:color w:val="000000"/>
          <w:sz w:val="24"/>
          <w:szCs w:val="24"/>
        </w:rPr>
        <w:footnoteReference w:id="12"/>
      </w:r>
      <w:r w:rsidR="004D3553" w:rsidRPr="00021CDC">
        <w:rPr>
          <w:rFonts w:eastAsia="Calibri" w:cstheme="minorHAnsi"/>
          <w:bCs/>
          <w:iCs/>
          <w:color w:val="000000"/>
          <w:sz w:val="24"/>
          <w:szCs w:val="24"/>
          <w:lang w:val="pl-PL"/>
        </w:rPr>
        <w:t xml:space="preserve"> mreže. Po svemu sudeći, veza između transfera novca, sivog zapošljavanja i sive ekonomije je pozitivna u Jugoistočnoj Evropi.</w:t>
      </w:r>
      <w:r w:rsidR="006C1837" w:rsidRPr="00021CDC">
        <w:rPr>
          <w:rFonts w:eastAsia="Calibri" w:cstheme="minorHAnsi"/>
          <w:bCs/>
          <w:iCs/>
          <w:color w:val="000000"/>
          <w:sz w:val="24"/>
          <w:szCs w:val="24"/>
          <w:lang w:val="pl-PL"/>
        </w:rPr>
        <w:t xml:space="preserve"> </w:t>
      </w:r>
      <w:r w:rsidR="004D3553" w:rsidRPr="00021CDC">
        <w:rPr>
          <w:rFonts w:eastAsia="Calibri" w:cstheme="minorHAnsi"/>
          <w:bCs/>
          <w:iCs/>
          <w:color w:val="000000"/>
          <w:sz w:val="24"/>
          <w:szCs w:val="24"/>
          <w:lang w:val="pl-PL"/>
        </w:rPr>
        <w:t>Transferi novca napumpavaju unutrašnju potrošnju (zelena tržišta su po pravilu gotovo u potpunosti skrivena), služe kao sigurnosna socijalna mreža (podsticanje rizičnije skrivene zaposlenosti)</w:t>
      </w:r>
      <w:r w:rsidR="00ED1C81">
        <w:rPr>
          <w:rFonts w:eastAsia="Calibri" w:cstheme="minorHAnsi"/>
          <w:bCs/>
          <w:iCs/>
          <w:color w:val="000000"/>
          <w:sz w:val="24"/>
          <w:szCs w:val="24"/>
          <w:lang w:val="pl-PL"/>
        </w:rPr>
        <w:t>, ali utiču i na</w:t>
      </w:r>
      <w:r w:rsidR="004D3553" w:rsidRPr="00021CDC">
        <w:rPr>
          <w:rFonts w:eastAsia="Calibri" w:cstheme="minorHAnsi"/>
          <w:bCs/>
          <w:iCs/>
          <w:color w:val="000000"/>
          <w:sz w:val="24"/>
          <w:szCs w:val="24"/>
          <w:lang w:val="pl-PL"/>
        </w:rPr>
        <w:t xml:space="preserve"> domaće investicije i preduzetništvo, često skriveno (siva ekonomija, zanatstvo, poljoprivreda).</w:t>
      </w:r>
      <w:r w:rsidR="006C1837" w:rsidRPr="00021CDC">
        <w:rPr>
          <w:rFonts w:eastAsia="Calibri" w:cstheme="minorHAnsi"/>
          <w:bCs/>
          <w:iCs/>
          <w:color w:val="000000"/>
          <w:sz w:val="24"/>
          <w:szCs w:val="24"/>
          <w:lang w:val="pl-PL"/>
        </w:rPr>
        <w:t>”</w:t>
      </w:r>
      <w:r w:rsidR="004D3553" w:rsidRPr="00021CDC">
        <w:rPr>
          <w:rFonts w:eastAsia="Calibri" w:cstheme="minorHAnsi"/>
          <w:bCs/>
          <w:iCs/>
          <w:color w:val="000000"/>
          <w:sz w:val="24"/>
          <w:szCs w:val="24"/>
          <w:lang w:val="pl-PL"/>
        </w:rPr>
        <w:t xml:space="preserve"> </w:t>
      </w:r>
    </w:p>
    <w:p w14:paraId="44B65664" w14:textId="68875217" w:rsidR="00013F7F" w:rsidRPr="006C691C" w:rsidRDefault="008A376A" w:rsidP="00690214">
      <w:pPr>
        <w:spacing w:after="150" w:line="276" w:lineRule="auto"/>
        <w:jc w:val="both"/>
        <w:rPr>
          <w:rFonts w:eastAsia="Calibri" w:cstheme="minorHAnsi"/>
          <w:iCs/>
          <w:kern w:val="0"/>
          <w:sz w:val="24"/>
          <w:szCs w:val="24"/>
          <w:lang w:val="sr-Latn-ME"/>
          <w14:ligatures w14:val="none"/>
        </w:rPr>
      </w:pPr>
      <w:r w:rsidRPr="00021CDC">
        <w:rPr>
          <w:rFonts w:eastAsia="Calibri" w:cstheme="minorHAnsi"/>
          <w:b/>
          <w:bCs/>
          <w:color w:val="000000"/>
          <w:sz w:val="24"/>
          <w:szCs w:val="24"/>
          <w:lang w:val="pl-PL"/>
        </w:rPr>
        <w:t xml:space="preserve">Nedovoljna učinkovitost obrazovnog sistema. </w:t>
      </w:r>
      <w:r w:rsidRPr="00281886">
        <w:rPr>
          <w:rFonts w:eastAsia="Calibri" w:cstheme="minorHAnsi"/>
          <w:kern w:val="0"/>
          <w:sz w:val="24"/>
          <w:szCs w:val="24"/>
          <w:lang w:val="sr-Latn-ME"/>
          <w14:ligatures w14:val="none"/>
        </w:rPr>
        <w:t xml:space="preserve">Crnu Goru karakteriše veliki broj prelazaka sa diplome stručne srednje škole na visokoobrazovne programe sa malom relevantnošću na tržištu rada, kreirajući nepodudarnost sa potrebama tržišta rada (prekvalifikacija itd), i utičući na stvaranje sive ekonomije </w:t>
      </w:r>
      <w:r w:rsidR="00E64719" w:rsidRPr="00281886">
        <w:rPr>
          <w:rFonts w:eastAsia="Calibri" w:cstheme="minorHAnsi"/>
          <w:kern w:val="0"/>
          <w:sz w:val="24"/>
          <w:szCs w:val="24"/>
          <w:lang w:val="sr-Latn-ME"/>
          <w14:ligatures w14:val="none"/>
        </w:rPr>
        <w:t>na</w:t>
      </w:r>
      <w:r w:rsidRPr="00281886">
        <w:rPr>
          <w:rFonts w:eastAsia="Calibri" w:cstheme="minorHAnsi"/>
          <w:kern w:val="0"/>
          <w:sz w:val="24"/>
          <w:szCs w:val="24"/>
          <w:lang w:val="sr-Latn-ME"/>
          <w14:ligatures w14:val="none"/>
        </w:rPr>
        <w:t xml:space="preserve"> tržištu rada. Dodatno, u obrazovnom </w:t>
      </w:r>
      <w:r w:rsidR="00A525B1" w:rsidRPr="00281886">
        <w:rPr>
          <w:rFonts w:eastAsia="Calibri" w:cstheme="minorHAnsi"/>
          <w:kern w:val="0"/>
          <w:sz w:val="24"/>
          <w:szCs w:val="24"/>
          <w:lang w:val="sr-Latn-ME"/>
          <w14:ligatures w14:val="none"/>
        </w:rPr>
        <w:t xml:space="preserve">sistemu, naročito srednjim školama, povećan je broj vanredno upisanih učenika, kao i broj vandredno stečenih diploma, </w:t>
      </w:r>
      <w:r w:rsidR="00AF4820" w:rsidRPr="00281886">
        <w:rPr>
          <w:rFonts w:eastAsia="Calibri" w:cstheme="minorHAnsi"/>
          <w:kern w:val="0"/>
          <w:sz w:val="24"/>
          <w:szCs w:val="24"/>
          <w:lang w:val="sr-Latn-ME"/>
          <w14:ligatures w14:val="none"/>
        </w:rPr>
        <w:t>što</w:t>
      </w:r>
      <w:r w:rsidR="00A525B1" w:rsidRPr="00281886">
        <w:rPr>
          <w:rFonts w:eastAsia="Calibri" w:cstheme="minorHAnsi"/>
          <w:kern w:val="0"/>
          <w:sz w:val="24"/>
          <w:szCs w:val="24"/>
          <w:lang w:val="sr-Latn-ME"/>
          <w14:ligatures w14:val="none"/>
        </w:rPr>
        <w:t xml:space="preserve"> ukazuj</w:t>
      </w:r>
      <w:r w:rsidR="00AF4820" w:rsidRPr="00281886">
        <w:rPr>
          <w:rFonts w:eastAsia="Calibri" w:cstheme="minorHAnsi"/>
          <w:kern w:val="0"/>
          <w:sz w:val="24"/>
          <w:szCs w:val="24"/>
          <w:lang w:val="sr-Latn-ME"/>
          <w14:ligatures w14:val="none"/>
        </w:rPr>
        <w:t>e</w:t>
      </w:r>
      <w:r w:rsidR="00A525B1" w:rsidRPr="00281886">
        <w:rPr>
          <w:rFonts w:eastAsia="Calibri" w:cstheme="minorHAnsi"/>
          <w:kern w:val="0"/>
          <w:sz w:val="24"/>
          <w:szCs w:val="24"/>
          <w:lang w:val="sr-Latn-ME"/>
          <w14:ligatures w14:val="none"/>
        </w:rPr>
        <w:t xml:space="preserve"> na izazove tržišta diploma.</w:t>
      </w:r>
      <w:r w:rsidR="006870C2" w:rsidRPr="00021CDC">
        <w:rPr>
          <w:rFonts w:eastAsia="Calibri" w:cstheme="minorHAnsi"/>
          <w:i/>
          <w:kern w:val="0"/>
          <w:sz w:val="24"/>
          <w:szCs w:val="24"/>
          <w:lang w:val="sr-Latn-ME"/>
          <w14:ligatures w14:val="none"/>
        </w:rPr>
        <w:t xml:space="preserve"> </w:t>
      </w:r>
      <w:r w:rsidR="00AF4820" w:rsidRPr="00281886">
        <w:rPr>
          <w:rFonts w:eastAsia="Calibri" w:cstheme="minorHAnsi"/>
          <w:iCs/>
          <w:kern w:val="0"/>
          <w:sz w:val="24"/>
          <w:szCs w:val="24"/>
          <w:lang w:val="pl-PL"/>
          <w14:ligatures w14:val="none"/>
        </w:rPr>
        <w:t>Generalno</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potrebno</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je</w:t>
      </w:r>
      <w:r w:rsidR="006870C2" w:rsidRPr="00686BAF">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osavreme</w:t>
      </w:r>
      <w:r w:rsidR="00AF4820" w:rsidRPr="00281886">
        <w:rPr>
          <w:rFonts w:eastAsia="Calibri" w:cstheme="minorHAnsi"/>
          <w:iCs/>
          <w:kern w:val="0"/>
          <w:sz w:val="24"/>
          <w:szCs w:val="24"/>
          <w:lang w:val="pl-PL"/>
          <w14:ligatures w14:val="none"/>
        </w:rPr>
        <w:t>n</w:t>
      </w:r>
      <w:r w:rsidR="006870C2" w:rsidRPr="00281886">
        <w:rPr>
          <w:rFonts w:eastAsia="Calibri" w:cstheme="minorHAnsi"/>
          <w:iCs/>
          <w:kern w:val="0"/>
          <w:sz w:val="24"/>
          <w:szCs w:val="24"/>
          <w:lang w:val="pl-PL"/>
          <w14:ligatures w14:val="none"/>
        </w:rPr>
        <w:t>iti</w:t>
      </w:r>
      <w:r w:rsidR="006870C2" w:rsidRPr="00686BAF">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i</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uskladiti</w:t>
      </w:r>
      <w:r w:rsidR="006870C2" w:rsidRPr="00686BAF">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sistem</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lastRenderedPageBreak/>
        <w:t>obrazovanja</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shodno</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dru</w:t>
      </w:r>
      <w:r w:rsidR="006870C2" w:rsidRPr="006C691C">
        <w:rPr>
          <w:rFonts w:eastAsia="Calibri" w:cstheme="minorHAnsi"/>
          <w:iCs/>
          <w:kern w:val="0"/>
          <w:sz w:val="24"/>
          <w:szCs w:val="24"/>
          <w:lang w:val="sr-Latn-ME"/>
          <w14:ligatures w14:val="none"/>
        </w:rPr>
        <w:t>š</w:t>
      </w:r>
      <w:r w:rsidR="006870C2" w:rsidRPr="00281886">
        <w:rPr>
          <w:rFonts w:eastAsia="Calibri" w:cstheme="minorHAnsi"/>
          <w:iCs/>
          <w:kern w:val="0"/>
          <w:sz w:val="24"/>
          <w:szCs w:val="24"/>
          <w:lang w:val="pl-PL"/>
          <w14:ligatures w14:val="none"/>
        </w:rPr>
        <w:t>tvenim</w:t>
      </w:r>
      <w:r w:rsidR="006870C2" w:rsidRPr="006C691C">
        <w:rPr>
          <w:rFonts w:eastAsia="Calibri" w:cstheme="minorHAnsi"/>
          <w:iCs/>
          <w:kern w:val="0"/>
          <w:sz w:val="24"/>
          <w:szCs w:val="24"/>
          <w:lang w:val="sr-Latn-ME"/>
          <w14:ligatures w14:val="none"/>
        </w:rPr>
        <w:t xml:space="preserve"> </w:t>
      </w:r>
      <w:r w:rsidR="00AF4820" w:rsidRPr="00281886">
        <w:rPr>
          <w:rFonts w:eastAsia="Calibri" w:cstheme="minorHAnsi"/>
          <w:iCs/>
          <w:kern w:val="0"/>
          <w:sz w:val="24"/>
          <w:szCs w:val="24"/>
          <w:lang w:val="pl-PL"/>
          <w14:ligatures w14:val="none"/>
        </w:rPr>
        <w:t>izazovima</w:t>
      </w:r>
      <w:r w:rsidR="00AF4820" w:rsidRPr="006C691C">
        <w:rPr>
          <w:rFonts w:eastAsia="Calibri" w:cstheme="minorHAnsi"/>
          <w:iCs/>
          <w:kern w:val="0"/>
          <w:sz w:val="24"/>
          <w:szCs w:val="24"/>
          <w:lang w:val="sr-Latn-ME"/>
          <w14:ligatures w14:val="none"/>
        </w:rPr>
        <w:t xml:space="preserve"> </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koje</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imamo</w:t>
      </w:r>
      <w:r w:rsidR="006870C2" w:rsidRPr="006C691C">
        <w:rPr>
          <w:rFonts w:eastAsia="Calibri" w:cstheme="minorHAnsi"/>
          <w:iCs/>
          <w:kern w:val="0"/>
          <w:sz w:val="24"/>
          <w:szCs w:val="24"/>
          <w:lang w:val="sr-Latn-ME"/>
          <w14:ligatures w14:val="none"/>
        </w:rPr>
        <w:t xml:space="preserve"> </w:t>
      </w:r>
      <w:r w:rsidR="006870C2" w:rsidRPr="00281886">
        <w:rPr>
          <w:rFonts w:eastAsia="Calibri" w:cstheme="minorHAnsi"/>
          <w:iCs/>
          <w:kern w:val="0"/>
          <w:sz w:val="24"/>
          <w:szCs w:val="24"/>
          <w:lang w:val="pl-PL"/>
          <w14:ligatures w14:val="none"/>
        </w:rPr>
        <w:t>danas</w:t>
      </w:r>
      <w:r w:rsidR="006870C2" w:rsidRPr="006C691C">
        <w:rPr>
          <w:rFonts w:eastAsia="Calibri" w:cstheme="minorHAnsi"/>
          <w:iCs/>
          <w:kern w:val="0"/>
          <w:sz w:val="24"/>
          <w:szCs w:val="24"/>
          <w:lang w:val="sr-Latn-ME"/>
          <w14:ligatures w14:val="none"/>
        </w:rPr>
        <w:t xml:space="preserve">, </w:t>
      </w:r>
      <w:r w:rsidR="00AF4820" w:rsidRPr="00281886">
        <w:rPr>
          <w:rFonts w:eastAsia="Calibri" w:cstheme="minorHAnsi"/>
          <w:iCs/>
          <w:kern w:val="0"/>
          <w:sz w:val="24"/>
          <w:szCs w:val="24"/>
          <w:lang w:val="pl-PL"/>
          <w14:ligatures w14:val="none"/>
        </w:rPr>
        <w:t>naro</w:t>
      </w:r>
      <w:r w:rsidR="00AF4820" w:rsidRPr="006C691C">
        <w:rPr>
          <w:rFonts w:eastAsia="Calibri" w:cstheme="minorHAnsi"/>
          <w:iCs/>
          <w:kern w:val="0"/>
          <w:sz w:val="24"/>
          <w:szCs w:val="24"/>
          <w:lang w:val="sr-Latn-ME"/>
          <w14:ligatures w14:val="none"/>
        </w:rPr>
        <w:t>č</w:t>
      </w:r>
      <w:r w:rsidR="00AF4820" w:rsidRPr="00281886">
        <w:rPr>
          <w:rFonts w:eastAsia="Calibri" w:cstheme="minorHAnsi"/>
          <w:iCs/>
          <w:kern w:val="0"/>
          <w:sz w:val="24"/>
          <w:szCs w:val="24"/>
          <w:lang w:val="pl-PL"/>
          <w14:ligatures w14:val="none"/>
        </w:rPr>
        <w:t>ito</w:t>
      </w:r>
      <w:r w:rsidR="00AF4820" w:rsidRPr="006C691C">
        <w:rPr>
          <w:rFonts w:eastAsia="Calibri" w:cstheme="minorHAnsi"/>
          <w:iCs/>
          <w:kern w:val="0"/>
          <w:sz w:val="24"/>
          <w:szCs w:val="24"/>
          <w:lang w:val="sr-Latn-ME"/>
          <w14:ligatures w14:val="none"/>
        </w:rPr>
        <w:t xml:space="preserve"> </w:t>
      </w:r>
      <w:r w:rsidR="00AF4820" w:rsidRPr="00281886">
        <w:rPr>
          <w:rFonts w:eastAsia="Calibri" w:cstheme="minorHAnsi"/>
          <w:iCs/>
          <w:kern w:val="0"/>
          <w:sz w:val="24"/>
          <w:szCs w:val="24"/>
          <w:lang w:val="pl-PL"/>
          <w14:ligatures w14:val="none"/>
        </w:rPr>
        <w:t>u</w:t>
      </w:r>
      <w:r w:rsidR="00AF4820" w:rsidRPr="006C691C">
        <w:rPr>
          <w:rFonts w:eastAsia="Calibri" w:cstheme="minorHAnsi"/>
          <w:iCs/>
          <w:kern w:val="0"/>
          <w:sz w:val="24"/>
          <w:szCs w:val="24"/>
          <w:lang w:val="sr-Latn-ME"/>
          <w14:ligatures w14:val="none"/>
        </w:rPr>
        <w:t xml:space="preserve"> </w:t>
      </w:r>
      <w:r w:rsidR="00ED1C81">
        <w:rPr>
          <w:rFonts w:eastAsia="Calibri" w:cstheme="minorHAnsi"/>
          <w:iCs/>
          <w:kern w:val="0"/>
          <w:sz w:val="24"/>
          <w:szCs w:val="24"/>
          <w:lang w:val="pl-PL"/>
          <w14:ligatures w14:val="none"/>
        </w:rPr>
        <w:t>cilju</w:t>
      </w:r>
      <w:r w:rsidR="00AF4820" w:rsidRPr="006C691C">
        <w:rPr>
          <w:rFonts w:eastAsia="Calibri" w:cstheme="minorHAnsi"/>
          <w:iCs/>
          <w:kern w:val="0"/>
          <w:sz w:val="24"/>
          <w:szCs w:val="24"/>
          <w:lang w:val="sr-Latn-ME"/>
          <w14:ligatures w14:val="none"/>
        </w:rPr>
        <w:t xml:space="preserve"> </w:t>
      </w:r>
      <w:r w:rsidR="00EA728A">
        <w:rPr>
          <w:rFonts w:eastAsia="Calibri" w:cstheme="minorHAnsi"/>
          <w:iCs/>
          <w:kern w:val="0"/>
          <w:sz w:val="24"/>
          <w:szCs w:val="24"/>
          <w:lang w:val="pl-PL"/>
          <w14:ligatures w14:val="none"/>
        </w:rPr>
        <w:t>smanjenja</w:t>
      </w:r>
      <w:r w:rsidR="00EA728A" w:rsidRPr="006C691C">
        <w:rPr>
          <w:rFonts w:eastAsia="Calibri" w:cstheme="minorHAnsi"/>
          <w:iCs/>
          <w:kern w:val="0"/>
          <w:sz w:val="24"/>
          <w:szCs w:val="24"/>
          <w:lang w:val="sr-Latn-ME"/>
          <w14:ligatures w14:val="none"/>
        </w:rPr>
        <w:t xml:space="preserve"> </w:t>
      </w:r>
      <w:r w:rsidR="00AF4820" w:rsidRPr="00281886">
        <w:rPr>
          <w:rFonts w:eastAsia="Calibri" w:cstheme="minorHAnsi"/>
          <w:iCs/>
          <w:kern w:val="0"/>
          <w:sz w:val="24"/>
          <w:szCs w:val="24"/>
          <w:lang w:val="pl-PL"/>
          <w14:ligatures w14:val="none"/>
        </w:rPr>
        <w:t>neformalne</w:t>
      </w:r>
      <w:r w:rsidR="00AF4820" w:rsidRPr="006C691C">
        <w:rPr>
          <w:rFonts w:eastAsia="Calibri" w:cstheme="minorHAnsi"/>
          <w:iCs/>
          <w:kern w:val="0"/>
          <w:sz w:val="24"/>
          <w:szCs w:val="24"/>
          <w:lang w:val="sr-Latn-ME"/>
          <w14:ligatures w14:val="none"/>
        </w:rPr>
        <w:t xml:space="preserve"> </w:t>
      </w:r>
      <w:r w:rsidR="00AF4820" w:rsidRPr="00281886">
        <w:rPr>
          <w:rFonts w:eastAsia="Calibri" w:cstheme="minorHAnsi"/>
          <w:iCs/>
          <w:kern w:val="0"/>
          <w:sz w:val="24"/>
          <w:szCs w:val="24"/>
          <w:lang w:val="pl-PL"/>
          <w14:ligatures w14:val="none"/>
        </w:rPr>
        <w:t>zaposlenosti</w:t>
      </w:r>
      <w:r w:rsidR="00AF4820" w:rsidRPr="006C691C">
        <w:rPr>
          <w:rFonts w:eastAsia="Calibri" w:cstheme="minorHAnsi"/>
          <w:iCs/>
          <w:kern w:val="0"/>
          <w:sz w:val="24"/>
          <w:szCs w:val="24"/>
          <w:lang w:val="sr-Latn-ME"/>
          <w14:ligatures w14:val="none"/>
        </w:rPr>
        <w:t>.</w:t>
      </w:r>
    </w:p>
    <w:p w14:paraId="254BA02E" w14:textId="0E9C856A" w:rsidR="00AD079F" w:rsidRDefault="000F44B4" w:rsidP="00690214">
      <w:pPr>
        <w:spacing w:after="150" w:line="276" w:lineRule="auto"/>
        <w:jc w:val="both"/>
        <w:rPr>
          <w:rFonts w:eastAsia="Calibri" w:cstheme="minorHAnsi"/>
          <w:kern w:val="0"/>
          <w:sz w:val="24"/>
          <w:szCs w:val="24"/>
          <w:lang w:val="sr-Latn-ME"/>
          <w14:ligatures w14:val="none"/>
        </w:rPr>
      </w:pPr>
      <w:r>
        <w:rPr>
          <w:rFonts w:eastAsia="Calibri" w:cstheme="minorHAnsi"/>
          <w:b/>
          <w:bCs/>
          <w:kern w:val="0"/>
          <w:sz w:val="24"/>
          <w:szCs w:val="24"/>
          <w:lang w:val="sr-Latn-ME"/>
          <w14:ligatures w14:val="none"/>
        </w:rPr>
        <w:t>E</w:t>
      </w:r>
      <w:r w:rsidR="007479EB">
        <w:rPr>
          <w:rFonts w:eastAsia="Calibri" w:cstheme="minorHAnsi"/>
          <w:b/>
          <w:bCs/>
          <w:kern w:val="0"/>
          <w:sz w:val="24"/>
          <w:szCs w:val="24"/>
          <w:lang w:val="sr-Latn-ME"/>
          <w14:ligatures w14:val="none"/>
        </w:rPr>
        <w:t>konomski faktori  u pojedinim sektorima ukazuju da su</w:t>
      </w:r>
      <w:r>
        <w:rPr>
          <w:rFonts w:eastAsia="Calibri" w:cstheme="minorHAnsi"/>
          <w:b/>
          <w:bCs/>
          <w:kern w:val="0"/>
          <w:sz w:val="24"/>
          <w:szCs w:val="24"/>
          <w:lang w:val="sr-Latn-ME"/>
          <w14:ligatures w14:val="none"/>
        </w:rPr>
        <w:t xml:space="preserve"> </w:t>
      </w:r>
      <w:r w:rsidR="007479EB">
        <w:rPr>
          <w:rFonts w:eastAsia="Calibri" w:cstheme="minorHAnsi"/>
          <w:b/>
          <w:bCs/>
          <w:kern w:val="0"/>
          <w:sz w:val="24"/>
          <w:szCs w:val="24"/>
          <w:lang w:val="sr-Latn-ME"/>
          <w14:ligatures w14:val="none"/>
        </w:rPr>
        <w:t xml:space="preserve">pojedini </w:t>
      </w:r>
      <w:r>
        <w:rPr>
          <w:rFonts w:eastAsia="Calibri" w:cstheme="minorHAnsi"/>
          <w:b/>
          <w:bCs/>
          <w:kern w:val="0"/>
          <w:sz w:val="24"/>
          <w:szCs w:val="24"/>
          <w:lang w:val="sr-Latn-ME"/>
          <w14:ligatures w14:val="none"/>
        </w:rPr>
        <w:t>s</w:t>
      </w:r>
      <w:r w:rsidR="007479EB">
        <w:rPr>
          <w:rFonts w:eastAsia="Calibri" w:cstheme="minorHAnsi"/>
          <w:b/>
          <w:bCs/>
          <w:kern w:val="0"/>
          <w:sz w:val="24"/>
          <w:szCs w:val="24"/>
          <w:lang w:val="sr-Latn-ME"/>
          <w14:ligatures w14:val="none"/>
        </w:rPr>
        <w:t xml:space="preserve">ektori privrede podložniji razvoju neformalne ekonomije, od drugih. </w:t>
      </w:r>
      <w:r w:rsidR="00AD079F" w:rsidRPr="00281886">
        <w:rPr>
          <w:rFonts w:eastAsia="Calibri" w:cstheme="minorHAnsi"/>
          <w:b/>
          <w:bCs/>
          <w:kern w:val="0"/>
          <w:sz w:val="24"/>
          <w:szCs w:val="24"/>
          <w:lang w:val="sr-Latn-ME"/>
          <w14:ligatures w14:val="none"/>
        </w:rPr>
        <w:t xml:space="preserve"> </w:t>
      </w:r>
      <w:r w:rsidR="007479EB" w:rsidRPr="000F44B4">
        <w:rPr>
          <w:rFonts w:eastAsia="Calibri" w:cstheme="minorHAnsi"/>
          <w:kern w:val="0"/>
          <w:sz w:val="24"/>
          <w:szCs w:val="24"/>
          <w:lang w:val="sr-Latn-ME"/>
          <w14:ligatures w14:val="none"/>
        </w:rPr>
        <w:t xml:space="preserve">To </w:t>
      </w:r>
      <w:r w:rsidR="007479EB" w:rsidRPr="00072E78">
        <w:rPr>
          <w:rFonts w:eastAsia="Calibri" w:cstheme="minorHAnsi"/>
          <w:kern w:val="0"/>
          <w:sz w:val="24"/>
          <w:szCs w:val="24"/>
          <w:lang w:val="sr-Latn-ME"/>
          <w14:ligatures w14:val="none"/>
        </w:rPr>
        <w:t>se u Crnoj Gori naročito odnosi na</w:t>
      </w:r>
      <w:r w:rsidR="007479EB">
        <w:rPr>
          <w:rFonts w:eastAsia="Calibri" w:cstheme="minorHAnsi"/>
          <w:b/>
          <w:bCs/>
          <w:kern w:val="0"/>
          <w:sz w:val="24"/>
          <w:szCs w:val="24"/>
          <w:lang w:val="sr-Latn-ME"/>
          <w14:ligatures w14:val="none"/>
        </w:rPr>
        <w:t xml:space="preserve"> </w:t>
      </w:r>
      <w:r>
        <w:rPr>
          <w:rFonts w:eastAsia="Calibri" w:cstheme="minorHAnsi"/>
          <w:kern w:val="0"/>
          <w:sz w:val="24"/>
          <w:szCs w:val="24"/>
          <w:lang w:val="sr-Latn-ME"/>
          <w14:ligatures w14:val="none"/>
        </w:rPr>
        <w:t>t</w:t>
      </w:r>
      <w:r w:rsidR="00AD079F" w:rsidRPr="000F44B4">
        <w:rPr>
          <w:rFonts w:eastAsia="Calibri" w:cstheme="minorHAnsi"/>
          <w:kern w:val="0"/>
          <w:sz w:val="24"/>
          <w:szCs w:val="24"/>
          <w:lang w:val="sr-Latn-ME"/>
          <w14:ligatures w14:val="none"/>
        </w:rPr>
        <w:t>uriz</w:t>
      </w:r>
      <w:r w:rsidR="004D3553" w:rsidRPr="000F44B4">
        <w:rPr>
          <w:rFonts w:eastAsia="Calibri" w:cstheme="minorHAnsi"/>
          <w:kern w:val="0"/>
          <w:sz w:val="24"/>
          <w:szCs w:val="24"/>
          <w:lang w:val="sr-Latn-ME"/>
          <w14:ligatures w14:val="none"/>
        </w:rPr>
        <w:t>am</w:t>
      </w:r>
      <w:r w:rsidR="00AD079F" w:rsidRPr="000F44B4">
        <w:rPr>
          <w:rFonts w:eastAsia="Calibri" w:cstheme="minorHAnsi"/>
          <w:kern w:val="0"/>
          <w:sz w:val="24"/>
          <w:szCs w:val="24"/>
          <w:lang w:val="sr-Latn-ME"/>
          <w14:ligatures w14:val="none"/>
        </w:rPr>
        <w:t xml:space="preserve">, </w:t>
      </w:r>
      <w:r w:rsidRPr="000F44B4">
        <w:rPr>
          <w:rFonts w:eastAsia="Calibri" w:cstheme="minorHAnsi"/>
          <w:kern w:val="0"/>
          <w:sz w:val="24"/>
          <w:szCs w:val="24"/>
          <w:lang w:val="sr-Latn-ME"/>
          <w14:ligatures w14:val="none"/>
        </w:rPr>
        <w:t>t</w:t>
      </w:r>
      <w:r>
        <w:rPr>
          <w:rFonts w:eastAsia="Calibri" w:cstheme="minorHAnsi"/>
          <w:kern w:val="0"/>
          <w:sz w:val="24"/>
          <w:szCs w:val="24"/>
          <w:lang w:val="sr-Latn-ME"/>
          <w14:ligatures w14:val="none"/>
        </w:rPr>
        <w:t>rg</w:t>
      </w:r>
      <w:r w:rsidRPr="000F44B4">
        <w:rPr>
          <w:rFonts w:eastAsia="Calibri" w:cstheme="minorHAnsi"/>
          <w:kern w:val="0"/>
          <w:sz w:val="24"/>
          <w:szCs w:val="24"/>
          <w:lang w:val="sr-Latn-ME"/>
          <w14:ligatures w14:val="none"/>
        </w:rPr>
        <w:t xml:space="preserve">ovinu, saobraćaj, građevinarstvo, </w:t>
      </w:r>
      <w:r w:rsidR="00AD079F" w:rsidRPr="000F44B4">
        <w:rPr>
          <w:rFonts w:eastAsia="Calibri" w:cstheme="minorHAnsi"/>
          <w:kern w:val="0"/>
          <w:sz w:val="24"/>
          <w:szCs w:val="24"/>
          <w:lang w:val="sr-Latn-ME"/>
          <w14:ligatures w14:val="none"/>
        </w:rPr>
        <w:t>poljoprivred</w:t>
      </w:r>
      <w:r w:rsidRPr="000F44B4">
        <w:rPr>
          <w:rFonts w:eastAsia="Calibri" w:cstheme="minorHAnsi"/>
          <w:kern w:val="0"/>
          <w:sz w:val="24"/>
          <w:szCs w:val="24"/>
          <w:lang w:val="sr-Latn-ME"/>
          <w14:ligatures w14:val="none"/>
        </w:rPr>
        <w:t>u</w:t>
      </w:r>
      <w:r w:rsidR="00AD079F" w:rsidRPr="000F44B4">
        <w:rPr>
          <w:rFonts w:eastAsia="Calibri" w:cstheme="minorHAnsi"/>
          <w:kern w:val="0"/>
          <w:sz w:val="24"/>
          <w:szCs w:val="24"/>
          <w:lang w:val="sr-Latn-ME"/>
          <w14:ligatures w14:val="none"/>
        </w:rPr>
        <w:t>,</w:t>
      </w:r>
      <w:r w:rsidR="00EA728A">
        <w:rPr>
          <w:rFonts w:eastAsia="Calibri" w:cstheme="minorHAnsi"/>
          <w:kern w:val="0"/>
          <w:sz w:val="24"/>
          <w:szCs w:val="24"/>
          <w:lang w:val="sr-Latn-ME"/>
          <w14:ligatures w14:val="none"/>
        </w:rPr>
        <w:t xml:space="preserve"> šumarstvo i</w:t>
      </w:r>
      <w:r w:rsidR="00AD079F" w:rsidRPr="000F44B4">
        <w:rPr>
          <w:rFonts w:eastAsia="Calibri" w:cstheme="minorHAnsi"/>
          <w:kern w:val="0"/>
          <w:sz w:val="24"/>
          <w:szCs w:val="24"/>
          <w:lang w:val="sr-Latn-ME"/>
          <w14:ligatures w14:val="none"/>
        </w:rPr>
        <w:t xml:space="preserve"> drvoprerad</w:t>
      </w:r>
      <w:r w:rsidRPr="000F44B4">
        <w:rPr>
          <w:rFonts w:eastAsia="Calibri" w:cstheme="minorHAnsi"/>
          <w:kern w:val="0"/>
          <w:sz w:val="24"/>
          <w:szCs w:val="24"/>
          <w:lang w:val="sr-Latn-ME"/>
          <w14:ligatures w14:val="none"/>
        </w:rPr>
        <w:t>u.</w:t>
      </w:r>
      <w:r>
        <w:rPr>
          <w:rFonts w:eastAsia="Calibri" w:cstheme="minorHAnsi"/>
          <w:kern w:val="0"/>
          <w:sz w:val="24"/>
          <w:szCs w:val="24"/>
          <w:lang w:val="sr-Latn-ME"/>
          <w14:ligatures w14:val="none"/>
        </w:rPr>
        <w:t xml:space="preserve"> </w:t>
      </w:r>
      <w:r w:rsidR="00F52856">
        <w:rPr>
          <w:rFonts w:eastAsia="Calibri" w:cstheme="minorHAnsi"/>
          <w:kern w:val="0"/>
          <w:sz w:val="24"/>
          <w:szCs w:val="24"/>
          <w:lang w:val="sr-Latn-ME"/>
          <w14:ligatures w14:val="none"/>
        </w:rPr>
        <w:t>Detaljnij</w:t>
      </w:r>
      <w:r w:rsidR="001A4561">
        <w:rPr>
          <w:rFonts w:eastAsia="Calibri" w:cstheme="minorHAnsi"/>
          <w:kern w:val="0"/>
          <w:sz w:val="24"/>
          <w:szCs w:val="24"/>
          <w:lang w:val="sr-Latn-ME"/>
          <w14:ligatures w14:val="none"/>
        </w:rPr>
        <w:t>i</w:t>
      </w:r>
      <w:r w:rsidR="00F52856">
        <w:rPr>
          <w:rFonts w:eastAsia="Calibri" w:cstheme="minorHAnsi"/>
          <w:kern w:val="0"/>
          <w:sz w:val="24"/>
          <w:szCs w:val="24"/>
          <w:lang w:val="sr-Latn-ME"/>
          <w14:ligatures w14:val="none"/>
        </w:rPr>
        <w:t xml:space="preserve"> prikaz izazova sive ekonomije u ovim sektorima </w:t>
      </w:r>
      <w:r w:rsidR="00284613">
        <w:rPr>
          <w:rFonts w:eastAsia="Calibri" w:cstheme="minorHAnsi"/>
          <w:kern w:val="0"/>
          <w:sz w:val="24"/>
          <w:szCs w:val="24"/>
          <w:lang w:val="sr-Latn-ME"/>
          <w14:ligatures w14:val="none"/>
        </w:rPr>
        <w:t>dat je</w:t>
      </w:r>
      <w:r w:rsidR="00F52856">
        <w:rPr>
          <w:rFonts w:eastAsia="Calibri" w:cstheme="minorHAnsi"/>
          <w:kern w:val="0"/>
          <w:sz w:val="24"/>
          <w:szCs w:val="24"/>
          <w:lang w:val="sr-Latn-ME"/>
          <w14:ligatures w14:val="none"/>
        </w:rPr>
        <w:t xml:space="preserve"> u nastavku.</w:t>
      </w:r>
    </w:p>
    <w:p w14:paraId="1BBD58B5" w14:textId="17438665" w:rsidR="009364EF" w:rsidRPr="00021CDC" w:rsidRDefault="00CE69D2" w:rsidP="00690214">
      <w:pPr>
        <w:spacing w:after="150" w:line="276" w:lineRule="auto"/>
        <w:jc w:val="both"/>
        <w:rPr>
          <w:rFonts w:eastAsia="Calibri" w:cstheme="minorHAnsi"/>
          <w:kern w:val="0"/>
          <w:sz w:val="24"/>
          <w:szCs w:val="24"/>
          <w:lang w:val="pl-PL"/>
          <w14:ligatures w14:val="none"/>
        </w:rPr>
      </w:pPr>
      <w:r w:rsidRPr="00A6584E">
        <w:rPr>
          <w:rFonts w:eastAsia="Calibri" w:cstheme="minorHAnsi"/>
          <w:b/>
          <w:bCs/>
          <w:kern w:val="0"/>
          <w:sz w:val="24"/>
          <w:szCs w:val="24"/>
          <w:lang w:val="sr-Latn-ME"/>
          <w14:ligatures w14:val="none"/>
        </w:rPr>
        <w:t>Turizam</w:t>
      </w:r>
      <w:r w:rsidR="00391D03">
        <w:rPr>
          <w:rFonts w:eastAsia="Calibri" w:cstheme="minorHAnsi"/>
          <w:b/>
          <w:bCs/>
          <w:kern w:val="0"/>
          <w:sz w:val="24"/>
          <w:szCs w:val="24"/>
          <w:lang w:val="sr-Latn-ME"/>
          <w14:ligatures w14:val="none"/>
        </w:rPr>
        <w:t xml:space="preserve">. </w:t>
      </w:r>
      <w:r w:rsidR="00F52856" w:rsidRPr="00F52856">
        <w:rPr>
          <w:rFonts w:eastAsia="Calibri" w:cstheme="minorHAnsi"/>
          <w:kern w:val="0"/>
          <w:sz w:val="24"/>
          <w:szCs w:val="24"/>
          <w:lang w:val="sr-Latn-ME"/>
          <w14:ligatures w14:val="none"/>
        </w:rPr>
        <w:t>Sektor tu</w:t>
      </w:r>
      <w:r w:rsidR="005D60A7">
        <w:rPr>
          <w:rFonts w:eastAsia="Calibri" w:cstheme="minorHAnsi"/>
          <w:kern w:val="0"/>
          <w:sz w:val="24"/>
          <w:szCs w:val="24"/>
          <w:lang w:val="sr-Latn-ME"/>
          <w14:ligatures w14:val="none"/>
        </w:rPr>
        <w:t>ri</w:t>
      </w:r>
      <w:r w:rsidR="00F52856" w:rsidRPr="00F52856">
        <w:rPr>
          <w:rFonts w:eastAsia="Calibri" w:cstheme="minorHAnsi"/>
          <w:kern w:val="0"/>
          <w:sz w:val="24"/>
          <w:szCs w:val="24"/>
          <w:lang w:val="sr-Latn-ME"/>
          <w14:ligatures w14:val="none"/>
        </w:rPr>
        <w:t>zma, duži niz godina karakteriše</w:t>
      </w:r>
      <w:r w:rsidR="00F52856">
        <w:rPr>
          <w:rFonts w:eastAsia="Calibri" w:cstheme="minorHAnsi"/>
          <w:b/>
          <w:bCs/>
          <w:kern w:val="0"/>
          <w:sz w:val="24"/>
          <w:szCs w:val="24"/>
          <w:lang w:val="sr-Latn-ME"/>
          <w14:ligatures w14:val="none"/>
        </w:rPr>
        <w:t xml:space="preserve"> </w:t>
      </w:r>
      <w:proofErr w:type="spellStart"/>
      <w:r w:rsidR="00A83C98" w:rsidRPr="00A83C98">
        <w:rPr>
          <w:rFonts w:eastAsia="Calibri" w:cstheme="minorHAnsi"/>
          <w:kern w:val="0"/>
          <w:sz w:val="24"/>
          <w:szCs w:val="24"/>
          <w14:ligatures w14:val="none"/>
        </w:rPr>
        <w:t>postojanje</w:t>
      </w:r>
      <w:proofErr w:type="spellEnd"/>
      <w:r w:rsidR="00A83C98" w:rsidRPr="00CE07A9">
        <w:rPr>
          <w:rFonts w:eastAsia="Calibri" w:cstheme="minorHAnsi"/>
          <w:kern w:val="0"/>
          <w:sz w:val="24"/>
          <w:szCs w:val="24"/>
          <w:lang w:val="sr-Latn-ME"/>
          <w14:ligatures w14:val="none"/>
        </w:rPr>
        <w:t xml:space="preserve"> </w:t>
      </w:r>
      <w:proofErr w:type="spellStart"/>
      <w:r w:rsidR="00A83C98" w:rsidRPr="00A83C98">
        <w:rPr>
          <w:rFonts w:eastAsia="Calibri" w:cstheme="minorHAnsi"/>
          <w:kern w:val="0"/>
          <w:sz w:val="24"/>
          <w:szCs w:val="24"/>
          <w14:ligatures w14:val="none"/>
        </w:rPr>
        <w:t>velikog</w:t>
      </w:r>
      <w:proofErr w:type="spellEnd"/>
      <w:r w:rsidR="00A83C98" w:rsidRPr="00CE07A9">
        <w:rPr>
          <w:rFonts w:eastAsia="Calibri" w:cstheme="minorHAnsi"/>
          <w:kern w:val="0"/>
          <w:sz w:val="24"/>
          <w:szCs w:val="24"/>
          <w:lang w:val="sr-Latn-ME"/>
          <w14:ligatures w14:val="none"/>
        </w:rPr>
        <w:t xml:space="preserve"> </w:t>
      </w:r>
      <w:proofErr w:type="spellStart"/>
      <w:r w:rsidR="00A83C98" w:rsidRPr="00A83C98">
        <w:rPr>
          <w:rFonts w:eastAsia="Calibri" w:cstheme="minorHAnsi"/>
          <w:kern w:val="0"/>
          <w:sz w:val="24"/>
          <w:szCs w:val="24"/>
          <w14:ligatures w14:val="none"/>
        </w:rPr>
        <w:t>broja</w:t>
      </w:r>
      <w:proofErr w:type="spellEnd"/>
      <w:r w:rsidR="00A83C98" w:rsidRPr="00CE07A9">
        <w:rPr>
          <w:rFonts w:eastAsia="Calibri" w:cstheme="minorHAnsi"/>
          <w:kern w:val="0"/>
          <w:sz w:val="24"/>
          <w:szCs w:val="24"/>
          <w:lang w:val="sr-Latn-ME"/>
          <w14:ligatures w14:val="none"/>
        </w:rPr>
        <w:t xml:space="preserve"> </w:t>
      </w:r>
      <w:proofErr w:type="spellStart"/>
      <w:r w:rsidR="00A83C98" w:rsidRPr="00A83C98">
        <w:rPr>
          <w:rFonts w:eastAsia="Calibri" w:cstheme="minorHAnsi"/>
          <w:kern w:val="0"/>
          <w:sz w:val="24"/>
          <w:szCs w:val="24"/>
          <w14:ligatures w14:val="none"/>
        </w:rPr>
        <w:t>subjekata</w:t>
      </w:r>
      <w:proofErr w:type="spellEnd"/>
      <w:r w:rsidR="00A83C98" w:rsidRPr="00CE07A9">
        <w:rPr>
          <w:rFonts w:eastAsia="Calibri" w:cstheme="minorHAnsi"/>
          <w:kern w:val="0"/>
          <w:sz w:val="24"/>
          <w:szCs w:val="24"/>
          <w:lang w:val="sr-Latn-ME"/>
          <w14:ligatures w14:val="none"/>
        </w:rPr>
        <w:t xml:space="preserve"> </w:t>
      </w:r>
      <w:proofErr w:type="spellStart"/>
      <w:r w:rsidR="00A83C98" w:rsidRPr="00A83C98">
        <w:rPr>
          <w:rFonts w:eastAsia="Calibri" w:cstheme="minorHAnsi"/>
          <w:kern w:val="0"/>
          <w:sz w:val="24"/>
          <w:szCs w:val="24"/>
          <w14:ligatures w14:val="none"/>
        </w:rPr>
        <w:t>koji</w:t>
      </w:r>
      <w:proofErr w:type="spellEnd"/>
      <w:r w:rsidR="00A83C98" w:rsidRPr="00CE07A9">
        <w:rPr>
          <w:rFonts w:eastAsia="Calibri" w:cstheme="minorHAnsi"/>
          <w:kern w:val="0"/>
          <w:sz w:val="24"/>
          <w:szCs w:val="24"/>
          <w:lang w:val="sr-Latn-ME"/>
          <w14:ligatures w14:val="none"/>
        </w:rPr>
        <w:t xml:space="preserve"> </w:t>
      </w:r>
      <w:proofErr w:type="spellStart"/>
      <w:r w:rsidR="00F52856" w:rsidRPr="006D3DC8">
        <w:rPr>
          <w:rFonts w:eastAsia="Calibri" w:cstheme="minorHAnsi"/>
          <w:b/>
          <w:bCs/>
          <w:kern w:val="0"/>
          <w:sz w:val="24"/>
          <w:szCs w:val="24"/>
          <w14:ligatures w14:val="none"/>
        </w:rPr>
        <w:t>izdaju</w:t>
      </w:r>
      <w:proofErr w:type="spellEnd"/>
      <w:r w:rsidR="00F52856" w:rsidRPr="00CE07A9">
        <w:rPr>
          <w:rFonts w:eastAsia="Calibri" w:cstheme="minorHAnsi"/>
          <w:b/>
          <w:bCs/>
          <w:kern w:val="0"/>
          <w:sz w:val="24"/>
          <w:szCs w:val="24"/>
          <w:lang w:val="sr-Latn-ME"/>
          <w14:ligatures w14:val="none"/>
        </w:rPr>
        <w:t xml:space="preserve"> </w:t>
      </w:r>
      <w:proofErr w:type="spellStart"/>
      <w:r w:rsidR="00A83C98" w:rsidRPr="006D3DC8">
        <w:rPr>
          <w:rFonts w:eastAsia="Calibri" w:cstheme="minorHAnsi"/>
          <w:b/>
          <w:bCs/>
          <w:kern w:val="0"/>
          <w:sz w:val="24"/>
          <w:szCs w:val="24"/>
          <w14:ligatures w14:val="none"/>
        </w:rPr>
        <w:t>smje</w:t>
      </w:r>
      <w:proofErr w:type="spellEnd"/>
      <w:r w:rsidR="00A83C98" w:rsidRPr="00CE07A9">
        <w:rPr>
          <w:rFonts w:eastAsia="Calibri" w:cstheme="minorHAnsi"/>
          <w:b/>
          <w:bCs/>
          <w:kern w:val="0"/>
          <w:sz w:val="24"/>
          <w:szCs w:val="24"/>
          <w:lang w:val="sr-Latn-ME"/>
          <w14:ligatures w14:val="none"/>
        </w:rPr>
        <w:t>š</w:t>
      </w:r>
      <w:proofErr w:type="spellStart"/>
      <w:r w:rsidR="00A83C98" w:rsidRPr="006D3DC8">
        <w:rPr>
          <w:rFonts w:eastAsia="Calibri" w:cstheme="minorHAnsi"/>
          <w:b/>
          <w:bCs/>
          <w:kern w:val="0"/>
          <w:sz w:val="24"/>
          <w:szCs w:val="24"/>
          <w14:ligatures w14:val="none"/>
        </w:rPr>
        <w:t>tajne</w:t>
      </w:r>
      <w:proofErr w:type="spellEnd"/>
      <w:r w:rsidR="00A83C98" w:rsidRPr="00CE07A9">
        <w:rPr>
          <w:rFonts w:eastAsia="Calibri" w:cstheme="minorHAnsi"/>
          <w:b/>
          <w:bCs/>
          <w:kern w:val="0"/>
          <w:sz w:val="24"/>
          <w:szCs w:val="24"/>
          <w:lang w:val="sr-Latn-ME"/>
          <w14:ligatures w14:val="none"/>
        </w:rPr>
        <w:t xml:space="preserve"> </w:t>
      </w:r>
      <w:proofErr w:type="spellStart"/>
      <w:r w:rsidR="00A83C98" w:rsidRPr="006D3DC8">
        <w:rPr>
          <w:rFonts w:eastAsia="Calibri" w:cstheme="minorHAnsi"/>
          <w:b/>
          <w:bCs/>
          <w:kern w:val="0"/>
          <w:sz w:val="24"/>
          <w:szCs w:val="24"/>
          <w14:ligatures w14:val="none"/>
        </w:rPr>
        <w:t>kapacitete</w:t>
      </w:r>
      <w:proofErr w:type="spellEnd"/>
      <w:r w:rsidR="00F52856" w:rsidRPr="00CE07A9">
        <w:rPr>
          <w:rFonts w:eastAsia="Calibri" w:cstheme="minorHAnsi"/>
          <w:b/>
          <w:bCs/>
          <w:kern w:val="0"/>
          <w:sz w:val="24"/>
          <w:szCs w:val="24"/>
          <w:lang w:val="sr-Latn-ME"/>
          <w14:ligatures w14:val="none"/>
        </w:rPr>
        <w:t xml:space="preserve">, </w:t>
      </w:r>
      <w:proofErr w:type="spellStart"/>
      <w:r w:rsidR="00F52856" w:rsidRPr="006D3DC8">
        <w:rPr>
          <w:rFonts w:eastAsia="Calibri" w:cstheme="minorHAnsi"/>
          <w:b/>
          <w:bCs/>
          <w:kern w:val="0"/>
          <w:sz w:val="24"/>
          <w:szCs w:val="24"/>
          <w14:ligatures w14:val="none"/>
        </w:rPr>
        <w:t>ali</w:t>
      </w:r>
      <w:proofErr w:type="spellEnd"/>
      <w:r w:rsidR="00F52856" w:rsidRPr="00CE07A9">
        <w:rPr>
          <w:rFonts w:eastAsia="Calibri" w:cstheme="minorHAnsi"/>
          <w:b/>
          <w:bCs/>
          <w:kern w:val="0"/>
          <w:sz w:val="24"/>
          <w:szCs w:val="24"/>
          <w:lang w:val="sr-Latn-ME"/>
          <w14:ligatures w14:val="none"/>
        </w:rPr>
        <w:t xml:space="preserve"> </w:t>
      </w:r>
      <w:proofErr w:type="spellStart"/>
      <w:r w:rsidR="00F52856" w:rsidRPr="006D3DC8">
        <w:rPr>
          <w:rFonts w:eastAsia="Calibri" w:cstheme="minorHAnsi"/>
          <w:b/>
          <w:bCs/>
          <w:kern w:val="0"/>
          <w:sz w:val="24"/>
          <w:szCs w:val="24"/>
          <w14:ligatures w14:val="none"/>
        </w:rPr>
        <w:t>ih</w:t>
      </w:r>
      <w:proofErr w:type="spellEnd"/>
      <w:r w:rsidR="00F52856" w:rsidRPr="00CE07A9">
        <w:rPr>
          <w:rFonts w:eastAsia="Calibri" w:cstheme="minorHAnsi"/>
          <w:b/>
          <w:bCs/>
          <w:kern w:val="0"/>
          <w:sz w:val="24"/>
          <w:szCs w:val="24"/>
          <w:lang w:val="sr-Latn-ME"/>
          <w14:ligatures w14:val="none"/>
        </w:rPr>
        <w:t xml:space="preserve"> </w:t>
      </w:r>
      <w:r w:rsidR="00F52856" w:rsidRPr="006D3DC8">
        <w:rPr>
          <w:rFonts w:eastAsia="Calibri" w:cstheme="minorHAnsi"/>
          <w:b/>
          <w:bCs/>
          <w:kern w:val="0"/>
          <w:sz w:val="24"/>
          <w:szCs w:val="24"/>
          <w14:ligatures w14:val="none"/>
        </w:rPr>
        <w:t>ne</w:t>
      </w:r>
      <w:r w:rsidR="00F52856" w:rsidRPr="00CE07A9">
        <w:rPr>
          <w:rFonts w:eastAsia="Calibri" w:cstheme="minorHAnsi"/>
          <w:b/>
          <w:bCs/>
          <w:kern w:val="0"/>
          <w:sz w:val="24"/>
          <w:szCs w:val="24"/>
          <w:lang w:val="sr-Latn-ME"/>
          <w14:ligatures w14:val="none"/>
        </w:rPr>
        <w:t xml:space="preserve"> </w:t>
      </w:r>
      <w:proofErr w:type="spellStart"/>
      <w:r w:rsidR="00F52856" w:rsidRPr="006D3DC8">
        <w:rPr>
          <w:rFonts w:eastAsia="Calibri" w:cstheme="minorHAnsi"/>
          <w:b/>
          <w:bCs/>
          <w:kern w:val="0"/>
          <w:sz w:val="24"/>
          <w:szCs w:val="24"/>
          <w14:ligatures w14:val="none"/>
        </w:rPr>
        <w:t>prijavljuju</w:t>
      </w:r>
      <w:proofErr w:type="spellEnd"/>
      <w:r w:rsidR="00F52856" w:rsidRPr="00CE07A9">
        <w:rPr>
          <w:rFonts w:eastAsia="Calibri" w:cstheme="minorHAnsi"/>
          <w:b/>
          <w:bCs/>
          <w:kern w:val="0"/>
          <w:sz w:val="24"/>
          <w:szCs w:val="24"/>
          <w:lang w:val="sr-Latn-ME"/>
          <w14:ligatures w14:val="none"/>
        </w:rPr>
        <w:t xml:space="preserve"> </w:t>
      </w:r>
      <w:proofErr w:type="spellStart"/>
      <w:r w:rsidR="00A83C98" w:rsidRPr="006D3DC8">
        <w:rPr>
          <w:rFonts w:eastAsia="Calibri" w:cstheme="minorHAnsi"/>
          <w:b/>
          <w:bCs/>
          <w:kern w:val="0"/>
          <w:sz w:val="24"/>
          <w:szCs w:val="24"/>
          <w14:ligatures w14:val="none"/>
        </w:rPr>
        <w:t>nadle</w:t>
      </w:r>
      <w:proofErr w:type="spellEnd"/>
      <w:r w:rsidR="00A83C98" w:rsidRPr="00CE07A9">
        <w:rPr>
          <w:rFonts w:eastAsia="Calibri" w:cstheme="minorHAnsi"/>
          <w:b/>
          <w:bCs/>
          <w:kern w:val="0"/>
          <w:sz w:val="24"/>
          <w:szCs w:val="24"/>
          <w:lang w:val="sr-Latn-ME"/>
          <w14:ligatures w14:val="none"/>
        </w:rPr>
        <w:t>ž</w:t>
      </w:r>
      <w:proofErr w:type="spellStart"/>
      <w:r w:rsidR="00A83C98" w:rsidRPr="006D3DC8">
        <w:rPr>
          <w:rFonts w:eastAsia="Calibri" w:cstheme="minorHAnsi"/>
          <w:b/>
          <w:bCs/>
          <w:kern w:val="0"/>
          <w:sz w:val="24"/>
          <w:szCs w:val="24"/>
          <w14:ligatures w14:val="none"/>
        </w:rPr>
        <w:t>nim</w:t>
      </w:r>
      <w:proofErr w:type="spellEnd"/>
      <w:r w:rsidR="00A83C98" w:rsidRPr="00CE07A9">
        <w:rPr>
          <w:rFonts w:eastAsia="Calibri" w:cstheme="minorHAnsi"/>
          <w:b/>
          <w:bCs/>
          <w:kern w:val="0"/>
          <w:sz w:val="24"/>
          <w:szCs w:val="24"/>
          <w:lang w:val="sr-Latn-ME"/>
          <w14:ligatures w14:val="none"/>
        </w:rPr>
        <w:t xml:space="preserve"> </w:t>
      </w:r>
      <w:proofErr w:type="spellStart"/>
      <w:r w:rsidR="00A83C98" w:rsidRPr="006D3DC8">
        <w:rPr>
          <w:rFonts w:eastAsia="Calibri" w:cstheme="minorHAnsi"/>
          <w:b/>
          <w:bCs/>
          <w:kern w:val="0"/>
          <w:sz w:val="24"/>
          <w:szCs w:val="24"/>
          <w14:ligatures w14:val="none"/>
        </w:rPr>
        <w:t>institucijama</w:t>
      </w:r>
      <w:proofErr w:type="spellEnd"/>
      <w:r w:rsidR="00F52856" w:rsidRPr="00CE07A9">
        <w:rPr>
          <w:rFonts w:eastAsia="Calibri" w:cstheme="minorHAnsi"/>
          <w:kern w:val="0"/>
          <w:sz w:val="24"/>
          <w:szCs w:val="24"/>
          <w:lang w:val="sr-Latn-ME"/>
          <w14:ligatures w14:val="none"/>
        </w:rPr>
        <w:t xml:space="preserve">. </w:t>
      </w:r>
      <w:r w:rsidR="00F52856">
        <w:rPr>
          <w:rFonts w:eastAsia="Calibri" w:cstheme="minorHAnsi"/>
          <w:kern w:val="0"/>
          <w:sz w:val="24"/>
          <w:szCs w:val="24"/>
          <w14:ligatures w14:val="none"/>
        </w:rPr>
        <w:t>To</w:t>
      </w:r>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dalje</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zna</w:t>
      </w:r>
      <w:proofErr w:type="spellEnd"/>
      <w:r w:rsidR="00F52856" w:rsidRPr="00CE07A9">
        <w:rPr>
          <w:rFonts w:eastAsia="Calibri" w:cstheme="minorHAnsi"/>
          <w:kern w:val="0"/>
          <w:sz w:val="24"/>
          <w:szCs w:val="24"/>
          <w:lang w:val="sr-Latn-ME"/>
          <w14:ligatures w14:val="none"/>
        </w:rPr>
        <w:t>č</w:t>
      </w:r>
      <w:proofErr w:type="spellStart"/>
      <w:r w:rsidR="00F52856">
        <w:rPr>
          <w:rFonts w:eastAsia="Calibri" w:cstheme="minorHAnsi"/>
          <w:kern w:val="0"/>
          <w:sz w:val="24"/>
          <w:szCs w:val="24"/>
          <w14:ligatures w14:val="none"/>
        </w:rPr>
        <w:t>i</w:t>
      </w:r>
      <w:proofErr w:type="spellEnd"/>
      <w:r w:rsidR="00F52856" w:rsidRPr="00CE07A9">
        <w:rPr>
          <w:rFonts w:eastAsia="Calibri" w:cstheme="minorHAnsi"/>
          <w:kern w:val="0"/>
          <w:sz w:val="24"/>
          <w:szCs w:val="24"/>
          <w:lang w:val="sr-Latn-ME"/>
          <w14:ligatures w14:val="none"/>
        </w:rPr>
        <w:t xml:space="preserve"> </w:t>
      </w:r>
      <w:proofErr w:type="spellStart"/>
      <w:proofErr w:type="gramStart"/>
      <w:r w:rsidR="00F52856">
        <w:rPr>
          <w:rFonts w:eastAsia="Calibri" w:cstheme="minorHAnsi"/>
          <w:kern w:val="0"/>
          <w:sz w:val="24"/>
          <w:szCs w:val="24"/>
          <w14:ligatures w14:val="none"/>
        </w:rPr>
        <w:t>nepla</w:t>
      </w:r>
      <w:proofErr w:type="spellEnd"/>
      <w:r w:rsidR="00F52856" w:rsidRPr="00CE07A9">
        <w:rPr>
          <w:rFonts w:eastAsia="Calibri" w:cstheme="minorHAnsi"/>
          <w:kern w:val="0"/>
          <w:sz w:val="24"/>
          <w:szCs w:val="24"/>
          <w:lang w:val="sr-Latn-ME"/>
          <w14:ligatures w14:val="none"/>
        </w:rPr>
        <w:t>ć</w:t>
      </w:r>
      <w:proofErr w:type="spellStart"/>
      <w:r w:rsidR="00F52856">
        <w:rPr>
          <w:rFonts w:eastAsia="Calibri" w:cstheme="minorHAnsi"/>
          <w:kern w:val="0"/>
          <w:sz w:val="24"/>
          <w:szCs w:val="24"/>
          <w14:ligatures w14:val="none"/>
        </w:rPr>
        <w:t>anje</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fiskalnih</w:t>
      </w:r>
      <w:proofErr w:type="spellEnd"/>
      <w:proofErr w:type="gramEnd"/>
      <w:r w:rsidR="00F52856" w:rsidRPr="00CE07A9">
        <w:rPr>
          <w:rFonts w:eastAsia="Calibri" w:cstheme="minorHAnsi"/>
          <w:kern w:val="0"/>
          <w:sz w:val="24"/>
          <w:szCs w:val="24"/>
          <w:lang w:val="sr-Latn-ME"/>
          <w14:ligatures w14:val="none"/>
        </w:rPr>
        <w:t xml:space="preserve"> </w:t>
      </w:r>
      <w:r w:rsidR="00F52856" w:rsidRPr="00F52856">
        <w:rPr>
          <w:rFonts w:eastAsia="Calibri" w:cstheme="minorHAnsi"/>
          <w:kern w:val="0"/>
          <w:sz w:val="24"/>
          <w:szCs w:val="24"/>
          <w14:ligatures w14:val="none"/>
        </w:rPr>
        <w:t>da</w:t>
      </w:r>
      <w:r w:rsidR="00F52856" w:rsidRPr="00CE07A9">
        <w:rPr>
          <w:rFonts w:eastAsia="Calibri" w:cstheme="minorHAnsi"/>
          <w:kern w:val="0"/>
          <w:sz w:val="24"/>
          <w:szCs w:val="24"/>
          <w:lang w:val="sr-Latn-ME"/>
          <w14:ligatures w14:val="none"/>
        </w:rPr>
        <w:t>ž</w:t>
      </w:r>
      <w:proofErr w:type="spellStart"/>
      <w:r w:rsidR="00F52856" w:rsidRPr="00F52856">
        <w:rPr>
          <w:rFonts w:eastAsia="Calibri" w:cstheme="minorHAnsi"/>
          <w:kern w:val="0"/>
          <w:sz w:val="24"/>
          <w:szCs w:val="24"/>
          <w14:ligatures w14:val="none"/>
        </w:rPr>
        <w:t>bina</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budu</w:t>
      </w:r>
      <w:proofErr w:type="spellEnd"/>
      <w:r w:rsidR="00F52856" w:rsidRPr="00CE07A9">
        <w:rPr>
          <w:rFonts w:eastAsia="Calibri" w:cstheme="minorHAnsi"/>
          <w:kern w:val="0"/>
          <w:sz w:val="24"/>
          <w:szCs w:val="24"/>
          <w:lang w:val="sr-Latn-ME"/>
          <w14:ligatures w14:val="none"/>
        </w:rPr>
        <w:t>ć</w:t>
      </w:r>
      <w:proofErr w:type="spellStart"/>
      <w:r w:rsidR="00F52856">
        <w:rPr>
          <w:rFonts w:eastAsia="Calibri" w:cstheme="minorHAnsi"/>
          <w:kern w:val="0"/>
          <w:sz w:val="24"/>
          <w:szCs w:val="24"/>
          <w14:ligatures w14:val="none"/>
        </w:rPr>
        <w:t>i</w:t>
      </w:r>
      <w:proofErr w:type="spellEnd"/>
      <w:r w:rsidR="00F52856" w:rsidRPr="00CE07A9">
        <w:rPr>
          <w:rFonts w:eastAsia="Calibri" w:cstheme="minorHAnsi"/>
          <w:kern w:val="0"/>
          <w:sz w:val="24"/>
          <w:szCs w:val="24"/>
          <w:lang w:val="sr-Latn-ME"/>
          <w14:ligatures w14:val="none"/>
        </w:rPr>
        <w:t xml:space="preserve"> </w:t>
      </w:r>
      <w:r w:rsidR="00F52856">
        <w:rPr>
          <w:rFonts w:eastAsia="Calibri" w:cstheme="minorHAnsi"/>
          <w:kern w:val="0"/>
          <w:sz w:val="24"/>
          <w:szCs w:val="24"/>
          <w14:ligatures w14:val="none"/>
        </w:rPr>
        <w:t>da</w:t>
      </w:r>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neprijavljivanje</w:t>
      </w:r>
      <w:proofErr w:type="spellEnd"/>
      <w:r w:rsidR="00F52856" w:rsidRPr="00CE07A9">
        <w:rPr>
          <w:rFonts w:eastAsia="Calibri" w:cstheme="minorHAnsi"/>
          <w:kern w:val="0"/>
          <w:sz w:val="24"/>
          <w:szCs w:val="24"/>
          <w:lang w:val="sr-Latn-ME"/>
          <w14:ligatures w14:val="none"/>
        </w:rPr>
        <w:t xml:space="preserve"> </w:t>
      </w:r>
      <w:r w:rsidR="00F52856">
        <w:rPr>
          <w:rFonts w:eastAsia="Calibri" w:cstheme="minorHAnsi"/>
          <w:kern w:val="0"/>
          <w:sz w:val="24"/>
          <w:szCs w:val="24"/>
          <w14:ligatures w14:val="none"/>
        </w:rPr>
        <w:t>turista</w:t>
      </w:r>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i</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njihova</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registracija</w:t>
      </w:r>
      <w:proofErr w:type="spellEnd"/>
      <w:r w:rsidR="00F52856" w:rsidRPr="00CE07A9">
        <w:rPr>
          <w:rFonts w:eastAsia="Calibri" w:cstheme="minorHAnsi"/>
          <w:kern w:val="0"/>
          <w:sz w:val="24"/>
          <w:szCs w:val="24"/>
          <w:lang w:val="sr-Latn-ME"/>
          <w14:ligatures w14:val="none"/>
        </w:rPr>
        <w:t xml:space="preserve"> </w:t>
      </w:r>
      <w:r w:rsidR="00F52856">
        <w:rPr>
          <w:rFonts w:eastAsia="Calibri" w:cstheme="minorHAnsi"/>
          <w:kern w:val="0"/>
          <w:sz w:val="24"/>
          <w:szCs w:val="24"/>
          <w14:ligatures w14:val="none"/>
        </w:rPr>
        <w:t>u</w:t>
      </w:r>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Centralnom</w:t>
      </w:r>
      <w:proofErr w:type="spellEnd"/>
      <w:r w:rsidR="00F52856" w:rsidRPr="00CE07A9">
        <w:rPr>
          <w:rFonts w:eastAsia="Calibri" w:cstheme="minorHAnsi"/>
          <w:kern w:val="0"/>
          <w:sz w:val="24"/>
          <w:szCs w:val="24"/>
          <w:lang w:val="sr-Latn-ME"/>
          <w14:ligatures w14:val="none"/>
        </w:rPr>
        <w:t xml:space="preserve"> </w:t>
      </w:r>
      <w:proofErr w:type="spellStart"/>
      <w:r w:rsidR="00AF6AED">
        <w:rPr>
          <w:rFonts w:eastAsia="Calibri" w:cstheme="minorHAnsi"/>
          <w:kern w:val="0"/>
          <w:sz w:val="24"/>
          <w:szCs w:val="24"/>
          <w14:ligatures w14:val="none"/>
        </w:rPr>
        <w:t>t</w:t>
      </w:r>
      <w:r w:rsidR="00F52856">
        <w:rPr>
          <w:rFonts w:eastAsia="Calibri" w:cstheme="minorHAnsi"/>
          <w:kern w:val="0"/>
          <w:sz w:val="24"/>
          <w:szCs w:val="24"/>
          <w14:ligatures w14:val="none"/>
        </w:rPr>
        <w:t>uristi</w:t>
      </w:r>
      <w:proofErr w:type="spellEnd"/>
      <w:r w:rsidR="00F52856" w:rsidRPr="00CE07A9">
        <w:rPr>
          <w:rFonts w:eastAsia="Calibri" w:cstheme="minorHAnsi"/>
          <w:kern w:val="0"/>
          <w:sz w:val="24"/>
          <w:szCs w:val="24"/>
          <w:lang w:val="sr-Latn-ME"/>
          <w14:ligatures w14:val="none"/>
        </w:rPr>
        <w:t>č</w:t>
      </w:r>
      <w:proofErr w:type="spellStart"/>
      <w:r w:rsidR="00F52856">
        <w:rPr>
          <w:rFonts w:eastAsia="Calibri" w:cstheme="minorHAnsi"/>
          <w:kern w:val="0"/>
          <w:sz w:val="24"/>
          <w:szCs w:val="24"/>
          <w14:ligatures w14:val="none"/>
        </w:rPr>
        <w:t>kom</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reg</w:t>
      </w:r>
      <w:r w:rsidR="006D3DC8">
        <w:rPr>
          <w:rFonts w:eastAsia="Calibri" w:cstheme="minorHAnsi"/>
          <w:kern w:val="0"/>
          <w:sz w:val="24"/>
          <w:szCs w:val="24"/>
          <w14:ligatures w14:val="none"/>
        </w:rPr>
        <w:t>i</w:t>
      </w:r>
      <w:r w:rsidR="00F52856">
        <w:rPr>
          <w:rFonts w:eastAsia="Calibri" w:cstheme="minorHAnsi"/>
          <w:kern w:val="0"/>
          <w:sz w:val="24"/>
          <w:szCs w:val="24"/>
          <w14:ligatures w14:val="none"/>
        </w:rPr>
        <w:t>stru</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zna</w:t>
      </w:r>
      <w:proofErr w:type="spellEnd"/>
      <w:r w:rsidR="00F52856" w:rsidRPr="00CE07A9">
        <w:rPr>
          <w:rFonts w:eastAsia="Calibri" w:cstheme="minorHAnsi"/>
          <w:kern w:val="0"/>
          <w:sz w:val="24"/>
          <w:szCs w:val="24"/>
          <w:lang w:val="sr-Latn-ME"/>
          <w14:ligatures w14:val="none"/>
        </w:rPr>
        <w:t>č</w:t>
      </w:r>
      <w:proofErr w:type="spellStart"/>
      <w:r w:rsidR="00F52856">
        <w:rPr>
          <w:rFonts w:eastAsia="Calibri" w:cstheme="minorHAnsi"/>
          <w:kern w:val="0"/>
          <w:sz w:val="24"/>
          <w:szCs w:val="24"/>
          <w14:ligatures w14:val="none"/>
        </w:rPr>
        <w:t>i</w:t>
      </w:r>
      <w:proofErr w:type="spellEnd"/>
      <w:r w:rsidR="00F52856" w:rsidRPr="00CE07A9">
        <w:rPr>
          <w:rFonts w:eastAsia="Calibri" w:cstheme="minorHAnsi"/>
          <w:kern w:val="0"/>
          <w:sz w:val="24"/>
          <w:szCs w:val="24"/>
          <w:lang w:val="sr-Latn-ME"/>
          <w14:ligatures w14:val="none"/>
        </w:rPr>
        <w:t xml:space="preserve"> </w:t>
      </w:r>
      <w:proofErr w:type="spellStart"/>
      <w:r w:rsidR="00F52856">
        <w:rPr>
          <w:rFonts w:eastAsia="Calibri" w:cstheme="minorHAnsi"/>
          <w:kern w:val="0"/>
          <w:sz w:val="24"/>
          <w:szCs w:val="24"/>
          <w14:ligatures w14:val="none"/>
        </w:rPr>
        <w:t>nepla</w:t>
      </w:r>
      <w:proofErr w:type="spellEnd"/>
      <w:r w:rsidR="00F52856" w:rsidRPr="00CE07A9">
        <w:rPr>
          <w:rFonts w:eastAsia="Calibri" w:cstheme="minorHAnsi"/>
          <w:kern w:val="0"/>
          <w:sz w:val="24"/>
          <w:szCs w:val="24"/>
          <w:lang w:val="sr-Latn-ME"/>
          <w14:ligatures w14:val="none"/>
        </w:rPr>
        <w:t>ć</w:t>
      </w:r>
      <w:proofErr w:type="spellStart"/>
      <w:r w:rsidR="00F52856">
        <w:rPr>
          <w:rFonts w:eastAsia="Calibri" w:cstheme="minorHAnsi"/>
          <w:kern w:val="0"/>
          <w:sz w:val="24"/>
          <w:szCs w:val="24"/>
          <w14:ligatures w14:val="none"/>
        </w:rPr>
        <w:t>anje</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boravi</w:t>
      </w:r>
      <w:proofErr w:type="spellEnd"/>
      <w:r w:rsidR="00F52856" w:rsidRPr="00CE07A9">
        <w:rPr>
          <w:rFonts w:eastAsia="Calibri" w:cstheme="minorHAnsi"/>
          <w:kern w:val="0"/>
          <w:sz w:val="24"/>
          <w:szCs w:val="24"/>
          <w:lang w:val="sr-Latn-ME"/>
          <w14:ligatures w14:val="none"/>
        </w:rPr>
        <w:t>š</w:t>
      </w:r>
      <w:r w:rsidR="00F52856" w:rsidRPr="00F52856">
        <w:rPr>
          <w:rFonts w:eastAsia="Calibri" w:cstheme="minorHAnsi"/>
          <w:kern w:val="0"/>
          <w:sz w:val="24"/>
          <w:szCs w:val="24"/>
          <w14:ligatures w14:val="none"/>
        </w:rPr>
        <w:t>n</w:t>
      </w:r>
      <w:r w:rsidR="00F52856">
        <w:rPr>
          <w:rFonts w:eastAsia="Calibri" w:cstheme="minorHAnsi"/>
          <w:kern w:val="0"/>
          <w:sz w:val="24"/>
          <w:szCs w:val="24"/>
          <w14:ligatures w14:val="none"/>
        </w:rPr>
        <w:t>e</w:t>
      </w:r>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taks</w:t>
      </w:r>
      <w:r w:rsidR="00F52856">
        <w:rPr>
          <w:rFonts w:eastAsia="Calibri" w:cstheme="minorHAnsi"/>
          <w:kern w:val="0"/>
          <w:sz w:val="24"/>
          <w:szCs w:val="24"/>
          <w14:ligatures w14:val="none"/>
        </w:rPr>
        <w:t>e</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koja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predstavlja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prihod</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lokalnih</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samouprava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i</w:t>
      </w:r>
      <w:proofErr w:type="spellEnd"/>
      <w:r w:rsidR="00F52856" w:rsidRPr="00CE07A9">
        <w:rPr>
          <w:rFonts w:eastAsia="Calibri" w:cstheme="minorHAnsi"/>
          <w:kern w:val="0"/>
          <w:sz w:val="24"/>
          <w:szCs w:val="24"/>
          <w:lang w:val="sr-Latn-ME"/>
          <w14:ligatures w14:val="none"/>
        </w:rPr>
        <w:t xml:space="preserve"> </w:t>
      </w:r>
      <w:proofErr w:type="spellStart"/>
      <w:r w:rsidR="00EA728A">
        <w:rPr>
          <w:rFonts w:eastAsia="Calibri" w:cstheme="minorHAnsi"/>
          <w:kern w:val="0"/>
          <w:sz w:val="24"/>
          <w:szCs w:val="24"/>
          <w14:ligatures w14:val="none"/>
        </w:rPr>
        <w:t>T</w:t>
      </w:r>
      <w:r w:rsidR="00F52856" w:rsidRPr="00F52856">
        <w:rPr>
          <w:rFonts w:eastAsia="Calibri" w:cstheme="minorHAnsi"/>
          <w:kern w:val="0"/>
          <w:sz w:val="24"/>
          <w:szCs w:val="24"/>
          <w14:ligatures w14:val="none"/>
        </w:rPr>
        <w:t>uristi</w:t>
      </w:r>
      <w:proofErr w:type="spellEnd"/>
      <w:r w:rsidR="00F52856" w:rsidRPr="00CE07A9">
        <w:rPr>
          <w:rFonts w:eastAsia="Calibri" w:cstheme="minorHAnsi"/>
          <w:kern w:val="0"/>
          <w:sz w:val="24"/>
          <w:szCs w:val="24"/>
          <w:lang w:val="sr-Latn-ME"/>
          <w14:ligatures w14:val="none"/>
        </w:rPr>
        <w:t>č</w:t>
      </w:r>
      <w:proofErr w:type="spellStart"/>
      <w:r w:rsidR="00F52856" w:rsidRPr="00F52856">
        <w:rPr>
          <w:rFonts w:eastAsia="Calibri" w:cstheme="minorHAnsi"/>
          <w:kern w:val="0"/>
          <w:sz w:val="24"/>
          <w:szCs w:val="24"/>
          <w14:ligatures w14:val="none"/>
        </w:rPr>
        <w:t>ke</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organizacije</w:t>
      </w:r>
      <w:proofErr w:type="spellEnd"/>
      <w:r w:rsidR="00EA728A" w:rsidRPr="00CE07A9">
        <w:rPr>
          <w:rFonts w:eastAsia="Calibri" w:cstheme="minorHAnsi"/>
          <w:kern w:val="0"/>
          <w:sz w:val="24"/>
          <w:szCs w:val="24"/>
          <w:lang w:val="sr-Latn-ME"/>
          <w14:ligatures w14:val="none"/>
        </w:rPr>
        <w:t xml:space="preserve"> </w:t>
      </w:r>
      <w:proofErr w:type="spellStart"/>
      <w:r w:rsidR="00EA728A">
        <w:rPr>
          <w:rFonts w:eastAsia="Calibri" w:cstheme="minorHAnsi"/>
          <w:kern w:val="0"/>
          <w:sz w:val="24"/>
          <w:szCs w:val="24"/>
          <w14:ligatures w14:val="none"/>
        </w:rPr>
        <w:t>Crne</w:t>
      </w:r>
      <w:proofErr w:type="spellEnd"/>
      <w:r w:rsidR="00EA728A" w:rsidRPr="00CE07A9">
        <w:rPr>
          <w:rFonts w:eastAsia="Calibri" w:cstheme="minorHAnsi"/>
          <w:kern w:val="0"/>
          <w:sz w:val="24"/>
          <w:szCs w:val="24"/>
          <w:lang w:val="sr-Latn-ME"/>
          <w14:ligatures w14:val="none"/>
        </w:rPr>
        <w:t xml:space="preserve"> </w:t>
      </w:r>
      <w:r w:rsidR="00EA728A">
        <w:rPr>
          <w:rFonts w:eastAsia="Calibri" w:cstheme="minorHAnsi"/>
          <w:kern w:val="0"/>
          <w:sz w:val="24"/>
          <w:szCs w:val="24"/>
          <w14:ligatures w14:val="none"/>
        </w:rPr>
        <w:t>Gore</w:t>
      </w:r>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poreza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na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dohodak</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fizi</w:t>
      </w:r>
      <w:proofErr w:type="spellEnd"/>
      <w:r w:rsidR="00F52856" w:rsidRPr="00CE07A9">
        <w:rPr>
          <w:rFonts w:eastAsia="Calibri" w:cstheme="minorHAnsi"/>
          <w:kern w:val="0"/>
          <w:sz w:val="24"/>
          <w:szCs w:val="24"/>
          <w:lang w:val="sr-Latn-ME"/>
          <w14:ligatures w14:val="none"/>
        </w:rPr>
        <w:t>č</w:t>
      </w:r>
      <w:proofErr w:type="spellStart"/>
      <w:r w:rsidR="00F52856" w:rsidRPr="00F52856">
        <w:rPr>
          <w:rFonts w:eastAsia="Calibri" w:cstheme="minorHAnsi"/>
          <w:kern w:val="0"/>
          <w:sz w:val="24"/>
          <w:szCs w:val="24"/>
          <w14:ligatures w14:val="none"/>
        </w:rPr>
        <w:t>kih</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lica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kao</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i</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odgovaraju</w:t>
      </w:r>
      <w:proofErr w:type="spellEnd"/>
      <w:r w:rsidR="00F52856" w:rsidRPr="00CE07A9">
        <w:rPr>
          <w:rFonts w:eastAsia="Calibri" w:cstheme="minorHAnsi"/>
          <w:kern w:val="0"/>
          <w:sz w:val="24"/>
          <w:szCs w:val="24"/>
          <w:lang w:val="sr-Latn-ME"/>
          <w14:ligatures w14:val="none"/>
        </w:rPr>
        <w:t>ć</w:t>
      </w:r>
      <w:proofErr w:type="spellStart"/>
      <w:r w:rsidR="00F52856" w:rsidRPr="00F52856">
        <w:rPr>
          <w:rFonts w:eastAsia="Calibri" w:cstheme="minorHAnsi"/>
          <w:kern w:val="0"/>
          <w:sz w:val="24"/>
          <w:szCs w:val="24"/>
          <w14:ligatures w14:val="none"/>
        </w:rPr>
        <w:t>ih</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prireza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na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porez</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na</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dohodak</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fizi</w:t>
      </w:r>
      <w:proofErr w:type="spellEnd"/>
      <w:r w:rsidR="00F52856" w:rsidRPr="00CE07A9">
        <w:rPr>
          <w:rFonts w:eastAsia="Calibri" w:cstheme="minorHAnsi"/>
          <w:kern w:val="0"/>
          <w:sz w:val="24"/>
          <w:szCs w:val="24"/>
          <w:lang w:val="sr-Latn-ME"/>
          <w14:ligatures w14:val="none"/>
        </w:rPr>
        <w:t>č</w:t>
      </w:r>
      <w:proofErr w:type="spellStart"/>
      <w:r w:rsidR="00F52856" w:rsidRPr="00F52856">
        <w:rPr>
          <w:rFonts w:eastAsia="Calibri" w:cstheme="minorHAnsi"/>
          <w:kern w:val="0"/>
          <w:sz w:val="24"/>
          <w:szCs w:val="24"/>
          <w14:ligatures w14:val="none"/>
        </w:rPr>
        <w:t>kih</w:t>
      </w:r>
      <w:proofErr w:type="spellEnd"/>
      <w:r w:rsidR="00F52856" w:rsidRPr="00CE07A9">
        <w:rPr>
          <w:rFonts w:eastAsia="Calibri" w:cstheme="minorHAnsi"/>
          <w:kern w:val="0"/>
          <w:sz w:val="24"/>
          <w:szCs w:val="24"/>
          <w:lang w:val="sr-Latn-ME"/>
          <w14:ligatures w14:val="none"/>
        </w:rPr>
        <w:t xml:space="preserve"> </w:t>
      </w:r>
      <w:proofErr w:type="spellStart"/>
      <w:r w:rsidR="00F52856" w:rsidRPr="00F52856">
        <w:rPr>
          <w:rFonts w:eastAsia="Calibri" w:cstheme="minorHAnsi"/>
          <w:kern w:val="0"/>
          <w:sz w:val="24"/>
          <w:szCs w:val="24"/>
          <w14:ligatures w14:val="none"/>
        </w:rPr>
        <w:t>lica</w:t>
      </w:r>
      <w:proofErr w:type="spellEnd"/>
      <w:r w:rsidR="00AF6AED" w:rsidRPr="00CE07A9">
        <w:rPr>
          <w:rFonts w:eastAsia="Calibri" w:cstheme="minorHAnsi"/>
          <w:kern w:val="0"/>
          <w:sz w:val="24"/>
          <w:szCs w:val="24"/>
          <w:lang w:val="sr-Latn-ME"/>
          <w14:ligatures w14:val="none"/>
        </w:rPr>
        <w:t xml:space="preserve">. </w:t>
      </w:r>
      <w:r w:rsidR="00AF6AED" w:rsidRPr="00021CDC">
        <w:rPr>
          <w:rFonts w:eastAsia="Calibri" w:cstheme="minorHAnsi"/>
          <w:kern w:val="0"/>
          <w:sz w:val="24"/>
          <w:szCs w:val="24"/>
          <w:lang w:val="pl-PL"/>
          <w14:ligatures w14:val="none"/>
        </w:rPr>
        <w:t xml:space="preserve">Na ovaj način su budžet države </w:t>
      </w:r>
      <w:r w:rsidR="002C2263" w:rsidRPr="00021CDC">
        <w:rPr>
          <w:rFonts w:eastAsia="Calibri" w:cstheme="minorHAnsi"/>
          <w:kern w:val="0"/>
          <w:sz w:val="24"/>
          <w:szCs w:val="24"/>
          <w:lang w:val="pl-PL"/>
          <w14:ligatures w14:val="none"/>
        </w:rPr>
        <w:t>i</w:t>
      </w:r>
      <w:r w:rsidR="00AF6AED" w:rsidRPr="00021CDC">
        <w:rPr>
          <w:rFonts w:eastAsia="Calibri" w:cstheme="minorHAnsi"/>
          <w:kern w:val="0"/>
          <w:sz w:val="24"/>
          <w:szCs w:val="24"/>
          <w:lang w:val="pl-PL"/>
          <w14:ligatures w14:val="none"/>
        </w:rPr>
        <w:t xml:space="preserve"> budžeti jedinica lokalne samouprave, prema procjeni Vlade</w:t>
      </w:r>
      <w:r w:rsidR="006D3DC8">
        <w:rPr>
          <w:rStyle w:val="FootnoteReference"/>
          <w:rFonts w:eastAsia="Calibri" w:cstheme="minorHAnsi"/>
          <w:kern w:val="0"/>
          <w:sz w:val="24"/>
          <w:szCs w:val="24"/>
          <w14:ligatures w14:val="none"/>
        </w:rPr>
        <w:footnoteReference w:id="13"/>
      </w:r>
      <w:r w:rsidR="00AF6AED" w:rsidRPr="00021CDC">
        <w:rPr>
          <w:rFonts w:eastAsia="Calibri" w:cstheme="minorHAnsi"/>
          <w:kern w:val="0"/>
          <w:sz w:val="24"/>
          <w:szCs w:val="24"/>
          <w:lang w:val="pl-PL"/>
          <w14:ligatures w14:val="none"/>
        </w:rPr>
        <w:t>,</w:t>
      </w:r>
      <w:r w:rsidR="00A83C98" w:rsidRPr="00021CDC">
        <w:rPr>
          <w:rFonts w:eastAsia="Calibri" w:cstheme="minorHAnsi"/>
          <w:kern w:val="0"/>
          <w:sz w:val="24"/>
          <w:szCs w:val="24"/>
          <w:lang w:val="pl-PL"/>
          <w14:ligatures w14:val="none"/>
        </w:rPr>
        <w:t xml:space="preserve"> </w:t>
      </w:r>
      <w:r w:rsidR="009364EF" w:rsidRPr="00021CDC">
        <w:rPr>
          <w:rFonts w:eastAsia="Calibri" w:cstheme="minorHAnsi"/>
          <w:kern w:val="0"/>
          <w:sz w:val="24"/>
          <w:szCs w:val="24"/>
          <w:lang w:val="pl-PL"/>
          <w14:ligatures w14:val="none"/>
        </w:rPr>
        <w:t>zakinuti</w:t>
      </w:r>
      <w:r w:rsidR="00A83C98" w:rsidRPr="00021CDC">
        <w:rPr>
          <w:rFonts w:eastAsia="Calibri" w:cstheme="minorHAnsi"/>
          <w:kern w:val="0"/>
          <w:sz w:val="24"/>
          <w:szCs w:val="24"/>
          <w:lang w:val="pl-PL"/>
          <w14:ligatures w14:val="none"/>
        </w:rPr>
        <w:t xml:space="preserve"> za desetine miliona eura u toku godine. Isto predstavlja krivično djelo utaje poreza i doprinosa. </w:t>
      </w:r>
      <w:r w:rsidR="002C2263" w:rsidRPr="00021CDC">
        <w:rPr>
          <w:rFonts w:eastAsia="Calibri" w:cstheme="minorHAnsi"/>
          <w:kern w:val="0"/>
          <w:sz w:val="24"/>
          <w:szCs w:val="24"/>
          <w:lang w:val="pl-PL"/>
          <w14:ligatures w14:val="none"/>
        </w:rPr>
        <w:t>Prema analizi Vlade</w:t>
      </w:r>
      <w:r w:rsidR="00EA728A" w:rsidRPr="00021CDC">
        <w:rPr>
          <w:rFonts w:eastAsia="Calibri" w:cstheme="minorHAnsi"/>
          <w:kern w:val="0"/>
          <w:sz w:val="24"/>
          <w:szCs w:val="24"/>
          <w:lang w:val="pl-PL"/>
          <w14:ligatures w14:val="none"/>
        </w:rPr>
        <w:t xml:space="preserve"> (Informacija Vlade, jun 2023)</w:t>
      </w:r>
      <w:r w:rsidR="002C2263" w:rsidRPr="00021CDC">
        <w:rPr>
          <w:rFonts w:eastAsia="Calibri" w:cstheme="minorHAnsi"/>
          <w:kern w:val="0"/>
          <w:sz w:val="24"/>
          <w:szCs w:val="24"/>
          <w:lang w:val="pl-PL"/>
          <w14:ligatures w14:val="none"/>
        </w:rPr>
        <w:t>, navedeno</w:t>
      </w:r>
      <w:r w:rsidR="00A83C98" w:rsidRPr="00021CDC">
        <w:rPr>
          <w:rFonts w:eastAsia="Calibri" w:cstheme="minorHAnsi"/>
          <w:kern w:val="0"/>
          <w:sz w:val="24"/>
          <w:szCs w:val="24"/>
          <w:lang w:val="pl-PL"/>
          <w14:ligatures w14:val="none"/>
        </w:rPr>
        <w:t xml:space="preserve"> dodatno usložnjava globalni uticaj internet platformi za posredovanje u izdavanju smještajnih kapaciteta. </w:t>
      </w:r>
      <w:r w:rsidR="002C2263" w:rsidRPr="00021CDC">
        <w:rPr>
          <w:rFonts w:eastAsia="Calibri" w:cstheme="minorHAnsi"/>
          <w:kern w:val="0"/>
          <w:sz w:val="24"/>
          <w:szCs w:val="24"/>
          <w:lang w:val="pl-PL"/>
          <w14:ligatures w14:val="none"/>
        </w:rPr>
        <w:t>N</w:t>
      </w:r>
      <w:r w:rsidR="006D3DC8" w:rsidRPr="00021CDC">
        <w:rPr>
          <w:rFonts w:eastAsia="Calibri" w:cstheme="minorHAnsi"/>
          <w:kern w:val="0"/>
          <w:sz w:val="24"/>
          <w:szCs w:val="24"/>
          <w:lang w:val="pl-PL"/>
          <w14:ligatures w14:val="none"/>
        </w:rPr>
        <w:t>j</w:t>
      </w:r>
      <w:r w:rsidR="002C2263" w:rsidRPr="00021CDC">
        <w:rPr>
          <w:rFonts w:eastAsia="Calibri" w:cstheme="minorHAnsi"/>
          <w:kern w:val="0"/>
          <w:sz w:val="24"/>
          <w:szCs w:val="24"/>
          <w:lang w:val="pl-PL"/>
          <w14:ligatures w14:val="none"/>
        </w:rPr>
        <w:t>ih čine inostrane</w:t>
      </w:r>
      <w:r w:rsidR="00A83C98" w:rsidRPr="00021CDC">
        <w:rPr>
          <w:rFonts w:eastAsia="Calibri" w:cstheme="minorHAnsi"/>
          <w:kern w:val="0"/>
          <w:sz w:val="24"/>
          <w:szCs w:val="24"/>
          <w:lang w:val="pl-PL"/>
          <w14:ligatures w14:val="none"/>
        </w:rPr>
        <w:t xml:space="preserve"> (Booking, Airbnb, itd), i domać</w:t>
      </w:r>
      <w:r w:rsidR="006D3DC8" w:rsidRPr="00021CDC">
        <w:rPr>
          <w:rFonts w:eastAsia="Calibri" w:cstheme="minorHAnsi"/>
          <w:kern w:val="0"/>
          <w:sz w:val="24"/>
          <w:szCs w:val="24"/>
          <w:lang w:val="pl-PL"/>
          <w14:ligatures w14:val="none"/>
        </w:rPr>
        <w:t>e platforme</w:t>
      </w:r>
      <w:r w:rsidR="00A83C98" w:rsidRPr="00021CDC">
        <w:rPr>
          <w:rFonts w:eastAsia="Calibri" w:cstheme="minorHAnsi"/>
          <w:kern w:val="0"/>
          <w:sz w:val="24"/>
          <w:szCs w:val="24"/>
          <w:lang w:val="pl-PL"/>
          <w14:ligatures w14:val="none"/>
        </w:rPr>
        <w:t xml:space="preserve"> (npr. stan na dan i sl.), koje su postale jedan od glavnih mehanizama putem </w:t>
      </w:r>
      <w:r w:rsidR="006D3DC8" w:rsidRPr="00021CDC">
        <w:rPr>
          <w:rFonts w:eastAsia="Calibri" w:cstheme="minorHAnsi"/>
          <w:kern w:val="0"/>
          <w:sz w:val="24"/>
          <w:szCs w:val="24"/>
          <w:lang w:val="pl-PL"/>
          <w14:ligatures w14:val="none"/>
        </w:rPr>
        <w:t xml:space="preserve">kojih </w:t>
      </w:r>
      <w:r w:rsidR="00A83C98" w:rsidRPr="00021CDC">
        <w:rPr>
          <w:rFonts w:eastAsia="Calibri" w:cstheme="minorHAnsi"/>
          <w:kern w:val="0"/>
          <w:sz w:val="24"/>
          <w:szCs w:val="24"/>
          <w:lang w:val="pl-PL"/>
          <w14:ligatures w14:val="none"/>
        </w:rPr>
        <w:t>turisti</w:t>
      </w:r>
      <w:r w:rsidR="006D3DC8" w:rsidRPr="00021CDC">
        <w:rPr>
          <w:rFonts w:eastAsia="Calibri" w:cstheme="minorHAnsi"/>
          <w:kern w:val="0"/>
          <w:sz w:val="24"/>
          <w:szCs w:val="24"/>
          <w:lang w:val="pl-PL"/>
          <w14:ligatures w14:val="none"/>
        </w:rPr>
        <w:t xml:space="preserve"> </w:t>
      </w:r>
      <w:r w:rsidR="00A83C98" w:rsidRPr="00021CDC">
        <w:rPr>
          <w:rFonts w:eastAsia="Calibri" w:cstheme="minorHAnsi"/>
          <w:kern w:val="0"/>
          <w:sz w:val="24"/>
          <w:szCs w:val="24"/>
          <w:lang w:val="pl-PL"/>
          <w14:ligatures w14:val="none"/>
        </w:rPr>
        <w:t xml:space="preserve">rezervišu i plaćaju smještajne kapacitete u Crnoj Gori. </w:t>
      </w:r>
      <w:r w:rsidR="006D3DC8" w:rsidRPr="00021CDC">
        <w:rPr>
          <w:rFonts w:eastAsia="Calibri" w:cstheme="minorHAnsi"/>
          <w:kern w:val="0"/>
          <w:sz w:val="24"/>
          <w:szCs w:val="24"/>
          <w:lang w:val="pl-PL"/>
          <w14:ligatures w14:val="none"/>
        </w:rPr>
        <w:t xml:space="preserve">Domaći izdavaoci smještaja koji nisu registrovani za obavljanje ove djelatnosti u skladu sa važećim propisima </w:t>
      </w:r>
      <w:r w:rsidR="00A83C98" w:rsidRPr="00021CDC">
        <w:rPr>
          <w:rFonts w:eastAsia="Calibri" w:cstheme="minorHAnsi"/>
          <w:kern w:val="0"/>
          <w:sz w:val="24"/>
          <w:szCs w:val="24"/>
          <w:lang w:val="pl-PL"/>
          <w14:ligatures w14:val="none"/>
        </w:rPr>
        <w:t xml:space="preserve">se sve više reklamiraju putem navedenih međunarodnih internet platformi. </w:t>
      </w:r>
      <w:r w:rsidR="006D3DC8" w:rsidRPr="00021CDC">
        <w:rPr>
          <w:rFonts w:eastAsia="Calibri" w:cstheme="minorHAnsi"/>
          <w:kern w:val="0"/>
          <w:sz w:val="24"/>
          <w:szCs w:val="24"/>
          <w:lang w:val="pl-PL"/>
          <w14:ligatures w14:val="none"/>
        </w:rPr>
        <w:t>Pre</w:t>
      </w:r>
      <w:r w:rsidR="00391D03">
        <w:rPr>
          <w:rFonts w:eastAsia="Calibri" w:cstheme="minorHAnsi"/>
          <w:kern w:val="0"/>
          <w:sz w:val="24"/>
          <w:szCs w:val="24"/>
          <w:lang w:val="pl-PL"/>
          <w14:ligatures w14:val="none"/>
        </w:rPr>
        <w:t>ma</w:t>
      </w:r>
      <w:r w:rsidR="006D3DC8" w:rsidRPr="00021CDC">
        <w:rPr>
          <w:rFonts w:eastAsia="Calibri" w:cstheme="minorHAnsi"/>
          <w:kern w:val="0"/>
          <w:sz w:val="24"/>
          <w:szCs w:val="24"/>
          <w:lang w:val="pl-PL"/>
          <w14:ligatures w14:val="none"/>
        </w:rPr>
        <w:t xml:space="preserve"> podacima Vlade,</w:t>
      </w:r>
      <w:r w:rsidR="00A83C98" w:rsidRPr="00021CDC">
        <w:rPr>
          <w:rFonts w:eastAsia="Calibri" w:cstheme="minorHAnsi"/>
          <w:kern w:val="0"/>
          <w:sz w:val="24"/>
          <w:szCs w:val="24"/>
          <w:lang w:val="pl-PL"/>
          <w14:ligatures w14:val="none"/>
        </w:rPr>
        <w:t xml:space="preserve"> broj izdavalaca koji svoje usluge reklamira putem internet platformi, a </w:t>
      </w:r>
      <w:r w:rsidR="006D3DC8" w:rsidRPr="00021CDC">
        <w:rPr>
          <w:rFonts w:eastAsia="Calibri" w:cstheme="minorHAnsi"/>
          <w:kern w:val="0"/>
          <w:sz w:val="24"/>
          <w:szCs w:val="24"/>
          <w:lang w:val="pl-PL"/>
          <w14:ligatures w14:val="none"/>
        </w:rPr>
        <w:t>je mnogo veći od broja</w:t>
      </w:r>
      <w:r w:rsidR="00A83C98" w:rsidRPr="00021CDC">
        <w:rPr>
          <w:rFonts w:eastAsia="Calibri" w:cstheme="minorHAnsi"/>
          <w:kern w:val="0"/>
          <w:sz w:val="24"/>
          <w:szCs w:val="24"/>
          <w:lang w:val="pl-PL"/>
          <w14:ligatures w14:val="none"/>
        </w:rPr>
        <w:t xml:space="preserve"> registrovanih izdavalaca smještaja u Centralnom turističkom registru. </w:t>
      </w:r>
    </w:p>
    <w:p w14:paraId="11A8C8AC" w14:textId="7CDF4816" w:rsidR="00CE69D2" w:rsidRPr="00021CDC" w:rsidRDefault="009364EF" w:rsidP="00690214">
      <w:pPr>
        <w:spacing w:after="150" w:line="276" w:lineRule="auto"/>
        <w:jc w:val="both"/>
        <w:rPr>
          <w:rFonts w:eastAsia="Calibri" w:cstheme="minorHAnsi"/>
          <w:kern w:val="0"/>
          <w:sz w:val="24"/>
          <w:szCs w:val="24"/>
          <w:lang w:val="pl-PL"/>
          <w14:ligatures w14:val="none"/>
        </w:rPr>
      </w:pPr>
      <w:r w:rsidRPr="00021CDC">
        <w:rPr>
          <w:rFonts w:eastAsia="Calibri" w:cstheme="minorHAnsi"/>
          <w:kern w:val="0"/>
          <w:sz w:val="24"/>
          <w:szCs w:val="24"/>
          <w:lang w:val="pl-PL"/>
          <w14:ligatures w14:val="none"/>
        </w:rPr>
        <w:t xml:space="preserve">Pored navedenog, sektor turizma u Crnoj Gori takođe karakteriše pružanje usluga </w:t>
      </w:r>
      <w:r w:rsidRPr="00021CDC">
        <w:rPr>
          <w:rFonts w:eastAsia="Calibri" w:cstheme="minorHAnsi"/>
          <w:b/>
          <w:bCs/>
          <w:kern w:val="0"/>
          <w:sz w:val="24"/>
          <w:szCs w:val="24"/>
          <w:lang w:val="pl-PL"/>
          <w14:ligatures w14:val="none"/>
        </w:rPr>
        <w:t>turističkih agencija, turističkog vodiča, pratioca ili animatora, izdavanje plažnog mobilijara, ski opreme, usluge raftinga, avanturističke usluge, kao i pružanje turističkih usluga u nautičkom, seoskom, zdravstvenom i sportskom turizmu,</w:t>
      </w:r>
      <w:r w:rsidRPr="00021CDC">
        <w:rPr>
          <w:rFonts w:eastAsia="Calibri" w:cstheme="minorHAnsi"/>
          <w:kern w:val="0"/>
          <w:sz w:val="24"/>
          <w:szCs w:val="24"/>
          <w:lang w:val="pl-PL"/>
          <w14:ligatures w14:val="none"/>
        </w:rPr>
        <w:t xml:space="preserve"> čiji su vlasnici domaća i strana fizička lica, koji dijelom ili u potpunosti ne prijavljuju ov</w:t>
      </w:r>
      <w:r w:rsidR="00391D03">
        <w:rPr>
          <w:rFonts w:eastAsia="Calibri" w:cstheme="minorHAnsi"/>
          <w:kern w:val="0"/>
          <w:sz w:val="24"/>
          <w:szCs w:val="24"/>
          <w:lang w:val="pl-PL"/>
          <w14:ligatures w14:val="none"/>
        </w:rPr>
        <w:t>e</w:t>
      </w:r>
      <w:r w:rsidRPr="00021CDC">
        <w:rPr>
          <w:rFonts w:eastAsia="Calibri" w:cstheme="minorHAnsi"/>
          <w:kern w:val="0"/>
          <w:sz w:val="24"/>
          <w:szCs w:val="24"/>
          <w:lang w:val="pl-PL"/>
          <w14:ligatures w14:val="none"/>
        </w:rPr>
        <w:t xml:space="preserve"> aktivnosti </w:t>
      </w:r>
      <w:r w:rsidR="00391D03">
        <w:rPr>
          <w:rFonts w:eastAsia="Calibri" w:cstheme="minorHAnsi"/>
          <w:kern w:val="0"/>
          <w:sz w:val="24"/>
          <w:szCs w:val="24"/>
          <w:lang w:val="pl-PL"/>
          <w14:ligatures w14:val="none"/>
        </w:rPr>
        <w:t>i</w:t>
      </w:r>
      <w:r w:rsidRPr="00021CDC">
        <w:rPr>
          <w:rFonts w:eastAsia="Calibri" w:cstheme="minorHAnsi"/>
          <w:kern w:val="0"/>
          <w:sz w:val="24"/>
          <w:szCs w:val="24"/>
          <w:lang w:val="pl-PL"/>
          <w14:ligatures w14:val="none"/>
        </w:rPr>
        <w:t xml:space="preserve"> ne izdaju fiskalne račune za pružene usluge.</w:t>
      </w:r>
    </w:p>
    <w:p w14:paraId="65C9EFCD" w14:textId="1AD821D6" w:rsidR="00A83C98" w:rsidRPr="00021CDC" w:rsidRDefault="006D3DC8" w:rsidP="00690214">
      <w:pPr>
        <w:spacing w:after="150" w:line="276" w:lineRule="auto"/>
        <w:jc w:val="both"/>
        <w:rPr>
          <w:rFonts w:eastAsia="Calibri" w:cstheme="minorHAnsi"/>
          <w:b/>
          <w:bCs/>
          <w:kern w:val="0"/>
          <w:sz w:val="24"/>
          <w:szCs w:val="24"/>
          <w:lang w:val="pl-PL"/>
          <w14:ligatures w14:val="none"/>
        </w:rPr>
      </w:pPr>
      <w:r w:rsidRPr="00021CDC">
        <w:rPr>
          <w:rFonts w:eastAsia="Calibri" w:cstheme="minorHAnsi"/>
          <w:kern w:val="0"/>
          <w:sz w:val="24"/>
          <w:szCs w:val="24"/>
          <w:lang w:val="pl-PL"/>
          <w14:ligatures w14:val="none"/>
        </w:rPr>
        <w:t>Drugi uzrok neformalne</w:t>
      </w:r>
      <w:r w:rsidR="005D60A7" w:rsidRPr="00021CDC">
        <w:rPr>
          <w:rFonts w:eastAsia="Calibri" w:cstheme="minorHAnsi"/>
          <w:kern w:val="0"/>
          <w:sz w:val="24"/>
          <w:szCs w:val="24"/>
          <w:lang w:val="pl-PL"/>
          <w14:ligatures w14:val="none"/>
        </w:rPr>
        <w:t xml:space="preserve"> ekonomije u sektoru turizma je </w:t>
      </w:r>
      <w:r w:rsidR="005D60A7" w:rsidRPr="00021CDC">
        <w:rPr>
          <w:rFonts w:eastAsia="Calibri" w:cstheme="minorHAnsi"/>
          <w:b/>
          <w:bCs/>
          <w:kern w:val="0"/>
          <w:sz w:val="24"/>
          <w:szCs w:val="24"/>
          <w:lang w:val="pl-PL"/>
          <w14:ligatures w14:val="none"/>
        </w:rPr>
        <w:t>neprijavljivanje sezonskih radnika (domaćih i stranih).</w:t>
      </w:r>
      <w:r w:rsidRPr="00021CDC">
        <w:rPr>
          <w:rFonts w:eastAsia="Calibri" w:cstheme="minorHAnsi"/>
          <w:b/>
          <w:bCs/>
          <w:kern w:val="0"/>
          <w:sz w:val="24"/>
          <w:szCs w:val="24"/>
          <w:lang w:val="pl-PL"/>
          <w14:ligatures w14:val="none"/>
        </w:rPr>
        <w:t xml:space="preserve"> </w:t>
      </w:r>
    </w:p>
    <w:p w14:paraId="0A50A07B" w14:textId="084C8AC8" w:rsidR="000557E8" w:rsidRPr="00021CDC" w:rsidRDefault="000557E8" w:rsidP="00690214">
      <w:pPr>
        <w:spacing w:after="150" w:line="276" w:lineRule="auto"/>
        <w:jc w:val="both"/>
        <w:rPr>
          <w:rFonts w:eastAsia="Calibri" w:cstheme="minorHAnsi"/>
          <w:kern w:val="0"/>
          <w:sz w:val="24"/>
          <w:szCs w:val="24"/>
          <w:lang w:val="pl-PL"/>
          <w14:ligatures w14:val="none"/>
        </w:rPr>
      </w:pPr>
      <w:r w:rsidRPr="00021CDC">
        <w:rPr>
          <w:rFonts w:eastAsia="Calibri" w:cstheme="minorHAnsi"/>
          <w:b/>
          <w:bCs/>
          <w:kern w:val="0"/>
          <w:sz w:val="24"/>
          <w:szCs w:val="24"/>
          <w:lang w:val="pl-PL"/>
          <w14:ligatures w14:val="none"/>
        </w:rPr>
        <w:t>Trgovina</w:t>
      </w:r>
      <w:r w:rsidR="006A55BD" w:rsidRPr="00021CDC">
        <w:rPr>
          <w:rFonts w:eastAsia="Calibri" w:cstheme="minorHAnsi"/>
          <w:b/>
          <w:bCs/>
          <w:kern w:val="0"/>
          <w:sz w:val="24"/>
          <w:szCs w:val="24"/>
          <w:lang w:val="pl-PL"/>
          <w14:ligatures w14:val="none"/>
        </w:rPr>
        <w:t>, usluge posredovanja i zanatstvo</w:t>
      </w:r>
      <w:r w:rsidRPr="00021CDC">
        <w:rPr>
          <w:rFonts w:eastAsia="Calibri" w:cstheme="minorHAnsi"/>
          <w:b/>
          <w:bCs/>
          <w:kern w:val="0"/>
          <w:sz w:val="24"/>
          <w:szCs w:val="24"/>
          <w:lang w:val="pl-PL"/>
          <w14:ligatures w14:val="none"/>
        </w:rPr>
        <w:t xml:space="preserve">. </w:t>
      </w:r>
      <w:r w:rsidRPr="00021CDC">
        <w:rPr>
          <w:rFonts w:eastAsia="Calibri" w:cstheme="minorHAnsi"/>
          <w:kern w:val="0"/>
          <w:sz w:val="24"/>
          <w:szCs w:val="24"/>
          <w:lang w:val="pl-PL"/>
          <w14:ligatures w14:val="none"/>
        </w:rPr>
        <w:t xml:space="preserve">Crnu Goru karakteriše nedovoljno evidencije </w:t>
      </w:r>
      <w:r w:rsidR="000350D6" w:rsidRPr="00021CDC">
        <w:rPr>
          <w:rFonts w:eastAsia="Calibri" w:cstheme="minorHAnsi"/>
          <w:kern w:val="0"/>
          <w:sz w:val="24"/>
          <w:szCs w:val="24"/>
          <w:lang w:val="pl-PL"/>
          <w14:ligatures w14:val="none"/>
        </w:rPr>
        <w:t xml:space="preserve">i regulacije </w:t>
      </w:r>
      <w:r w:rsidRPr="00021CDC">
        <w:rPr>
          <w:rFonts w:eastAsia="Calibri" w:cstheme="minorHAnsi"/>
          <w:b/>
          <w:bCs/>
          <w:kern w:val="0"/>
          <w:sz w:val="24"/>
          <w:szCs w:val="24"/>
          <w:lang w:val="pl-PL"/>
          <w14:ligatures w14:val="none"/>
        </w:rPr>
        <w:t>o posredovanju u prometu i zakupu nepokretnosti,</w:t>
      </w:r>
      <w:r w:rsidRPr="00021CDC">
        <w:rPr>
          <w:rFonts w:eastAsia="Calibri" w:cstheme="minorHAnsi"/>
          <w:kern w:val="0"/>
          <w:sz w:val="24"/>
          <w:szCs w:val="24"/>
          <w:lang w:val="pl-PL"/>
          <w14:ligatures w14:val="none"/>
        </w:rPr>
        <w:t xml:space="preserve"> </w:t>
      </w:r>
      <w:r w:rsidR="000350D6" w:rsidRPr="00021CDC">
        <w:rPr>
          <w:rFonts w:eastAsia="Calibri" w:cstheme="minorHAnsi"/>
          <w:kern w:val="0"/>
          <w:sz w:val="24"/>
          <w:szCs w:val="24"/>
          <w:lang w:val="pl-PL"/>
          <w14:ligatures w14:val="none"/>
        </w:rPr>
        <w:t>kako bi se pratile cijene zakupa i</w:t>
      </w:r>
      <w:r w:rsidRPr="00021CDC">
        <w:rPr>
          <w:rFonts w:eastAsia="Calibri" w:cstheme="minorHAnsi"/>
          <w:kern w:val="0"/>
          <w:sz w:val="24"/>
          <w:szCs w:val="24"/>
          <w:lang w:val="pl-PL"/>
          <w14:ligatures w14:val="none"/>
        </w:rPr>
        <w:t xml:space="preserve"> podaci o zaključenim ugovorima o posredovanju,</w:t>
      </w:r>
      <w:r w:rsidR="000350D6" w:rsidRPr="00021CDC">
        <w:rPr>
          <w:rFonts w:eastAsia="Calibri" w:cstheme="minorHAnsi"/>
          <w:kern w:val="0"/>
          <w:sz w:val="24"/>
          <w:szCs w:val="24"/>
          <w:lang w:val="pl-PL"/>
          <w14:ligatures w14:val="none"/>
        </w:rPr>
        <w:t xml:space="preserve"> na osnovu kojih se obračunava poreska obaveza.</w:t>
      </w:r>
    </w:p>
    <w:p w14:paraId="6D6D9396" w14:textId="3B8DDF9F" w:rsidR="000350D6" w:rsidRPr="00021CDC" w:rsidRDefault="000350D6" w:rsidP="00690214">
      <w:pPr>
        <w:spacing w:after="150" w:line="276" w:lineRule="auto"/>
        <w:jc w:val="both"/>
        <w:rPr>
          <w:rFonts w:eastAsia="Calibri" w:cstheme="minorHAnsi"/>
          <w:kern w:val="0"/>
          <w:sz w:val="24"/>
          <w:szCs w:val="24"/>
          <w:lang w:val="pl-PL"/>
          <w14:ligatures w14:val="none"/>
        </w:rPr>
      </w:pPr>
      <w:r w:rsidRPr="00021CDC">
        <w:rPr>
          <w:rFonts w:eastAsia="Calibri" w:cstheme="minorHAnsi"/>
          <w:kern w:val="0"/>
          <w:sz w:val="24"/>
          <w:szCs w:val="24"/>
          <w:lang w:val="pl-PL"/>
          <w14:ligatures w14:val="none"/>
        </w:rPr>
        <w:lastRenderedPageBreak/>
        <w:t xml:space="preserve">Jedan od uzroka neformalne ekonomije je i </w:t>
      </w:r>
      <w:r w:rsidRPr="00021CDC">
        <w:rPr>
          <w:rFonts w:eastAsia="Calibri" w:cstheme="minorHAnsi"/>
          <w:b/>
          <w:bCs/>
          <w:kern w:val="0"/>
          <w:sz w:val="24"/>
          <w:szCs w:val="24"/>
          <w:lang w:val="pl-PL"/>
          <w14:ligatures w14:val="none"/>
        </w:rPr>
        <w:t>trgovina duvanskim proizvodima putem internet</w:t>
      </w:r>
      <w:r w:rsidRPr="00021CDC">
        <w:rPr>
          <w:rFonts w:eastAsia="Calibri" w:cstheme="minorHAnsi"/>
          <w:kern w:val="0"/>
          <w:sz w:val="24"/>
          <w:szCs w:val="24"/>
          <w:lang w:val="pl-PL"/>
          <w14:ligatures w14:val="none"/>
        </w:rPr>
        <w:t xml:space="preserve"> - distancione prodaje i prodaja van poslovnih prostora, naročito maloljetnim licima</w:t>
      </w:r>
      <w:r w:rsidR="00B754F3" w:rsidRPr="00021CDC">
        <w:rPr>
          <w:rFonts w:eastAsia="Calibri" w:cstheme="minorHAnsi"/>
          <w:kern w:val="0"/>
          <w:sz w:val="24"/>
          <w:szCs w:val="24"/>
          <w:lang w:val="pl-PL"/>
          <w14:ligatures w14:val="none"/>
        </w:rPr>
        <w:t>, za koje je često teško utvrditi koliko imaju godina</w:t>
      </w:r>
      <w:r w:rsidRPr="00021CDC">
        <w:rPr>
          <w:rFonts w:eastAsia="Calibri" w:cstheme="minorHAnsi"/>
          <w:kern w:val="0"/>
          <w:sz w:val="24"/>
          <w:szCs w:val="24"/>
          <w:lang w:val="pl-PL"/>
          <w14:ligatures w14:val="none"/>
        </w:rPr>
        <w:t xml:space="preserve">. Zakonom o duvanu uređuje se proizvodnja, obrada i promet duvana i duvanskih proizvoda, što znači da postoji mogućnost regulisanja dostupnosti duvanskih proizvoda putem ovog zakona, a ne samo Zakona o ograničenju upotrebe duvanskih proizvoda. </w:t>
      </w:r>
    </w:p>
    <w:p w14:paraId="0C11912E" w14:textId="1B5C17F0" w:rsidR="00284613" w:rsidRPr="00A42DF7" w:rsidRDefault="00284613" w:rsidP="00690214">
      <w:pPr>
        <w:spacing w:after="150" w:line="276" w:lineRule="auto"/>
        <w:jc w:val="both"/>
        <w:rPr>
          <w:rFonts w:eastAsia="Calibri" w:cstheme="minorHAnsi"/>
          <w:b/>
          <w:bCs/>
          <w:kern w:val="0"/>
          <w:sz w:val="24"/>
          <w:szCs w:val="24"/>
          <w:lang w:val="pl-PL"/>
          <w14:ligatures w14:val="none"/>
        </w:rPr>
      </w:pPr>
      <w:r w:rsidRPr="00A42DF7">
        <w:rPr>
          <w:rFonts w:eastAsia="Calibri" w:cstheme="minorHAnsi"/>
          <w:kern w:val="0"/>
          <w:sz w:val="24"/>
          <w:szCs w:val="24"/>
          <w:lang w:val="pl-PL"/>
          <w14:ligatures w14:val="none"/>
        </w:rPr>
        <w:t>Ostali  vidovi trgovine koji su</w:t>
      </w:r>
      <w:r w:rsidR="00EA728A" w:rsidRPr="00A42DF7">
        <w:rPr>
          <w:rFonts w:eastAsia="Calibri" w:cstheme="minorHAnsi"/>
          <w:kern w:val="0"/>
          <w:sz w:val="24"/>
          <w:szCs w:val="24"/>
          <w:lang w:val="pl-PL"/>
          <w14:ligatures w14:val="none"/>
        </w:rPr>
        <w:t xml:space="preserve"> ili</w:t>
      </w:r>
      <w:r w:rsidRPr="00A42DF7">
        <w:rPr>
          <w:rFonts w:eastAsia="Calibri" w:cstheme="minorHAnsi"/>
          <w:kern w:val="0"/>
          <w:sz w:val="24"/>
          <w:szCs w:val="24"/>
          <w:lang w:val="pl-PL"/>
          <w14:ligatures w14:val="none"/>
        </w:rPr>
        <w:t xml:space="preserve"> potpuno ilegalni, ili ih dijelom obavljaju registrovani preduzetnici i preduzeća su nelegalna </w:t>
      </w:r>
      <w:r w:rsidR="00BF19D8" w:rsidRPr="00A42DF7">
        <w:rPr>
          <w:rFonts w:eastAsia="Calibri" w:cstheme="minorHAnsi"/>
          <w:kern w:val="0"/>
          <w:sz w:val="24"/>
          <w:szCs w:val="24"/>
          <w:lang w:val="pl-PL"/>
          <w14:ligatures w14:val="none"/>
        </w:rPr>
        <w:t>pr</w:t>
      </w:r>
      <w:r w:rsidRPr="00A42DF7">
        <w:rPr>
          <w:rFonts w:eastAsia="Calibri" w:cstheme="minorHAnsi"/>
          <w:kern w:val="0"/>
          <w:sz w:val="24"/>
          <w:szCs w:val="24"/>
          <w:lang w:val="pl-PL"/>
          <w14:ligatures w14:val="none"/>
        </w:rPr>
        <w:t xml:space="preserve">odaja duvanskih proizvoda, vanpijačna prodaja </w:t>
      </w:r>
      <w:r w:rsidR="00BF19D8" w:rsidRPr="00A42DF7">
        <w:rPr>
          <w:rFonts w:eastAsia="Calibri" w:cstheme="minorHAnsi"/>
          <w:kern w:val="0"/>
          <w:sz w:val="24"/>
          <w:szCs w:val="24"/>
          <w:lang w:val="pl-PL"/>
          <w14:ligatures w14:val="none"/>
        </w:rPr>
        <w:t>poljoprivrednih proizvoda, neovlašćena prodaja roba i usluga u stambenim objektima, odnosno obavljanje djelatnosti bez odobrenja za rad i bez prethodno izvršene poreske registracije. i sl.</w:t>
      </w:r>
    </w:p>
    <w:p w14:paraId="0186EE5E" w14:textId="2C58720B" w:rsidR="006A55BD" w:rsidRPr="00CE07A9" w:rsidRDefault="006A55BD" w:rsidP="006A55BD">
      <w:pPr>
        <w:spacing w:after="150" w:line="276" w:lineRule="auto"/>
        <w:jc w:val="both"/>
        <w:rPr>
          <w:rFonts w:eastAsia="Calibri" w:cstheme="minorHAnsi"/>
          <w:b/>
          <w:bCs/>
          <w:kern w:val="0"/>
          <w:sz w:val="24"/>
          <w:szCs w:val="24"/>
          <w:lang w:val="pl-PL"/>
          <w14:ligatures w14:val="none"/>
        </w:rPr>
      </w:pPr>
      <w:r w:rsidRPr="00A42DF7">
        <w:rPr>
          <w:rFonts w:eastAsia="Calibri" w:cstheme="minorHAnsi"/>
          <w:kern w:val="0"/>
          <w:sz w:val="24"/>
          <w:szCs w:val="24"/>
          <w:lang w:val="pl-PL"/>
          <w14:ligatures w14:val="none"/>
        </w:rPr>
        <w:t xml:space="preserve">U ovu kategoriju često spadaju i usluge koje pružaju </w:t>
      </w:r>
      <w:r w:rsidRPr="00A42DF7">
        <w:rPr>
          <w:rFonts w:eastAsia="Calibri" w:cstheme="minorHAnsi"/>
          <w:b/>
          <w:bCs/>
          <w:kern w:val="0"/>
          <w:sz w:val="24"/>
          <w:szCs w:val="24"/>
          <w:lang w:val="pl-PL"/>
          <w14:ligatures w14:val="none"/>
        </w:rPr>
        <w:t xml:space="preserve">moleri, vodoinstalateri, električari, parketari, frizeri, kozmetičari, maseri, lica koja se bave proizvodnjom i dostavom hrane (ketering)  i on-line trgovci </w:t>
      </w:r>
      <w:r w:rsidRPr="00A42DF7">
        <w:rPr>
          <w:rFonts w:eastAsia="Calibri" w:cstheme="minorHAnsi"/>
          <w:kern w:val="0"/>
          <w:sz w:val="24"/>
          <w:szCs w:val="24"/>
          <w:lang w:val="pl-PL"/>
          <w14:ligatures w14:val="none"/>
        </w:rPr>
        <w:t>(prodaja preko Facebooka i drugih društvenih mreža),</w:t>
      </w:r>
      <w:r w:rsidR="009364EF" w:rsidRPr="00A42DF7">
        <w:rPr>
          <w:rFonts w:eastAsia="Calibri" w:cstheme="minorHAnsi"/>
          <w:kern w:val="0"/>
          <w:sz w:val="24"/>
          <w:szCs w:val="24"/>
          <w:lang w:val="pl-PL"/>
          <w14:ligatures w14:val="none"/>
        </w:rPr>
        <w:t xml:space="preserve"> itd.</w:t>
      </w:r>
      <w:r w:rsidRPr="00A42DF7">
        <w:rPr>
          <w:rFonts w:eastAsia="Calibri" w:cstheme="minorHAnsi"/>
          <w:kern w:val="0"/>
          <w:sz w:val="24"/>
          <w:szCs w:val="24"/>
          <w:lang w:val="pl-PL"/>
          <w14:ligatures w14:val="none"/>
        </w:rPr>
        <w:t xml:space="preserve"> </w:t>
      </w:r>
      <w:r w:rsidRPr="00CE07A9">
        <w:rPr>
          <w:rFonts w:eastAsia="Calibri" w:cstheme="minorHAnsi"/>
          <w:kern w:val="0"/>
          <w:sz w:val="24"/>
          <w:szCs w:val="24"/>
          <w:lang w:val="pl-PL"/>
          <w14:ligatures w14:val="none"/>
        </w:rPr>
        <w:t>Kupci  ne dobijaju račun za kupljenu robu ili izvršenu uslugu, nemaju garanciju da je roba zdravstveno ili tehnički ispravna, niti imaju pravo na reklamaciju. Na ovaj način, firme koje rade „na crno“ nanose štetu, ne samo građanima i državi već i svim kompanijama koje posluju u skladu sa zakonom i uredno izmiruju poreske obaveze</w:t>
      </w:r>
      <w:r w:rsidRPr="00CE07A9">
        <w:rPr>
          <w:rFonts w:eastAsia="Calibri" w:cstheme="minorHAnsi"/>
          <w:b/>
          <w:bCs/>
          <w:kern w:val="0"/>
          <w:sz w:val="24"/>
          <w:szCs w:val="24"/>
          <w:lang w:val="pl-PL"/>
          <w14:ligatures w14:val="none"/>
        </w:rPr>
        <w:t>.</w:t>
      </w:r>
    </w:p>
    <w:p w14:paraId="3C552B36" w14:textId="0BE87E66" w:rsidR="00F466F5" w:rsidRPr="00CE07A9" w:rsidRDefault="00F466F5" w:rsidP="006A55BD">
      <w:pPr>
        <w:spacing w:after="150" w:line="276" w:lineRule="auto"/>
        <w:jc w:val="both"/>
        <w:rPr>
          <w:rFonts w:eastAsia="Calibri" w:cstheme="minorHAnsi"/>
          <w:kern w:val="0"/>
          <w:sz w:val="24"/>
          <w:szCs w:val="24"/>
          <w:lang w:val="pl-PL"/>
          <w14:ligatures w14:val="none"/>
        </w:rPr>
      </w:pPr>
      <w:r w:rsidRPr="00CE07A9">
        <w:rPr>
          <w:rFonts w:eastAsia="Calibri" w:cstheme="minorHAnsi"/>
          <w:kern w:val="0"/>
          <w:sz w:val="24"/>
          <w:szCs w:val="24"/>
          <w:lang w:val="pl-PL"/>
          <w14:ligatures w14:val="none"/>
        </w:rPr>
        <w:t>Pored navedenog, ponekada registrovani privredni subjekti neevidentiranjem prometa na zakonom propisan način (shodno Zakonu o PDV-u  Zakonu o fiskalizaciji u prometu proizvoda i usluga),  izbjegavaju se plaćanje poreza na dodatu vrijednost.</w:t>
      </w:r>
    </w:p>
    <w:p w14:paraId="16458761" w14:textId="1C43ECAB" w:rsidR="000557E8" w:rsidRPr="00021CDC" w:rsidRDefault="000557E8" w:rsidP="00690214">
      <w:pPr>
        <w:spacing w:after="150" w:line="276" w:lineRule="auto"/>
        <w:jc w:val="both"/>
        <w:rPr>
          <w:rFonts w:eastAsia="Calibri" w:cstheme="minorHAnsi"/>
          <w:kern w:val="0"/>
          <w:sz w:val="24"/>
          <w:szCs w:val="24"/>
          <w:lang w:val="pl-PL"/>
          <w14:ligatures w14:val="none"/>
        </w:rPr>
      </w:pPr>
      <w:r w:rsidRPr="00CE07A9">
        <w:rPr>
          <w:rFonts w:eastAsia="Calibri" w:cstheme="minorHAnsi"/>
          <w:b/>
          <w:bCs/>
          <w:kern w:val="0"/>
          <w:sz w:val="24"/>
          <w:szCs w:val="24"/>
          <w:lang w:val="pl-PL"/>
          <w14:ligatures w14:val="none"/>
        </w:rPr>
        <w:t>Saobraćaj.</w:t>
      </w:r>
      <w:r w:rsidR="002A7B9C" w:rsidRPr="00CE07A9">
        <w:rPr>
          <w:rFonts w:ascii="Helvetica" w:hAnsi="Helvetica"/>
          <w:color w:val="333333"/>
          <w:sz w:val="21"/>
          <w:szCs w:val="21"/>
          <w:shd w:val="clear" w:color="auto" w:fill="FFFFFF"/>
          <w:lang w:val="pl-PL"/>
        </w:rPr>
        <w:t xml:space="preserve"> </w:t>
      </w:r>
      <w:r w:rsidR="002A7B9C" w:rsidRPr="00CE07A9">
        <w:rPr>
          <w:rFonts w:cstheme="minorHAnsi"/>
          <w:sz w:val="24"/>
          <w:szCs w:val="24"/>
          <w:shd w:val="clear" w:color="auto" w:fill="FFFFFF"/>
          <w:lang w:val="pl-PL"/>
        </w:rPr>
        <w:t>Iako je značajno smanjen u odnosu na prethodne godine, n</w:t>
      </w:r>
      <w:r w:rsidR="002A7B9C" w:rsidRPr="00CE07A9">
        <w:rPr>
          <w:rFonts w:eastAsia="Calibri" w:cstheme="minorHAnsi"/>
          <w:b/>
          <w:bCs/>
          <w:kern w:val="0"/>
          <w:sz w:val="24"/>
          <w:szCs w:val="24"/>
          <w:lang w:val="pl-PL"/>
          <w14:ligatures w14:val="none"/>
        </w:rPr>
        <w:t xml:space="preserve">elegalni prevoz putnika i siva ekonomija su </w:t>
      </w:r>
      <w:r w:rsidR="00B264D2" w:rsidRPr="00CE07A9">
        <w:rPr>
          <w:rFonts w:eastAsia="Calibri" w:cstheme="minorHAnsi"/>
          <w:b/>
          <w:bCs/>
          <w:kern w:val="0"/>
          <w:sz w:val="24"/>
          <w:szCs w:val="24"/>
          <w:lang w:val="pl-PL"/>
          <w14:ligatures w14:val="none"/>
        </w:rPr>
        <w:t>i</w:t>
      </w:r>
      <w:r w:rsidR="002A7B9C" w:rsidRPr="00CE07A9">
        <w:rPr>
          <w:rFonts w:eastAsia="Calibri" w:cstheme="minorHAnsi"/>
          <w:b/>
          <w:bCs/>
          <w:kern w:val="0"/>
          <w:sz w:val="24"/>
          <w:szCs w:val="24"/>
          <w:lang w:val="pl-PL"/>
          <w14:ligatures w14:val="none"/>
        </w:rPr>
        <w:t xml:space="preserve"> dalje prisutni  drumskom saobraćaju</w:t>
      </w:r>
      <w:r w:rsidR="002A7B9C" w:rsidRPr="00CE07A9">
        <w:rPr>
          <w:rFonts w:eastAsia="Calibri" w:cstheme="minorHAnsi"/>
          <w:kern w:val="0"/>
          <w:sz w:val="24"/>
          <w:szCs w:val="24"/>
          <w:lang w:val="pl-PL"/>
          <w14:ligatures w14:val="none"/>
        </w:rPr>
        <w:t xml:space="preserve"> i reflektovani su u postojanju nezakonitog rada u sektoru javnog prevoza putnika i divljeg prevoza putnika, putničkim i kombi vozilima još su još uvijek prisutni na crnogorskom tržištu. </w:t>
      </w:r>
      <w:r w:rsidR="002A7B9C" w:rsidRPr="00021CDC">
        <w:rPr>
          <w:rFonts w:eastAsia="Calibri" w:cstheme="minorHAnsi"/>
          <w:kern w:val="0"/>
          <w:sz w:val="24"/>
          <w:szCs w:val="24"/>
          <w:lang w:val="pl-PL"/>
          <w14:ligatures w14:val="none"/>
        </w:rPr>
        <w:t>Oni predstavljaju nelojalnu konkurenciju legalnim prevoznicima koji imaju mnogo veće troškove poslovanja.</w:t>
      </w:r>
    </w:p>
    <w:p w14:paraId="0765869B" w14:textId="12EC7284" w:rsidR="000557E8" w:rsidRPr="00CE07A9" w:rsidRDefault="000557E8" w:rsidP="00690214">
      <w:pPr>
        <w:spacing w:after="150" w:line="276" w:lineRule="auto"/>
        <w:jc w:val="both"/>
        <w:rPr>
          <w:rFonts w:eastAsia="Calibri" w:cstheme="minorHAnsi"/>
          <w:b/>
          <w:bCs/>
          <w:kern w:val="0"/>
          <w:sz w:val="24"/>
          <w:szCs w:val="24"/>
          <w:lang w:val="pl-PL"/>
          <w14:ligatures w14:val="none"/>
        </w:rPr>
      </w:pPr>
      <w:r w:rsidRPr="006C691C">
        <w:rPr>
          <w:rFonts w:eastAsia="Calibri" w:cstheme="minorHAnsi"/>
          <w:b/>
          <w:bCs/>
          <w:kern w:val="0"/>
          <w:sz w:val="24"/>
          <w:szCs w:val="24"/>
          <w:lang w:val="pl-PL"/>
          <w14:ligatures w14:val="none"/>
        </w:rPr>
        <w:t>Građevinarstvo.</w:t>
      </w:r>
      <w:r w:rsidR="00E51B29" w:rsidRPr="006C691C">
        <w:rPr>
          <w:rFonts w:eastAsia="Calibri" w:cstheme="minorHAnsi"/>
          <w:b/>
          <w:bCs/>
          <w:kern w:val="0"/>
          <w:sz w:val="24"/>
          <w:szCs w:val="24"/>
          <w:lang w:val="pl-PL"/>
          <w14:ligatures w14:val="none"/>
        </w:rPr>
        <w:t xml:space="preserve"> </w:t>
      </w:r>
      <w:r w:rsidR="00E51B29" w:rsidRPr="006C691C">
        <w:rPr>
          <w:rFonts w:eastAsia="Calibri" w:cstheme="minorHAnsi"/>
          <w:kern w:val="0"/>
          <w:sz w:val="24"/>
          <w:szCs w:val="24"/>
          <w:lang w:val="pl-PL"/>
          <w14:ligatures w14:val="none"/>
        </w:rPr>
        <w:t>Prisustvo neformalne ekonomije u građevinarstvu se Crnoj Gori naročito og</w:t>
      </w:r>
      <w:r w:rsidR="00EA728A" w:rsidRPr="006C691C">
        <w:rPr>
          <w:rFonts w:eastAsia="Calibri" w:cstheme="minorHAnsi"/>
          <w:kern w:val="0"/>
          <w:sz w:val="24"/>
          <w:szCs w:val="24"/>
          <w:lang w:val="pl-PL"/>
          <w14:ligatures w14:val="none"/>
        </w:rPr>
        <w:t>le</w:t>
      </w:r>
      <w:r w:rsidR="00E51B29" w:rsidRPr="006C691C">
        <w:rPr>
          <w:rFonts w:eastAsia="Calibri" w:cstheme="minorHAnsi"/>
          <w:kern w:val="0"/>
          <w:sz w:val="24"/>
          <w:szCs w:val="24"/>
          <w:lang w:val="pl-PL"/>
          <w14:ligatures w14:val="none"/>
        </w:rPr>
        <w:t xml:space="preserve">da u izgradnji nelegalnih objekata na privatnim posjedima, kao </w:t>
      </w:r>
      <w:r w:rsidR="00F55BEF" w:rsidRPr="006C691C">
        <w:rPr>
          <w:rFonts w:eastAsia="Calibri" w:cstheme="minorHAnsi"/>
          <w:kern w:val="0"/>
          <w:sz w:val="24"/>
          <w:szCs w:val="24"/>
          <w:lang w:val="pl-PL"/>
          <w14:ligatures w14:val="none"/>
        </w:rPr>
        <w:t>i</w:t>
      </w:r>
      <w:r w:rsidR="00E51B29" w:rsidRPr="006C691C">
        <w:rPr>
          <w:rFonts w:eastAsia="Calibri" w:cstheme="minorHAnsi"/>
          <w:kern w:val="0"/>
          <w:sz w:val="24"/>
          <w:szCs w:val="24"/>
          <w:lang w:val="pl-PL"/>
          <w14:ligatures w14:val="none"/>
        </w:rPr>
        <w:t xml:space="preserve"> nelegalnih objekata kroz uzurpaciju državnog zemljišta.</w:t>
      </w:r>
      <w:r w:rsidR="006A55BD" w:rsidRPr="006C691C">
        <w:rPr>
          <w:rFonts w:eastAsia="Calibri" w:cstheme="minorHAnsi"/>
          <w:kern w:val="0"/>
          <w:sz w:val="24"/>
          <w:szCs w:val="24"/>
          <w:lang w:val="pl-PL"/>
          <w14:ligatures w14:val="none"/>
        </w:rPr>
        <w:t xml:space="preserve"> </w:t>
      </w:r>
      <w:r w:rsidR="006A55BD" w:rsidRPr="00CE07A9">
        <w:rPr>
          <w:rFonts w:eastAsia="Calibri" w:cstheme="minorHAnsi"/>
          <w:kern w:val="0"/>
          <w:sz w:val="24"/>
          <w:szCs w:val="24"/>
          <w:lang w:val="pl-PL"/>
          <w14:ligatures w14:val="none"/>
        </w:rPr>
        <w:t>Prema procjeni Vlade, u Crnoj Gori postoji preko 100.000 nelegalnih objekata.</w:t>
      </w:r>
      <w:r w:rsidR="00EC5DBD" w:rsidRPr="00CE07A9">
        <w:rPr>
          <w:lang w:val="pl-PL"/>
        </w:rPr>
        <w:t xml:space="preserve"> </w:t>
      </w:r>
      <w:r w:rsidR="00EC5DBD" w:rsidRPr="00CE07A9">
        <w:rPr>
          <w:rFonts w:eastAsia="Calibri" w:cstheme="minorHAnsi"/>
          <w:kern w:val="0"/>
          <w:sz w:val="24"/>
          <w:szCs w:val="24"/>
          <w:lang w:val="pl-PL"/>
          <w14:ligatures w14:val="none"/>
        </w:rPr>
        <w:t xml:space="preserve">Podsticaj za legalizaciju nelegalnih objekata nijesu dovoljni, budući da shodno postojećoj zakonskoj  regulativi, procedure nijesu jednostavne, a troškovi legalizacije su visoki, dok rokovi za legalizaciju nijesu dovoljno dugi. </w:t>
      </w:r>
    </w:p>
    <w:p w14:paraId="6E7B4B2A" w14:textId="1329F28F" w:rsidR="003E6990" w:rsidRPr="00021CDC" w:rsidRDefault="003E6990" w:rsidP="00690214">
      <w:pPr>
        <w:spacing w:after="150" w:line="276" w:lineRule="auto"/>
        <w:jc w:val="both"/>
        <w:rPr>
          <w:rFonts w:eastAsia="Calibri" w:cstheme="minorHAnsi"/>
          <w:kern w:val="0"/>
          <w:sz w:val="24"/>
          <w:szCs w:val="24"/>
          <w:lang w:val="pl-PL"/>
          <w14:ligatures w14:val="none"/>
        </w:rPr>
      </w:pPr>
      <w:r w:rsidRPr="00021CDC">
        <w:rPr>
          <w:rFonts w:eastAsia="Calibri" w:cstheme="minorHAnsi"/>
          <w:b/>
          <w:bCs/>
          <w:kern w:val="0"/>
          <w:sz w:val="24"/>
          <w:szCs w:val="24"/>
          <w:lang w:val="pl-PL"/>
          <w14:ligatures w14:val="none"/>
        </w:rPr>
        <w:t>P</w:t>
      </w:r>
      <w:r w:rsidR="006D3DC8" w:rsidRPr="00021CDC">
        <w:rPr>
          <w:rFonts w:eastAsia="Calibri" w:cstheme="minorHAnsi"/>
          <w:b/>
          <w:bCs/>
          <w:kern w:val="0"/>
          <w:sz w:val="24"/>
          <w:szCs w:val="24"/>
          <w:lang w:val="pl-PL"/>
          <w14:ligatures w14:val="none"/>
        </w:rPr>
        <w:t>o</w:t>
      </w:r>
      <w:r w:rsidRPr="00021CDC">
        <w:rPr>
          <w:rFonts w:eastAsia="Calibri" w:cstheme="minorHAnsi"/>
          <w:b/>
          <w:bCs/>
          <w:kern w:val="0"/>
          <w:sz w:val="24"/>
          <w:szCs w:val="24"/>
          <w:lang w:val="pl-PL"/>
          <w14:ligatures w14:val="none"/>
        </w:rPr>
        <w:t>ljoprivred</w:t>
      </w:r>
      <w:r w:rsidR="0096537C" w:rsidRPr="00021CDC">
        <w:rPr>
          <w:rFonts w:eastAsia="Calibri" w:cstheme="minorHAnsi"/>
          <w:b/>
          <w:bCs/>
          <w:kern w:val="0"/>
          <w:sz w:val="24"/>
          <w:szCs w:val="24"/>
          <w:lang w:val="pl-PL"/>
          <w14:ligatures w14:val="none"/>
        </w:rPr>
        <w:t>a, šumarstvo</w:t>
      </w:r>
      <w:r w:rsidR="009364EF" w:rsidRPr="00021CDC">
        <w:rPr>
          <w:rFonts w:eastAsia="Calibri" w:cstheme="minorHAnsi"/>
          <w:b/>
          <w:bCs/>
          <w:kern w:val="0"/>
          <w:sz w:val="24"/>
          <w:szCs w:val="24"/>
          <w:lang w:val="pl-PL"/>
          <w14:ligatures w14:val="none"/>
        </w:rPr>
        <w:t xml:space="preserve"> i drvoprerada</w:t>
      </w:r>
      <w:r w:rsidR="000557E8" w:rsidRPr="00021CDC">
        <w:rPr>
          <w:rFonts w:eastAsia="Calibri" w:cstheme="minorHAnsi"/>
          <w:kern w:val="0"/>
          <w:sz w:val="24"/>
          <w:szCs w:val="24"/>
          <w:lang w:val="pl-PL"/>
          <w14:ligatures w14:val="none"/>
        </w:rPr>
        <w:t>.</w:t>
      </w:r>
      <w:r w:rsidRPr="00021CDC">
        <w:rPr>
          <w:rFonts w:eastAsia="Calibri" w:cstheme="minorHAnsi"/>
          <w:kern w:val="0"/>
          <w:sz w:val="24"/>
          <w:szCs w:val="24"/>
          <w:lang w:val="pl-PL"/>
          <w14:ligatures w14:val="none"/>
        </w:rPr>
        <w:t xml:space="preserve"> </w:t>
      </w:r>
      <w:r w:rsidR="000557E8" w:rsidRPr="00021CDC">
        <w:rPr>
          <w:rFonts w:eastAsia="Calibri" w:cstheme="minorHAnsi"/>
          <w:kern w:val="0"/>
          <w:sz w:val="24"/>
          <w:szCs w:val="24"/>
          <w:lang w:val="pl-PL"/>
          <w14:ligatures w14:val="none"/>
        </w:rPr>
        <w:t xml:space="preserve">Na </w:t>
      </w:r>
      <w:r w:rsidRPr="00021CDC">
        <w:rPr>
          <w:rFonts w:eastAsia="Calibri" w:cstheme="minorHAnsi"/>
          <w:kern w:val="0"/>
          <w:sz w:val="24"/>
          <w:szCs w:val="24"/>
          <w:lang w:val="pl-PL"/>
          <w14:ligatures w14:val="none"/>
        </w:rPr>
        <w:t xml:space="preserve">tržištu poljoprivrednih proizvoda je zastupljeno više načina plasiranja proizvoda, a to je plasiranje proizvoda na </w:t>
      </w:r>
      <w:r w:rsidR="00391D03">
        <w:rPr>
          <w:rFonts w:eastAsia="Calibri" w:cstheme="minorHAnsi"/>
          <w:kern w:val="0"/>
          <w:sz w:val="24"/>
          <w:szCs w:val="24"/>
          <w:lang w:val="pl-PL"/>
          <w14:ligatures w14:val="none"/>
        </w:rPr>
        <w:t>„</w:t>
      </w:r>
      <w:r w:rsidRPr="00021CDC">
        <w:rPr>
          <w:rFonts w:eastAsia="Calibri" w:cstheme="minorHAnsi"/>
          <w:kern w:val="0"/>
          <w:sz w:val="24"/>
          <w:szCs w:val="24"/>
          <w:lang w:val="pl-PL"/>
          <w14:ligatures w14:val="none"/>
        </w:rPr>
        <w:t>kućnom pragu</w:t>
      </w:r>
      <w:r w:rsidR="00391D03">
        <w:rPr>
          <w:rFonts w:eastAsia="Calibri" w:cstheme="minorHAnsi"/>
          <w:kern w:val="0"/>
          <w:sz w:val="24"/>
          <w:szCs w:val="24"/>
          <w:lang w:val="pl-PL"/>
          <w14:ligatures w14:val="none"/>
        </w:rPr>
        <w:t>”</w:t>
      </w:r>
      <w:r w:rsidRPr="00021CDC">
        <w:rPr>
          <w:rFonts w:eastAsia="Calibri" w:cstheme="minorHAnsi"/>
          <w:kern w:val="0"/>
          <w:sz w:val="24"/>
          <w:szCs w:val="24"/>
          <w:lang w:val="pl-PL"/>
          <w14:ligatures w14:val="none"/>
        </w:rPr>
        <w:t xml:space="preserve">, na tržnicama i otkupljivačima. Često se dešava da neregistrovani proizvođači, koji imaju male površine ili mali broj životinja plasiraju poljoprivredne proizvode na </w:t>
      </w:r>
      <w:r w:rsidR="00391D03">
        <w:rPr>
          <w:rFonts w:eastAsia="Calibri" w:cstheme="minorHAnsi"/>
          <w:kern w:val="0"/>
          <w:sz w:val="24"/>
          <w:szCs w:val="24"/>
          <w:lang w:val="pl-PL"/>
          <w14:ligatures w14:val="none"/>
        </w:rPr>
        <w:t>„</w:t>
      </w:r>
      <w:r w:rsidRPr="00021CDC">
        <w:rPr>
          <w:rFonts w:eastAsia="Calibri" w:cstheme="minorHAnsi"/>
          <w:kern w:val="0"/>
          <w:sz w:val="24"/>
          <w:szCs w:val="24"/>
          <w:lang w:val="pl-PL"/>
          <w14:ligatures w14:val="none"/>
        </w:rPr>
        <w:t>kućnom pragu</w:t>
      </w:r>
      <w:r w:rsidR="00391D03">
        <w:rPr>
          <w:rFonts w:eastAsia="Calibri" w:cstheme="minorHAnsi"/>
          <w:kern w:val="0"/>
          <w:sz w:val="24"/>
          <w:szCs w:val="24"/>
          <w:lang w:val="pl-PL"/>
          <w14:ligatures w14:val="none"/>
        </w:rPr>
        <w:t>”</w:t>
      </w:r>
      <w:r w:rsidRPr="00021CDC">
        <w:rPr>
          <w:rFonts w:eastAsia="Calibri" w:cstheme="minorHAnsi"/>
          <w:kern w:val="0"/>
          <w:sz w:val="24"/>
          <w:szCs w:val="24"/>
          <w:lang w:val="pl-PL"/>
          <w14:ligatures w14:val="none"/>
        </w:rPr>
        <w:t xml:space="preserve">. Ovi proizvođači su prepoznati Zakonom o poljoprivredi kao porodična poljoprivredna gazdinstva koja plasiraju male </w:t>
      </w:r>
      <w:r w:rsidRPr="00021CDC">
        <w:rPr>
          <w:rFonts w:eastAsia="Calibri" w:cstheme="minorHAnsi"/>
          <w:kern w:val="0"/>
          <w:sz w:val="24"/>
          <w:szCs w:val="24"/>
          <w:lang w:val="pl-PL"/>
          <w14:ligatures w14:val="none"/>
        </w:rPr>
        <w:lastRenderedPageBreak/>
        <w:t xml:space="preserve">količine poljoprivrednih proizvoda i hrane biljnog i životinjskog porijekla proizvedenih na tom gazdinstvu i stavljaju se u promet radi snabdijevanja krajnjeg potrošača neposredno na tom gazdinstvu ili preko maloprodajnih objekata, ali nije jasno navedeno da moraju biti registrovani. </w:t>
      </w:r>
    </w:p>
    <w:p w14:paraId="332BE8D8" w14:textId="6635CD55" w:rsidR="004251E9" w:rsidRPr="00A83C98" w:rsidRDefault="004251E9" w:rsidP="00690214">
      <w:pPr>
        <w:spacing w:after="150" w:line="276" w:lineRule="auto"/>
        <w:jc w:val="both"/>
        <w:rPr>
          <w:rFonts w:eastAsia="Calibri" w:cstheme="minorHAnsi"/>
          <w:kern w:val="0"/>
          <w:sz w:val="24"/>
          <w:szCs w:val="24"/>
          <w:lang w:val="sr-Latn-ME"/>
          <w14:ligatures w14:val="none"/>
        </w:rPr>
      </w:pPr>
      <w:r w:rsidRPr="006C691C">
        <w:rPr>
          <w:rFonts w:eastAsia="Calibri" w:cstheme="minorHAnsi"/>
          <w:kern w:val="0"/>
          <w:sz w:val="24"/>
          <w:szCs w:val="24"/>
          <w:lang w:val="pl-PL"/>
          <w14:ligatures w14:val="none"/>
        </w:rPr>
        <w:t xml:space="preserve">U oblasti šumarstva i drvoprerade, karakterističan je izazov održivosti u gazdovanju šumama i brojne nelegalne aktivnosti u sječi šuma. Sistem koncesija, odnosno prodaje drveta u dubećem stanju koji se trenutno primjenjuje, proizvodi za posledicu da korisnici šuma drvo kupuju u šumi, uz plaćanje odgovarajuće naknade, koja je budžetski prihod.  Jedan od većih izazova se ogleda u obračunu PDV-a, u postupku prometa drvnih sortimenata koji se ne prerađuju u sopstvenim kapacitetima za preradu, kako je to predviđeno ugovorima o korišćenju. To uzrokuje da se PDV u tom slučaju najčešće “gubi” u prometu. Takođe, postoji i pojava da se vrijednost drveta umanjuje u odnosu na stvarno stanje u situaciji u kojoj privredna društva vrše preradu drvne sirovine u vidu rezane građe iz crnogorskih šuma, što za posledicu ima umanjenje PDV-a. </w:t>
      </w:r>
      <w:r w:rsidRPr="004251E9">
        <w:rPr>
          <w:rFonts w:eastAsia="Calibri" w:cstheme="minorHAnsi"/>
          <w:kern w:val="0"/>
          <w:sz w:val="24"/>
          <w:szCs w:val="24"/>
          <w:lang w:val="pl-PL"/>
          <w14:ligatures w14:val="none"/>
        </w:rPr>
        <w:t>Dodatno, nepostojanje FSC</w:t>
      </w:r>
      <w:r w:rsidRPr="004251E9">
        <w:rPr>
          <w:rFonts w:eastAsia="Calibri" w:cstheme="minorHAnsi"/>
          <w:kern w:val="0"/>
          <w:sz w:val="24"/>
          <w:szCs w:val="24"/>
          <w:vertAlign w:val="superscript"/>
          <w14:ligatures w14:val="none"/>
        </w:rPr>
        <w:footnoteReference w:id="14"/>
      </w:r>
      <w:r w:rsidRPr="004251E9">
        <w:rPr>
          <w:rFonts w:eastAsia="Calibri" w:cstheme="minorHAnsi"/>
          <w:kern w:val="0"/>
          <w:sz w:val="24"/>
          <w:szCs w:val="24"/>
          <w:lang w:val="pl-PL"/>
          <w14:ligatures w14:val="none"/>
        </w:rPr>
        <w:t xml:space="preserve"> standarda, kao standarda kvaliteta u šumarstvu je takođe jedan od izazova.</w:t>
      </w:r>
    </w:p>
    <w:p w14:paraId="02675565" w14:textId="77777777" w:rsidR="00B67D63" w:rsidRDefault="00B67D63" w:rsidP="00690214">
      <w:pPr>
        <w:spacing w:after="150" w:line="276" w:lineRule="auto"/>
        <w:jc w:val="both"/>
        <w:rPr>
          <w:rFonts w:eastAsia="Calibri" w:cstheme="minorHAnsi"/>
          <w:color w:val="44546A" w:themeColor="text2"/>
          <w:sz w:val="24"/>
          <w:szCs w:val="24"/>
          <w:lang w:val="sr-Latn-ME"/>
        </w:rPr>
      </w:pPr>
    </w:p>
    <w:p w14:paraId="783DC07F" w14:textId="5CC4BBD9" w:rsidR="000F4629" w:rsidRPr="00B67D63" w:rsidRDefault="00A03DDB" w:rsidP="00690214">
      <w:pPr>
        <w:spacing w:after="150" w:line="276" w:lineRule="auto"/>
        <w:jc w:val="both"/>
        <w:rPr>
          <w:rFonts w:eastAsia="Calibri" w:cstheme="minorHAnsi"/>
          <w:color w:val="44546A" w:themeColor="text2"/>
          <w:sz w:val="24"/>
          <w:szCs w:val="24"/>
          <w:lang w:val="sr-Latn-ME"/>
        </w:rPr>
      </w:pPr>
      <w:r w:rsidRPr="00B67D63">
        <w:rPr>
          <w:rFonts w:eastAsia="Calibri" w:cstheme="minorHAnsi"/>
          <w:color w:val="44546A" w:themeColor="text2"/>
          <w:sz w:val="24"/>
          <w:szCs w:val="24"/>
          <w:lang w:val="sr-Latn-ME"/>
        </w:rPr>
        <w:t>2.4.2</w:t>
      </w:r>
      <w:r w:rsidR="00FA16D7" w:rsidRPr="00B67D63">
        <w:rPr>
          <w:rFonts w:eastAsia="Calibri" w:cstheme="minorHAnsi"/>
          <w:color w:val="44546A" w:themeColor="text2"/>
          <w:sz w:val="24"/>
          <w:szCs w:val="24"/>
          <w:lang w:val="sr-Latn-ME"/>
        </w:rPr>
        <w:t xml:space="preserve">. </w:t>
      </w:r>
      <w:r w:rsidR="000F4629" w:rsidRPr="00B67D63">
        <w:rPr>
          <w:rFonts w:eastAsia="Calibri" w:cstheme="minorHAnsi"/>
          <w:color w:val="44546A" w:themeColor="text2"/>
          <w:sz w:val="24"/>
          <w:szCs w:val="24"/>
          <w:lang w:val="sr-Latn-ME"/>
        </w:rPr>
        <w:t xml:space="preserve">Fiskalni uzroci neformalne ekonomije u Crnoj Gori </w:t>
      </w:r>
    </w:p>
    <w:p w14:paraId="751FE17B" w14:textId="7518259A" w:rsidR="00970494" w:rsidRPr="00021CDC" w:rsidRDefault="000F4629" w:rsidP="00D256CD">
      <w:pPr>
        <w:spacing w:after="150" w:line="276" w:lineRule="auto"/>
        <w:jc w:val="both"/>
        <w:rPr>
          <w:rFonts w:eastAsia="Calibri" w:cstheme="minorHAnsi"/>
          <w:color w:val="000000"/>
          <w:sz w:val="24"/>
          <w:szCs w:val="24"/>
          <w:lang w:val="pl-PL"/>
        </w:rPr>
      </w:pPr>
      <w:r w:rsidRPr="00281886">
        <w:rPr>
          <w:rFonts w:eastAsia="Calibri" w:cstheme="minorHAnsi"/>
          <w:color w:val="000000"/>
          <w:sz w:val="24"/>
          <w:szCs w:val="24"/>
          <w:lang w:val="sr-Latn-ME"/>
        </w:rPr>
        <w:t xml:space="preserve"> </w:t>
      </w:r>
      <w:r w:rsidR="00690214" w:rsidRPr="00281886">
        <w:rPr>
          <w:rFonts w:eastAsia="Calibri" w:cstheme="minorHAnsi"/>
          <w:b/>
          <w:bCs/>
          <w:color w:val="000000"/>
          <w:sz w:val="24"/>
          <w:szCs w:val="24"/>
          <w:lang w:val="sr-Latn-ME"/>
        </w:rPr>
        <w:t>Nepredvidivost poslovnog ambijenta</w:t>
      </w:r>
      <w:r w:rsidRPr="00281886">
        <w:rPr>
          <w:rFonts w:eastAsia="Calibri" w:cstheme="minorHAnsi"/>
          <w:color w:val="000000"/>
          <w:sz w:val="24"/>
          <w:szCs w:val="24"/>
          <w:lang w:val="sr-Latn-ME"/>
        </w:rPr>
        <w:t>,</w:t>
      </w:r>
      <w:r w:rsidRPr="00281886">
        <w:rPr>
          <w:rFonts w:eastAsia="Calibri" w:cstheme="minorHAnsi"/>
          <w:color w:val="000000"/>
          <w:sz w:val="24"/>
          <w:szCs w:val="24"/>
          <w:u w:val="single"/>
          <w:lang w:val="sr-Latn-ME"/>
        </w:rPr>
        <w:t xml:space="preserve"> </w:t>
      </w:r>
      <w:r w:rsidRPr="00281886">
        <w:rPr>
          <w:rFonts w:eastAsia="Calibri" w:cstheme="minorHAnsi"/>
          <w:b/>
          <w:bCs/>
          <w:color w:val="000000"/>
          <w:sz w:val="24"/>
          <w:szCs w:val="24"/>
          <w:lang w:val="sr-Latn-ME"/>
        </w:rPr>
        <w:t>odnosno česte izmjene propisa</w:t>
      </w:r>
      <w:r w:rsidR="002346A4" w:rsidRPr="00281886">
        <w:rPr>
          <w:rFonts w:eastAsia="Calibri" w:cstheme="minorHAnsi"/>
          <w:b/>
          <w:bCs/>
          <w:color w:val="000000"/>
          <w:sz w:val="24"/>
          <w:szCs w:val="24"/>
          <w:lang w:val="sr-Latn-ME"/>
        </w:rPr>
        <w:t xml:space="preserve">, naročito poreskih, </w:t>
      </w:r>
      <w:r w:rsidRPr="00281886">
        <w:rPr>
          <w:rFonts w:eastAsia="Calibri" w:cstheme="minorHAnsi"/>
          <w:b/>
          <w:bCs/>
          <w:color w:val="000000"/>
          <w:sz w:val="24"/>
          <w:szCs w:val="24"/>
          <w:lang w:val="sr-Latn-ME"/>
        </w:rPr>
        <w:t xml:space="preserve"> koje </w:t>
      </w:r>
      <w:r w:rsidR="002346A4" w:rsidRPr="00281886">
        <w:rPr>
          <w:rFonts w:eastAsia="Calibri" w:cstheme="minorHAnsi"/>
          <w:b/>
          <w:bCs/>
          <w:color w:val="000000"/>
          <w:sz w:val="24"/>
          <w:szCs w:val="24"/>
          <w:lang w:val="sr-Latn-ME"/>
        </w:rPr>
        <w:t xml:space="preserve">otežavaju nove investicije, </w:t>
      </w:r>
      <w:r w:rsidRPr="00281886">
        <w:rPr>
          <w:rFonts w:eastAsia="Calibri" w:cstheme="minorHAnsi"/>
          <w:b/>
          <w:bCs/>
          <w:color w:val="000000"/>
          <w:sz w:val="24"/>
          <w:szCs w:val="24"/>
          <w:lang w:val="sr-Latn-ME"/>
        </w:rPr>
        <w:t>registraciju biznisa ili zap</w:t>
      </w:r>
      <w:r w:rsidR="002346A4" w:rsidRPr="00281886">
        <w:rPr>
          <w:rFonts w:eastAsia="Calibri" w:cstheme="minorHAnsi"/>
          <w:b/>
          <w:bCs/>
          <w:color w:val="000000"/>
          <w:sz w:val="24"/>
          <w:szCs w:val="24"/>
          <w:lang w:val="sr-Latn-ME"/>
        </w:rPr>
        <w:t>osle</w:t>
      </w:r>
      <w:r w:rsidRPr="00281886">
        <w:rPr>
          <w:rFonts w:eastAsia="Calibri" w:cstheme="minorHAnsi"/>
          <w:b/>
          <w:bCs/>
          <w:color w:val="000000"/>
          <w:sz w:val="24"/>
          <w:szCs w:val="24"/>
          <w:lang w:val="sr-Latn-ME"/>
        </w:rPr>
        <w:t>nosti</w:t>
      </w:r>
      <w:r w:rsidR="002346A4" w:rsidRPr="00281886">
        <w:rPr>
          <w:rFonts w:eastAsia="Calibri" w:cstheme="minorHAnsi"/>
          <w:b/>
          <w:bCs/>
          <w:color w:val="000000"/>
          <w:sz w:val="24"/>
          <w:szCs w:val="24"/>
          <w:lang w:val="sr-Latn-ME"/>
        </w:rPr>
        <w:t>.</w:t>
      </w:r>
      <w:r w:rsidR="002346A4" w:rsidRPr="00281886">
        <w:rPr>
          <w:rFonts w:eastAsia="Calibri" w:cstheme="minorHAnsi"/>
          <w:color w:val="000000"/>
          <w:sz w:val="24"/>
          <w:szCs w:val="24"/>
          <w:lang w:val="sr-Latn-ME"/>
        </w:rPr>
        <w:t xml:space="preserve"> </w:t>
      </w:r>
      <w:r w:rsidR="001A5DA2" w:rsidRPr="001A5DA2">
        <w:rPr>
          <w:rFonts w:eastAsia="Calibri" w:cstheme="minorHAnsi"/>
          <w:b/>
          <w:bCs/>
          <w:color w:val="000000"/>
          <w:sz w:val="24"/>
          <w:szCs w:val="24"/>
          <w:lang w:val="sr-Latn-ME"/>
        </w:rPr>
        <w:t>Dodatni faktor su i visina i broj fisk</w:t>
      </w:r>
      <w:r w:rsidR="00F42C15">
        <w:rPr>
          <w:rFonts w:eastAsia="Calibri" w:cstheme="minorHAnsi"/>
          <w:b/>
          <w:bCs/>
          <w:color w:val="000000"/>
          <w:sz w:val="24"/>
          <w:szCs w:val="24"/>
          <w:lang w:val="sr-Latn-ME"/>
        </w:rPr>
        <w:t>al</w:t>
      </w:r>
      <w:r w:rsidR="001A5DA2" w:rsidRPr="001A5DA2">
        <w:rPr>
          <w:rFonts w:eastAsia="Calibri" w:cstheme="minorHAnsi"/>
          <w:b/>
          <w:bCs/>
          <w:color w:val="000000"/>
          <w:sz w:val="24"/>
          <w:szCs w:val="24"/>
          <w:lang w:val="sr-Latn-ME"/>
        </w:rPr>
        <w:t>nih i parafiskalnih nameta</w:t>
      </w:r>
      <w:r w:rsidR="001A5DA2">
        <w:rPr>
          <w:rFonts w:eastAsia="Calibri" w:cstheme="minorHAnsi"/>
          <w:b/>
          <w:bCs/>
          <w:color w:val="000000"/>
          <w:sz w:val="24"/>
          <w:szCs w:val="24"/>
          <w:lang w:val="sr-Latn-ME"/>
        </w:rPr>
        <w:t xml:space="preserve">. </w:t>
      </w:r>
      <w:r w:rsidR="001D35E1" w:rsidRPr="001D35E1">
        <w:rPr>
          <w:rFonts w:eastAsia="Calibri" w:cstheme="minorHAnsi"/>
          <w:color w:val="000000"/>
          <w:sz w:val="24"/>
          <w:szCs w:val="24"/>
          <w:lang w:val="sr-Latn-RS"/>
        </w:rPr>
        <w:t xml:space="preserve">Istorijski posmatrano, </w:t>
      </w:r>
      <w:r w:rsidR="001A5DA2">
        <w:rPr>
          <w:rFonts w:eastAsia="Calibri" w:cstheme="minorHAnsi"/>
          <w:color w:val="000000"/>
          <w:sz w:val="24"/>
          <w:szCs w:val="24"/>
          <w:lang w:val="sr-Latn-RS"/>
        </w:rPr>
        <w:t xml:space="preserve">česte izmjene </w:t>
      </w:r>
      <w:r w:rsidR="00D65836">
        <w:rPr>
          <w:rFonts w:eastAsia="Calibri" w:cstheme="minorHAnsi"/>
          <w:color w:val="000000"/>
          <w:sz w:val="24"/>
          <w:szCs w:val="24"/>
          <w:lang w:val="sr-Latn-RS"/>
        </w:rPr>
        <w:t xml:space="preserve">fiskalnih </w:t>
      </w:r>
      <w:r w:rsidR="001A5DA2">
        <w:rPr>
          <w:rFonts w:eastAsia="Calibri" w:cstheme="minorHAnsi"/>
          <w:color w:val="000000"/>
          <w:sz w:val="24"/>
          <w:szCs w:val="24"/>
          <w:lang w:val="sr-Latn-RS"/>
        </w:rPr>
        <w:t>propisa su</w:t>
      </w:r>
      <w:r w:rsidR="00D256CD">
        <w:rPr>
          <w:rFonts w:eastAsia="Calibri" w:cstheme="minorHAnsi"/>
          <w:color w:val="000000"/>
          <w:sz w:val="24"/>
          <w:szCs w:val="24"/>
          <w:lang w:val="sr-Latn-RS"/>
        </w:rPr>
        <w:t xml:space="preserve"> s</w:t>
      </w:r>
      <w:r w:rsidR="001A5DA2">
        <w:rPr>
          <w:rFonts w:eastAsia="Calibri" w:cstheme="minorHAnsi"/>
          <w:color w:val="000000"/>
          <w:sz w:val="24"/>
          <w:szCs w:val="24"/>
          <w:lang w:val="sr-Latn-RS"/>
        </w:rPr>
        <w:t xml:space="preserve">e odnosile na izmjene stope i obuhvata PDV-a, </w:t>
      </w:r>
      <w:r w:rsidR="00D65836">
        <w:rPr>
          <w:rFonts w:eastAsia="Calibri" w:cstheme="minorHAnsi"/>
          <w:color w:val="000000"/>
          <w:sz w:val="24"/>
          <w:szCs w:val="24"/>
          <w:lang w:val="sr-Latn-RS"/>
        </w:rPr>
        <w:t xml:space="preserve">akciza </w:t>
      </w:r>
      <w:r w:rsidR="001A5DA2">
        <w:rPr>
          <w:rFonts w:eastAsia="Calibri" w:cstheme="minorHAnsi"/>
          <w:color w:val="000000"/>
          <w:sz w:val="24"/>
          <w:szCs w:val="24"/>
          <w:lang w:val="sr-Latn-RS"/>
        </w:rPr>
        <w:t xml:space="preserve">kao i na </w:t>
      </w:r>
      <w:r w:rsidR="001D35E1" w:rsidRPr="001D35E1">
        <w:rPr>
          <w:rFonts w:eastAsia="Calibri" w:cstheme="minorHAnsi"/>
          <w:color w:val="000000"/>
          <w:sz w:val="24"/>
          <w:szCs w:val="24"/>
          <w:lang w:val="sr-Latn-RS"/>
        </w:rPr>
        <w:t>poresko opterećenje rada</w:t>
      </w:r>
      <w:r w:rsidR="001A5DA2">
        <w:rPr>
          <w:rFonts w:eastAsia="Calibri" w:cstheme="minorHAnsi"/>
          <w:color w:val="000000"/>
          <w:sz w:val="24"/>
          <w:szCs w:val="24"/>
          <w:lang w:val="sr-Latn-RS"/>
        </w:rPr>
        <w:t xml:space="preserve">. Ono je </w:t>
      </w:r>
      <w:r w:rsidR="001D35E1" w:rsidRPr="001D35E1">
        <w:rPr>
          <w:rFonts w:eastAsia="Calibri" w:cstheme="minorHAnsi"/>
          <w:color w:val="000000"/>
          <w:sz w:val="24"/>
          <w:szCs w:val="24"/>
          <w:lang w:val="sr-Latn-RS"/>
        </w:rPr>
        <w:t>u Crnoj Gori smanjen</w:t>
      </w:r>
      <w:r w:rsidR="001A5DA2">
        <w:rPr>
          <w:rFonts w:eastAsia="Calibri" w:cstheme="minorHAnsi"/>
          <w:color w:val="000000"/>
          <w:sz w:val="24"/>
          <w:szCs w:val="24"/>
          <w:lang w:val="sr-Latn-RS"/>
        </w:rPr>
        <w:t>o</w:t>
      </w:r>
      <w:r w:rsidR="001D35E1" w:rsidRPr="001D35E1">
        <w:rPr>
          <w:rFonts w:eastAsia="Calibri" w:cstheme="minorHAnsi"/>
          <w:color w:val="000000"/>
          <w:sz w:val="24"/>
          <w:szCs w:val="24"/>
          <w:lang w:val="sr-Latn-RS"/>
        </w:rPr>
        <w:t xml:space="preserve"> sa preko 60% na 100 € bruto zarade zaposlenog, devedesetih godina, i oko 50% u godinama kada je uveden euro, na oko 39% 2019.go</w:t>
      </w:r>
      <w:r w:rsidR="008D3762">
        <w:rPr>
          <w:rFonts w:eastAsia="Calibri" w:cstheme="minorHAnsi"/>
          <w:color w:val="000000"/>
          <w:sz w:val="24"/>
          <w:szCs w:val="24"/>
          <w:lang w:val="sr-Latn-RS"/>
        </w:rPr>
        <w:t>d</w:t>
      </w:r>
      <w:r w:rsidR="001D35E1" w:rsidRPr="001D35E1">
        <w:rPr>
          <w:rFonts w:eastAsia="Calibri" w:cstheme="minorHAnsi"/>
          <w:color w:val="000000"/>
          <w:sz w:val="24"/>
          <w:szCs w:val="24"/>
          <w:lang w:val="sr-Latn-RS"/>
        </w:rPr>
        <w:t>ine, što je b</w:t>
      </w:r>
      <w:r w:rsidR="001A5DA2">
        <w:rPr>
          <w:rFonts w:eastAsia="Calibri" w:cstheme="minorHAnsi"/>
          <w:color w:val="000000"/>
          <w:sz w:val="24"/>
          <w:szCs w:val="24"/>
          <w:lang w:val="sr-Latn-RS"/>
        </w:rPr>
        <w:t>i</w:t>
      </w:r>
      <w:r w:rsidR="001D35E1" w:rsidRPr="001D35E1">
        <w:rPr>
          <w:rFonts w:eastAsia="Calibri" w:cstheme="minorHAnsi"/>
          <w:color w:val="000000"/>
          <w:sz w:val="24"/>
          <w:szCs w:val="24"/>
          <w:lang w:val="sr-Latn-RS"/>
        </w:rPr>
        <w:t xml:space="preserve">lo blizu nivoa u OECD zemljama. </w:t>
      </w:r>
    </w:p>
    <w:p w14:paraId="7D8F9B99" w14:textId="11979871" w:rsidR="00970494" w:rsidRPr="00021CDC" w:rsidRDefault="00360014" w:rsidP="00970494">
      <w:pPr>
        <w:spacing w:after="150" w:line="276" w:lineRule="auto"/>
        <w:jc w:val="both"/>
        <w:rPr>
          <w:rFonts w:eastAsia="Calibri" w:cstheme="minorHAnsi"/>
          <w:color w:val="000000"/>
          <w:sz w:val="24"/>
          <w:szCs w:val="24"/>
          <w:lang w:val="pl-PL"/>
        </w:rPr>
      </w:pPr>
      <w:r w:rsidRPr="006C691C">
        <w:rPr>
          <w:rFonts w:eastAsia="Calibri" w:cstheme="minorHAnsi"/>
          <w:color w:val="000000"/>
          <w:sz w:val="24"/>
          <w:szCs w:val="24"/>
          <w:lang w:val="pl-PL"/>
        </w:rPr>
        <w:t>Od 2022.godine, nakon još jedne izmjene, značajno je smanjeno poresko opterećenje</w:t>
      </w:r>
      <w:r w:rsidR="00844F63" w:rsidRPr="006C691C">
        <w:rPr>
          <w:rFonts w:eastAsia="Calibri" w:cstheme="minorHAnsi"/>
          <w:color w:val="000000"/>
          <w:sz w:val="24"/>
          <w:szCs w:val="24"/>
          <w:lang w:val="pl-PL"/>
        </w:rPr>
        <w:t xml:space="preserve"> </w:t>
      </w:r>
      <w:r w:rsidRPr="006C691C">
        <w:rPr>
          <w:rFonts w:eastAsia="Calibri" w:cstheme="minorHAnsi"/>
          <w:color w:val="000000"/>
          <w:sz w:val="24"/>
          <w:szCs w:val="24"/>
          <w:lang w:val="pl-PL"/>
        </w:rPr>
        <w:t>rada uvo</w:t>
      </w:r>
      <w:r w:rsidR="00844F63" w:rsidRPr="006C691C">
        <w:rPr>
          <w:rFonts w:eastAsia="Calibri" w:cstheme="minorHAnsi"/>
          <w:color w:val="000000"/>
          <w:sz w:val="24"/>
          <w:szCs w:val="24"/>
          <w:lang w:val="pl-PL"/>
        </w:rPr>
        <w:t>đ</w:t>
      </w:r>
      <w:r w:rsidRPr="006C691C">
        <w:rPr>
          <w:rFonts w:eastAsia="Calibri" w:cstheme="minorHAnsi"/>
          <w:color w:val="000000"/>
          <w:sz w:val="24"/>
          <w:szCs w:val="24"/>
          <w:lang w:val="pl-PL"/>
        </w:rPr>
        <w:t xml:space="preserve">enjem neoporezivog dohotka na bruto zarade do 700 eura, kao i </w:t>
      </w:r>
      <w:r w:rsidR="00970494" w:rsidRPr="006C691C">
        <w:rPr>
          <w:rFonts w:eastAsia="Calibri" w:cstheme="minorHAnsi"/>
          <w:color w:val="000000"/>
          <w:sz w:val="24"/>
          <w:szCs w:val="24"/>
          <w:lang w:val="pl-PL"/>
        </w:rPr>
        <w:t>ukidanje</w:t>
      </w:r>
      <w:r w:rsidRPr="006C691C">
        <w:rPr>
          <w:rFonts w:eastAsia="Calibri" w:cstheme="minorHAnsi"/>
          <w:color w:val="000000"/>
          <w:sz w:val="24"/>
          <w:szCs w:val="24"/>
          <w:lang w:val="pl-PL"/>
        </w:rPr>
        <w:t>m</w:t>
      </w:r>
      <w:r w:rsidR="00970494" w:rsidRPr="006C691C">
        <w:rPr>
          <w:rFonts w:eastAsia="Calibri" w:cstheme="minorHAnsi"/>
          <w:color w:val="000000"/>
          <w:sz w:val="24"/>
          <w:szCs w:val="24"/>
          <w:lang w:val="pl-PL"/>
        </w:rPr>
        <w:t xml:space="preserve"> dopri</w:t>
      </w:r>
      <w:r w:rsidR="00D25C0A" w:rsidRPr="006C691C">
        <w:rPr>
          <w:rFonts w:eastAsia="Calibri" w:cstheme="minorHAnsi"/>
          <w:color w:val="000000"/>
          <w:sz w:val="24"/>
          <w:szCs w:val="24"/>
          <w:lang w:val="pl-PL"/>
        </w:rPr>
        <w:t>nosa</w:t>
      </w:r>
      <w:r w:rsidR="00970494" w:rsidRPr="006C691C">
        <w:rPr>
          <w:rFonts w:eastAsia="Calibri" w:cstheme="minorHAnsi"/>
          <w:color w:val="000000"/>
          <w:sz w:val="24"/>
          <w:szCs w:val="24"/>
          <w:lang w:val="pl-PL"/>
        </w:rPr>
        <w:t xml:space="preserve"> na obavezno zdravstveno </w:t>
      </w:r>
      <w:r w:rsidR="00AA19FC" w:rsidRPr="006C691C">
        <w:rPr>
          <w:rFonts w:eastAsia="Calibri" w:cstheme="minorHAnsi"/>
          <w:color w:val="000000"/>
          <w:sz w:val="24"/>
          <w:szCs w:val="24"/>
          <w:lang w:val="pl-PL"/>
        </w:rPr>
        <w:t>os</w:t>
      </w:r>
      <w:r w:rsidR="00970494" w:rsidRPr="006C691C">
        <w:rPr>
          <w:rFonts w:eastAsia="Calibri" w:cstheme="minorHAnsi"/>
          <w:color w:val="000000"/>
          <w:sz w:val="24"/>
          <w:szCs w:val="24"/>
          <w:lang w:val="pl-PL"/>
        </w:rPr>
        <w:t>iguranje</w:t>
      </w:r>
      <w:r w:rsidRPr="006C691C">
        <w:rPr>
          <w:rFonts w:eastAsia="Calibri" w:cstheme="minorHAnsi"/>
          <w:color w:val="000000"/>
          <w:sz w:val="24"/>
          <w:szCs w:val="24"/>
          <w:lang w:val="pl-PL"/>
        </w:rPr>
        <w:t xml:space="preserve">. </w:t>
      </w:r>
      <w:r w:rsidRPr="00021CDC">
        <w:rPr>
          <w:rFonts w:eastAsia="Calibri" w:cstheme="minorHAnsi"/>
          <w:color w:val="000000"/>
          <w:sz w:val="24"/>
          <w:szCs w:val="24"/>
          <w:lang w:val="pl-PL"/>
        </w:rPr>
        <w:t>Nav</w:t>
      </w:r>
      <w:r w:rsidR="00391D03">
        <w:rPr>
          <w:rFonts w:eastAsia="Calibri" w:cstheme="minorHAnsi"/>
          <w:color w:val="000000"/>
          <w:sz w:val="24"/>
          <w:szCs w:val="24"/>
          <w:lang w:val="pl-PL"/>
        </w:rPr>
        <w:t>e</w:t>
      </w:r>
      <w:r w:rsidRPr="00021CDC">
        <w:rPr>
          <w:rFonts w:eastAsia="Calibri" w:cstheme="minorHAnsi"/>
          <w:color w:val="000000"/>
          <w:sz w:val="24"/>
          <w:szCs w:val="24"/>
          <w:lang w:val="pl-PL"/>
        </w:rPr>
        <w:t xml:space="preserve">deno je, prema </w:t>
      </w:r>
      <w:r w:rsidR="00970494" w:rsidRPr="00021CDC">
        <w:rPr>
          <w:rFonts w:eastAsia="Calibri" w:cstheme="minorHAnsi"/>
          <w:color w:val="000000"/>
          <w:sz w:val="24"/>
          <w:szCs w:val="24"/>
          <w:lang w:val="pl-PL"/>
        </w:rPr>
        <w:t>zvaničnim p</w:t>
      </w:r>
      <w:r w:rsidR="00D25C0A" w:rsidRPr="00021CDC">
        <w:rPr>
          <w:rFonts w:eastAsia="Calibri" w:cstheme="minorHAnsi"/>
          <w:color w:val="000000"/>
          <w:sz w:val="24"/>
          <w:szCs w:val="24"/>
          <w:lang w:val="pl-PL"/>
        </w:rPr>
        <w:t>odaci</w:t>
      </w:r>
      <w:r w:rsidR="00970494" w:rsidRPr="00021CDC">
        <w:rPr>
          <w:rFonts w:eastAsia="Calibri" w:cstheme="minorHAnsi"/>
          <w:color w:val="000000"/>
          <w:sz w:val="24"/>
          <w:szCs w:val="24"/>
          <w:lang w:val="pl-PL"/>
        </w:rPr>
        <w:t xml:space="preserve">ma o zaposlenosti, zaradama, prihodima od poreza na dobit </w:t>
      </w:r>
      <w:r w:rsidR="001D35E1" w:rsidRPr="00021CDC">
        <w:rPr>
          <w:rFonts w:eastAsia="Calibri" w:cstheme="minorHAnsi"/>
          <w:color w:val="000000"/>
          <w:sz w:val="24"/>
          <w:szCs w:val="24"/>
          <w:lang w:val="pl-PL"/>
        </w:rPr>
        <w:t>i</w:t>
      </w:r>
      <w:r w:rsidR="00970494" w:rsidRPr="00021CDC">
        <w:rPr>
          <w:rFonts w:eastAsia="Calibri" w:cstheme="minorHAnsi"/>
          <w:color w:val="000000"/>
          <w:sz w:val="24"/>
          <w:szCs w:val="24"/>
          <w:lang w:val="pl-PL"/>
        </w:rPr>
        <w:t xml:space="preserve"> prihodima od doprin</w:t>
      </w:r>
      <w:r w:rsidR="00D25C0A" w:rsidRPr="00021CDC">
        <w:rPr>
          <w:rFonts w:eastAsia="Calibri" w:cstheme="minorHAnsi"/>
          <w:color w:val="000000"/>
          <w:sz w:val="24"/>
          <w:szCs w:val="24"/>
          <w:lang w:val="pl-PL"/>
        </w:rPr>
        <w:t>osa</w:t>
      </w:r>
      <w:r w:rsidR="00970494" w:rsidRPr="00021CDC">
        <w:rPr>
          <w:rFonts w:eastAsia="Calibri" w:cstheme="minorHAnsi"/>
          <w:color w:val="000000"/>
          <w:sz w:val="24"/>
          <w:szCs w:val="24"/>
          <w:lang w:val="pl-PL"/>
        </w:rPr>
        <w:t xml:space="preserve"> na penzijsko osiguranje, ukazala na smanjenje neformalne ekonomije, kako na tržištu rada tako </w:t>
      </w:r>
      <w:r w:rsidR="00D25C0A" w:rsidRPr="00021CDC">
        <w:rPr>
          <w:rFonts w:eastAsia="Calibri" w:cstheme="minorHAnsi"/>
          <w:color w:val="000000"/>
          <w:sz w:val="24"/>
          <w:szCs w:val="24"/>
          <w:lang w:val="pl-PL"/>
        </w:rPr>
        <w:t>i</w:t>
      </w:r>
      <w:r w:rsidR="00970494" w:rsidRPr="00021CDC">
        <w:rPr>
          <w:rFonts w:eastAsia="Calibri" w:cstheme="minorHAnsi"/>
          <w:color w:val="000000"/>
          <w:sz w:val="24"/>
          <w:szCs w:val="24"/>
          <w:lang w:val="pl-PL"/>
        </w:rPr>
        <w:t xml:space="preserve"> kada je u pitanju prijavljena dobit preduzeća</w:t>
      </w:r>
      <w:r w:rsidR="00EA728A" w:rsidRPr="00021CDC">
        <w:rPr>
          <w:rFonts w:eastAsia="Calibri" w:cstheme="minorHAnsi"/>
          <w:color w:val="000000"/>
          <w:sz w:val="24"/>
          <w:szCs w:val="24"/>
          <w:lang w:val="pl-PL"/>
        </w:rPr>
        <w:t xml:space="preserve"> (vidjeti dio 2.3)</w:t>
      </w:r>
      <w:r w:rsidR="00970494" w:rsidRPr="00021CDC">
        <w:rPr>
          <w:rFonts w:eastAsia="Calibri" w:cstheme="minorHAnsi"/>
          <w:color w:val="000000"/>
          <w:sz w:val="24"/>
          <w:szCs w:val="24"/>
          <w:lang w:val="pl-PL"/>
        </w:rPr>
        <w:t xml:space="preserve">. </w:t>
      </w:r>
      <w:r w:rsidR="00293313" w:rsidRPr="00021CDC">
        <w:rPr>
          <w:rFonts w:eastAsia="Calibri" w:cstheme="minorHAnsi"/>
          <w:color w:val="000000"/>
          <w:sz w:val="24"/>
          <w:szCs w:val="24"/>
          <w:lang w:val="pl-PL"/>
        </w:rPr>
        <w:t>Dakle, iako je siva ekonomija još uvijek znač</w:t>
      </w:r>
      <w:r w:rsidR="001D35E1" w:rsidRPr="00021CDC">
        <w:rPr>
          <w:rFonts w:eastAsia="Calibri" w:cstheme="minorHAnsi"/>
          <w:color w:val="000000"/>
          <w:sz w:val="24"/>
          <w:szCs w:val="24"/>
          <w:lang w:val="pl-PL"/>
        </w:rPr>
        <w:t>aj</w:t>
      </w:r>
      <w:r w:rsidR="00293313" w:rsidRPr="00021CDC">
        <w:rPr>
          <w:rFonts w:eastAsia="Calibri" w:cstheme="minorHAnsi"/>
          <w:color w:val="000000"/>
          <w:sz w:val="24"/>
          <w:szCs w:val="24"/>
          <w:lang w:val="pl-PL"/>
        </w:rPr>
        <w:t>no pris</w:t>
      </w:r>
      <w:r w:rsidR="0096537C" w:rsidRPr="00021CDC">
        <w:rPr>
          <w:rFonts w:eastAsia="Calibri" w:cstheme="minorHAnsi"/>
          <w:color w:val="000000"/>
          <w:sz w:val="24"/>
          <w:szCs w:val="24"/>
          <w:lang w:val="pl-PL"/>
        </w:rPr>
        <w:t>ut</w:t>
      </w:r>
      <w:r w:rsidR="00293313" w:rsidRPr="00021CDC">
        <w:rPr>
          <w:rFonts w:eastAsia="Calibri" w:cstheme="minorHAnsi"/>
          <w:color w:val="000000"/>
          <w:sz w:val="24"/>
          <w:szCs w:val="24"/>
          <w:lang w:val="pl-PL"/>
        </w:rPr>
        <w:t xml:space="preserve">na, </w:t>
      </w:r>
      <w:r w:rsidR="00B83D0A" w:rsidRPr="00021CDC">
        <w:rPr>
          <w:rFonts w:eastAsia="Calibri" w:cstheme="minorHAnsi"/>
          <w:color w:val="000000"/>
          <w:sz w:val="24"/>
          <w:szCs w:val="24"/>
          <w:lang w:val="pl-PL"/>
        </w:rPr>
        <w:t xml:space="preserve">procjena u izradi ovog </w:t>
      </w:r>
      <w:r w:rsidR="00391D03">
        <w:rPr>
          <w:rFonts w:eastAsia="Calibri" w:cstheme="minorHAnsi"/>
          <w:color w:val="000000"/>
          <w:sz w:val="24"/>
          <w:szCs w:val="24"/>
          <w:lang w:val="pl-PL"/>
        </w:rPr>
        <w:t>p</w:t>
      </w:r>
      <w:r w:rsidR="00B83D0A" w:rsidRPr="00021CDC">
        <w:rPr>
          <w:rFonts w:eastAsia="Calibri" w:cstheme="minorHAnsi"/>
          <w:color w:val="000000"/>
          <w:sz w:val="24"/>
          <w:szCs w:val="24"/>
          <w:lang w:val="pl-PL"/>
        </w:rPr>
        <w:t xml:space="preserve">rograma, na osnovu zvaničnih podataka o zaposlenosti, zaradama </w:t>
      </w:r>
      <w:r w:rsidR="00D25C0A" w:rsidRPr="00021CDC">
        <w:rPr>
          <w:rFonts w:eastAsia="Calibri" w:cstheme="minorHAnsi"/>
          <w:color w:val="000000"/>
          <w:sz w:val="24"/>
          <w:szCs w:val="24"/>
          <w:lang w:val="pl-PL"/>
        </w:rPr>
        <w:t xml:space="preserve">i </w:t>
      </w:r>
      <w:r w:rsidR="00B83D0A" w:rsidRPr="00021CDC">
        <w:rPr>
          <w:rFonts w:eastAsia="Calibri" w:cstheme="minorHAnsi"/>
          <w:color w:val="000000"/>
          <w:sz w:val="24"/>
          <w:szCs w:val="24"/>
          <w:lang w:val="pl-PL"/>
        </w:rPr>
        <w:t xml:space="preserve">dobiti u 2022. i </w:t>
      </w:r>
      <w:r w:rsidR="00D25C0A" w:rsidRPr="00021CDC">
        <w:rPr>
          <w:rFonts w:eastAsia="Calibri" w:cstheme="minorHAnsi"/>
          <w:color w:val="000000"/>
          <w:sz w:val="24"/>
          <w:szCs w:val="24"/>
          <w:lang w:val="pl-PL"/>
        </w:rPr>
        <w:t>pr</w:t>
      </w:r>
      <w:r w:rsidR="00B83D0A" w:rsidRPr="00021CDC">
        <w:rPr>
          <w:rFonts w:eastAsia="Calibri" w:cstheme="minorHAnsi"/>
          <w:color w:val="000000"/>
          <w:sz w:val="24"/>
          <w:szCs w:val="24"/>
          <w:lang w:val="pl-PL"/>
        </w:rPr>
        <w:t>vom kvartalu 2023. ukazuju da je ona smanjena</w:t>
      </w:r>
      <w:r>
        <w:rPr>
          <w:rStyle w:val="FootnoteReference"/>
          <w:rFonts w:eastAsia="Calibri" w:cstheme="minorHAnsi"/>
          <w:color w:val="000000"/>
          <w:sz w:val="24"/>
          <w:szCs w:val="24"/>
        </w:rPr>
        <w:footnoteReference w:id="15"/>
      </w:r>
      <w:r w:rsidR="00B83D0A" w:rsidRPr="00021CDC">
        <w:rPr>
          <w:rFonts w:eastAsia="Calibri" w:cstheme="minorHAnsi"/>
          <w:color w:val="000000"/>
          <w:sz w:val="24"/>
          <w:szCs w:val="24"/>
          <w:lang w:val="pl-PL"/>
        </w:rPr>
        <w:t>.</w:t>
      </w:r>
      <w:r w:rsidRPr="00021CDC">
        <w:rPr>
          <w:rFonts w:eastAsia="Calibri" w:cstheme="minorHAnsi"/>
          <w:color w:val="000000"/>
          <w:sz w:val="24"/>
          <w:szCs w:val="24"/>
          <w:lang w:val="pl-PL"/>
        </w:rPr>
        <w:t xml:space="preserve"> U sljedećem </w:t>
      </w:r>
      <w:r w:rsidR="00EA728A" w:rsidRPr="00021CDC">
        <w:rPr>
          <w:rFonts w:eastAsia="Calibri" w:cstheme="minorHAnsi"/>
          <w:color w:val="000000"/>
          <w:sz w:val="24"/>
          <w:szCs w:val="24"/>
          <w:lang w:val="pl-PL"/>
        </w:rPr>
        <w:t>pe</w:t>
      </w:r>
      <w:r w:rsidRPr="00021CDC">
        <w:rPr>
          <w:rFonts w:eastAsia="Calibri" w:cstheme="minorHAnsi"/>
          <w:color w:val="000000"/>
          <w:sz w:val="24"/>
          <w:szCs w:val="24"/>
          <w:lang w:val="pl-PL"/>
        </w:rPr>
        <w:t xml:space="preserve">riodu </w:t>
      </w:r>
      <w:r w:rsidR="00EA728A" w:rsidRPr="00021CDC">
        <w:rPr>
          <w:rFonts w:eastAsia="Calibri" w:cstheme="minorHAnsi"/>
          <w:color w:val="000000"/>
          <w:sz w:val="24"/>
          <w:szCs w:val="24"/>
          <w:lang w:val="pl-PL"/>
        </w:rPr>
        <w:t>je</w:t>
      </w:r>
      <w:r w:rsidRPr="00021CDC">
        <w:rPr>
          <w:rFonts w:eastAsia="Calibri" w:cstheme="minorHAnsi"/>
          <w:color w:val="000000"/>
          <w:sz w:val="24"/>
          <w:szCs w:val="24"/>
          <w:lang w:val="pl-PL"/>
        </w:rPr>
        <w:t xml:space="preserve"> važno očuvati stabilnost i </w:t>
      </w:r>
      <w:r w:rsidR="00EA728A" w:rsidRPr="00021CDC">
        <w:rPr>
          <w:rFonts w:eastAsia="Calibri" w:cstheme="minorHAnsi"/>
          <w:color w:val="000000"/>
          <w:sz w:val="24"/>
          <w:szCs w:val="24"/>
          <w:lang w:val="pl-PL"/>
        </w:rPr>
        <w:t>pr</w:t>
      </w:r>
      <w:r w:rsidRPr="00021CDC">
        <w:rPr>
          <w:rFonts w:eastAsia="Calibri" w:cstheme="minorHAnsi"/>
          <w:color w:val="000000"/>
          <w:sz w:val="24"/>
          <w:szCs w:val="24"/>
          <w:lang w:val="pl-PL"/>
        </w:rPr>
        <w:t>edvidivost p</w:t>
      </w:r>
      <w:r w:rsidR="00EA728A" w:rsidRPr="00021CDC">
        <w:rPr>
          <w:rFonts w:eastAsia="Calibri" w:cstheme="minorHAnsi"/>
          <w:color w:val="000000"/>
          <w:sz w:val="24"/>
          <w:szCs w:val="24"/>
          <w:lang w:val="pl-PL"/>
        </w:rPr>
        <w:t>or</w:t>
      </w:r>
      <w:r w:rsidRPr="00021CDC">
        <w:rPr>
          <w:rFonts w:eastAsia="Calibri" w:cstheme="minorHAnsi"/>
          <w:color w:val="000000"/>
          <w:sz w:val="24"/>
          <w:szCs w:val="24"/>
          <w:lang w:val="pl-PL"/>
        </w:rPr>
        <w:t xml:space="preserve">eskog ambijenta i niskog poreskog opterećenja rada, </w:t>
      </w:r>
      <w:r w:rsidR="00132C60">
        <w:rPr>
          <w:rFonts w:eastAsia="Calibri" w:cstheme="minorHAnsi"/>
          <w:color w:val="000000"/>
          <w:sz w:val="24"/>
          <w:szCs w:val="24"/>
          <w:lang w:val="pl-PL"/>
        </w:rPr>
        <w:t>i/</w:t>
      </w:r>
      <w:r w:rsidR="00EA728A" w:rsidRPr="00021CDC">
        <w:rPr>
          <w:rFonts w:eastAsia="Calibri" w:cstheme="minorHAnsi"/>
          <w:color w:val="000000"/>
          <w:sz w:val="24"/>
          <w:szCs w:val="24"/>
          <w:lang w:val="pl-PL"/>
        </w:rPr>
        <w:t>i</w:t>
      </w:r>
      <w:r w:rsidRPr="00021CDC">
        <w:rPr>
          <w:rFonts w:eastAsia="Calibri" w:cstheme="minorHAnsi"/>
          <w:color w:val="000000"/>
          <w:sz w:val="24"/>
          <w:szCs w:val="24"/>
          <w:lang w:val="pl-PL"/>
        </w:rPr>
        <w:t>I</w:t>
      </w:r>
      <w:r w:rsidR="00132C60">
        <w:rPr>
          <w:rFonts w:eastAsia="Calibri" w:cstheme="minorHAnsi"/>
          <w:color w:val="000000"/>
          <w:sz w:val="24"/>
          <w:szCs w:val="24"/>
          <w:lang w:val="pl-PL"/>
        </w:rPr>
        <w:t>i</w:t>
      </w:r>
      <w:r w:rsidRPr="00021CDC">
        <w:rPr>
          <w:rFonts w:eastAsia="Calibri" w:cstheme="minorHAnsi"/>
          <w:color w:val="000000"/>
          <w:sz w:val="24"/>
          <w:szCs w:val="24"/>
          <w:lang w:val="pl-PL"/>
        </w:rPr>
        <w:t xml:space="preserve"> izbjegavati bilo kakve ad-hoc izmjene.</w:t>
      </w:r>
    </w:p>
    <w:p w14:paraId="6AA6C7C6" w14:textId="00824CB3" w:rsidR="00697609" w:rsidRPr="00021CDC" w:rsidRDefault="00970494" w:rsidP="00970494">
      <w:pPr>
        <w:spacing w:after="150" w:line="276" w:lineRule="auto"/>
        <w:jc w:val="both"/>
        <w:rPr>
          <w:rFonts w:eastAsia="Calibri" w:cstheme="minorHAnsi"/>
          <w:color w:val="000000"/>
          <w:sz w:val="24"/>
          <w:szCs w:val="24"/>
          <w:lang w:val="pl-PL"/>
        </w:rPr>
      </w:pPr>
      <w:r w:rsidRPr="00021CDC">
        <w:rPr>
          <w:rFonts w:eastAsia="Calibri" w:cstheme="minorHAnsi"/>
          <w:color w:val="000000"/>
          <w:sz w:val="24"/>
          <w:szCs w:val="24"/>
          <w:lang w:val="pl-PL"/>
        </w:rPr>
        <w:lastRenderedPageBreak/>
        <w:t>Česte izmjene Zakona o akcizama, koje uglavnom karakteriše povećanje akciz</w:t>
      </w:r>
      <w:r w:rsidR="00697609" w:rsidRPr="00021CDC">
        <w:rPr>
          <w:rFonts w:eastAsia="Calibri" w:cstheme="minorHAnsi"/>
          <w:color w:val="000000"/>
          <w:sz w:val="24"/>
          <w:szCs w:val="24"/>
          <w:lang w:val="pl-PL"/>
        </w:rPr>
        <w:t xml:space="preserve">a bez dovoljno konsultacija </w:t>
      </w:r>
      <w:r w:rsidRPr="00021CDC">
        <w:rPr>
          <w:rFonts w:eastAsia="Calibri" w:cstheme="minorHAnsi"/>
          <w:color w:val="000000"/>
          <w:sz w:val="24"/>
          <w:szCs w:val="24"/>
          <w:lang w:val="pl-PL"/>
        </w:rPr>
        <w:t xml:space="preserve">sa poslovnom zajednicom </w:t>
      </w:r>
      <w:r w:rsidR="00697609" w:rsidRPr="00021CDC">
        <w:rPr>
          <w:rFonts w:eastAsia="Calibri" w:cstheme="minorHAnsi"/>
          <w:color w:val="000000"/>
          <w:sz w:val="24"/>
          <w:szCs w:val="24"/>
          <w:lang w:val="pl-PL"/>
        </w:rPr>
        <w:t>uz odstupanja od već us</w:t>
      </w:r>
      <w:r w:rsidR="00132C60">
        <w:rPr>
          <w:rFonts w:eastAsia="Calibri" w:cstheme="minorHAnsi"/>
          <w:color w:val="000000"/>
          <w:sz w:val="24"/>
          <w:szCs w:val="24"/>
          <w:lang w:val="pl-PL"/>
        </w:rPr>
        <w:t>a</w:t>
      </w:r>
      <w:r w:rsidR="00697609" w:rsidRPr="00021CDC">
        <w:rPr>
          <w:rFonts w:eastAsia="Calibri" w:cstheme="minorHAnsi"/>
          <w:color w:val="000000"/>
          <w:sz w:val="24"/>
          <w:szCs w:val="24"/>
          <w:lang w:val="pl-PL"/>
        </w:rPr>
        <w:t xml:space="preserve">glašenog </w:t>
      </w:r>
      <w:r w:rsidRPr="00021CDC">
        <w:rPr>
          <w:rFonts w:eastAsia="Calibri" w:cstheme="minorHAnsi"/>
          <w:color w:val="000000"/>
          <w:sz w:val="24"/>
          <w:szCs w:val="24"/>
          <w:lang w:val="pl-PL"/>
        </w:rPr>
        <w:t xml:space="preserve">akciznog kalendara, nepovoljno su </w:t>
      </w:r>
      <w:r w:rsidR="00697609" w:rsidRPr="00021CDC">
        <w:rPr>
          <w:rFonts w:eastAsia="Calibri" w:cstheme="minorHAnsi"/>
          <w:color w:val="000000"/>
          <w:sz w:val="24"/>
          <w:szCs w:val="24"/>
          <w:lang w:val="pl-PL"/>
        </w:rPr>
        <w:t>utic</w:t>
      </w:r>
      <w:r w:rsidRPr="00021CDC">
        <w:rPr>
          <w:rFonts w:eastAsia="Calibri" w:cstheme="minorHAnsi"/>
          <w:color w:val="000000"/>
          <w:sz w:val="24"/>
          <w:szCs w:val="24"/>
          <w:lang w:val="pl-PL"/>
        </w:rPr>
        <w:t>ale na p</w:t>
      </w:r>
      <w:r w:rsidR="00D25C0A" w:rsidRPr="00021CDC">
        <w:rPr>
          <w:rFonts w:eastAsia="Calibri" w:cstheme="minorHAnsi"/>
          <w:color w:val="000000"/>
          <w:sz w:val="24"/>
          <w:szCs w:val="24"/>
          <w:lang w:val="pl-PL"/>
        </w:rPr>
        <w:t>o</w:t>
      </w:r>
      <w:r w:rsidRPr="00021CDC">
        <w:rPr>
          <w:rFonts w:eastAsia="Calibri" w:cstheme="minorHAnsi"/>
          <w:color w:val="000000"/>
          <w:sz w:val="24"/>
          <w:szCs w:val="24"/>
          <w:lang w:val="pl-PL"/>
        </w:rPr>
        <w:t xml:space="preserve">slovni ambijent </w:t>
      </w:r>
      <w:r w:rsidR="00D25C0A" w:rsidRPr="00021CDC">
        <w:rPr>
          <w:rFonts w:eastAsia="Calibri" w:cstheme="minorHAnsi"/>
          <w:color w:val="000000"/>
          <w:sz w:val="24"/>
          <w:szCs w:val="24"/>
          <w:lang w:val="pl-PL"/>
        </w:rPr>
        <w:t>i</w:t>
      </w:r>
      <w:r w:rsidRPr="00021CDC">
        <w:rPr>
          <w:rFonts w:eastAsia="Calibri" w:cstheme="minorHAnsi"/>
          <w:color w:val="000000"/>
          <w:sz w:val="24"/>
          <w:szCs w:val="24"/>
          <w:lang w:val="pl-PL"/>
        </w:rPr>
        <w:t xml:space="preserve"> podsticale sivu ekonomiju, naročito na tržištu cigareta</w:t>
      </w:r>
      <w:r w:rsidR="00D25C0A" w:rsidRPr="00021CDC">
        <w:rPr>
          <w:rFonts w:eastAsia="Calibri" w:cstheme="minorHAnsi"/>
          <w:color w:val="000000"/>
          <w:sz w:val="24"/>
          <w:szCs w:val="24"/>
          <w:lang w:val="pl-PL"/>
        </w:rPr>
        <w:t>.</w:t>
      </w:r>
      <w:r w:rsidR="00697609" w:rsidRPr="00021CDC">
        <w:rPr>
          <w:rFonts w:eastAsia="Calibri" w:cstheme="minorHAnsi"/>
          <w:color w:val="000000"/>
          <w:sz w:val="24"/>
          <w:szCs w:val="24"/>
          <w:lang w:val="pl-PL"/>
        </w:rPr>
        <w:t xml:space="preserve"> </w:t>
      </w:r>
      <w:r w:rsidR="00D25C0A" w:rsidRPr="00021CDC">
        <w:rPr>
          <w:rFonts w:eastAsia="Calibri" w:cstheme="minorHAnsi"/>
          <w:color w:val="000000"/>
          <w:sz w:val="24"/>
          <w:szCs w:val="24"/>
          <w:lang w:val="pl-PL"/>
        </w:rPr>
        <w:t>Ovo j</w:t>
      </w:r>
      <w:r w:rsidR="00697609" w:rsidRPr="00021CDC">
        <w:rPr>
          <w:rFonts w:eastAsia="Calibri" w:cstheme="minorHAnsi"/>
          <w:color w:val="000000"/>
          <w:sz w:val="24"/>
          <w:szCs w:val="24"/>
          <w:lang w:val="pl-PL"/>
        </w:rPr>
        <w:t>e naročito došlo do izražaja imp</w:t>
      </w:r>
      <w:r w:rsidR="00D25C0A" w:rsidRPr="00021CDC">
        <w:rPr>
          <w:rFonts w:eastAsia="Calibri" w:cstheme="minorHAnsi"/>
          <w:color w:val="000000"/>
          <w:sz w:val="24"/>
          <w:szCs w:val="24"/>
          <w:lang w:val="pl-PL"/>
        </w:rPr>
        <w:t>le</w:t>
      </w:r>
      <w:r w:rsidR="00697609" w:rsidRPr="00021CDC">
        <w:rPr>
          <w:rFonts w:eastAsia="Calibri" w:cstheme="minorHAnsi"/>
          <w:color w:val="000000"/>
          <w:sz w:val="24"/>
          <w:szCs w:val="24"/>
          <w:lang w:val="pl-PL"/>
        </w:rPr>
        <w:t>menta</w:t>
      </w:r>
      <w:r w:rsidR="001D35E1" w:rsidRPr="00021CDC">
        <w:rPr>
          <w:rFonts w:eastAsia="Calibri" w:cstheme="minorHAnsi"/>
          <w:color w:val="000000"/>
          <w:sz w:val="24"/>
          <w:szCs w:val="24"/>
          <w:lang w:val="pl-PL"/>
        </w:rPr>
        <w:t>cijom</w:t>
      </w:r>
      <w:r w:rsidR="00697609" w:rsidRPr="00021CDC">
        <w:rPr>
          <w:rFonts w:eastAsia="Calibri" w:cstheme="minorHAnsi"/>
          <w:color w:val="000000"/>
          <w:sz w:val="24"/>
          <w:szCs w:val="24"/>
          <w:lang w:val="pl-PL"/>
        </w:rPr>
        <w:t xml:space="preserve"> m</w:t>
      </w:r>
      <w:r w:rsidR="00962796" w:rsidRPr="00021CDC">
        <w:rPr>
          <w:rFonts w:eastAsia="Calibri" w:cstheme="minorHAnsi"/>
          <w:color w:val="000000"/>
          <w:sz w:val="24"/>
          <w:szCs w:val="24"/>
          <w:lang w:val="pl-PL"/>
        </w:rPr>
        <w:t>je</w:t>
      </w:r>
      <w:r w:rsidR="00697609" w:rsidRPr="00021CDC">
        <w:rPr>
          <w:rFonts w:eastAsia="Calibri" w:cstheme="minorHAnsi"/>
          <w:color w:val="000000"/>
          <w:sz w:val="24"/>
          <w:szCs w:val="24"/>
          <w:lang w:val="pl-PL"/>
        </w:rPr>
        <w:t>ra fisk</w:t>
      </w:r>
      <w:r w:rsidR="00D25C0A" w:rsidRPr="00021CDC">
        <w:rPr>
          <w:rFonts w:eastAsia="Calibri" w:cstheme="minorHAnsi"/>
          <w:color w:val="000000"/>
          <w:sz w:val="24"/>
          <w:szCs w:val="24"/>
          <w:lang w:val="pl-PL"/>
        </w:rPr>
        <w:t>al</w:t>
      </w:r>
      <w:r w:rsidR="00697609" w:rsidRPr="00021CDC">
        <w:rPr>
          <w:rFonts w:eastAsia="Calibri" w:cstheme="minorHAnsi"/>
          <w:color w:val="000000"/>
          <w:sz w:val="24"/>
          <w:szCs w:val="24"/>
          <w:lang w:val="pl-PL"/>
        </w:rPr>
        <w:t>ne konsolida</w:t>
      </w:r>
      <w:r w:rsidR="00D25C0A" w:rsidRPr="00021CDC">
        <w:rPr>
          <w:rFonts w:eastAsia="Calibri" w:cstheme="minorHAnsi"/>
          <w:color w:val="000000"/>
          <w:sz w:val="24"/>
          <w:szCs w:val="24"/>
          <w:lang w:val="pl-PL"/>
        </w:rPr>
        <w:t>cij</w:t>
      </w:r>
      <w:r w:rsidR="00697609" w:rsidRPr="00021CDC">
        <w:rPr>
          <w:rFonts w:eastAsia="Calibri" w:cstheme="minorHAnsi"/>
          <w:color w:val="000000"/>
          <w:sz w:val="24"/>
          <w:szCs w:val="24"/>
          <w:lang w:val="pl-PL"/>
        </w:rPr>
        <w:t xml:space="preserve">e 2017.godine, usljed povećanja </w:t>
      </w:r>
      <w:r w:rsidR="00D25C0A" w:rsidRPr="00021CDC">
        <w:rPr>
          <w:rFonts w:eastAsia="Calibri" w:cstheme="minorHAnsi"/>
          <w:color w:val="000000"/>
          <w:sz w:val="24"/>
          <w:szCs w:val="24"/>
          <w:lang w:val="pl-PL"/>
        </w:rPr>
        <w:t xml:space="preserve">specifične akcize na cigarete </w:t>
      </w:r>
      <w:r w:rsidR="001D35E1" w:rsidRPr="00021CDC">
        <w:rPr>
          <w:rFonts w:eastAsia="Calibri" w:cstheme="minorHAnsi"/>
          <w:color w:val="000000"/>
          <w:sz w:val="24"/>
          <w:szCs w:val="24"/>
          <w:lang w:val="pl-PL"/>
        </w:rPr>
        <w:t>i</w:t>
      </w:r>
      <w:r w:rsidR="00D25C0A" w:rsidRPr="00021CDC">
        <w:rPr>
          <w:rFonts w:eastAsia="Calibri" w:cstheme="minorHAnsi"/>
          <w:color w:val="000000"/>
          <w:sz w:val="24"/>
          <w:szCs w:val="24"/>
          <w:lang w:val="pl-PL"/>
        </w:rPr>
        <w:t xml:space="preserve"> proporcionalne akcize koja je iznosila 32% prosječne ponderisane cijene cigareta. </w:t>
      </w:r>
    </w:p>
    <w:p w14:paraId="4194C2AD" w14:textId="7B0B2F9B" w:rsidR="001A5DA2" w:rsidRPr="00021CDC" w:rsidRDefault="001A5DA2" w:rsidP="00970494">
      <w:pPr>
        <w:spacing w:after="150" w:line="276" w:lineRule="auto"/>
        <w:jc w:val="both"/>
        <w:rPr>
          <w:rFonts w:eastAsia="Calibri" w:cstheme="minorHAnsi"/>
          <w:color w:val="000000"/>
          <w:sz w:val="24"/>
          <w:szCs w:val="24"/>
          <w:lang w:val="pl-PL"/>
        </w:rPr>
      </w:pPr>
      <w:r w:rsidRPr="00021CDC">
        <w:rPr>
          <w:rFonts w:eastAsia="Calibri" w:cstheme="minorHAnsi"/>
          <w:color w:val="000000"/>
          <w:sz w:val="24"/>
          <w:szCs w:val="24"/>
          <w:lang w:val="pl-PL"/>
        </w:rPr>
        <w:t>Dodatno, izmjene Zakona o PDV-u, reflektovan u p</w:t>
      </w:r>
      <w:r w:rsidR="00CF1986" w:rsidRPr="00021CDC">
        <w:rPr>
          <w:rFonts w:eastAsia="Calibri" w:cstheme="minorHAnsi"/>
          <w:color w:val="000000"/>
          <w:sz w:val="24"/>
          <w:szCs w:val="24"/>
          <w:lang w:val="pl-PL"/>
        </w:rPr>
        <w:t>ov</w:t>
      </w:r>
      <w:r w:rsidRPr="00021CDC">
        <w:rPr>
          <w:rFonts w:eastAsia="Calibri" w:cstheme="minorHAnsi"/>
          <w:color w:val="000000"/>
          <w:sz w:val="24"/>
          <w:szCs w:val="24"/>
          <w:lang w:val="pl-PL"/>
        </w:rPr>
        <w:t>ećanju op</w:t>
      </w:r>
      <w:r w:rsidR="00CF1986" w:rsidRPr="00021CDC">
        <w:rPr>
          <w:rFonts w:eastAsia="Calibri" w:cstheme="minorHAnsi"/>
          <w:color w:val="000000"/>
          <w:sz w:val="24"/>
          <w:szCs w:val="24"/>
          <w:lang w:val="pl-PL"/>
        </w:rPr>
        <w:t>š</w:t>
      </w:r>
      <w:r w:rsidRPr="00021CDC">
        <w:rPr>
          <w:rFonts w:eastAsia="Calibri" w:cstheme="minorHAnsi"/>
          <w:color w:val="000000"/>
          <w:sz w:val="24"/>
          <w:szCs w:val="24"/>
          <w:lang w:val="pl-PL"/>
        </w:rPr>
        <w:t>te stope PDV-a sa 17% na 19% 2013.godine, a zatim sa 19% na 21% u 2017.godini, dodatno su uticale na izazove u proširenju poreske baze, odnosn</w:t>
      </w:r>
      <w:r w:rsidR="00CF1986" w:rsidRPr="00021CDC">
        <w:rPr>
          <w:rFonts w:eastAsia="Calibri" w:cstheme="minorHAnsi"/>
          <w:color w:val="000000"/>
          <w:sz w:val="24"/>
          <w:szCs w:val="24"/>
          <w:lang w:val="pl-PL"/>
        </w:rPr>
        <w:t>o</w:t>
      </w:r>
      <w:r w:rsidRPr="00021CDC">
        <w:rPr>
          <w:rFonts w:eastAsia="Calibri" w:cstheme="minorHAnsi"/>
          <w:color w:val="000000"/>
          <w:sz w:val="24"/>
          <w:szCs w:val="24"/>
          <w:lang w:val="pl-PL"/>
        </w:rPr>
        <w:t xml:space="preserve"> registrovanju poslovanja </w:t>
      </w:r>
      <w:r w:rsidR="00CF1986" w:rsidRPr="00021CDC">
        <w:rPr>
          <w:rFonts w:eastAsia="Calibri" w:cstheme="minorHAnsi"/>
          <w:color w:val="000000"/>
          <w:sz w:val="24"/>
          <w:szCs w:val="24"/>
          <w:lang w:val="pl-PL"/>
        </w:rPr>
        <w:t>i</w:t>
      </w:r>
      <w:r w:rsidRPr="00021CDC">
        <w:rPr>
          <w:rFonts w:eastAsia="Calibri" w:cstheme="minorHAnsi"/>
          <w:color w:val="000000"/>
          <w:sz w:val="24"/>
          <w:szCs w:val="24"/>
          <w:lang w:val="pl-PL"/>
        </w:rPr>
        <w:t xml:space="preserve"> izdavanju računa.</w:t>
      </w:r>
    </w:p>
    <w:p w14:paraId="6B235ECE" w14:textId="77D0F983" w:rsidR="00FA16D7" w:rsidRPr="00281886" w:rsidRDefault="00970494" w:rsidP="00697609">
      <w:pPr>
        <w:spacing w:after="150" w:line="276" w:lineRule="auto"/>
        <w:jc w:val="both"/>
        <w:rPr>
          <w:rFonts w:eastAsia="Calibri" w:cstheme="minorHAnsi"/>
          <w:color w:val="000000"/>
          <w:sz w:val="24"/>
          <w:szCs w:val="24"/>
          <w:lang w:val="pl-PL"/>
        </w:rPr>
      </w:pPr>
      <w:r w:rsidRPr="00021CDC">
        <w:rPr>
          <w:rFonts w:eastAsia="Calibri" w:cstheme="minorHAnsi"/>
          <w:color w:val="000000"/>
          <w:sz w:val="24"/>
          <w:szCs w:val="24"/>
          <w:lang w:val="pl-PL"/>
        </w:rPr>
        <w:t xml:space="preserve">Prema </w:t>
      </w:r>
      <w:r w:rsidRPr="00281886">
        <w:rPr>
          <w:rFonts w:eastAsia="Calibri" w:cstheme="minorHAnsi"/>
          <w:i/>
          <w:iCs/>
          <w:color w:val="000000"/>
          <w:sz w:val="24"/>
          <w:szCs w:val="24"/>
          <w:lang w:val="pl-PL"/>
        </w:rPr>
        <w:t>Istraživanju među domaćinstvima i preduzećima sa ciljem utvrđivanja obima i strukture sive ekonomije u Crnoj Gori</w:t>
      </w:r>
      <w:r w:rsidRPr="00281886">
        <w:rPr>
          <w:rFonts w:eastAsia="Calibri" w:cstheme="minorHAnsi"/>
          <w:b/>
          <w:bCs/>
          <w:color w:val="000000"/>
          <w:sz w:val="24"/>
          <w:szCs w:val="24"/>
          <w:lang w:val="pl-PL"/>
        </w:rPr>
        <w:t xml:space="preserve"> </w:t>
      </w:r>
      <w:r w:rsidRPr="00281886">
        <w:rPr>
          <w:rFonts w:eastAsia="Calibri" w:cstheme="minorHAnsi"/>
          <w:color w:val="000000"/>
          <w:sz w:val="24"/>
          <w:szCs w:val="24"/>
          <w:lang w:val="pl-PL"/>
        </w:rPr>
        <w:t xml:space="preserve">(Krstić et al, 2022), ključni </w:t>
      </w:r>
      <w:r w:rsidR="005D5BB0" w:rsidRPr="00281886">
        <w:rPr>
          <w:rFonts w:eastAsia="Calibri" w:cstheme="minorHAnsi"/>
          <w:color w:val="000000"/>
          <w:sz w:val="24"/>
          <w:szCs w:val="24"/>
          <w:lang w:val="pl-PL"/>
        </w:rPr>
        <w:t>fisk</w:t>
      </w:r>
      <w:r w:rsidR="00A12289" w:rsidRPr="00281886">
        <w:rPr>
          <w:rFonts w:eastAsia="Calibri" w:cstheme="minorHAnsi"/>
          <w:color w:val="000000"/>
          <w:sz w:val="24"/>
          <w:szCs w:val="24"/>
          <w:lang w:val="pl-PL"/>
        </w:rPr>
        <w:t>al</w:t>
      </w:r>
      <w:r w:rsidR="005D5BB0" w:rsidRPr="00281886">
        <w:rPr>
          <w:rFonts w:eastAsia="Calibri" w:cstheme="minorHAnsi"/>
          <w:color w:val="000000"/>
          <w:sz w:val="24"/>
          <w:szCs w:val="24"/>
          <w:lang w:val="pl-PL"/>
        </w:rPr>
        <w:t>ni uzro</w:t>
      </w:r>
      <w:r w:rsidR="00A12289" w:rsidRPr="00281886">
        <w:rPr>
          <w:rFonts w:eastAsia="Calibri" w:cstheme="minorHAnsi"/>
          <w:color w:val="000000"/>
          <w:sz w:val="24"/>
          <w:szCs w:val="24"/>
          <w:lang w:val="pl-PL"/>
        </w:rPr>
        <w:t xml:space="preserve">k </w:t>
      </w:r>
      <w:r w:rsidR="005D5BB0" w:rsidRPr="00281886">
        <w:rPr>
          <w:rFonts w:eastAsia="Calibri" w:cstheme="minorHAnsi"/>
          <w:color w:val="000000"/>
          <w:sz w:val="24"/>
          <w:szCs w:val="24"/>
          <w:lang w:val="pl-PL"/>
        </w:rPr>
        <w:t>u</w:t>
      </w:r>
      <w:r w:rsidRPr="00281886">
        <w:rPr>
          <w:rFonts w:eastAsia="Calibri" w:cstheme="minorHAnsi"/>
          <w:color w:val="000000"/>
          <w:sz w:val="24"/>
          <w:szCs w:val="24"/>
          <w:lang w:val="pl-PL"/>
        </w:rPr>
        <w:t xml:space="preserve">ticaja na sivu ekonomiju </w:t>
      </w:r>
      <w:r w:rsidR="005D5BB0" w:rsidRPr="00281886">
        <w:rPr>
          <w:rFonts w:eastAsia="Calibri" w:cstheme="minorHAnsi"/>
          <w:color w:val="000000"/>
          <w:sz w:val="24"/>
          <w:szCs w:val="24"/>
          <w:lang w:val="pl-PL"/>
        </w:rPr>
        <w:t>na tržištu rada su v</w:t>
      </w:r>
      <w:r w:rsidR="00A12289" w:rsidRPr="00281886">
        <w:rPr>
          <w:rFonts w:eastAsia="Calibri" w:cstheme="minorHAnsi"/>
          <w:color w:val="000000"/>
          <w:sz w:val="24"/>
          <w:szCs w:val="24"/>
          <w:lang w:val="pl-PL"/>
        </w:rPr>
        <w:t>isoki porezi i doprinosi (prema mišljenju 38% ukupne populacije ispitanika i prema mišljenju 23% poslo</w:t>
      </w:r>
      <w:r w:rsidR="00CF1986">
        <w:rPr>
          <w:rFonts w:eastAsia="Calibri" w:cstheme="minorHAnsi"/>
          <w:color w:val="000000"/>
          <w:sz w:val="24"/>
          <w:szCs w:val="24"/>
          <w:lang w:val="pl-PL"/>
        </w:rPr>
        <w:t>d</w:t>
      </w:r>
      <w:r w:rsidR="00A12289" w:rsidRPr="00281886">
        <w:rPr>
          <w:rFonts w:eastAsia="Calibri" w:cstheme="minorHAnsi"/>
          <w:color w:val="000000"/>
          <w:sz w:val="24"/>
          <w:szCs w:val="24"/>
          <w:lang w:val="pl-PL"/>
        </w:rPr>
        <w:t xml:space="preserve">avaca u privatnom sektoru), a važan uzrok su bi brojni i visoki parafiskalni nameti (kao što su dozvole, takse i ostali nameti). </w:t>
      </w:r>
      <w:r w:rsidR="00962796" w:rsidRPr="00281886">
        <w:rPr>
          <w:rFonts w:eastAsia="Calibri" w:cstheme="minorHAnsi"/>
          <w:color w:val="000000"/>
          <w:sz w:val="24"/>
          <w:szCs w:val="24"/>
          <w:lang w:val="pl-PL"/>
        </w:rPr>
        <w:t>Prema istraživanju zainteresovanih strana</w:t>
      </w:r>
      <w:r w:rsidR="00C41EE1" w:rsidRPr="00281886">
        <w:rPr>
          <w:rFonts w:eastAsia="Calibri" w:cstheme="minorHAnsi"/>
          <w:color w:val="000000"/>
          <w:sz w:val="24"/>
          <w:szCs w:val="24"/>
          <w:lang w:val="pl-PL"/>
        </w:rPr>
        <w:t xml:space="preserve"> u junu 2023.</w:t>
      </w:r>
      <w:r w:rsidR="00247E6F">
        <w:rPr>
          <w:rFonts w:eastAsia="Calibri" w:cstheme="minorHAnsi"/>
          <w:color w:val="000000"/>
          <w:sz w:val="24"/>
          <w:szCs w:val="24"/>
          <w:lang w:val="pl-PL"/>
        </w:rPr>
        <w:t xml:space="preserve"> </w:t>
      </w:r>
      <w:r w:rsidR="00C41EE1" w:rsidRPr="00281886">
        <w:rPr>
          <w:rFonts w:eastAsia="Calibri" w:cstheme="minorHAnsi"/>
          <w:color w:val="000000"/>
          <w:sz w:val="24"/>
          <w:szCs w:val="24"/>
          <w:lang w:val="pl-PL"/>
        </w:rPr>
        <w:t>godine</w:t>
      </w:r>
      <w:r w:rsidR="00962796" w:rsidRPr="00281886">
        <w:rPr>
          <w:rFonts w:eastAsia="Calibri" w:cstheme="minorHAnsi"/>
          <w:color w:val="000000"/>
          <w:sz w:val="24"/>
          <w:szCs w:val="24"/>
          <w:lang w:val="pl-PL"/>
        </w:rPr>
        <w:t xml:space="preserve">, sprovedenom za potrebe pisanja ovog </w:t>
      </w:r>
      <w:r w:rsidR="00132C60">
        <w:rPr>
          <w:rFonts w:eastAsia="Calibri" w:cstheme="minorHAnsi"/>
          <w:color w:val="000000"/>
          <w:sz w:val="24"/>
          <w:szCs w:val="24"/>
          <w:lang w:val="pl-PL"/>
        </w:rPr>
        <w:t>p</w:t>
      </w:r>
      <w:r w:rsidR="00962796" w:rsidRPr="00281886">
        <w:rPr>
          <w:rFonts w:eastAsia="Calibri" w:cstheme="minorHAnsi"/>
          <w:color w:val="000000"/>
          <w:sz w:val="24"/>
          <w:szCs w:val="24"/>
          <w:lang w:val="pl-PL"/>
        </w:rPr>
        <w:t xml:space="preserve">rograma, </w:t>
      </w:r>
      <w:r w:rsidR="00C41EE1" w:rsidRPr="00281886">
        <w:rPr>
          <w:rFonts w:eastAsia="Calibri" w:cstheme="minorHAnsi"/>
          <w:color w:val="000000"/>
          <w:sz w:val="24"/>
          <w:szCs w:val="24"/>
          <w:lang w:val="pl-PL"/>
        </w:rPr>
        <w:t>oko 1/5 ispitanika smatra da</w:t>
      </w:r>
      <w:r w:rsidR="00962796" w:rsidRPr="00281886">
        <w:rPr>
          <w:rFonts w:eastAsia="Calibri" w:cstheme="minorHAnsi"/>
          <w:color w:val="000000"/>
          <w:sz w:val="24"/>
          <w:szCs w:val="24"/>
          <w:lang w:val="pl-PL"/>
        </w:rPr>
        <w:t xml:space="preserve"> je </w:t>
      </w:r>
      <w:r w:rsidR="00C41EE1" w:rsidRPr="00281886">
        <w:rPr>
          <w:rFonts w:eastAsia="Calibri" w:cstheme="minorHAnsi"/>
          <w:color w:val="000000"/>
          <w:sz w:val="24"/>
          <w:szCs w:val="24"/>
          <w:lang w:val="sr-Latn-ME"/>
        </w:rPr>
        <w:t>d</w:t>
      </w:r>
      <w:r w:rsidR="00962796" w:rsidRPr="00281886">
        <w:rPr>
          <w:rFonts w:eastAsia="Calibri" w:cstheme="minorHAnsi"/>
          <w:color w:val="000000"/>
          <w:sz w:val="24"/>
          <w:szCs w:val="24"/>
          <w:lang w:val="sr-Latn-ME"/>
        </w:rPr>
        <w:t>irektno i/ili indirektno poresko opterećenje (visoke stope PDV-a, poreza na dohodak f</w:t>
      </w:r>
      <w:r w:rsidR="008D3762">
        <w:rPr>
          <w:rFonts w:eastAsia="Calibri" w:cstheme="minorHAnsi"/>
          <w:color w:val="000000"/>
          <w:sz w:val="24"/>
          <w:szCs w:val="24"/>
          <w:lang w:val="sr-Latn-ME"/>
        </w:rPr>
        <w:t>i</w:t>
      </w:r>
      <w:r w:rsidR="00962796" w:rsidRPr="00281886">
        <w:rPr>
          <w:rFonts w:eastAsia="Calibri" w:cstheme="minorHAnsi"/>
          <w:color w:val="000000"/>
          <w:sz w:val="24"/>
          <w:szCs w:val="24"/>
          <w:lang w:val="sr-Latn-ME"/>
        </w:rPr>
        <w:t>zičkih lica</w:t>
      </w:r>
      <w:r w:rsidR="00C41EE1" w:rsidRPr="00281886">
        <w:rPr>
          <w:rFonts w:eastAsia="Calibri" w:cstheme="minorHAnsi"/>
          <w:color w:val="000000"/>
          <w:sz w:val="24"/>
          <w:szCs w:val="24"/>
          <w:lang w:val="sr-Latn-ME"/>
        </w:rPr>
        <w:t xml:space="preserve">, poreza na </w:t>
      </w:r>
      <w:r w:rsidR="00962796" w:rsidRPr="00281886">
        <w:rPr>
          <w:rFonts w:eastAsia="Calibri" w:cstheme="minorHAnsi"/>
          <w:color w:val="000000"/>
          <w:sz w:val="24"/>
          <w:szCs w:val="24"/>
          <w:lang w:val="sr-Latn-ME"/>
        </w:rPr>
        <w:t xml:space="preserve">dobit pravnih lica, poreza </w:t>
      </w:r>
      <w:r w:rsidR="00F93ECC" w:rsidRPr="00281886">
        <w:rPr>
          <w:rFonts w:eastAsia="Calibri" w:cstheme="minorHAnsi"/>
          <w:color w:val="000000"/>
          <w:sz w:val="24"/>
          <w:szCs w:val="24"/>
          <w:lang w:val="sr-Latn-ME"/>
        </w:rPr>
        <w:t>na</w:t>
      </w:r>
      <w:r w:rsidR="00962796" w:rsidRPr="00281886">
        <w:rPr>
          <w:rFonts w:eastAsia="Calibri" w:cstheme="minorHAnsi"/>
          <w:color w:val="000000"/>
          <w:sz w:val="24"/>
          <w:szCs w:val="24"/>
          <w:lang w:val="sr-Latn-ME"/>
        </w:rPr>
        <w:t xml:space="preserve"> nepokretnost, itd) jedan od najčešćih uz</w:t>
      </w:r>
      <w:r w:rsidR="00F93ECC" w:rsidRPr="00281886">
        <w:rPr>
          <w:rFonts w:eastAsia="Calibri" w:cstheme="minorHAnsi"/>
          <w:color w:val="000000"/>
          <w:sz w:val="24"/>
          <w:szCs w:val="24"/>
          <w:lang w:val="sr-Latn-ME"/>
        </w:rPr>
        <w:t>roka</w:t>
      </w:r>
      <w:r w:rsidR="00962796" w:rsidRPr="00281886">
        <w:rPr>
          <w:rFonts w:eastAsia="Calibri" w:cstheme="minorHAnsi"/>
          <w:color w:val="000000"/>
          <w:sz w:val="24"/>
          <w:szCs w:val="24"/>
          <w:lang w:val="sr-Latn-ME"/>
        </w:rPr>
        <w:t xml:space="preserve"> </w:t>
      </w:r>
      <w:r w:rsidR="00C41EE1" w:rsidRPr="00281886">
        <w:rPr>
          <w:rFonts w:eastAsia="Calibri" w:cstheme="minorHAnsi"/>
          <w:color w:val="000000"/>
          <w:sz w:val="24"/>
          <w:szCs w:val="24"/>
          <w:lang w:val="sr-Latn-ME"/>
        </w:rPr>
        <w:t>neformalne</w:t>
      </w:r>
      <w:r w:rsidR="00962796" w:rsidRPr="00281886">
        <w:rPr>
          <w:rFonts w:eastAsia="Calibri" w:cstheme="minorHAnsi"/>
          <w:color w:val="000000"/>
          <w:sz w:val="24"/>
          <w:szCs w:val="24"/>
          <w:lang w:val="sr-Latn-ME"/>
        </w:rPr>
        <w:t xml:space="preserve"> ekonomije, kao i visoki parafiskaliteti (njihov broj i visina).</w:t>
      </w:r>
    </w:p>
    <w:p w14:paraId="4C223430" w14:textId="77777777" w:rsidR="008F1161" w:rsidRPr="006C691C" w:rsidRDefault="00FA16D7" w:rsidP="008F1161">
      <w:pPr>
        <w:spacing w:after="150" w:line="276" w:lineRule="auto"/>
        <w:jc w:val="both"/>
        <w:rPr>
          <w:sz w:val="24"/>
          <w:szCs w:val="24"/>
          <w:lang w:val="pl-PL"/>
        </w:rPr>
      </w:pPr>
      <w:r w:rsidRPr="00281886">
        <w:rPr>
          <w:rFonts w:eastAsia="Calibri" w:cstheme="minorHAnsi"/>
          <w:color w:val="000000"/>
          <w:sz w:val="24"/>
          <w:szCs w:val="24"/>
          <w:lang w:val="sr-Latn-ME"/>
        </w:rPr>
        <w:t xml:space="preserve">Uprkos smanjenju broja parafiskalnih nameta u posmatranom periodu, prema registru nameta </w:t>
      </w:r>
      <w:r w:rsidR="001C74E8">
        <w:rPr>
          <w:rFonts w:eastAsia="Calibri" w:cstheme="minorHAnsi"/>
          <w:color w:val="000000"/>
          <w:sz w:val="24"/>
          <w:szCs w:val="24"/>
          <w:lang w:val="sr-Latn-ME"/>
        </w:rPr>
        <w:t>Ministarstva ekonomskog razvoja i turizma</w:t>
      </w:r>
      <w:r w:rsidRPr="00281886">
        <w:rPr>
          <w:rFonts w:eastAsia="Calibri" w:cstheme="minorHAnsi"/>
          <w:color w:val="000000"/>
          <w:sz w:val="24"/>
          <w:szCs w:val="24"/>
          <w:lang w:val="sr-Latn-ME"/>
        </w:rPr>
        <w:t xml:space="preserve">, broj </w:t>
      </w:r>
      <w:r w:rsidR="001C74E8">
        <w:rPr>
          <w:rFonts w:eastAsia="Calibri" w:cstheme="minorHAnsi"/>
          <w:color w:val="000000"/>
          <w:sz w:val="24"/>
          <w:szCs w:val="24"/>
          <w:lang w:val="sr-Latn-ME"/>
        </w:rPr>
        <w:t xml:space="preserve">nameta (prventsveno parafiskaliteta) na centralnom i lokalnom nivou u Registru nameta je avgustu 2023.godine iznosio 1789, dok je bilo 805 propisa u kojima </w:t>
      </w:r>
      <w:r w:rsidR="00826894">
        <w:rPr>
          <w:rFonts w:eastAsia="Calibri" w:cstheme="minorHAnsi"/>
          <w:color w:val="000000"/>
          <w:sz w:val="24"/>
          <w:szCs w:val="24"/>
          <w:lang w:val="sr-Latn-ME"/>
        </w:rPr>
        <w:t>su</w:t>
      </w:r>
      <w:r w:rsidR="001C74E8">
        <w:rPr>
          <w:rFonts w:eastAsia="Calibri" w:cstheme="minorHAnsi"/>
          <w:color w:val="000000"/>
          <w:sz w:val="24"/>
          <w:szCs w:val="24"/>
          <w:lang w:val="sr-Latn-ME"/>
        </w:rPr>
        <w:t xml:space="preserve"> definisani osnov ili iznos nameta</w:t>
      </w:r>
      <w:r w:rsidR="00F55BEF">
        <w:rPr>
          <w:rFonts w:eastAsia="Calibri" w:cstheme="minorHAnsi"/>
          <w:color w:val="000000"/>
          <w:sz w:val="24"/>
          <w:szCs w:val="24"/>
          <w:lang w:val="sr-Latn-ME"/>
        </w:rPr>
        <w:t xml:space="preserve">. Ovo </w:t>
      </w:r>
      <w:r w:rsidR="001C74E8">
        <w:rPr>
          <w:rFonts w:eastAsia="Calibri" w:cstheme="minorHAnsi"/>
          <w:color w:val="000000"/>
          <w:sz w:val="24"/>
          <w:szCs w:val="24"/>
          <w:lang w:val="sr-Latn-ME"/>
        </w:rPr>
        <w:t>ukazuje na o</w:t>
      </w:r>
      <w:r w:rsidR="00826894">
        <w:rPr>
          <w:rFonts w:eastAsia="Calibri" w:cstheme="minorHAnsi"/>
          <w:color w:val="000000"/>
          <w:sz w:val="24"/>
          <w:szCs w:val="24"/>
          <w:lang w:val="sr-Latn-ME"/>
        </w:rPr>
        <w:t>g</w:t>
      </w:r>
      <w:r w:rsidR="001C74E8">
        <w:rPr>
          <w:rFonts w:eastAsia="Calibri" w:cstheme="minorHAnsi"/>
          <w:color w:val="000000"/>
          <w:sz w:val="24"/>
          <w:szCs w:val="24"/>
          <w:lang w:val="sr-Latn-ME"/>
        </w:rPr>
        <w:t>romno regulatorno opterećenje i troškove za građane i privredu koji utiču na različite oblike neformalnosti.</w:t>
      </w:r>
      <w:r w:rsidR="00826894">
        <w:rPr>
          <w:rFonts w:eastAsia="Calibri" w:cstheme="minorHAnsi"/>
          <w:color w:val="000000"/>
          <w:sz w:val="24"/>
          <w:szCs w:val="24"/>
          <w:lang w:val="sr-Latn-ME"/>
        </w:rPr>
        <w:t xml:space="preserve"> U prethodnim godinama su realizovane aktivnosti na smanjenju broja i visine parafiskaliteta  naročito i</w:t>
      </w:r>
      <w:r w:rsidR="00826894" w:rsidRPr="00826894">
        <w:rPr>
          <w:rFonts w:eastAsia="Calibri" w:cstheme="minorHAnsi"/>
          <w:bCs/>
          <w:color w:val="000000"/>
          <w:sz w:val="24"/>
          <w:szCs w:val="24"/>
          <w:lang w:val="sr-Latn-RS"/>
        </w:rPr>
        <w:t xml:space="preserve">zmjenama </w:t>
      </w:r>
      <w:r w:rsidR="00826894">
        <w:rPr>
          <w:rFonts w:eastAsia="Calibri" w:cstheme="minorHAnsi"/>
          <w:bCs/>
          <w:color w:val="000000"/>
          <w:sz w:val="24"/>
          <w:szCs w:val="24"/>
          <w:lang w:val="sr-Latn-RS"/>
        </w:rPr>
        <w:t>Z</w:t>
      </w:r>
      <w:r w:rsidR="00826894" w:rsidRPr="00826894">
        <w:rPr>
          <w:rFonts w:eastAsia="Calibri" w:cstheme="minorHAnsi"/>
          <w:bCs/>
          <w:color w:val="000000"/>
          <w:sz w:val="24"/>
          <w:szCs w:val="24"/>
          <w:lang w:val="sr-Latn-RS"/>
        </w:rPr>
        <w:t xml:space="preserve">akona o administrativnim </w:t>
      </w:r>
      <w:r w:rsidR="00826894">
        <w:rPr>
          <w:rFonts w:eastAsia="Calibri" w:cstheme="minorHAnsi"/>
          <w:bCs/>
          <w:color w:val="000000"/>
          <w:sz w:val="24"/>
          <w:szCs w:val="24"/>
          <w:lang w:val="sr-Latn-RS"/>
        </w:rPr>
        <w:t xml:space="preserve">taksama </w:t>
      </w:r>
      <w:r w:rsidR="00826894" w:rsidRPr="00826894">
        <w:rPr>
          <w:rFonts w:eastAsia="Calibri" w:cstheme="minorHAnsi"/>
          <w:bCs/>
          <w:color w:val="000000"/>
          <w:sz w:val="24"/>
          <w:szCs w:val="24"/>
          <w:lang w:val="sr-Latn-RS"/>
        </w:rPr>
        <w:t xml:space="preserve">i </w:t>
      </w:r>
      <w:r w:rsidR="00826894">
        <w:rPr>
          <w:rFonts w:eastAsia="Calibri" w:cstheme="minorHAnsi"/>
          <w:bCs/>
          <w:color w:val="000000"/>
          <w:sz w:val="24"/>
          <w:szCs w:val="24"/>
          <w:lang w:val="sr-Latn-RS"/>
        </w:rPr>
        <w:t xml:space="preserve">Zakona </w:t>
      </w:r>
      <w:r w:rsidR="00826894" w:rsidRPr="00826894">
        <w:rPr>
          <w:rFonts w:eastAsia="Calibri" w:cstheme="minorHAnsi"/>
          <w:bCs/>
          <w:color w:val="000000"/>
          <w:sz w:val="24"/>
          <w:szCs w:val="24"/>
          <w:lang w:val="sr-Latn-RS"/>
        </w:rPr>
        <w:t>lokalnim komunalnim taksama 2019.</w:t>
      </w:r>
      <w:r w:rsidR="00826894">
        <w:rPr>
          <w:rFonts w:eastAsia="Calibri" w:cstheme="minorHAnsi"/>
          <w:bCs/>
          <w:color w:val="000000"/>
          <w:sz w:val="24"/>
          <w:szCs w:val="24"/>
          <w:lang w:val="sr-Latn-RS"/>
        </w:rPr>
        <w:t xml:space="preserve"> </w:t>
      </w:r>
      <w:r w:rsidR="00826894" w:rsidRPr="00826894">
        <w:rPr>
          <w:rFonts w:eastAsia="Calibri" w:cstheme="minorHAnsi"/>
          <w:bCs/>
          <w:color w:val="000000"/>
          <w:sz w:val="24"/>
          <w:szCs w:val="24"/>
          <w:lang w:val="sr-Latn-RS"/>
        </w:rPr>
        <w:t>godine,</w:t>
      </w:r>
      <w:r w:rsidR="00826894">
        <w:rPr>
          <w:rFonts w:eastAsia="Calibri" w:cstheme="minorHAnsi"/>
          <w:bCs/>
          <w:color w:val="000000"/>
          <w:sz w:val="24"/>
          <w:szCs w:val="24"/>
          <w:lang w:val="sr-Latn-RS"/>
        </w:rPr>
        <w:t xml:space="preserve"> ali je potrebno dalje nastaviti sa ovim aktivnostima</w:t>
      </w:r>
      <w:r w:rsidR="00826894" w:rsidRPr="00826894">
        <w:rPr>
          <w:rFonts w:eastAsia="Calibri" w:cstheme="minorHAnsi"/>
          <w:bCs/>
          <w:color w:val="000000"/>
          <w:sz w:val="24"/>
          <w:szCs w:val="24"/>
          <w:lang w:val="sr-Latn-RS"/>
        </w:rPr>
        <w:t>.</w:t>
      </w:r>
      <w:r w:rsidR="008F1161" w:rsidRPr="006C691C">
        <w:rPr>
          <w:sz w:val="24"/>
          <w:szCs w:val="24"/>
          <w:lang w:val="pl-PL"/>
        </w:rPr>
        <w:t xml:space="preserve"> </w:t>
      </w:r>
    </w:p>
    <w:p w14:paraId="0CA186DA" w14:textId="1F4A5AC5" w:rsidR="00826894" w:rsidRPr="006C691C" w:rsidRDefault="008F1161" w:rsidP="00FA16D7">
      <w:pPr>
        <w:spacing w:after="150" w:line="276" w:lineRule="auto"/>
        <w:jc w:val="both"/>
        <w:rPr>
          <w:rFonts w:eastAsia="Calibri" w:cstheme="minorHAnsi"/>
          <w:bCs/>
          <w:sz w:val="24"/>
          <w:szCs w:val="24"/>
          <w:lang w:val="pl-PL"/>
        </w:rPr>
      </w:pPr>
      <w:r w:rsidRPr="006C691C">
        <w:rPr>
          <w:sz w:val="24"/>
          <w:szCs w:val="24"/>
          <w:lang w:val="pl-PL"/>
        </w:rPr>
        <w:t xml:space="preserve">Takodje, </w:t>
      </w:r>
      <w:r w:rsidRPr="006C691C">
        <w:rPr>
          <w:rFonts w:eastAsia="Calibri" w:cstheme="minorHAnsi"/>
          <w:bCs/>
          <w:sz w:val="24"/>
          <w:szCs w:val="24"/>
          <w:lang w:val="pl-PL"/>
        </w:rPr>
        <w:t>da bi pokrenuli djelatnost koja predviđa gotovinsku naplatu privrednici moraju da podnose prijave u minimum 4 registra. U praksi, svaka inspekcija</w:t>
      </w:r>
      <w:r w:rsidR="006F03C5" w:rsidRPr="006C691C">
        <w:rPr>
          <w:rFonts w:eastAsia="Calibri" w:cstheme="minorHAnsi"/>
          <w:bCs/>
          <w:sz w:val="24"/>
          <w:szCs w:val="24"/>
          <w:lang w:val="pl-PL"/>
        </w:rPr>
        <w:t xml:space="preserve"> ima</w:t>
      </w:r>
      <w:r w:rsidRPr="006C691C">
        <w:rPr>
          <w:rFonts w:eastAsia="Calibri" w:cstheme="minorHAnsi"/>
          <w:bCs/>
          <w:sz w:val="24"/>
          <w:szCs w:val="24"/>
          <w:lang w:val="pl-PL"/>
        </w:rPr>
        <w:t xml:space="preserve"> svoju nadležnost i preduzetnik koji želi da obavlja djelatnost mora neophodne informacije da prikuplja od svakog organa posebno. </w:t>
      </w:r>
    </w:p>
    <w:p w14:paraId="77D3C395" w14:textId="75A80E04" w:rsidR="00235C27" w:rsidRPr="0096537C" w:rsidRDefault="00235C27" w:rsidP="00FA16D7">
      <w:pPr>
        <w:spacing w:after="150" w:line="276" w:lineRule="auto"/>
        <w:jc w:val="both"/>
        <w:rPr>
          <w:rFonts w:eastAsia="Calibri" w:cstheme="minorHAnsi"/>
          <w:color w:val="000000"/>
          <w:sz w:val="24"/>
          <w:szCs w:val="24"/>
          <w:lang w:val="pl-PL"/>
        </w:rPr>
      </w:pPr>
      <w:r>
        <w:rPr>
          <w:rFonts w:eastAsia="Calibri" w:cstheme="minorHAnsi"/>
          <w:color w:val="000000"/>
          <w:sz w:val="24"/>
          <w:szCs w:val="24"/>
          <w:lang w:val="sr-Latn-ME"/>
        </w:rPr>
        <w:t>Opterećenje privrede i građana kroz fiskalitete i parafiskalitete</w:t>
      </w:r>
      <w:r w:rsidR="00247E6F">
        <w:rPr>
          <w:rFonts w:eastAsia="Calibri" w:cstheme="minorHAnsi"/>
          <w:color w:val="000000"/>
          <w:sz w:val="24"/>
          <w:szCs w:val="24"/>
          <w:lang w:val="sr-Latn-ME"/>
        </w:rPr>
        <w:t xml:space="preserve"> u kombinaciji sa visokim troškovima finansijskih usluga banaka, utiču na visok nivo bezgotovinskih plaćanja u ekonomiji, što doprinosi neformalnoj ekonomiji. </w:t>
      </w:r>
      <w:r>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Prema</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istra</w:t>
      </w:r>
      <w:r w:rsidR="00247E6F" w:rsidRPr="00021CDC">
        <w:rPr>
          <w:rFonts w:eastAsia="Calibri" w:cstheme="minorHAnsi"/>
          <w:color w:val="000000"/>
          <w:sz w:val="24"/>
          <w:szCs w:val="24"/>
          <w:lang w:val="sr-Latn-ME"/>
        </w:rPr>
        <w:t>ž</w:t>
      </w:r>
      <w:r w:rsidR="00247E6F" w:rsidRPr="00247E6F">
        <w:rPr>
          <w:rFonts w:eastAsia="Calibri" w:cstheme="minorHAnsi"/>
          <w:color w:val="000000"/>
          <w:sz w:val="24"/>
          <w:szCs w:val="24"/>
          <w:lang w:val="pl-PL"/>
        </w:rPr>
        <w:t>ivanju</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zainteresovanih</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strana</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u</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junu</w:t>
      </w:r>
      <w:r w:rsidR="00247E6F" w:rsidRPr="00021CDC">
        <w:rPr>
          <w:rFonts w:eastAsia="Calibri" w:cstheme="minorHAnsi"/>
          <w:color w:val="000000"/>
          <w:sz w:val="24"/>
          <w:szCs w:val="24"/>
          <w:lang w:val="sr-Latn-ME"/>
        </w:rPr>
        <w:t xml:space="preserve"> 2023. </w:t>
      </w:r>
      <w:r w:rsidR="00247E6F" w:rsidRPr="00247E6F">
        <w:rPr>
          <w:rFonts w:eastAsia="Calibri" w:cstheme="minorHAnsi"/>
          <w:color w:val="000000"/>
          <w:sz w:val="24"/>
          <w:szCs w:val="24"/>
          <w:lang w:val="pl-PL"/>
        </w:rPr>
        <w:t>godine</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sprovedenom</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za</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potrebe</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pisanja</w:t>
      </w:r>
      <w:r w:rsidR="00247E6F" w:rsidRPr="00021CDC">
        <w:rPr>
          <w:rFonts w:eastAsia="Calibri" w:cstheme="minorHAnsi"/>
          <w:color w:val="000000"/>
          <w:sz w:val="24"/>
          <w:szCs w:val="24"/>
          <w:lang w:val="sr-Latn-ME"/>
        </w:rPr>
        <w:t xml:space="preserve"> </w:t>
      </w:r>
      <w:r w:rsidR="00247E6F" w:rsidRPr="00247E6F">
        <w:rPr>
          <w:rFonts w:eastAsia="Calibri" w:cstheme="minorHAnsi"/>
          <w:color w:val="000000"/>
          <w:sz w:val="24"/>
          <w:szCs w:val="24"/>
          <w:lang w:val="pl-PL"/>
        </w:rPr>
        <w:t>ovog</w:t>
      </w:r>
      <w:r w:rsidR="00247E6F" w:rsidRPr="00021CDC">
        <w:rPr>
          <w:rFonts w:eastAsia="Calibri" w:cstheme="minorHAnsi"/>
          <w:color w:val="000000"/>
          <w:sz w:val="24"/>
          <w:szCs w:val="24"/>
          <w:lang w:val="sr-Latn-ME"/>
        </w:rPr>
        <w:t xml:space="preserve"> </w:t>
      </w:r>
      <w:r w:rsidR="00132C60">
        <w:rPr>
          <w:rFonts w:eastAsia="Calibri" w:cstheme="minorHAnsi"/>
          <w:color w:val="000000"/>
          <w:sz w:val="24"/>
          <w:szCs w:val="24"/>
          <w:lang w:val="pl-PL"/>
        </w:rPr>
        <w:t>p</w:t>
      </w:r>
      <w:r w:rsidR="00247E6F" w:rsidRPr="00247E6F">
        <w:rPr>
          <w:rFonts w:eastAsia="Calibri" w:cstheme="minorHAnsi"/>
          <w:color w:val="000000"/>
          <w:sz w:val="24"/>
          <w:szCs w:val="24"/>
          <w:lang w:val="pl-PL"/>
        </w:rPr>
        <w:t>rograma</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zna</w:t>
      </w:r>
      <w:r w:rsidR="00247E6F" w:rsidRPr="00021CDC">
        <w:rPr>
          <w:rFonts w:eastAsia="Calibri" w:cstheme="minorHAnsi"/>
          <w:color w:val="000000"/>
          <w:sz w:val="24"/>
          <w:szCs w:val="24"/>
          <w:lang w:val="sr-Latn-ME"/>
        </w:rPr>
        <w:t>č</w:t>
      </w:r>
      <w:r w:rsidR="00247E6F">
        <w:rPr>
          <w:rFonts w:eastAsia="Calibri" w:cstheme="minorHAnsi"/>
          <w:color w:val="000000"/>
          <w:sz w:val="24"/>
          <w:szCs w:val="24"/>
          <w:lang w:val="pl-PL"/>
        </w:rPr>
        <w:t>ajan</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broj</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ispitanika</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smatra</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da</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domi</w:t>
      </w:r>
      <w:r w:rsidR="001A5DA2">
        <w:rPr>
          <w:rFonts w:eastAsia="Calibri" w:cstheme="minorHAnsi"/>
          <w:color w:val="000000"/>
          <w:sz w:val="24"/>
          <w:szCs w:val="24"/>
          <w:lang w:val="pl-PL"/>
        </w:rPr>
        <w:t>na</w:t>
      </w:r>
      <w:r w:rsidR="00247E6F">
        <w:rPr>
          <w:rFonts w:eastAsia="Calibri" w:cstheme="minorHAnsi"/>
          <w:color w:val="000000"/>
          <w:sz w:val="24"/>
          <w:szCs w:val="24"/>
          <w:lang w:val="pl-PL"/>
        </w:rPr>
        <w:t>ntna</w:t>
      </w:r>
      <w:r w:rsidR="00247E6F" w:rsidRPr="00021CDC">
        <w:rPr>
          <w:rFonts w:eastAsia="Calibri" w:cstheme="minorHAnsi"/>
          <w:color w:val="000000"/>
          <w:sz w:val="24"/>
          <w:szCs w:val="24"/>
          <w:lang w:val="sr-Latn-ME"/>
        </w:rPr>
        <w:t xml:space="preserve"> </w:t>
      </w:r>
      <w:r w:rsidR="00247E6F" w:rsidRPr="001139FB">
        <w:rPr>
          <w:rFonts w:eastAsia="Calibri" w:cstheme="minorHAnsi"/>
          <w:b/>
          <w:bCs/>
          <w:color w:val="000000"/>
          <w:sz w:val="24"/>
          <w:szCs w:val="24"/>
          <w:lang w:val="pl-PL"/>
        </w:rPr>
        <w:t>upotreba</w:t>
      </w:r>
      <w:r w:rsidR="00247E6F" w:rsidRPr="00021CDC">
        <w:rPr>
          <w:rFonts w:eastAsia="Calibri" w:cstheme="minorHAnsi"/>
          <w:b/>
          <w:bCs/>
          <w:color w:val="000000"/>
          <w:sz w:val="24"/>
          <w:szCs w:val="24"/>
          <w:lang w:val="sr-Latn-ME"/>
        </w:rPr>
        <w:t xml:space="preserve"> </w:t>
      </w:r>
      <w:r w:rsidR="00247E6F" w:rsidRPr="001139FB">
        <w:rPr>
          <w:rFonts w:eastAsia="Calibri" w:cstheme="minorHAnsi"/>
          <w:b/>
          <w:bCs/>
          <w:color w:val="000000"/>
          <w:sz w:val="24"/>
          <w:szCs w:val="24"/>
          <w:lang w:val="pl-PL"/>
        </w:rPr>
        <w:t>gotovine</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u</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pla</w:t>
      </w:r>
      <w:r w:rsidR="00247E6F" w:rsidRPr="00021CDC">
        <w:rPr>
          <w:rFonts w:eastAsia="Calibri" w:cstheme="minorHAnsi"/>
          <w:color w:val="000000"/>
          <w:sz w:val="24"/>
          <w:szCs w:val="24"/>
          <w:lang w:val="sr-Latn-ME"/>
        </w:rPr>
        <w:t>ć</w:t>
      </w:r>
      <w:r w:rsidR="00247E6F">
        <w:rPr>
          <w:rFonts w:eastAsia="Calibri" w:cstheme="minorHAnsi"/>
          <w:color w:val="000000"/>
          <w:sz w:val="24"/>
          <w:szCs w:val="24"/>
          <w:lang w:val="pl-PL"/>
        </w:rPr>
        <w:t>anjima</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podsti</w:t>
      </w:r>
      <w:r w:rsidR="00247E6F" w:rsidRPr="00021CDC">
        <w:rPr>
          <w:rFonts w:eastAsia="Calibri" w:cstheme="minorHAnsi"/>
          <w:color w:val="000000"/>
          <w:sz w:val="24"/>
          <w:szCs w:val="24"/>
          <w:lang w:val="sr-Latn-ME"/>
        </w:rPr>
        <w:t>č</w:t>
      </w:r>
      <w:r w:rsidR="00247E6F">
        <w:rPr>
          <w:rFonts w:eastAsia="Calibri" w:cstheme="minorHAnsi"/>
          <w:color w:val="000000"/>
          <w:sz w:val="24"/>
          <w:szCs w:val="24"/>
          <w:lang w:val="pl-PL"/>
        </w:rPr>
        <w:t>e</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neregistrovane</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aktivnosti</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odnosno</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neformalnu</w:t>
      </w:r>
      <w:r w:rsidR="00247E6F" w:rsidRPr="00021CDC">
        <w:rPr>
          <w:rFonts w:eastAsia="Calibri" w:cstheme="minorHAnsi"/>
          <w:color w:val="000000"/>
          <w:sz w:val="24"/>
          <w:szCs w:val="24"/>
          <w:lang w:val="sr-Latn-ME"/>
        </w:rPr>
        <w:t xml:space="preserve"> </w:t>
      </w:r>
      <w:r w:rsidR="00247E6F">
        <w:rPr>
          <w:rFonts w:eastAsia="Calibri" w:cstheme="minorHAnsi"/>
          <w:color w:val="000000"/>
          <w:sz w:val="24"/>
          <w:szCs w:val="24"/>
          <w:lang w:val="pl-PL"/>
        </w:rPr>
        <w:t>ekonomiju</w:t>
      </w:r>
      <w:r w:rsidR="00247E6F" w:rsidRPr="00021CDC">
        <w:rPr>
          <w:rFonts w:eastAsia="Calibri" w:cstheme="minorHAnsi"/>
          <w:color w:val="000000"/>
          <w:sz w:val="24"/>
          <w:szCs w:val="24"/>
          <w:lang w:val="sr-Latn-ME"/>
        </w:rPr>
        <w:t xml:space="preserve">, </w:t>
      </w:r>
      <w:r w:rsidR="001139FB">
        <w:rPr>
          <w:rFonts w:eastAsia="Calibri" w:cstheme="minorHAnsi"/>
          <w:color w:val="000000"/>
          <w:sz w:val="24"/>
          <w:szCs w:val="24"/>
          <w:lang w:val="pl-PL"/>
        </w:rPr>
        <w:t>te</w:t>
      </w:r>
      <w:r w:rsidR="001139FB" w:rsidRPr="00021CDC">
        <w:rPr>
          <w:rFonts w:eastAsia="Calibri" w:cstheme="minorHAnsi"/>
          <w:color w:val="000000"/>
          <w:sz w:val="24"/>
          <w:szCs w:val="24"/>
          <w:lang w:val="sr-Latn-ME"/>
        </w:rPr>
        <w:t xml:space="preserve"> </w:t>
      </w:r>
      <w:r w:rsidR="001139FB">
        <w:rPr>
          <w:rFonts w:eastAsia="Calibri" w:cstheme="minorHAnsi"/>
          <w:color w:val="000000"/>
          <w:sz w:val="24"/>
          <w:szCs w:val="24"/>
          <w:lang w:val="pl-PL"/>
        </w:rPr>
        <w:t>da</w:t>
      </w:r>
      <w:r w:rsidR="001139FB" w:rsidRPr="00021CDC">
        <w:rPr>
          <w:rFonts w:eastAsia="Calibri" w:cstheme="minorHAnsi"/>
          <w:color w:val="000000"/>
          <w:sz w:val="24"/>
          <w:szCs w:val="24"/>
          <w:lang w:val="sr-Latn-ME"/>
        </w:rPr>
        <w:t xml:space="preserve"> </w:t>
      </w:r>
      <w:r w:rsidR="001139FB">
        <w:rPr>
          <w:rFonts w:eastAsia="Calibri" w:cstheme="minorHAnsi"/>
          <w:color w:val="000000"/>
          <w:sz w:val="24"/>
          <w:szCs w:val="24"/>
          <w:lang w:val="pl-PL"/>
        </w:rPr>
        <w:t>bi</w:t>
      </w:r>
      <w:r w:rsidR="001139FB" w:rsidRPr="00021CDC">
        <w:rPr>
          <w:rFonts w:eastAsia="Calibri" w:cstheme="minorHAnsi"/>
          <w:color w:val="000000"/>
          <w:sz w:val="24"/>
          <w:szCs w:val="24"/>
          <w:lang w:val="sr-Latn-ME"/>
        </w:rPr>
        <w:t xml:space="preserve"> </w:t>
      </w:r>
      <w:r w:rsidR="001139FB" w:rsidRPr="001139FB">
        <w:rPr>
          <w:rFonts w:eastAsia="Calibri" w:cstheme="minorHAnsi"/>
          <w:color w:val="000000"/>
          <w:sz w:val="24"/>
          <w:szCs w:val="24"/>
          <w:lang w:val="pl-PL"/>
        </w:rPr>
        <w:t>ve</w:t>
      </w:r>
      <w:r w:rsidR="001139FB" w:rsidRPr="00021CDC">
        <w:rPr>
          <w:rFonts w:eastAsia="Calibri" w:cstheme="minorHAnsi"/>
          <w:color w:val="000000"/>
          <w:sz w:val="24"/>
          <w:szCs w:val="24"/>
          <w:lang w:val="sr-Latn-ME"/>
        </w:rPr>
        <w:t>ć</w:t>
      </w:r>
      <w:r w:rsidR="001139FB" w:rsidRPr="001139FB">
        <w:rPr>
          <w:rFonts w:eastAsia="Calibri" w:cstheme="minorHAnsi"/>
          <w:color w:val="000000"/>
          <w:sz w:val="24"/>
          <w:szCs w:val="24"/>
          <w:lang w:val="pl-PL"/>
        </w:rPr>
        <w:t>a</w:t>
      </w:r>
      <w:r w:rsidR="001139FB" w:rsidRPr="00021CDC">
        <w:rPr>
          <w:rFonts w:eastAsia="Calibri" w:cstheme="minorHAnsi"/>
          <w:color w:val="000000"/>
          <w:sz w:val="24"/>
          <w:szCs w:val="24"/>
          <w:lang w:val="sr-Latn-ME"/>
        </w:rPr>
        <w:t xml:space="preserve"> </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upotreba</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bezgotovinskog</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pla</w:t>
      </w:r>
      <w:r w:rsidR="00247E6F" w:rsidRPr="00021CDC">
        <w:rPr>
          <w:rFonts w:eastAsia="Calibri" w:cstheme="minorHAnsi"/>
          <w:color w:val="000000"/>
          <w:sz w:val="24"/>
          <w:szCs w:val="24"/>
          <w:lang w:val="sr-Latn-ME"/>
        </w:rPr>
        <w:t>ć</w:t>
      </w:r>
      <w:r w:rsidR="00247E6F" w:rsidRPr="001139FB">
        <w:rPr>
          <w:rFonts w:eastAsia="Calibri" w:cstheme="minorHAnsi"/>
          <w:color w:val="000000"/>
          <w:sz w:val="24"/>
          <w:szCs w:val="24"/>
          <w:lang w:val="pl-PL"/>
        </w:rPr>
        <w:t>anja</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putem</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platnih</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kartica</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lastRenderedPageBreak/>
        <w:t>mobilnih</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aplikacija</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i</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sl</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doprinijela</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smanjenju</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sive</w:t>
      </w:r>
      <w:r w:rsidR="00247E6F" w:rsidRPr="00021CDC">
        <w:rPr>
          <w:rFonts w:eastAsia="Calibri" w:cstheme="minorHAnsi"/>
          <w:color w:val="000000"/>
          <w:sz w:val="24"/>
          <w:szCs w:val="24"/>
          <w:lang w:val="sr-Latn-ME"/>
        </w:rPr>
        <w:t xml:space="preserve"> </w:t>
      </w:r>
      <w:r w:rsidR="00247E6F" w:rsidRPr="001139FB">
        <w:rPr>
          <w:rFonts w:eastAsia="Calibri" w:cstheme="minorHAnsi"/>
          <w:color w:val="000000"/>
          <w:sz w:val="24"/>
          <w:szCs w:val="24"/>
          <w:lang w:val="pl-PL"/>
        </w:rPr>
        <w:t>ekonomije</w:t>
      </w:r>
      <w:r w:rsidR="001139FB" w:rsidRPr="00021CDC">
        <w:rPr>
          <w:rFonts w:eastAsia="Calibri" w:cstheme="minorHAnsi"/>
          <w:color w:val="000000"/>
          <w:sz w:val="24"/>
          <w:szCs w:val="24"/>
          <w:lang w:val="sr-Latn-ME"/>
        </w:rPr>
        <w:t xml:space="preserve">. </w:t>
      </w:r>
      <w:r w:rsidR="001139FB" w:rsidRPr="001139FB">
        <w:rPr>
          <w:rFonts w:eastAsia="Calibri" w:cstheme="minorHAnsi"/>
          <w:color w:val="000000"/>
          <w:sz w:val="24"/>
          <w:szCs w:val="24"/>
          <w:lang w:val="pl-PL"/>
        </w:rPr>
        <w:t>Međutim, činjenica je da su bankarske provizije na upotrebu platnih kartica i dalje visoke, kao i da ne post</w:t>
      </w:r>
      <w:r w:rsidR="001A5DA2">
        <w:rPr>
          <w:rFonts w:eastAsia="Calibri" w:cstheme="minorHAnsi"/>
          <w:color w:val="000000"/>
          <w:sz w:val="24"/>
          <w:szCs w:val="24"/>
          <w:lang w:val="pl-PL"/>
        </w:rPr>
        <w:t>o</w:t>
      </w:r>
      <w:r w:rsidR="001139FB" w:rsidRPr="001139FB">
        <w:rPr>
          <w:rFonts w:eastAsia="Calibri" w:cstheme="minorHAnsi"/>
          <w:color w:val="000000"/>
          <w:sz w:val="24"/>
          <w:szCs w:val="24"/>
          <w:lang w:val="pl-PL"/>
        </w:rPr>
        <w:t xml:space="preserve">ji potpuna zaštita klijenata od prevara prilikom upotrebe platnih kartica, naročito kod online transakcija. Takođe, istraživanje je pokazalo da iako </w:t>
      </w:r>
      <w:r w:rsidR="001139FB" w:rsidRPr="001139FB">
        <w:rPr>
          <w:rFonts w:eastAsia="Calibri" w:cstheme="minorHAnsi"/>
          <w:color w:val="000000"/>
          <w:sz w:val="24"/>
          <w:szCs w:val="24"/>
          <w:lang w:val="sr-Latn-ME"/>
        </w:rPr>
        <w:t>Zakon o suzbijanju nelegalnog poslovanja jasno definiše ograničenja po pitanju gotovine i gotovinskih plaćanja, problem je što ne postoji osnovna infrastruktura za regularno poslovanje u prometu usluga prema inostranstvu. U sektoru turizma, velike bankarske provizije odbijaju izdavaoce turističk</w:t>
      </w:r>
      <w:r w:rsidR="00F55BEF">
        <w:rPr>
          <w:rFonts w:eastAsia="Calibri" w:cstheme="minorHAnsi"/>
          <w:color w:val="000000"/>
          <w:sz w:val="24"/>
          <w:szCs w:val="24"/>
          <w:lang w:val="sr-Latn-ME"/>
        </w:rPr>
        <w:t>og</w:t>
      </w:r>
      <w:r w:rsidR="001139FB" w:rsidRPr="001139FB">
        <w:rPr>
          <w:rFonts w:eastAsia="Calibri" w:cstheme="minorHAnsi"/>
          <w:color w:val="000000"/>
          <w:sz w:val="24"/>
          <w:szCs w:val="24"/>
          <w:lang w:val="sr-Latn-ME"/>
        </w:rPr>
        <w:t xml:space="preserve"> smještaja da naplaćuju avansno usluge. </w:t>
      </w:r>
      <w:r w:rsidR="00CF1986">
        <w:rPr>
          <w:rFonts w:eastAsia="Calibri" w:cstheme="minorHAnsi"/>
          <w:color w:val="000000"/>
          <w:sz w:val="24"/>
          <w:szCs w:val="24"/>
          <w:lang w:val="sr-Latn-ME"/>
        </w:rPr>
        <w:t>Slično</w:t>
      </w:r>
      <w:r w:rsidR="001139FB" w:rsidRPr="001139FB">
        <w:rPr>
          <w:rFonts w:eastAsia="Calibri" w:cstheme="minorHAnsi"/>
          <w:color w:val="000000"/>
          <w:sz w:val="24"/>
          <w:szCs w:val="24"/>
          <w:lang w:val="sr-Latn-ME"/>
        </w:rPr>
        <w:t xml:space="preserve"> je i za freelancer-e. </w:t>
      </w:r>
      <w:r w:rsidR="004E2305">
        <w:rPr>
          <w:rFonts w:eastAsia="Calibri" w:cstheme="minorHAnsi"/>
          <w:color w:val="000000"/>
          <w:sz w:val="24"/>
          <w:szCs w:val="24"/>
          <w:lang w:val="sr-Latn-ME"/>
        </w:rPr>
        <w:t xml:space="preserve">Takođe, poteškoće u likvidnosti privrede i izazovi u plaćanju obaveza, dovode do velikog broja blokada računa privrednih društava i preduzetnika, navodeći </w:t>
      </w:r>
      <w:r w:rsidR="008C1677">
        <w:rPr>
          <w:rFonts w:eastAsia="Calibri" w:cstheme="minorHAnsi"/>
          <w:color w:val="000000"/>
          <w:sz w:val="24"/>
          <w:szCs w:val="24"/>
          <w:lang w:val="sr-Latn-ME"/>
        </w:rPr>
        <w:t xml:space="preserve">privredne subjekte </w:t>
      </w:r>
      <w:r w:rsidR="004E2305">
        <w:rPr>
          <w:rFonts w:eastAsia="Calibri" w:cstheme="minorHAnsi"/>
          <w:color w:val="000000"/>
          <w:sz w:val="24"/>
          <w:szCs w:val="24"/>
          <w:lang w:val="sr-Latn-ME"/>
        </w:rPr>
        <w:t xml:space="preserve">da uđu u zonu sive ekonomije plaćajući obaveze u gotovini, </w:t>
      </w:r>
      <w:r w:rsidR="008C1677">
        <w:rPr>
          <w:rFonts w:eastAsia="Calibri" w:cstheme="minorHAnsi"/>
          <w:color w:val="000000"/>
          <w:sz w:val="24"/>
          <w:szCs w:val="24"/>
          <w:lang w:val="sr-Latn-ME"/>
        </w:rPr>
        <w:t xml:space="preserve"> odnosno pronalazeći načine za poslovanje izbjegavanjem korišćenja računa jer je u blokadi. Slično je i u slučaju</w:t>
      </w:r>
      <w:r w:rsidR="00132C60">
        <w:rPr>
          <w:rFonts w:eastAsia="Calibri" w:cstheme="minorHAnsi"/>
          <w:color w:val="000000"/>
          <w:sz w:val="24"/>
          <w:szCs w:val="24"/>
          <w:lang w:val="sr-Latn-ME"/>
        </w:rPr>
        <w:t xml:space="preserve">   </w:t>
      </w:r>
      <w:r w:rsidR="008C1677">
        <w:rPr>
          <w:rFonts w:eastAsia="Calibri" w:cstheme="minorHAnsi"/>
          <w:color w:val="000000"/>
          <w:sz w:val="24"/>
          <w:szCs w:val="24"/>
          <w:lang w:val="sr-Latn-ME"/>
        </w:rPr>
        <w:t>stečaja/likvidacije privrednih subjekata.</w:t>
      </w:r>
    </w:p>
    <w:p w14:paraId="2C0929B7" w14:textId="17061091" w:rsidR="00FA16D7" w:rsidRPr="00B67D63" w:rsidRDefault="00A03DDB" w:rsidP="000F4629">
      <w:pPr>
        <w:spacing w:after="150" w:line="276" w:lineRule="auto"/>
        <w:jc w:val="both"/>
        <w:rPr>
          <w:rFonts w:eastAsia="Calibri" w:cstheme="minorHAnsi"/>
          <w:color w:val="44546A" w:themeColor="text2"/>
          <w:sz w:val="24"/>
          <w:szCs w:val="24"/>
          <w:lang w:val="sr-Latn-ME"/>
        </w:rPr>
      </w:pPr>
      <w:r w:rsidRPr="00B67D63">
        <w:rPr>
          <w:rFonts w:eastAsia="Calibri" w:cstheme="minorHAnsi"/>
          <w:color w:val="44546A" w:themeColor="text2"/>
          <w:sz w:val="24"/>
          <w:szCs w:val="24"/>
          <w:lang w:val="pl-PL"/>
        </w:rPr>
        <w:t xml:space="preserve">2.4.3 </w:t>
      </w:r>
      <w:r w:rsidR="00697609" w:rsidRPr="00B67D63">
        <w:rPr>
          <w:rFonts w:eastAsia="Calibri" w:cstheme="minorHAnsi"/>
          <w:color w:val="44546A" w:themeColor="text2"/>
          <w:sz w:val="24"/>
          <w:szCs w:val="24"/>
          <w:lang w:val="pl-PL"/>
        </w:rPr>
        <w:t>Regulatorni i administrativni</w:t>
      </w:r>
      <w:r w:rsidR="00C50996" w:rsidRPr="00B67D63">
        <w:rPr>
          <w:rFonts w:eastAsia="Calibri" w:cstheme="minorHAnsi"/>
          <w:color w:val="44546A" w:themeColor="text2"/>
          <w:sz w:val="24"/>
          <w:szCs w:val="24"/>
          <w:lang w:val="pl-PL"/>
        </w:rPr>
        <w:t xml:space="preserve"> uzroci</w:t>
      </w:r>
    </w:p>
    <w:p w14:paraId="683B6736" w14:textId="336B07CB" w:rsidR="008F4CE7" w:rsidRPr="006C691C" w:rsidRDefault="003B02BE" w:rsidP="008F4CE7">
      <w:pPr>
        <w:spacing w:after="150" w:line="276" w:lineRule="auto"/>
        <w:jc w:val="both"/>
        <w:rPr>
          <w:rFonts w:eastAsia="Calibri" w:cstheme="minorHAnsi"/>
          <w:color w:val="000000"/>
          <w:sz w:val="24"/>
          <w:szCs w:val="24"/>
          <w:lang w:val="pl-PL"/>
          <w14:ligatures w14:val="none"/>
        </w:rPr>
      </w:pPr>
      <w:r>
        <w:rPr>
          <w:rFonts w:eastAsia="Calibri" w:cstheme="minorHAnsi"/>
          <w:b/>
          <w:bCs/>
          <w:color w:val="000000"/>
          <w:sz w:val="24"/>
          <w:szCs w:val="24"/>
          <w:lang w:val="sr-Latn-ME"/>
          <w14:ligatures w14:val="none"/>
        </w:rPr>
        <w:t>Postojanje r</w:t>
      </w:r>
      <w:r w:rsidR="002346A4" w:rsidRPr="001A5DA2">
        <w:rPr>
          <w:rFonts w:eastAsia="Calibri" w:cstheme="minorHAnsi"/>
          <w:b/>
          <w:bCs/>
          <w:color w:val="000000"/>
          <w:sz w:val="24"/>
          <w:szCs w:val="24"/>
          <w:lang w:val="sr-Latn-ME"/>
          <w14:ligatures w14:val="none"/>
        </w:rPr>
        <w:t>igidno</w:t>
      </w:r>
      <w:r>
        <w:rPr>
          <w:rFonts w:eastAsia="Calibri" w:cstheme="minorHAnsi"/>
          <w:b/>
          <w:bCs/>
          <w:color w:val="000000"/>
          <w:sz w:val="24"/>
          <w:szCs w:val="24"/>
          <w:lang w:val="sr-Latn-ME"/>
          <w14:ligatures w14:val="none"/>
        </w:rPr>
        <w:t>sti u</w:t>
      </w:r>
      <w:r w:rsidR="002346A4" w:rsidRPr="001A5DA2">
        <w:rPr>
          <w:rFonts w:eastAsia="Calibri" w:cstheme="minorHAnsi"/>
          <w:b/>
          <w:bCs/>
          <w:color w:val="000000"/>
          <w:sz w:val="24"/>
          <w:szCs w:val="24"/>
          <w:lang w:val="sr-Latn-ME"/>
          <w14:ligatures w14:val="none"/>
        </w:rPr>
        <w:t xml:space="preserve"> radno</w:t>
      </w:r>
      <w:r>
        <w:rPr>
          <w:rFonts w:eastAsia="Calibri" w:cstheme="minorHAnsi"/>
          <w:b/>
          <w:bCs/>
          <w:color w:val="000000"/>
          <w:sz w:val="24"/>
          <w:szCs w:val="24"/>
          <w:lang w:val="sr-Latn-ME"/>
          <w14:ligatures w14:val="none"/>
        </w:rPr>
        <w:t>m</w:t>
      </w:r>
      <w:r w:rsidR="002346A4" w:rsidRPr="001A5DA2">
        <w:rPr>
          <w:rFonts w:eastAsia="Calibri" w:cstheme="minorHAnsi"/>
          <w:b/>
          <w:bCs/>
          <w:color w:val="000000"/>
          <w:sz w:val="24"/>
          <w:szCs w:val="24"/>
          <w:lang w:val="sr-Latn-ME"/>
          <w14:ligatures w14:val="none"/>
        </w:rPr>
        <w:t xml:space="preserve"> zakonodavstv</w:t>
      </w:r>
      <w:r>
        <w:rPr>
          <w:rFonts w:eastAsia="Calibri" w:cstheme="minorHAnsi"/>
          <w:b/>
          <w:bCs/>
          <w:color w:val="000000"/>
          <w:sz w:val="24"/>
          <w:szCs w:val="24"/>
          <w:lang w:val="sr-Latn-ME"/>
          <w14:ligatures w14:val="none"/>
        </w:rPr>
        <w:t>u</w:t>
      </w:r>
      <w:r w:rsidR="002346A4" w:rsidRPr="001A5DA2">
        <w:rPr>
          <w:rFonts w:eastAsia="Calibri" w:cstheme="minorHAnsi"/>
          <w:color w:val="000000"/>
          <w:sz w:val="24"/>
          <w:szCs w:val="24"/>
          <w:lang w:val="sr-Latn-ME"/>
          <w14:ligatures w14:val="none"/>
        </w:rPr>
        <w:t xml:space="preserve"> povećava troškove preduzeća da zaposli novog radnika. </w:t>
      </w:r>
      <w:r w:rsidR="008F4CE7">
        <w:rPr>
          <w:rFonts w:eastAsia="Calibri" w:cstheme="minorHAnsi"/>
          <w:color w:val="000000"/>
          <w:sz w:val="24"/>
          <w:szCs w:val="24"/>
          <w:lang w:val="sr-Latn-ME"/>
          <w14:ligatures w14:val="none"/>
        </w:rPr>
        <w:t>Prema Zakonu o radu, otpremnina se utvrđuje u vi</w:t>
      </w:r>
      <w:r w:rsidR="00132C60">
        <w:rPr>
          <w:rFonts w:eastAsia="Calibri" w:cstheme="minorHAnsi"/>
          <w:color w:val="000000"/>
          <w:sz w:val="24"/>
          <w:szCs w:val="24"/>
          <w:lang w:val="sr-Latn-ME"/>
          <w14:ligatures w14:val="none"/>
        </w:rPr>
        <w:t>si</w:t>
      </w:r>
      <w:r w:rsidR="008F4CE7">
        <w:rPr>
          <w:rFonts w:eastAsia="Calibri" w:cstheme="minorHAnsi"/>
          <w:color w:val="000000"/>
          <w:sz w:val="24"/>
          <w:szCs w:val="24"/>
          <w:lang w:val="sr-Latn-ME"/>
          <w14:ligatures w14:val="none"/>
        </w:rPr>
        <w:t xml:space="preserve">ni od 1/3 </w:t>
      </w:r>
      <w:r w:rsidR="008F4CE7" w:rsidRPr="006C691C">
        <w:rPr>
          <w:rFonts w:eastAsia="Calibri" w:cstheme="minorHAnsi"/>
          <w:color w:val="000000"/>
          <w:sz w:val="24"/>
          <w:szCs w:val="24"/>
          <w:lang w:val="pl-PL"/>
          <w14:ligatures w14:val="none"/>
        </w:rPr>
        <w:t>zarade zaposlenog za jednu godinu rada kod tog poslodavca. Međutim, postojanje granskih kolektivnih ugovora, često usložnjava proces, budući da su</w:t>
      </w:r>
      <w:r w:rsidR="00132C60">
        <w:rPr>
          <w:rFonts w:eastAsia="Calibri" w:cstheme="minorHAnsi"/>
          <w:color w:val="000000"/>
          <w:sz w:val="24"/>
          <w:szCs w:val="24"/>
          <w14:ligatures w14:val="none"/>
        </w:rPr>
        <w:t xml:space="preserve"> </w:t>
      </w:r>
      <w:r w:rsidR="008F4CE7" w:rsidRPr="006C691C">
        <w:rPr>
          <w:rFonts w:eastAsia="Calibri" w:cstheme="minorHAnsi"/>
          <w:color w:val="000000"/>
          <w:sz w:val="24"/>
          <w:szCs w:val="24"/>
          <w:lang w:val="pl-PL"/>
          <w14:ligatures w14:val="none"/>
        </w:rPr>
        <w:t xml:space="preserve">na nivou grane iznosi otpremnina različiti. U tom kontekstu, ukupni legislativni okvir, čini tržište rada manje fleksibilnim i mobilnim. </w:t>
      </w:r>
    </w:p>
    <w:p w14:paraId="67A01E7B" w14:textId="3093C5C4" w:rsidR="00B407C5" w:rsidRPr="00895772" w:rsidRDefault="00895772" w:rsidP="001A5DA2">
      <w:pPr>
        <w:spacing w:after="150" w:line="276" w:lineRule="auto"/>
        <w:jc w:val="both"/>
        <w:rPr>
          <w:rFonts w:eastAsia="Calibri" w:cstheme="minorHAnsi"/>
          <w:bCs/>
          <w:iCs/>
          <w:color w:val="000000"/>
          <w:sz w:val="24"/>
          <w:szCs w:val="24"/>
          <w:lang w:val="sr-Latn-ME"/>
          <w14:ligatures w14:val="none"/>
        </w:rPr>
      </w:pPr>
      <w:r w:rsidRPr="006C691C">
        <w:rPr>
          <w:rFonts w:eastAsia="Calibri" w:cstheme="minorHAnsi"/>
          <w:color w:val="000000"/>
          <w:sz w:val="24"/>
          <w:szCs w:val="24"/>
          <w:lang w:val="pl-PL"/>
          <w14:ligatures w14:val="none"/>
        </w:rPr>
        <w:t>Relativno r</w:t>
      </w:r>
      <w:r w:rsidR="002346A4" w:rsidRPr="001A5DA2">
        <w:rPr>
          <w:rFonts w:eastAsia="Calibri" w:cstheme="minorHAnsi"/>
          <w:color w:val="000000"/>
          <w:sz w:val="24"/>
          <w:szCs w:val="24"/>
          <w:lang w:val="sr-Latn-ME"/>
          <w14:ligatures w14:val="none"/>
        </w:rPr>
        <w:t xml:space="preserve">adno zakonodavstvo kod ugovora o radu na neodređeno vrijeme </w:t>
      </w:r>
      <w:r w:rsidR="00EA728A">
        <w:rPr>
          <w:rFonts w:eastAsia="Calibri" w:cstheme="minorHAnsi"/>
          <w:color w:val="000000"/>
          <w:sz w:val="24"/>
          <w:szCs w:val="24"/>
          <w:lang w:val="sr-Latn-ME"/>
          <w14:ligatures w14:val="none"/>
        </w:rPr>
        <w:t xml:space="preserve">karakterišu visoki troškovi </w:t>
      </w:r>
      <w:r w:rsidR="002346A4" w:rsidRPr="001A5DA2">
        <w:rPr>
          <w:rFonts w:eastAsia="Calibri" w:cstheme="minorHAnsi"/>
          <w:color w:val="000000"/>
          <w:sz w:val="24"/>
          <w:szCs w:val="24"/>
          <w:lang w:val="sr-Latn-ME"/>
          <w14:ligatures w14:val="none"/>
        </w:rPr>
        <w:t>otpremnina</w:t>
      </w:r>
      <w:r w:rsidR="00EA728A">
        <w:rPr>
          <w:rFonts w:eastAsia="Calibri" w:cstheme="minorHAnsi"/>
          <w:color w:val="000000"/>
          <w:sz w:val="24"/>
          <w:szCs w:val="24"/>
          <w:lang w:val="sr-Latn-ME"/>
          <w14:ligatures w14:val="none"/>
        </w:rPr>
        <w:t>, što</w:t>
      </w:r>
      <w:r w:rsidR="002346A4" w:rsidRPr="001A5DA2">
        <w:rPr>
          <w:rFonts w:eastAsia="Calibri" w:cstheme="minorHAnsi"/>
          <w:color w:val="000000"/>
          <w:sz w:val="24"/>
          <w:szCs w:val="24"/>
          <w:lang w:val="sr-Latn-ME"/>
          <w14:ligatures w14:val="none"/>
        </w:rPr>
        <w:t xml:space="preserve"> obeshrabruje poslodavce na zaključivanje ovakvih ugovora.  Veću fleksibilnost daju ugovori na određeno vrijeme. Navedene razlike u stepenu rigidnosti kreiraju različite stepene zaštite zaposlenosti</w:t>
      </w:r>
      <w:r w:rsidR="002346A4" w:rsidRPr="00281886">
        <w:rPr>
          <w:vertAlign w:val="superscript"/>
        </w:rPr>
        <w:footnoteReference w:id="16"/>
      </w:r>
      <w:r w:rsidR="002346A4" w:rsidRPr="001A5DA2">
        <w:rPr>
          <w:rFonts w:eastAsia="Calibri" w:cstheme="minorHAnsi"/>
          <w:color w:val="000000"/>
          <w:sz w:val="24"/>
          <w:szCs w:val="24"/>
          <w:lang w:val="sr-Latn-ME"/>
          <w14:ligatures w14:val="none"/>
        </w:rPr>
        <w:t xml:space="preserve"> i vode smanjenju ukupne produktivnosti rada.</w:t>
      </w:r>
      <w:r w:rsidR="00BF5A29" w:rsidRPr="001A5DA2">
        <w:rPr>
          <w:rFonts w:eastAsia="Calibri" w:cstheme="minorHAnsi"/>
          <w:color w:val="000000"/>
          <w:sz w:val="24"/>
          <w:szCs w:val="24"/>
          <w:lang w:val="sr-Latn-ME"/>
          <w14:ligatures w14:val="none"/>
        </w:rPr>
        <w:t xml:space="preserve"> </w:t>
      </w:r>
      <w:r w:rsidR="00281886" w:rsidRPr="001A5DA2">
        <w:rPr>
          <w:rFonts w:eastAsia="Calibri" w:cstheme="minorHAnsi"/>
          <w:bCs/>
          <w:iCs/>
          <w:color w:val="000000"/>
          <w:sz w:val="24"/>
          <w:szCs w:val="24"/>
          <w:lang w:val="sr-Latn-ME"/>
          <w14:ligatures w14:val="none"/>
        </w:rPr>
        <w:t>Prema istraživanju</w:t>
      </w:r>
      <w:r w:rsidR="00132C60">
        <w:rPr>
          <w:rFonts w:eastAsia="Calibri" w:cstheme="minorHAnsi"/>
          <w:bCs/>
          <w:iCs/>
          <w:color w:val="000000"/>
          <w:sz w:val="24"/>
          <w:szCs w:val="24"/>
          <w:lang w:val="sr-Latn-ME"/>
          <w14:ligatures w14:val="none"/>
        </w:rPr>
        <w:t>,</w:t>
      </w:r>
      <w:r w:rsidR="00281886" w:rsidRPr="001A5DA2">
        <w:rPr>
          <w:rFonts w:eastAsia="Calibri" w:cstheme="minorHAnsi"/>
          <w:bCs/>
          <w:iCs/>
          <w:color w:val="000000"/>
          <w:sz w:val="24"/>
          <w:szCs w:val="24"/>
          <w:lang w:val="sr-Latn-ME"/>
          <w14:ligatures w14:val="none"/>
        </w:rPr>
        <w:t xml:space="preserve"> mišljenja zainteresovanih strana za potr</w:t>
      </w:r>
      <w:r w:rsidR="00BF5A29" w:rsidRPr="001A5DA2">
        <w:rPr>
          <w:rFonts w:eastAsia="Calibri" w:cstheme="minorHAnsi"/>
          <w:bCs/>
          <w:iCs/>
          <w:color w:val="000000"/>
          <w:sz w:val="24"/>
          <w:szCs w:val="24"/>
          <w:lang w:val="sr-Latn-ME"/>
          <w14:ligatures w14:val="none"/>
        </w:rPr>
        <w:t>e</w:t>
      </w:r>
      <w:r w:rsidR="00281886" w:rsidRPr="001A5DA2">
        <w:rPr>
          <w:rFonts w:eastAsia="Calibri" w:cstheme="minorHAnsi"/>
          <w:bCs/>
          <w:iCs/>
          <w:color w:val="000000"/>
          <w:sz w:val="24"/>
          <w:szCs w:val="24"/>
          <w:lang w:val="sr-Latn-ME"/>
          <w14:ligatures w14:val="none"/>
        </w:rPr>
        <w:t xml:space="preserve">be ovog </w:t>
      </w:r>
      <w:r w:rsidR="00132C60">
        <w:rPr>
          <w:rFonts w:eastAsia="Calibri" w:cstheme="minorHAnsi"/>
          <w:bCs/>
          <w:iCs/>
          <w:color w:val="000000"/>
          <w:sz w:val="24"/>
          <w:szCs w:val="24"/>
          <w:lang w:val="sr-Latn-ME"/>
          <w14:ligatures w14:val="none"/>
        </w:rPr>
        <w:t>p</w:t>
      </w:r>
      <w:r w:rsidR="00281886" w:rsidRPr="001A5DA2">
        <w:rPr>
          <w:rFonts w:eastAsia="Calibri" w:cstheme="minorHAnsi"/>
          <w:bCs/>
          <w:iCs/>
          <w:color w:val="000000"/>
          <w:sz w:val="24"/>
          <w:szCs w:val="24"/>
          <w:lang w:val="sr-Latn-ME"/>
          <w14:ligatures w14:val="none"/>
        </w:rPr>
        <w:t>rograma, s</w:t>
      </w:r>
      <w:r w:rsidR="00B407C5" w:rsidRPr="001A5DA2">
        <w:rPr>
          <w:rFonts w:eastAsia="Calibri" w:cstheme="minorHAnsi"/>
          <w:bCs/>
          <w:iCs/>
          <w:color w:val="000000"/>
          <w:sz w:val="24"/>
          <w:szCs w:val="24"/>
          <w:lang w:val="sr-Latn-ME"/>
          <w14:ligatures w14:val="none"/>
        </w:rPr>
        <w:t xml:space="preserve">ezonsko zapošljavanje je prepoznato kao kritično sa stanovišta </w:t>
      </w:r>
      <w:r w:rsidR="00281886" w:rsidRPr="001A5DA2">
        <w:rPr>
          <w:rFonts w:eastAsia="Calibri" w:cstheme="minorHAnsi"/>
          <w:bCs/>
          <w:iCs/>
          <w:color w:val="000000"/>
          <w:sz w:val="24"/>
          <w:szCs w:val="24"/>
          <w:lang w:val="sr-Latn-ME"/>
          <w14:ligatures w14:val="none"/>
        </w:rPr>
        <w:t>neformalne</w:t>
      </w:r>
      <w:r w:rsidR="00B407C5" w:rsidRPr="001A5DA2">
        <w:rPr>
          <w:rFonts w:eastAsia="Calibri" w:cstheme="minorHAnsi"/>
          <w:bCs/>
          <w:iCs/>
          <w:color w:val="000000"/>
          <w:sz w:val="24"/>
          <w:szCs w:val="24"/>
          <w:lang w:val="sr-Latn-ME"/>
          <w14:ligatures w14:val="none"/>
        </w:rPr>
        <w:t xml:space="preserve"> ekonomije, </w:t>
      </w:r>
      <w:r w:rsidR="005F597A" w:rsidRPr="001A5DA2">
        <w:rPr>
          <w:rFonts w:eastAsia="Calibri" w:cstheme="minorHAnsi"/>
          <w:bCs/>
          <w:iCs/>
          <w:color w:val="000000"/>
          <w:sz w:val="24"/>
          <w:szCs w:val="24"/>
          <w:lang w:val="sr-Latn-ME"/>
          <w14:ligatures w14:val="none"/>
        </w:rPr>
        <w:t xml:space="preserve"> </w:t>
      </w:r>
      <w:r w:rsidR="00B407C5" w:rsidRPr="001A5DA2">
        <w:rPr>
          <w:rFonts w:eastAsia="Calibri" w:cstheme="minorHAnsi"/>
          <w:bCs/>
          <w:iCs/>
          <w:color w:val="000000"/>
          <w:sz w:val="24"/>
          <w:szCs w:val="24"/>
          <w:lang w:val="sr-Latn-ME"/>
          <w14:ligatures w14:val="none"/>
        </w:rPr>
        <w:t xml:space="preserve">gdje zbog </w:t>
      </w:r>
      <w:r w:rsidR="00281886" w:rsidRPr="001A5DA2">
        <w:rPr>
          <w:rFonts w:eastAsia="Calibri" w:cstheme="minorHAnsi"/>
          <w:bCs/>
          <w:iCs/>
          <w:color w:val="000000"/>
          <w:sz w:val="24"/>
          <w:szCs w:val="24"/>
          <w:lang w:val="sr-Latn-ME"/>
          <w14:ligatures w14:val="none"/>
        </w:rPr>
        <w:t>rigidnog radnog zakonodavstva</w:t>
      </w:r>
      <w:r w:rsidR="00B407C5" w:rsidRPr="001A5DA2">
        <w:rPr>
          <w:rFonts w:eastAsia="Calibri" w:cstheme="minorHAnsi"/>
          <w:bCs/>
          <w:iCs/>
          <w:color w:val="000000"/>
          <w:sz w:val="24"/>
          <w:szCs w:val="24"/>
          <w:lang w:val="sr-Latn-ME"/>
          <w14:ligatures w14:val="none"/>
        </w:rPr>
        <w:t xml:space="preserve"> poslodavci često bivaju prinu</w:t>
      </w:r>
      <w:r w:rsidR="00132C60">
        <w:rPr>
          <w:rFonts w:eastAsia="Calibri" w:cstheme="minorHAnsi"/>
          <w:bCs/>
          <w:iCs/>
          <w:color w:val="000000"/>
          <w:sz w:val="24"/>
          <w:szCs w:val="24"/>
          <w:lang w:val="sr-Latn-ME"/>
          <w14:ligatures w14:val="none"/>
        </w:rPr>
        <w:t>đ</w:t>
      </w:r>
      <w:r w:rsidR="00B407C5" w:rsidRPr="001A5DA2">
        <w:rPr>
          <w:rFonts w:eastAsia="Calibri" w:cstheme="minorHAnsi"/>
          <w:bCs/>
          <w:iCs/>
          <w:color w:val="000000"/>
          <w:sz w:val="24"/>
          <w:szCs w:val="24"/>
          <w:lang w:val="sr-Latn-ME"/>
          <w14:ligatures w14:val="none"/>
        </w:rPr>
        <w:t>eni da angažuju radnu snagu suprotno pozitivnim propisima (komplikovane i duge procedure prijave i dobijanje dozvola za rad).</w:t>
      </w:r>
      <w:r w:rsidR="005F597A" w:rsidRPr="001A5DA2">
        <w:rPr>
          <w:rFonts w:eastAsia="Calibri" w:cstheme="minorHAnsi"/>
          <w:bCs/>
          <w:iCs/>
          <w:color w:val="000000"/>
          <w:sz w:val="24"/>
          <w:szCs w:val="24"/>
          <w:lang w:val="sr-Latn-ME"/>
          <w14:ligatures w14:val="none"/>
        </w:rPr>
        <w:t xml:space="preserve"> </w:t>
      </w:r>
      <w:r>
        <w:rPr>
          <w:rFonts w:eastAsia="Calibri" w:cstheme="minorHAnsi"/>
          <w:bCs/>
          <w:iCs/>
          <w:color w:val="000000"/>
          <w:sz w:val="24"/>
          <w:szCs w:val="24"/>
          <w:lang w:val="sr-Latn-ME"/>
          <w14:ligatures w14:val="none"/>
        </w:rPr>
        <w:t xml:space="preserve">Činjenica je da </w:t>
      </w:r>
      <w:r w:rsidRPr="006C691C">
        <w:rPr>
          <w:rFonts w:eastAsia="Calibri" w:cstheme="minorHAnsi"/>
          <w:bCs/>
          <w:iCs/>
          <w:color w:val="000000"/>
          <w:sz w:val="24"/>
          <w:szCs w:val="24"/>
          <w:lang w:val="pl-PL"/>
          <w14:ligatures w14:val="none"/>
        </w:rPr>
        <w:t>Zakon o radu  prepoznaje sezonske poslove kao oblik rada na određeno vrijeme ne duže od 8 mjeseci u toku jedne godine. Takođe, omogućava da se sa istim zaposlenim koji je obavljao sezonske poslove iznova zaključi ugovor o sezonskim poslovima, bez obaveze transformacije ugovora na neodređeno vrijeme.</w:t>
      </w:r>
      <w:r>
        <w:rPr>
          <w:rFonts w:eastAsia="Calibri" w:cstheme="minorHAnsi"/>
          <w:bCs/>
          <w:iCs/>
          <w:color w:val="000000"/>
          <w:sz w:val="24"/>
          <w:szCs w:val="24"/>
          <w:lang w:val="sr-Latn-ME"/>
          <w14:ligatures w14:val="none"/>
        </w:rPr>
        <w:t xml:space="preserve"> Međutim, potrebno je razmotriti izmjene zakonodavnog okvira, naročito Zakona o strancima, kada je riječ o novim radnim aranžmanima u sektoru turizma.</w:t>
      </w:r>
    </w:p>
    <w:p w14:paraId="222E313E" w14:textId="14E71331" w:rsidR="005F597A" w:rsidRPr="001A5DA2" w:rsidRDefault="002346A4" w:rsidP="001A5DA2">
      <w:pPr>
        <w:spacing w:after="150" w:line="276" w:lineRule="auto"/>
        <w:jc w:val="both"/>
        <w:rPr>
          <w:rFonts w:cstheme="minorHAnsi"/>
          <w:bCs/>
          <w:iCs/>
          <w:sz w:val="24"/>
          <w:szCs w:val="24"/>
          <w:lang w:val="pl-PL"/>
        </w:rPr>
      </w:pPr>
      <w:proofErr w:type="spellStart"/>
      <w:r w:rsidRPr="001A5DA2">
        <w:rPr>
          <w:rFonts w:eastAsia="Calibri" w:cstheme="minorHAnsi"/>
          <w:b/>
          <w:bCs/>
          <w:color w:val="000000"/>
          <w:sz w:val="24"/>
          <w:szCs w:val="24"/>
          <w14:ligatures w14:val="none"/>
        </w:rPr>
        <w:t>Ograni</w:t>
      </w:r>
      <w:proofErr w:type="spellEnd"/>
      <w:r w:rsidRPr="00021CDC">
        <w:rPr>
          <w:rFonts w:eastAsia="Calibri" w:cstheme="minorHAnsi"/>
          <w:b/>
          <w:bCs/>
          <w:color w:val="000000"/>
          <w:sz w:val="24"/>
          <w:szCs w:val="24"/>
          <w:lang w:val="sr-Latn-ME"/>
          <w14:ligatures w14:val="none"/>
        </w:rPr>
        <w:t>č</w:t>
      </w:r>
      <w:proofErr w:type="spellStart"/>
      <w:r w:rsidRPr="001A5DA2">
        <w:rPr>
          <w:rFonts w:eastAsia="Calibri" w:cstheme="minorHAnsi"/>
          <w:b/>
          <w:bCs/>
          <w:color w:val="000000"/>
          <w:sz w:val="24"/>
          <w:szCs w:val="24"/>
          <w14:ligatures w14:val="none"/>
        </w:rPr>
        <w:t>eni</w:t>
      </w:r>
      <w:proofErr w:type="spellEnd"/>
      <w:r w:rsidRPr="00021CDC">
        <w:rPr>
          <w:rFonts w:eastAsia="Calibri" w:cstheme="minorHAnsi"/>
          <w:b/>
          <w:bCs/>
          <w:color w:val="000000"/>
          <w:sz w:val="24"/>
          <w:szCs w:val="24"/>
          <w:lang w:val="sr-Latn-ME"/>
          <w14:ligatures w14:val="none"/>
        </w:rPr>
        <w:t xml:space="preserve"> </w:t>
      </w:r>
      <w:proofErr w:type="spellStart"/>
      <w:r w:rsidRPr="001A5DA2">
        <w:rPr>
          <w:rFonts w:eastAsia="Calibri" w:cstheme="minorHAnsi"/>
          <w:b/>
          <w:bCs/>
          <w:color w:val="000000"/>
          <w:sz w:val="24"/>
          <w:szCs w:val="24"/>
          <w14:ligatures w14:val="none"/>
        </w:rPr>
        <w:t>administrativni</w:t>
      </w:r>
      <w:proofErr w:type="spellEnd"/>
      <w:r w:rsidRPr="00021CDC">
        <w:rPr>
          <w:rFonts w:eastAsia="Calibri" w:cstheme="minorHAnsi"/>
          <w:b/>
          <w:bCs/>
          <w:color w:val="000000"/>
          <w:sz w:val="24"/>
          <w:szCs w:val="24"/>
          <w:lang w:val="sr-Latn-ME"/>
          <w14:ligatures w14:val="none"/>
        </w:rPr>
        <w:t xml:space="preserve"> </w:t>
      </w:r>
      <w:proofErr w:type="spellStart"/>
      <w:r w:rsidRPr="001A5DA2">
        <w:rPr>
          <w:rFonts w:eastAsia="Calibri" w:cstheme="minorHAnsi"/>
          <w:b/>
          <w:bCs/>
          <w:color w:val="000000"/>
          <w:sz w:val="24"/>
          <w:szCs w:val="24"/>
          <w14:ligatures w14:val="none"/>
        </w:rPr>
        <w:t>kapaciteti</w:t>
      </w:r>
      <w:proofErr w:type="spellEnd"/>
      <w:r w:rsidR="00470183" w:rsidRPr="00021CDC">
        <w:rPr>
          <w:rFonts w:eastAsia="Calibri" w:cstheme="minorHAnsi"/>
          <w:b/>
          <w:bCs/>
          <w:color w:val="000000"/>
          <w:sz w:val="24"/>
          <w:szCs w:val="24"/>
          <w:lang w:val="sr-Latn-ME"/>
          <w14:ligatures w14:val="none"/>
        </w:rPr>
        <w:t xml:space="preserve"> </w:t>
      </w:r>
      <w:proofErr w:type="spellStart"/>
      <w:r w:rsidR="00470183" w:rsidRPr="001A5DA2">
        <w:rPr>
          <w:rFonts w:eastAsia="Calibri" w:cstheme="minorHAnsi"/>
          <w:b/>
          <w:bCs/>
          <w:color w:val="000000"/>
          <w:sz w:val="24"/>
          <w:szCs w:val="24"/>
          <w14:ligatures w14:val="none"/>
        </w:rPr>
        <w:t>javnih</w:t>
      </w:r>
      <w:proofErr w:type="spellEnd"/>
      <w:r w:rsidR="00470183" w:rsidRPr="00021CDC">
        <w:rPr>
          <w:rFonts w:eastAsia="Calibri" w:cstheme="minorHAnsi"/>
          <w:b/>
          <w:bCs/>
          <w:color w:val="000000"/>
          <w:sz w:val="24"/>
          <w:szCs w:val="24"/>
          <w:lang w:val="sr-Latn-ME"/>
          <w14:ligatures w14:val="none"/>
        </w:rPr>
        <w:t xml:space="preserve"> </w:t>
      </w:r>
      <w:proofErr w:type="spellStart"/>
      <w:r w:rsidR="00470183" w:rsidRPr="001A5DA2">
        <w:rPr>
          <w:rFonts w:eastAsia="Calibri" w:cstheme="minorHAnsi"/>
          <w:b/>
          <w:bCs/>
          <w:color w:val="000000"/>
          <w:sz w:val="24"/>
          <w:szCs w:val="24"/>
          <w14:ligatures w14:val="none"/>
        </w:rPr>
        <w:t>institucija</w:t>
      </w:r>
      <w:proofErr w:type="spellEnd"/>
      <w:r w:rsidR="000B0338" w:rsidRPr="00021CDC">
        <w:rPr>
          <w:rFonts w:eastAsia="Calibri" w:cstheme="minorHAnsi"/>
          <w:color w:val="000000"/>
          <w:sz w:val="24"/>
          <w:szCs w:val="24"/>
          <w:lang w:val="sr-Latn-ME"/>
          <w14:ligatures w14:val="none"/>
        </w:rPr>
        <w:t xml:space="preserve"> </w:t>
      </w:r>
      <w:proofErr w:type="spellStart"/>
      <w:r w:rsidR="000B0338" w:rsidRPr="001A5DA2">
        <w:rPr>
          <w:rFonts w:eastAsia="Calibri" w:cstheme="minorHAnsi"/>
          <w:color w:val="000000"/>
          <w:sz w:val="24"/>
          <w:szCs w:val="24"/>
          <w14:ligatures w14:val="none"/>
        </w:rPr>
        <w:t>i</w:t>
      </w:r>
      <w:proofErr w:type="spellEnd"/>
      <w:r w:rsidR="000B0338" w:rsidRPr="00021CDC">
        <w:rPr>
          <w:rFonts w:eastAsia="Calibri" w:cstheme="minorHAnsi"/>
          <w:color w:val="000000"/>
          <w:sz w:val="24"/>
          <w:szCs w:val="24"/>
          <w:lang w:val="sr-Latn-ME"/>
          <w14:ligatures w14:val="none"/>
        </w:rPr>
        <w:t xml:space="preserve"> </w:t>
      </w:r>
      <w:proofErr w:type="spellStart"/>
      <w:r w:rsidR="000B0338" w:rsidRPr="001A5DA2">
        <w:rPr>
          <w:rFonts w:eastAsia="Calibri" w:cstheme="minorHAnsi"/>
          <w:b/>
          <w:bCs/>
          <w:color w:val="000000"/>
          <w:sz w:val="24"/>
          <w:szCs w:val="24"/>
          <w14:ligatures w14:val="none"/>
        </w:rPr>
        <w:t>slo</w:t>
      </w:r>
      <w:proofErr w:type="spellEnd"/>
      <w:r w:rsidR="000B0338" w:rsidRPr="00021CDC">
        <w:rPr>
          <w:rFonts w:eastAsia="Calibri" w:cstheme="minorHAnsi"/>
          <w:b/>
          <w:bCs/>
          <w:color w:val="000000"/>
          <w:sz w:val="24"/>
          <w:szCs w:val="24"/>
          <w:lang w:val="sr-Latn-ME"/>
          <w14:ligatures w14:val="none"/>
        </w:rPr>
        <w:t>ž</w:t>
      </w:r>
      <w:proofErr w:type="spellStart"/>
      <w:r w:rsidR="000B0338" w:rsidRPr="001A5DA2">
        <w:rPr>
          <w:rFonts w:eastAsia="Calibri" w:cstheme="minorHAnsi"/>
          <w:b/>
          <w:bCs/>
          <w:color w:val="000000"/>
          <w:sz w:val="24"/>
          <w:szCs w:val="24"/>
          <w14:ligatures w14:val="none"/>
        </w:rPr>
        <w:t>ena</w:t>
      </w:r>
      <w:proofErr w:type="spellEnd"/>
      <w:r w:rsidR="000B0338" w:rsidRPr="00021CDC">
        <w:rPr>
          <w:rFonts w:eastAsia="Calibri" w:cstheme="minorHAnsi"/>
          <w:b/>
          <w:bCs/>
          <w:color w:val="000000"/>
          <w:sz w:val="24"/>
          <w:szCs w:val="24"/>
          <w:lang w:val="sr-Latn-ME"/>
          <w14:ligatures w14:val="none"/>
        </w:rPr>
        <w:t xml:space="preserve"> </w:t>
      </w:r>
      <w:proofErr w:type="spellStart"/>
      <w:r w:rsidR="000B0338" w:rsidRPr="001A5DA2">
        <w:rPr>
          <w:rFonts w:eastAsia="Calibri" w:cstheme="minorHAnsi"/>
          <w:b/>
          <w:bCs/>
          <w:color w:val="000000"/>
          <w:sz w:val="24"/>
          <w:szCs w:val="24"/>
          <w14:ligatures w14:val="none"/>
        </w:rPr>
        <w:t>administracija</w:t>
      </w:r>
      <w:proofErr w:type="spellEnd"/>
      <w:r w:rsidR="00470183" w:rsidRPr="00021CDC">
        <w:rPr>
          <w:rFonts w:eastAsia="Calibri" w:cstheme="minorHAnsi"/>
          <w:b/>
          <w:bCs/>
          <w:color w:val="000000"/>
          <w:sz w:val="24"/>
          <w:szCs w:val="24"/>
          <w:lang w:val="sr-Latn-ME"/>
          <w14:ligatures w14:val="none"/>
        </w:rPr>
        <w:t>,</w:t>
      </w:r>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uklju</w:t>
      </w:r>
      <w:proofErr w:type="spellEnd"/>
      <w:r w:rsidR="00470183" w:rsidRPr="00021CDC">
        <w:rPr>
          <w:rFonts w:eastAsia="Calibri" w:cstheme="minorHAnsi"/>
          <w:color w:val="000000"/>
          <w:sz w:val="24"/>
          <w:szCs w:val="24"/>
          <w:lang w:val="sr-Latn-ME"/>
          <w14:ligatures w14:val="none"/>
        </w:rPr>
        <w:t>č</w:t>
      </w:r>
      <w:proofErr w:type="spellStart"/>
      <w:r w:rsidR="00470183" w:rsidRPr="001A5DA2">
        <w:rPr>
          <w:rFonts w:eastAsia="Calibri" w:cstheme="minorHAnsi"/>
          <w:color w:val="000000"/>
          <w:sz w:val="24"/>
          <w:szCs w:val="24"/>
          <w14:ligatures w14:val="none"/>
        </w:rPr>
        <w:t>uju</w:t>
      </w:r>
      <w:proofErr w:type="spellEnd"/>
      <w:r w:rsidR="00470183" w:rsidRPr="00021CDC">
        <w:rPr>
          <w:rFonts w:eastAsia="Calibri" w:cstheme="minorHAnsi"/>
          <w:color w:val="000000"/>
          <w:sz w:val="24"/>
          <w:szCs w:val="24"/>
          <w:lang w:val="sr-Latn-ME"/>
          <w14:ligatures w14:val="none"/>
        </w:rPr>
        <w:t>ć</w:t>
      </w:r>
      <w:proofErr w:type="spellStart"/>
      <w:r w:rsidR="00470183" w:rsidRPr="001A5DA2">
        <w:rPr>
          <w:rFonts w:eastAsia="Calibri" w:cstheme="minorHAnsi"/>
          <w:color w:val="000000"/>
          <w:sz w:val="24"/>
          <w:szCs w:val="24"/>
          <w14:ligatures w14:val="none"/>
        </w:rPr>
        <w:t>i</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javnu</w:t>
      </w:r>
      <w:proofErr w:type="spellEnd"/>
      <w:r w:rsidR="00470183" w:rsidRPr="00021CDC">
        <w:rPr>
          <w:rFonts w:eastAsia="Calibri" w:cstheme="minorHAnsi"/>
          <w:color w:val="000000"/>
          <w:sz w:val="24"/>
          <w:szCs w:val="24"/>
          <w:lang w:val="sr-Latn-ME"/>
          <w14:ligatures w14:val="none"/>
        </w:rPr>
        <w:t xml:space="preserve"> </w:t>
      </w:r>
      <w:r w:rsidR="00132C60">
        <w:rPr>
          <w:rFonts w:eastAsia="Calibri" w:cstheme="minorHAnsi"/>
          <w:color w:val="000000"/>
          <w:sz w:val="24"/>
          <w:szCs w:val="24"/>
          <w:lang w:val="sr-Latn-ME"/>
          <w14:ligatures w14:val="none"/>
        </w:rPr>
        <w:t>upravu</w:t>
      </w:r>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pravosu</w:t>
      </w:r>
      <w:proofErr w:type="spellEnd"/>
      <w:r w:rsidR="00470183" w:rsidRPr="00021CDC">
        <w:rPr>
          <w:rFonts w:eastAsia="Calibri" w:cstheme="minorHAnsi"/>
          <w:color w:val="000000"/>
          <w:sz w:val="24"/>
          <w:szCs w:val="24"/>
          <w:lang w:val="sr-Latn-ME"/>
          <w14:ligatures w14:val="none"/>
        </w:rPr>
        <w:t>đ</w:t>
      </w:r>
      <w:r w:rsidR="00470183" w:rsidRPr="001A5DA2">
        <w:rPr>
          <w:rFonts w:eastAsia="Calibri" w:cstheme="minorHAnsi"/>
          <w:color w:val="000000"/>
          <w:sz w:val="24"/>
          <w:szCs w:val="24"/>
          <w14:ligatures w14:val="none"/>
        </w:rPr>
        <w:t>e</w:t>
      </w:r>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i</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nezavisne</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agencije</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kao</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va</w:t>
      </w:r>
      <w:proofErr w:type="spellEnd"/>
      <w:r w:rsidR="00470183" w:rsidRPr="00021CDC">
        <w:rPr>
          <w:rFonts w:eastAsia="Calibri" w:cstheme="minorHAnsi"/>
          <w:color w:val="000000"/>
          <w:sz w:val="24"/>
          <w:szCs w:val="24"/>
          <w:lang w:val="sr-Latn-ME"/>
          <w14:ligatures w14:val="none"/>
        </w:rPr>
        <w:t>ž</w:t>
      </w:r>
      <w:r w:rsidR="00470183" w:rsidRPr="001A5DA2">
        <w:rPr>
          <w:rFonts w:eastAsia="Calibri" w:cstheme="minorHAnsi"/>
          <w:color w:val="000000"/>
          <w:sz w:val="24"/>
          <w:szCs w:val="24"/>
          <w14:ligatures w14:val="none"/>
        </w:rPr>
        <w:t>an</w:t>
      </w:r>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temelj</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sprovo</w:t>
      </w:r>
      <w:proofErr w:type="spellEnd"/>
      <w:r w:rsidR="00470183" w:rsidRPr="00021CDC">
        <w:rPr>
          <w:rFonts w:eastAsia="Calibri" w:cstheme="minorHAnsi"/>
          <w:color w:val="000000"/>
          <w:sz w:val="24"/>
          <w:szCs w:val="24"/>
          <w:lang w:val="sr-Latn-ME"/>
          <w14:ligatures w14:val="none"/>
        </w:rPr>
        <w:t>đ</w:t>
      </w:r>
      <w:proofErr w:type="spellStart"/>
      <w:r w:rsidR="00470183" w:rsidRPr="001A5DA2">
        <w:rPr>
          <w:rFonts w:eastAsia="Calibri" w:cstheme="minorHAnsi"/>
          <w:color w:val="000000"/>
          <w:sz w:val="24"/>
          <w:szCs w:val="24"/>
          <w14:ligatures w14:val="none"/>
        </w:rPr>
        <w:t>enja</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ukupnih</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refomi</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i</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razvoja</w:t>
      </w:r>
      <w:proofErr w:type="spellEnd"/>
      <w:r w:rsidR="00470183" w:rsidRPr="00021CDC">
        <w:rPr>
          <w:rFonts w:eastAsia="Calibri" w:cstheme="minorHAnsi"/>
          <w:color w:val="000000"/>
          <w:sz w:val="24"/>
          <w:szCs w:val="24"/>
          <w:lang w:val="sr-Latn-ME"/>
          <w14:ligatures w14:val="none"/>
        </w:rPr>
        <w:t xml:space="preserve"> </w:t>
      </w:r>
      <w:proofErr w:type="spellStart"/>
      <w:r w:rsidR="00470183" w:rsidRPr="001A5DA2">
        <w:rPr>
          <w:rFonts w:eastAsia="Calibri" w:cstheme="minorHAnsi"/>
          <w:color w:val="000000"/>
          <w:sz w:val="24"/>
          <w:szCs w:val="24"/>
          <w14:ligatures w14:val="none"/>
        </w:rPr>
        <w:t>dru</w:t>
      </w:r>
      <w:proofErr w:type="spellEnd"/>
      <w:r w:rsidR="00470183" w:rsidRPr="00021CDC">
        <w:rPr>
          <w:rFonts w:eastAsia="Calibri" w:cstheme="minorHAnsi"/>
          <w:color w:val="000000"/>
          <w:sz w:val="24"/>
          <w:szCs w:val="24"/>
          <w:lang w:val="sr-Latn-ME"/>
          <w14:ligatures w14:val="none"/>
        </w:rPr>
        <w:t>š</w:t>
      </w:r>
      <w:proofErr w:type="spellStart"/>
      <w:r w:rsidR="00470183" w:rsidRPr="001A5DA2">
        <w:rPr>
          <w:rFonts w:eastAsia="Calibri" w:cstheme="minorHAnsi"/>
          <w:color w:val="000000"/>
          <w:sz w:val="24"/>
          <w:szCs w:val="24"/>
          <w14:ligatures w14:val="none"/>
        </w:rPr>
        <w:t>tva</w:t>
      </w:r>
      <w:proofErr w:type="spellEnd"/>
      <w:r w:rsidR="00470183" w:rsidRPr="00021CDC">
        <w:rPr>
          <w:rFonts w:eastAsia="Calibri" w:cstheme="minorHAnsi"/>
          <w:b/>
          <w:bCs/>
          <w:color w:val="000000"/>
          <w:sz w:val="24"/>
          <w:szCs w:val="24"/>
          <w:lang w:val="sr-Latn-ME"/>
          <w14:ligatures w14:val="none"/>
        </w:rPr>
        <w:t xml:space="preserve">. </w:t>
      </w:r>
      <w:r w:rsidR="002F2EB5" w:rsidRPr="00021CDC">
        <w:rPr>
          <w:rFonts w:eastAsia="Calibri" w:cstheme="minorHAnsi"/>
          <w:color w:val="000000"/>
          <w:sz w:val="24"/>
          <w:szCs w:val="24"/>
          <w:lang w:val="pl-PL"/>
          <w14:ligatures w14:val="none"/>
        </w:rPr>
        <w:t xml:space="preserve">Prema istraživanju zainteresovanih strana za potrebe pisanja ovog </w:t>
      </w:r>
      <w:r w:rsidR="00132C60">
        <w:rPr>
          <w:rFonts w:eastAsia="Calibri" w:cstheme="minorHAnsi"/>
          <w:color w:val="000000"/>
          <w:sz w:val="24"/>
          <w:szCs w:val="24"/>
          <w:lang w:val="pl-PL"/>
          <w14:ligatures w14:val="none"/>
        </w:rPr>
        <w:t>p</w:t>
      </w:r>
      <w:r w:rsidR="002F2EB5" w:rsidRPr="00021CDC">
        <w:rPr>
          <w:rFonts w:eastAsia="Calibri" w:cstheme="minorHAnsi"/>
          <w:color w:val="000000"/>
          <w:sz w:val="24"/>
          <w:szCs w:val="24"/>
          <w:lang w:val="pl-PL"/>
          <w14:ligatures w14:val="none"/>
        </w:rPr>
        <w:t>rograma, oko 18% ispitanika smatra da su</w:t>
      </w:r>
      <w:r w:rsidR="002F2EB5" w:rsidRPr="001A5DA2">
        <w:rPr>
          <w:rFonts w:eastAsia="Calibri" w:cstheme="minorHAnsi"/>
          <w:color w:val="000000"/>
          <w:sz w:val="24"/>
          <w:szCs w:val="24"/>
          <w:lang w:val="sr-Latn-ME"/>
          <w14:ligatures w14:val="none"/>
        </w:rPr>
        <w:t xml:space="preserve"> spora i komplikovana </w:t>
      </w:r>
      <w:r w:rsidR="0044369A" w:rsidRPr="001A5DA2">
        <w:rPr>
          <w:rFonts w:eastAsia="Calibri" w:cstheme="minorHAnsi"/>
          <w:color w:val="000000"/>
          <w:sz w:val="24"/>
          <w:szCs w:val="24"/>
          <w:lang w:val="sr-Latn-ME"/>
          <w14:ligatures w14:val="none"/>
        </w:rPr>
        <w:t>javna</w:t>
      </w:r>
      <w:r w:rsidR="002F2EB5" w:rsidRPr="001A5DA2">
        <w:rPr>
          <w:rFonts w:eastAsia="Calibri" w:cstheme="minorHAnsi"/>
          <w:color w:val="000000"/>
          <w:sz w:val="24"/>
          <w:szCs w:val="24"/>
          <w:lang w:val="sr-Latn-ME"/>
          <w14:ligatures w14:val="none"/>
        </w:rPr>
        <w:t xml:space="preserve"> </w:t>
      </w:r>
      <w:r w:rsidR="00132C60">
        <w:rPr>
          <w:rFonts w:eastAsia="Calibri" w:cstheme="minorHAnsi"/>
          <w:color w:val="000000"/>
          <w:sz w:val="24"/>
          <w:szCs w:val="24"/>
          <w:lang w:val="sr-Latn-ME"/>
          <w14:ligatures w14:val="none"/>
        </w:rPr>
        <w:t>uprava</w:t>
      </w:r>
      <w:r w:rsidR="0044369A" w:rsidRPr="001A5DA2">
        <w:rPr>
          <w:rFonts w:eastAsia="Calibri" w:cstheme="minorHAnsi"/>
          <w:color w:val="000000"/>
          <w:sz w:val="24"/>
          <w:szCs w:val="24"/>
          <w:lang w:val="sr-Latn-ME"/>
          <w14:ligatures w14:val="none"/>
        </w:rPr>
        <w:t xml:space="preserve"> i </w:t>
      </w:r>
      <w:r w:rsidR="002F2EB5" w:rsidRPr="001A5DA2">
        <w:rPr>
          <w:rFonts w:eastAsia="Calibri" w:cstheme="minorHAnsi"/>
          <w:color w:val="000000"/>
          <w:sz w:val="24"/>
          <w:szCs w:val="24"/>
          <w:lang w:val="sr-Latn-ME"/>
          <w14:ligatures w14:val="none"/>
        </w:rPr>
        <w:t xml:space="preserve">regulatorni okvir direktni uzorci </w:t>
      </w:r>
      <w:r w:rsidR="002F2EB5" w:rsidRPr="001A5DA2">
        <w:rPr>
          <w:rFonts w:eastAsia="Calibri" w:cstheme="minorHAnsi"/>
          <w:color w:val="000000"/>
          <w:sz w:val="24"/>
          <w:szCs w:val="24"/>
          <w:lang w:val="sr-Latn-ME"/>
          <w14:ligatures w14:val="none"/>
        </w:rPr>
        <w:lastRenderedPageBreak/>
        <w:t>neformalne ekonomije</w:t>
      </w:r>
      <w:r w:rsidR="00C270D5" w:rsidRPr="001A5DA2">
        <w:rPr>
          <w:rFonts w:eastAsia="Calibri" w:cstheme="minorHAnsi"/>
          <w:color w:val="000000"/>
          <w:sz w:val="24"/>
          <w:szCs w:val="24"/>
          <w:lang w:val="sr-Latn-ME"/>
          <w14:ligatures w14:val="none"/>
        </w:rPr>
        <w:t>, naročito neformalne zaposlenosti.</w:t>
      </w:r>
      <w:r w:rsidR="000B0338" w:rsidRPr="001A5DA2">
        <w:rPr>
          <w:rFonts w:eastAsia="Calibri" w:cstheme="minorHAnsi"/>
          <w:color w:val="000000"/>
          <w:sz w:val="24"/>
          <w:szCs w:val="24"/>
          <w:lang w:val="sr-Latn-ME"/>
          <w14:ligatures w14:val="none"/>
        </w:rPr>
        <w:t xml:space="preserve"> Takodje, ističu</w:t>
      </w:r>
      <w:r w:rsidR="007B58A8" w:rsidRPr="001A5DA2">
        <w:rPr>
          <w:rFonts w:eastAsia="Calibri" w:cstheme="minorHAnsi"/>
          <w:color w:val="000000"/>
          <w:sz w:val="24"/>
          <w:szCs w:val="24"/>
          <w:lang w:val="sr-Latn-ME"/>
          <w14:ligatures w14:val="none"/>
        </w:rPr>
        <w:t xml:space="preserve"> da je korupcija</w:t>
      </w:r>
      <w:r w:rsidR="000B0338" w:rsidRPr="001A5DA2">
        <w:rPr>
          <w:rFonts w:eastAsia="Calibri" w:cstheme="minorHAnsi"/>
          <w:color w:val="000000"/>
          <w:sz w:val="24"/>
          <w:szCs w:val="24"/>
          <w:lang w:val="sr-Latn-ME"/>
          <w14:ligatures w14:val="none"/>
        </w:rPr>
        <w:t xml:space="preserve">, iako </w:t>
      </w:r>
      <w:r w:rsidR="007B58A8" w:rsidRPr="001A5DA2">
        <w:rPr>
          <w:rFonts w:eastAsia="Calibri" w:cstheme="minorHAnsi"/>
          <w:color w:val="000000"/>
          <w:sz w:val="24"/>
          <w:szCs w:val="24"/>
          <w:lang w:val="sr-Latn-ME"/>
          <w14:ligatures w14:val="none"/>
        </w:rPr>
        <w:t xml:space="preserve">u </w:t>
      </w:r>
      <w:r w:rsidR="000B0338" w:rsidRPr="001A5DA2">
        <w:rPr>
          <w:rFonts w:eastAsia="Calibri" w:cstheme="minorHAnsi"/>
          <w:color w:val="000000"/>
          <w:sz w:val="24"/>
          <w:szCs w:val="24"/>
          <w:lang w:val="sr-Latn-ME"/>
          <w14:ligatures w14:val="none"/>
        </w:rPr>
        <w:t xml:space="preserve">nižem procentu, jedan od razloga nedovoljne efikasnosti administracije. Nepostojanje </w:t>
      </w:r>
      <w:r w:rsidR="00396CE9" w:rsidRPr="001A5DA2">
        <w:rPr>
          <w:rFonts w:eastAsia="Calibri" w:cstheme="minorHAnsi"/>
          <w:iCs/>
          <w:color w:val="000000"/>
          <w:sz w:val="24"/>
          <w:szCs w:val="24"/>
          <w:lang w:val="pl-PL"/>
          <w14:ligatures w14:val="none"/>
        </w:rPr>
        <w:t>jedinstvene baze poreskih obveznik</w:t>
      </w:r>
      <w:r w:rsidR="000B0338" w:rsidRPr="001A5DA2">
        <w:rPr>
          <w:rFonts w:eastAsia="Calibri" w:cstheme="minorHAnsi"/>
          <w:iCs/>
          <w:color w:val="000000"/>
          <w:sz w:val="24"/>
          <w:szCs w:val="24"/>
          <w:lang w:val="pl-PL"/>
          <w14:ligatures w14:val="none"/>
        </w:rPr>
        <w:t>a je takodje j</w:t>
      </w:r>
      <w:r w:rsidR="007B58A8" w:rsidRPr="001A5DA2">
        <w:rPr>
          <w:rFonts w:eastAsia="Calibri" w:cstheme="minorHAnsi"/>
          <w:iCs/>
          <w:color w:val="000000"/>
          <w:sz w:val="24"/>
          <w:szCs w:val="24"/>
          <w:lang w:val="pl-PL"/>
          <w14:ligatures w14:val="none"/>
        </w:rPr>
        <w:t>e</w:t>
      </w:r>
      <w:r w:rsidR="000B0338" w:rsidRPr="001A5DA2">
        <w:rPr>
          <w:rFonts w:eastAsia="Calibri" w:cstheme="minorHAnsi"/>
          <w:iCs/>
          <w:color w:val="000000"/>
          <w:sz w:val="24"/>
          <w:szCs w:val="24"/>
          <w:lang w:val="pl-PL"/>
          <w14:ligatures w14:val="none"/>
        </w:rPr>
        <w:t>dan od izazova,</w:t>
      </w:r>
      <w:r w:rsidR="00396CE9" w:rsidRPr="001A5DA2">
        <w:rPr>
          <w:rFonts w:eastAsia="Calibri" w:cstheme="minorHAnsi"/>
          <w:iCs/>
          <w:color w:val="000000"/>
          <w:sz w:val="24"/>
          <w:szCs w:val="24"/>
          <w:lang w:val="pl-PL"/>
          <w14:ligatures w14:val="none"/>
        </w:rPr>
        <w:t xml:space="preserve"> te </w:t>
      </w:r>
      <w:r w:rsidR="000B0338" w:rsidRPr="001A5DA2">
        <w:rPr>
          <w:rFonts w:eastAsia="Calibri" w:cstheme="minorHAnsi"/>
          <w:iCs/>
          <w:color w:val="000000"/>
          <w:sz w:val="24"/>
          <w:szCs w:val="24"/>
          <w:lang w:val="pl-PL"/>
          <w14:ligatures w14:val="none"/>
        </w:rPr>
        <w:t xml:space="preserve">bi </w:t>
      </w:r>
      <w:r w:rsidR="00396CE9" w:rsidRPr="001A5DA2">
        <w:rPr>
          <w:rFonts w:eastAsia="Calibri" w:cstheme="minorHAnsi"/>
          <w:iCs/>
          <w:color w:val="000000"/>
          <w:sz w:val="24"/>
          <w:szCs w:val="24"/>
          <w:lang w:val="pl-PL"/>
          <w14:ligatures w14:val="none"/>
        </w:rPr>
        <w:t>projekat “jedinstveni poreski broj” za svakog gradjanina Crne Gor</w:t>
      </w:r>
      <w:r w:rsidR="000B0338" w:rsidRPr="001A5DA2">
        <w:rPr>
          <w:rFonts w:eastAsia="Calibri" w:cstheme="minorHAnsi"/>
          <w:iCs/>
          <w:color w:val="000000"/>
          <w:sz w:val="24"/>
          <w:szCs w:val="24"/>
          <w:lang w:val="pl-PL"/>
          <w14:ligatures w14:val="none"/>
        </w:rPr>
        <w:t xml:space="preserve">e bio </w:t>
      </w:r>
      <w:r w:rsidR="004B4783" w:rsidRPr="001A5DA2">
        <w:rPr>
          <w:rFonts w:eastAsia="Calibri" w:cstheme="minorHAnsi"/>
          <w:iCs/>
          <w:color w:val="000000"/>
          <w:sz w:val="24"/>
          <w:szCs w:val="24"/>
          <w:lang w:val="pl-PL"/>
          <w14:ligatures w14:val="none"/>
        </w:rPr>
        <w:t>je</w:t>
      </w:r>
      <w:r w:rsidR="000B0338" w:rsidRPr="001A5DA2">
        <w:rPr>
          <w:rFonts w:eastAsia="Calibri" w:cstheme="minorHAnsi"/>
          <w:iCs/>
          <w:color w:val="000000"/>
          <w:sz w:val="24"/>
          <w:szCs w:val="24"/>
          <w:lang w:val="pl-PL"/>
          <w14:ligatures w14:val="none"/>
        </w:rPr>
        <w:t>d</w:t>
      </w:r>
      <w:r w:rsidR="007B58A8" w:rsidRPr="001A5DA2">
        <w:rPr>
          <w:rFonts w:eastAsia="Calibri" w:cstheme="minorHAnsi"/>
          <w:iCs/>
          <w:color w:val="000000"/>
          <w:sz w:val="24"/>
          <w:szCs w:val="24"/>
          <w:lang w:val="pl-PL"/>
          <w14:ligatures w14:val="none"/>
        </w:rPr>
        <w:t>an</w:t>
      </w:r>
      <w:r w:rsidR="000B0338" w:rsidRPr="001A5DA2">
        <w:rPr>
          <w:rFonts w:eastAsia="Calibri" w:cstheme="minorHAnsi"/>
          <w:iCs/>
          <w:color w:val="000000"/>
          <w:sz w:val="24"/>
          <w:szCs w:val="24"/>
          <w:lang w:val="pl-PL"/>
          <w14:ligatures w14:val="none"/>
        </w:rPr>
        <w:t xml:space="preserve"> od odgovora na taj izazov. </w:t>
      </w:r>
      <w:r w:rsidR="000B0338" w:rsidRPr="001A5DA2">
        <w:rPr>
          <w:rFonts w:eastAsia="Calibri" w:cstheme="minorHAnsi"/>
          <w:bCs/>
          <w:iCs/>
          <w:color w:val="000000"/>
          <w:sz w:val="24"/>
          <w:szCs w:val="24"/>
          <w:lang w:val="sr-Latn-ME"/>
          <w14:ligatures w14:val="none"/>
        </w:rPr>
        <w:t>Istraživanje je generalno ukaz</w:t>
      </w:r>
      <w:r w:rsidR="00132C60">
        <w:rPr>
          <w:rFonts w:eastAsia="Calibri" w:cstheme="minorHAnsi"/>
          <w:bCs/>
          <w:iCs/>
          <w:color w:val="000000"/>
          <w:sz w:val="24"/>
          <w:szCs w:val="24"/>
          <w:lang w:val="sr-Latn-ME"/>
          <w14:ligatures w14:val="none"/>
        </w:rPr>
        <w:t>alo</w:t>
      </w:r>
      <w:r w:rsidR="000B0338" w:rsidRPr="001A5DA2">
        <w:rPr>
          <w:rFonts w:eastAsia="Calibri" w:cstheme="minorHAnsi"/>
          <w:bCs/>
          <w:iCs/>
          <w:color w:val="000000"/>
          <w:sz w:val="24"/>
          <w:szCs w:val="24"/>
          <w:lang w:val="sr-Latn-ME"/>
          <w14:ligatures w14:val="none"/>
        </w:rPr>
        <w:t xml:space="preserve"> na značajne ins</w:t>
      </w:r>
      <w:r w:rsidR="00895772">
        <w:rPr>
          <w:rFonts w:eastAsia="Calibri" w:cstheme="minorHAnsi"/>
          <w:bCs/>
          <w:iCs/>
          <w:color w:val="000000"/>
          <w:sz w:val="24"/>
          <w:szCs w:val="24"/>
          <w:lang w:val="sr-Latn-ME"/>
          <w14:ligatures w14:val="none"/>
        </w:rPr>
        <w:t>titu</w:t>
      </w:r>
      <w:r w:rsidR="000B0338" w:rsidRPr="001A5DA2">
        <w:rPr>
          <w:rFonts w:eastAsia="Calibri" w:cstheme="minorHAnsi"/>
          <w:bCs/>
          <w:iCs/>
          <w:color w:val="000000"/>
          <w:sz w:val="24"/>
          <w:szCs w:val="24"/>
          <w:lang w:val="sr-Latn-ME"/>
          <w14:ligatures w14:val="none"/>
        </w:rPr>
        <w:t>cionalne izazove, prije svega na nedostatak koordinacije aktivnosti (ministarstva, inspekcije, policija, sudstvo, tužilastva) i inspekcijskom kadru.</w:t>
      </w:r>
      <w:r w:rsidR="005F597A" w:rsidRPr="001A5DA2">
        <w:rPr>
          <w:rFonts w:eastAsia="Calibri" w:cstheme="minorHAnsi"/>
          <w:bCs/>
          <w:iCs/>
          <w:color w:val="000000"/>
          <w:sz w:val="24"/>
          <w:szCs w:val="24"/>
          <w:lang w:val="sr-Latn-ME"/>
          <w14:ligatures w14:val="none"/>
        </w:rPr>
        <w:t xml:space="preserve"> Dodatno, </w:t>
      </w:r>
      <w:r w:rsidR="00BF5A29" w:rsidRPr="001A5DA2">
        <w:rPr>
          <w:rFonts w:eastAsia="Calibri" w:cstheme="minorHAnsi"/>
          <w:bCs/>
          <w:iCs/>
          <w:color w:val="000000"/>
          <w:sz w:val="24"/>
          <w:szCs w:val="24"/>
          <w:lang w:val="sr-Latn-ME"/>
          <w14:ligatures w14:val="none"/>
        </w:rPr>
        <w:t xml:space="preserve">ograničeni su </w:t>
      </w:r>
      <w:r w:rsidR="005F597A" w:rsidRPr="001A5DA2">
        <w:rPr>
          <w:rFonts w:eastAsia="Calibri" w:cstheme="minorHAnsi"/>
          <w:bCs/>
          <w:iCs/>
          <w:color w:val="000000"/>
          <w:sz w:val="24"/>
          <w:szCs w:val="24"/>
          <w:lang w:val="sr-Latn-ME"/>
          <w14:ligatures w14:val="none"/>
        </w:rPr>
        <w:t>administrativni kapaciteti</w:t>
      </w:r>
      <w:r w:rsidR="005F597A" w:rsidRPr="00021CDC">
        <w:rPr>
          <w:rFonts w:cstheme="minorHAnsi"/>
          <w:iCs/>
          <w:sz w:val="24"/>
          <w:szCs w:val="24"/>
          <w:lang w:val="sr-Latn-ME"/>
        </w:rPr>
        <w:t xml:space="preserve"> </w:t>
      </w:r>
      <w:proofErr w:type="spellStart"/>
      <w:r w:rsidR="005F597A" w:rsidRPr="001A5DA2">
        <w:rPr>
          <w:rFonts w:cstheme="minorHAnsi"/>
          <w:iCs/>
          <w:sz w:val="24"/>
          <w:szCs w:val="24"/>
        </w:rPr>
        <w:t>dr</w:t>
      </w:r>
      <w:proofErr w:type="spellEnd"/>
      <w:r w:rsidR="005F597A" w:rsidRPr="00021CDC">
        <w:rPr>
          <w:rFonts w:cstheme="minorHAnsi"/>
          <w:iCs/>
          <w:sz w:val="24"/>
          <w:szCs w:val="24"/>
          <w:lang w:val="sr-Latn-ME"/>
        </w:rPr>
        <w:t>ž</w:t>
      </w:r>
      <w:proofErr w:type="spellStart"/>
      <w:r w:rsidR="005F597A" w:rsidRPr="001A5DA2">
        <w:rPr>
          <w:rFonts w:cstheme="minorHAnsi"/>
          <w:iCs/>
          <w:sz w:val="24"/>
          <w:szCs w:val="24"/>
        </w:rPr>
        <w:t>avnih</w:t>
      </w:r>
      <w:proofErr w:type="spellEnd"/>
      <w:r w:rsidR="005F597A" w:rsidRPr="00021CDC">
        <w:rPr>
          <w:rFonts w:cstheme="minorHAnsi"/>
          <w:iCs/>
          <w:sz w:val="24"/>
          <w:szCs w:val="24"/>
          <w:lang w:val="sr-Latn-ME"/>
        </w:rPr>
        <w:t xml:space="preserve"> </w:t>
      </w:r>
      <w:r w:rsidR="005F597A" w:rsidRPr="001A5DA2">
        <w:rPr>
          <w:rFonts w:cstheme="minorHAnsi"/>
          <w:iCs/>
          <w:sz w:val="24"/>
          <w:szCs w:val="24"/>
        </w:rPr>
        <w:t>organa</w:t>
      </w:r>
      <w:r w:rsidR="005F597A" w:rsidRPr="00021CDC">
        <w:rPr>
          <w:rFonts w:cstheme="minorHAnsi"/>
          <w:iCs/>
          <w:sz w:val="24"/>
          <w:szCs w:val="24"/>
          <w:lang w:val="sr-Latn-ME"/>
        </w:rPr>
        <w:t xml:space="preserve"> </w:t>
      </w:r>
      <w:r w:rsidR="005F597A" w:rsidRPr="001A5DA2">
        <w:rPr>
          <w:rFonts w:cstheme="minorHAnsi"/>
          <w:iCs/>
          <w:sz w:val="24"/>
          <w:szCs w:val="24"/>
        </w:rPr>
        <w:t>u</w:t>
      </w:r>
      <w:r w:rsidR="005F597A" w:rsidRPr="00021CDC">
        <w:rPr>
          <w:rFonts w:cstheme="minorHAnsi"/>
          <w:iCs/>
          <w:sz w:val="24"/>
          <w:szCs w:val="24"/>
          <w:lang w:val="sr-Latn-ME"/>
        </w:rPr>
        <w:t xml:space="preserve"> </w:t>
      </w:r>
      <w:proofErr w:type="spellStart"/>
      <w:r w:rsidR="005F597A" w:rsidRPr="001A5DA2">
        <w:rPr>
          <w:rFonts w:cstheme="minorHAnsi"/>
          <w:iCs/>
          <w:sz w:val="24"/>
          <w:szCs w:val="24"/>
        </w:rPr>
        <w:t>cilju</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provjere</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uskla</w:t>
      </w:r>
      <w:proofErr w:type="spellEnd"/>
      <w:r w:rsidR="005F597A" w:rsidRPr="00021CDC">
        <w:rPr>
          <w:rFonts w:cstheme="minorHAnsi"/>
          <w:iCs/>
          <w:sz w:val="24"/>
          <w:szCs w:val="24"/>
          <w:lang w:val="sr-Latn-ME"/>
        </w:rPr>
        <w:t>đ</w:t>
      </w:r>
      <w:proofErr w:type="spellStart"/>
      <w:r w:rsidR="005F597A" w:rsidRPr="001A5DA2">
        <w:rPr>
          <w:rFonts w:cstheme="minorHAnsi"/>
          <w:iCs/>
          <w:sz w:val="24"/>
          <w:szCs w:val="24"/>
        </w:rPr>
        <w:t>enosti</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poslovanja</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sa</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pozitivnim</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zakonskim</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propisima</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Crne</w:t>
      </w:r>
      <w:proofErr w:type="spellEnd"/>
      <w:r w:rsidR="005F597A" w:rsidRPr="00021CDC">
        <w:rPr>
          <w:rFonts w:cstheme="minorHAnsi"/>
          <w:iCs/>
          <w:sz w:val="24"/>
          <w:szCs w:val="24"/>
          <w:lang w:val="sr-Latn-ME"/>
        </w:rPr>
        <w:t xml:space="preserve"> </w:t>
      </w:r>
      <w:r w:rsidR="005F597A" w:rsidRPr="001A5DA2">
        <w:rPr>
          <w:rFonts w:cstheme="minorHAnsi"/>
          <w:iCs/>
          <w:sz w:val="24"/>
          <w:szCs w:val="24"/>
        </w:rPr>
        <w:t>Gore</w:t>
      </w:r>
      <w:r w:rsidR="005F597A" w:rsidRPr="00021CDC">
        <w:rPr>
          <w:rFonts w:cstheme="minorHAnsi"/>
          <w:iCs/>
          <w:sz w:val="24"/>
          <w:szCs w:val="24"/>
          <w:lang w:val="sr-Latn-ME"/>
        </w:rPr>
        <w:t xml:space="preserve">, </w:t>
      </w:r>
      <w:proofErr w:type="spellStart"/>
      <w:r w:rsidR="00F55BEF">
        <w:rPr>
          <w:rFonts w:cstheme="minorHAnsi"/>
          <w:iCs/>
          <w:sz w:val="24"/>
          <w:szCs w:val="24"/>
        </w:rPr>
        <w:t>i</w:t>
      </w:r>
      <w:proofErr w:type="spellEnd"/>
      <w:r w:rsidR="007B58A8" w:rsidRPr="00021CDC">
        <w:rPr>
          <w:rFonts w:cstheme="minorHAnsi"/>
          <w:iCs/>
          <w:sz w:val="24"/>
          <w:szCs w:val="24"/>
          <w:lang w:val="sr-Latn-ME"/>
        </w:rPr>
        <w:t xml:space="preserve"> </w:t>
      </w:r>
      <w:proofErr w:type="spellStart"/>
      <w:r w:rsidR="007B58A8" w:rsidRPr="001A5DA2">
        <w:rPr>
          <w:rFonts w:cstheme="minorHAnsi"/>
          <w:iCs/>
          <w:sz w:val="24"/>
          <w:szCs w:val="24"/>
        </w:rPr>
        <w:t>spre</w:t>
      </w:r>
      <w:proofErr w:type="spellEnd"/>
      <w:r w:rsidR="007B58A8" w:rsidRPr="00021CDC">
        <w:rPr>
          <w:rFonts w:cstheme="minorHAnsi"/>
          <w:iCs/>
          <w:sz w:val="24"/>
          <w:szCs w:val="24"/>
          <w:lang w:val="sr-Latn-ME"/>
        </w:rPr>
        <w:t>č</w:t>
      </w:r>
      <w:proofErr w:type="spellStart"/>
      <w:r w:rsidR="007B58A8" w:rsidRPr="001A5DA2">
        <w:rPr>
          <w:rFonts w:cstheme="minorHAnsi"/>
          <w:iCs/>
          <w:sz w:val="24"/>
          <w:szCs w:val="24"/>
        </w:rPr>
        <w:t>avanje</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zloupotrebe</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prava</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sa</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ciljem</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spre</w:t>
      </w:r>
      <w:proofErr w:type="spellEnd"/>
      <w:r w:rsidR="005F597A" w:rsidRPr="00021CDC">
        <w:rPr>
          <w:rFonts w:cstheme="minorHAnsi"/>
          <w:iCs/>
          <w:sz w:val="24"/>
          <w:szCs w:val="24"/>
          <w:lang w:val="sr-Latn-ME"/>
        </w:rPr>
        <w:t>č</w:t>
      </w:r>
      <w:proofErr w:type="spellStart"/>
      <w:r w:rsidR="005F597A" w:rsidRPr="001A5DA2">
        <w:rPr>
          <w:rFonts w:cstheme="minorHAnsi"/>
          <w:iCs/>
          <w:sz w:val="24"/>
          <w:szCs w:val="24"/>
        </w:rPr>
        <w:t>avanja</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evazije</w:t>
      </w:r>
      <w:proofErr w:type="spellEnd"/>
      <w:r w:rsidR="005F597A" w:rsidRPr="00021CDC">
        <w:rPr>
          <w:rFonts w:cstheme="minorHAnsi"/>
          <w:iCs/>
          <w:sz w:val="24"/>
          <w:szCs w:val="24"/>
          <w:lang w:val="sr-Latn-ME"/>
        </w:rPr>
        <w:t xml:space="preserve"> </w:t>
      </w:r>
      <w:proofErr w:type="spellStart"/>
      <w:r w:rsidR="005F597A" w:rsidRPr="001A5DA2">
        <w:rPr>
          <w:rFonts w:cstheme="minorHAnsi"/>
          <w:iCs/>
          <w:sz w:val="24"/>
          <w:szCs w:val="24"/>
        </w:rPr>
        <w:t>poreza</w:t>
      </w:r>
      <w:proofErr w:type="spellEnd"/>
      <w:r w:rsidR="007B58A8">
        <w:rPr>
          <w:rStyle w:val="FootnoteReference"/>
          <w:rFonts w:cstheme="minorHAnsi"/>
          <w:iCs/>
          <w:sz w:val="24"/>
          <w:szCs w:val="24"/>
        </w:rPr>
        <w:footnoteReference w:id="17"/>
      </w:r>
      <w:r w:rsidR="00BF5A29" w:rsidRPr="00021CDC">
        <w:rPr>
          <w:rFonts w:cstheme="minorHAnsi"/>
          <w:iCs/>
          <w:sz w:val="24"/>
          <w:szCs w:val="24"/>
          <w:lang w:val="sr-Latn-ME"/>
        </w:rPr>
        <w:t xml:space="preserve">. </w:t>
      </w:r>
      <w:r w:rsidR="005F597A" w:rsidRPr="001A5DA2">
        <w:rPr>
          <w:rFonts w:cstheme="minorHAnsi"/>
          <w:bCs/>
          <w:iCs/>
          <w:sz w:val="24"/>
          <w:szCs w:val="24"/>
          <w:lang w:val="pl-PL"/>
        </w:rPr>
        <w:t>Neophodno je prevashodno sprovo</w:t>
      </w:r>
      <w:r w:rsidR="00132C60">
        <w:rPr>
          <w:rFonts w:cstheme="minorHAnsi"/>
          <w:bCs/>
          <w:iCs/>
          <w:sz w:val="24"/>
          <w:szCs w:val="24"/>
          <w:lang w:val="pl-PL"/>
        </w:rPr>
        <w:t>đ</w:t>
      </w:r>
      <w:r w:rsidR="005F597A" w:rsidRPr="001A5DA2">
        <w:rPr>
          <w:rFonts w:cstheme="minorHAnsi"/>
          <w:bCs/>
          <w:iCs/>
          <w:sz w:val="24"/>
          <w:szCs w:val="24"/>
          <w:lang w:val="pl-PL"/>
        </w:rPr>
        <w:t>enje funkcionalne analize inspekcija relevantnih za suzbijanje</w:t>
      </w:r>
      <w:r w:rsidR="00BF5A29" w:rsidRPr="001A5DA2">
        <w:rPr>
          <w:rFonts w:cstheme="minorHAnsi"/>
          <w:bCs/>
          <w:iCs/>
          <w:sz w:val="24"/>
          <w:szCs w:val="24"/>
          <w:lang w:val="pl-PL"/>
        </w:rPr>
        <w:t xml:space="preserve"> neformalne</w:t>
      </w:r>
      <w:r w:rsidR="005F597A" w:rsidRPr="001A5DA2">
        <w:rPr>
          <w:rFonts w:cstheme="minorHAnsi"/>
          <w:bCs/>
          <w:iCs/>
          <w:sz w:val="24"/>
          <w:szCs w:val="24"/>
          <w:lang w:val="pl-PL"/>
        </w:rPr>
        <w:t xml:space="preserve"> ekonomije. Nu</w:t>
      </w:r>
      <w:r w:rsidR="00BF5A29" w:rsidRPr="001A5DA2">
        <w:rPr>
          <w:rFonts w:cstheme="minorHAnsi"/>
          <w:bCs/>
          <w:iCs/>
          <w:sz w:val="24"/>
          <w:szCs w:val="24"/>
          <w:lang w:val="pl-PL"/>
        </w:rPr>
        <w:t>ž</w:t>
      </w:r>
      <w:r w:rsidR="005F597A" w:rsidRPr="001A5DA2">
        <w:rPr>
          <w:rFonts w:cstheme="minorHAnsi"/>
          <w:bCs/>
          <w:iCs/>
          <w:sz w:val="24"/>
          <w:szCs w:val="24"/>
          <w:lang w:val="pl-PL"/>
        </w:rPr>
        <w:t xml:space="preserve">no je </w:t>
      </w:r>
      <w:r w:rsidR="00BF5A29" w:rsidRPr="001A5DA2">
        <w:rPr>
          <w:rFonts w:cstheme="minorHAnsi"/>
          <w:bCs/>
          <w:iCs/>
          <w:sz w:val="24"/>
          <w:szCs w:val="24"/>
          <w:lang w:val="pl-PL"/>
        </w:rPr>
        <w:t xml:space="preserve">detaljno analizirati </w:t>
      </w:r>
      <w:r w:rsidR="005F597A" w:rsidRPr="001A5DA2">
        <w:rPr>
          <w:rFonts w:cstheme="minorHAnsi"/>
          <w:bCs/>
          <w:iCs/>
          <w:sz w:val="24"/>
          <w:szCs w:val="24"/>
          <w:lang w:val="pl-PL"/>
        </w:rPr>
        <w:t xml:space="preserve"> kapacitete, potrebne resurse </w:t>
      </w:r>
      <w:r w:rsidR="00BF5A29" w:rsidRPr="001A5DA2">
        <w:rPr>
          <w:rFonts w:cstheme="minorHAnsi"/>
          <w:bCs/>
          <w:iCs/>
          <w:sz w:val="24"/>
          <w:szCs w:val="24"/>
          <w:lang w:val="pl-PL"/>
        </w:rPr>
        <w:t>i</w:t>
      </w:r>
      <w:r w:rsidR="005F597A" w:rsidRPr="001A5DA2">
        <w:rPr>
          <w:rFonts w:cstheme="minorHAnsi"/>
          <w:bCs/>
          <w:iCs/>
          <w:sz w:val="24"/>
          <w:szCs w:val="24"/>
          <w:lang w:val="pl-PL"/>
        </w:rPr>
        <w:t xml:space="preserve"> izvr</w:t>
      </w:r>
      <w:r w:rsidR="007B58A8" w:rsidRPr="001A5DA2">
        <w:rPr>
          <w:rFonts w:cstheme="minorHAnsi"/>
          <w:bCs/>
          <w:iCs/>
          <w:sz w:val="24"/>
          <w:szCs w:val="24"/>
          <w:lang w:val="pl-PL"/>
        </w:rPr>
        <w:t>š</w:t>
      </w:r>
      <w:r w:rsidR="005F597A" w:rsidRPr="001A5DA2">
        <w:rPr>
          <w:rFonts w:cstheme="minorHAnsi"/>
          <w:bCs/>
          <w:iCs/>
          <w:sz w:val="24"/>
          <w:szCs w:val="24"/>
          <w:lang w:val="pl-PL"/>
        </w:rPr>
        <w:t>iti optimizaciju rada relevantnih inspekcija</w:t>
      </w:r>
      <w:r w:rsidR="005F597A" w:rsidRPr="002C5875">
        <w:rPr>
          <w:rFonts w:cstheme="minorHAnsi"/>
          <w:bCs/>
          <w:iCs/>
          <w:sz w:val="24"/>
          <w:szCs w:val="24"/>
          <w:lang w:val="pl-PL"/>
        </w:rPr>
        <w:t xml:space="preserve">. </w:t>
      </w:r>
      <w:r w:rsidR="002C5875" w:rsidRPr="00A42DF7">
        <w:rPr>
          <w:rFonts w:cstheme="minorHAnsi"/>
          <w:bCs/>
          <w:iCs/>
          <w:sz w:val="24"/>
          <w:szCs w:val="24"/>
          <w:lang w:val="pl-PL"/>
        </w:rPr>
        <w:t xml:space="preserve">Dobra polazna tačka </w:t>
      </w:r>
      <w:r w:rsidR="00132C60">
        <w:rPr>
          <w:rFonts w:cstheme="minorHAnsi"/>
          <w:bCs/>
          <w:iCs/>
          <w:sz w:val="24"/>
          <w:szCs w:val="24"/>
          <w:lang w:val="pl-PL"/>
        </w:rPr>
        <w:t>z</w:t>
      </w:r>
      <w:r w:rsidR="002C5875" w:rsidRPr="00A42DF7">
        <w:rPr>
          <w:rFonts w:cstheme="minorHAnsi"/>
          <w:bCs/>
          <w:iCs/>
          <w:sz w:val="24"/>
          <w:szCs w:val="24"/>
          <w:lang w:val="pl-PL"/>
        </w:rPr>
        <w:t>a navedeno je Analiza efikasnosti djelovanja uprave za inspekcijske poslove</w:t>
      </w:r>
      <w:r w:rsidR="00132C60">
        <w:rPr>
          <w:rFonts w:cstheme="minorHAnsi"/>
          <w:bCs/>
          <w:iCs/>
          <w:sz w:val="24"/>
          <w:szCs w:val="24"/>
          <w:lang w:val="pl-PL"/>
        </w:rPr>
        <w:t xml:space="preserve">, koju je Vlada usvojila u </w:t>
      </w:r>
      <w:r w:rsidR="002C5875" w:rsidRPr="00A42DF7">
        <w:rPr>
          <w:rFonts w:cstheme="minorHAnsi"/>
          <w:bCs/>
          <w:iCs/>
          <w:sz w:val="24"/>
          <w:szCs w:val="24"/>
          <w:lang w:val="pl-PL"/>
        </w:rPr>
        <w:t xml:space="preserve"> mart</w:t>
      </w:r>
      <w:r w:rsidR="00132C60">
        <w:rPr>
          <w:rFonts w:cstheme="minorHAnsi"/>
          <w:bCs/>
          <w:iCs/>
          <w:sz w:val="24"/>
          <w:szCs w:val="24"/>
          <w:lang w:val="pl-PL"/>
        </w:rPr>
        <w:t>u</w:t>
      </w:r>
      <w:r w:rsidR="002C5875" w:rsidRPr="00A42DF7">
        <w:rPr>
          <w:rFonts w:cstheme="minorHAnsi"/>
          <w:bCs/>
          <w:iCs/>
          <w:sz w:val="24"/>
          <w:szCs w:val="24"/>
          <w:lang w:val="pl-PL"/>
        </w:rPr>
        <w:t xml:space="preserve"> 2021. godine. U Analizi je ukazano da je udio  inspektora u cjelokupnom broju zaposlenih pao sa 85,9% na 78%. </w:t>
      </w:r>
      <w:r w:rsidR="002C5875" w:rsidRPr="006C691C">
        <w:rPr>
          <w:rFonts w:cstheme="minorHAnsi"/>
          <w:bCs/>
          <w:iCs/>
          <w:sz w:val="24"/>
          <w:szCs w:val="24"/>
          <w:lang w:val="pl-PL"/>
        </w:rPr>
        <w:t>U Analizi je naznačeno i da je u radu Uprave izraženo preventivno djelovanje inspekcija, dok se mali broj kontrola završava sankcijama. Analiza takodje ukazuje da je evidentan trend izuzimanja inspekcija iz Uprave, što dovodi u pitanje svrsishodnost postojećeg sistema inspekcijskog nadzora. </w:t>
      </w:r>
    </w:p>
    <w:p w14:paraId="433AC12B" w14:textId="567E7EF4" w:rsidR="005F41C3" w:rsidRPr="00021CDC" w:rsidRDefault="007B58A8" w:rsidP="00360014">
      <w:pPr>
        <w:spacing w:after="150" w:line="276" w:lineRule="auto"/>
        <w:jc w:val="both"/>
        <w:rPr>
          <w:rFonts w:cstheme="minorHAnsi"/>
          <w:bCs/>
          <w:iCs/>
          <w:sz w:val="24"/>
          <w:szCs w:val="24"/>
          <w:lang w:val="pl-PL"/>
        </w:rPr>
      </w:pPr>
      <w:r>
        <w:rPr>
          <w:rFonts w:cstheme="minorHAnsi"/>
          <w:bCs/>
          <w:iCs/>
          <w:sz w:val="24"/>
          <w:szCs w:val="24"/>
          <w:lang w:val="pl-PL"/>
        </w:rPr>
        <w:t>T</w:t>
      </w:r>
      <w:r w:rsidR="00360014">
        <w:rPr>
          <w:rFonts w:cstheme="minorHAnsi"/>
          <w:bCs/>
          <w:iCs/>
          <w:sz w:val="24"/>
          <w:szCs w:val="24"/>
          <w:lang w:val="pl-PL"/>
        </w:rPr>
        <w:t>a</w:t>
      </w:r>
      <w:r>
        <w:rPr>
          <w:rFonts w:cstheme="minorHAnsi"/>
          <w:bCs/>
          <w:iCs/>
          <w:sz w:val="24"/>
          <w:szCs w:val="24"/>
          <w:lang w:val="pl-PL"/>
        </w:rPr>
        <w:t>kođe, n</w:t>
      </w:r>
      <w:r w:rsidR="0096688D" w:rsidRPr="00021CDC">
        <w:rPr>
          <w:rFonts w:cstheme="minorHAnsi"/>
          <w:bCs/>
          <w:iCs/>
          <w:sz w:val="24"/>
          <w:szCs w:val="24"/>
          <w:lang w:val="pl-PL"/>
        </w:rPr>
        <w:t xml:space="preserve">ejednaka primjena zakona i </w:t>
      </w:r>
      <w:r w:rsidR="00521064" w:rsidRPr="00021CDC">
        <w:rPr>
          <w:rFonts w:cstheme="minorHAnsi"/>
          <w:bCs/>
          <w:iCs/>
          <w:sz w:val="24"/>
          <w:szCs w:val="24"/>
          <w:lang w:val="pl-PL"/>
        </w:rPr>
        <w:t>neadekvatan zakonodavni okvir, i slab</w:t>
      </w:r>
      <w:r w:rsidRPr="00021CDC">
        <w:rPr>
          <w:rFonts w:cstheme="minorHAnsi"/>
          <w:bCs/>
          <w:iCs/>
          <w:sz w:val="24"/>
          <w:szCs w:val="24"/>
          <w:lang w:val="pl-PL"/>
        </w:rPr>
        <w:t>a</w:t>
      </w:r>
      <w:r w:rsidR="00521064" w:rsidRPr="00021CDC">
        <w:rPr>
          <w:rFonts w:cstheme="minorHAnsi"/>
          <w:bCs/>
          <w:iCs/>
          <w:sz w:val="24"/>
          <w:szCs w:val="24"/>
          <w:lang w:val="pl-PL"/>
        </w:rPr>
        <w:t xml:space="preserve"> koordinacij</w:t>
      </w:r>
      <w:r w:rsidRPr="00021CDC">
        <w:rPr>
          <w:rFonts w:cstheme="minorHAnsi"/>
          <w:bCs/>
          <w:iCs/>
          <w:sz w:val="24"/>
          <w:szCs w:val="24"/>
          <w:lang w:val="pl-PL"/>
        </w:rPr>
        <w:t>a</w:t>
      </w:r>
      <w:r w:rsidR="00521064" w:rsidRPr="00021CDC">
        <w:rPr>
          <w:rFonts w:cstheme="minorHAnsi"/>
          <w:bCs/>
          <w:iCs/>
          <w:sz w:val="24"/>
          <w:szCs w:val="24"/>
          <w:lang w:val="pl-PL"/>
        </w:rPr>
        <w:t xml:space="preserve"> između relevantnih državnih institucija</w:t>
      </w:r>
      <w:r w:rsidR="0096688D" w:rsidRPr="00021CDC">
        <w:rPr>
          <w:rFonts w:cstheme="minorHAnsi"/>
          <w:bCs/>
          <w:iCs/>
          <w:sz w:val="24"/>
          <w:szCs w:val="24"/>
          <w:lang w:val="pl-PL"/>
        </w:rPr>
        <w:t xml:space="preserve"> su faktori koji podstiču nelojalnu konkurenciju, a time stimulišu one koji posluju formalno na zaključke da se poslovanje u neformalnoj zoni više isplati.</w:t>
      </w:r>
    </w:p>
    <w:p w14:paraId="5F815205" w14:textId="4F760229" w:rsidR="00470183" w:rsidRPr="00B67D63" w:rsidRDefault="00A03DDB" w:rsidP="00C50996">
      <w:pPr>
        <w:spacing w:after="150" w:line="276" w:lineRule="auto"/>
        <w:jc w:val="both"/>
        <w:rPr>
          <w:rFonts w:eastAsia="Calibri" w:cstheme="minorHAnsi"/>
          <w:color w:val="002060"/>
          <w:kern w:val="0"/>
          <w:sz w:val="24"/>
          <w:szCs w:val="24"/>
          <w:lang w:val="pl-PL"/>
          <w14:ligatures w14:val="none"/>
        </w:rPr>
      </w:pPr>
      <w:r w:rsidRPr="00B67D63">
        <w:rPr>
          <w:rFonts w:eastAsia="Calibri" w:cstheme="minorHAnsi"/>
          <w:color w:val="002060"/>
          <w:kern w:val="0"/>
          <w:sz w:val="24"/>
          <w:szCs w:val="24"/>
          <w:lang w:val="pl-PL"/>
          <w14:ligatures w14:val="none"/>
        </w:rPr>
        <w:t xml:space="preserve">2.4.4 </w:t>
      </w:r>
      <w:r w:rsidR="007B7AA3" w:rsidRPr="00B67D63">
        <w:rPr>
          <w:rFonts w:eastAsia="Calibri" w:cstheme="minorHAnsi"/>
          <w:color w:val="002060"/>
          <w:kern w:val="0"/>
          <w:sz w:val="24"/>
          <w:szCs w:val="24"/>
          <w:lang w:val="pl-PL"/>
          <w14:ligatures w14:val="none"/>
        </w:rPr>
        <w:t xml:space="preserve">Politički </w:t>
      </w:r>
      <w:r w:rsidR="00281886" w:rsidRPr="00B67D63">
        <w:rPr>
          <w:rFonts w:eastAsia="Calibri" w:cstheme="minorHAnsi"/>
          <w:color w:val="002060"/>
          <w:kern w:val="0"/>
          <w:sz w:val="24"/>
          <w:szCs w:val="24"/>
          <w:lang w:val="pl-PL"/>
          <w14:ligatures w14:val="none"/>
        </w:rPr>
        <w:t>i</w:t>
      </w:r>
      <w:r w:rsidR="007B7AA3" w:rsidRPr="00B67D63">
        <w:rPr>
          <w:rFonts w:eastAsia="Calibri" w:cstheme="minorHAnsi"/>
          <w:color w:val="002060"/>
          <w:kern w:val="0"/>
          <w:sz w:val="24"/>
          <w:szCs w:val="24"/>
          <w:lang w:val="pl-PL"/>
          <w14:ligatures w14:val="none"/>
        </w:rPr>
        <w:t xml:space="preserve"> dru</w:t>
      </w:r>
      <w:r w:rsidR="003453D1" w:rsidRPr="00B67D63">
        <w:rPr>
          <w:rFonts w:eastAsia="Calibri" w:cstheme="minorHAnsi"/>
          <w:color w:val="002060"/>
          <w:kern w:val="0"/>
          <w:sz w:val="24"/>
          <w:szCs w:val="24"/>
          <w:lang w:val="pl-PL"/>
          <w14:ligatures w14:val="none"/>
        </w:rPr>
        <w:t xml:space="preserve">štveni </w:t>
      </w:r>
      <w:r w:rsidR="00C50996" w:rsidRPr="00B67D63">
        <w:rPr>
          <w:rFonts w:eastAsia="Calibri" w:cstheme="minorHAnsi"/>
          <w:color w:val="002060"/>
          <w:kern w:val="0"/>
          <w:sz w:val="24"/>
          <w:szCs w:val="24"/>
          <w:lang w:val="pl-PL"/>
          <w14:ligatures w14:val="none"/>
        </w:rPr>
        <w:t>uzroci</w:t>
      </w:r>
    </w:p>
    <w:p w14:paraId="4F5695AB" w14:textId="2347CB24" w:rsidR="005F41C3" w:rsidRPr="00021CDC" w:rsidRDefault="00C50996" w:rsidP="00680BA6">
      <w:pPr>
        <w:spacing w:after="150" w:line="276" w:lineRule="auto"/>
        <w:jc w:val="both"/>
        <w:rPr>
          <w:sz w:val="24"/>
          <w:szCs w:val="24"/>
          <w:lang w:val="pl-PL"/>
        </w:rPr>
      </w:pPr>
      <w:r w:rsidRPr="001A5DA2">
        <w:rPr>
          <w:rFonts w:eastAsia="Calibri" w:cstheme="minorHAnsi"/>
          <w:b/>
          <w:bCs/>
          <w:color w:val="000000"/>
          <w:kern w:val="0"/>
          <w:sz w:val="24"/>
          <w:szCs w:val="24"/>
          <w:lang w:val="pl-PL"/>
          <w14:ligatures w14:val="none"/>
        </w:rPr>
        <w:t xml:space="preserve">Politička neizvjesnost </w:t>
      </w:r>
      <w:r w:rsidR="00BF5A29" w:rsidRPr="001A5DA2">
        <w:rPr>
          <w:rFonts w:eastAsia="Calibri" w:cstheme="minorHAnsi"/>
          <w:b/>
          <w:bCs/>
          <w:color w:val="000000"/>
          <w:kern w:val="0"/>
          <w:sz w:val="24"/>
          <w:szCs w:val="24"/>
          <w:lang w:val="pl-PL"/>
          <w14:ligatures w14:val="none"/>
        </w:rPr>
        <w:t>i</w:t>
      </w:r>
      <w:r w:rsidRPr="001A5DA2">
        <w:rPr>
          <w:rFonts w:eastAsia="Calibri" w:cstheme="minorHAnsi"/>
          <w:b/>
          <w:bCs/>
          <w:color w:val="000000"/>
          <w:kern w:val="0"/>
          <w:sz w:val="24"/>
          <w:szCs w:val="24"/>
          <w:lang w:val="pl-PL"/>
          <w14:ligatures w14:val="none"/>
        </w:rPr>
        <w:t xml:space="preserve"> nestabilnost</w:t>
      </w:r>
      <w:r w:rsidRPr="00281886">
        <w:rPr>
          <w:rFonts w:eastAsia="Calibri" w:cstheme="minorHAnsi"/>
          <w:color w:val="000000"/>
          <w:kern w:val="0"/>
          <w:sz w:val="24"/>
          <w:szCs w:val="24"/>
          <w:lang w:val="pl-PL"/>
          <w14:ligatures w14:val="none"/>
        </w:rPr>
        <w:t xml:space="preserve"> je </w:t>
      </w:r>
      <w:r w:rsidR="00BF5A29">
        <w:rPr>
          <w:rFonts w:eastAsia="Calibri" w:cstheme="minorHAnsi"/>
          <w:color w:val="000000"/>
          <w:kern w:val="0"/>
          <w:sz w:val="24"/>
          <w:szCs w:val="24"/>
          <w:lang w:val="pl-PL"/>
          <w14:ligatures w14:val="none"/>
        </w:rPr>
        <w:t>faktor uticaja</w:t>
      </w:r>
      <w:r w:rsidRPr="00281886">
        <w:rPr>
          <w:rFonts w:eastAsia="Calibri" w:cstheme="minorHAnsi"/>
          <w:color w:val="000000"/>
          <w:kern w:val="0"/>
          <w:sz w:val="24"/>
          <w:szCs w:val="24"/>
          <w:lang w:val="pl-PL"/>
          <w14:ligatures w14:val="none"/>
        </w:rPr>
        <w:t xml:space="preserve"> i na ukupno društveno okruženje i donošenje zakona </w:t>
      </w:r>
      <w:r w:rsidR="00034A07" w:rsidRPr="00281886">
        <w:rPr>
          <w:rFonts w:eastAsia="Calibri" w:cstheme="minorHAnsi"/>
          <w:color w:val="000000"/>
          <w:kern w:val="0"/>
          <w:sz w:val="24"/>
          <w:szCs w:val="24"/>
          <w:lang w:val="pl-PL"/>
          <w14:ligatures w14:val="none"/>
        </w:rPr>
        <w:t>koji bi bili u funkciji daljeg doprinosa smanjenju neformalnosti, naročito u sektorima zdravstva, obrazovanja itd.</w:t>
      </w:r>
      <w:r w:rsidR="00BF5A29">
        <w:rPr>
          <w:rFonts w:eastAsia="Calibri" w:cstheme="minorHAnsi"/>
          <w:color w:val="000000"/>
          <w:kern w:val="0"/>
          <w:sz w:val="24"/>
          <w:szCs w:val="24"/>
          <w:lang w:val="pl-PL"/>
          <w14:ligatures w14:val="none"/>
        </w:rPr>
        <w:t xml:space="preserve"> Ona utiče na rejting zemlje, </w:t>
      </w:r>
      <w:r w:rsidR="00F55BEF">
        <w:rPr>
          <w:rFonts w:eastAsia="Calibri" w:cstheme="minorHAnsi"/>
          <w:color w:val="000000"/>
          <w:kern w:val="0"/>
          <w:sz w:val="24"/>
          <w:szCs w:val="24"/>
          <w:lang w:val="pl-PL"/>
          <w14:ligatures w14:val="none"/>
        </w:rPr>
        <w:t>n</w:t>
      </w:r>
      <w:r w:rsidR="00BF5A29">
        <w:rPr>
          <w:rFonts w:eastAsia="Calibri" w:cstheme="minorHAnsi"/>
          <w:color w:val="000000"/>
          <w:kern w:val="0"/>
          <w:sz w:val="24"/>
          <w:szCs w:val="24"/>
          <w:lang w:val="pl-PL"/>
          <w14:ligatures w14:val="none"/>
        </w:rPr>
        <w:t>jenu ukupnu inve</w:t>
      </w:r>
      <w:r w:rsidR="00F55BEF">
        <w:rPr>
          <w:rFonts w:eastAsia="Calibri" w:cstheme="minorHAnsi"/>
          <w:color w:val="000000"/>
          <w:kern w:val="0"/>
          <w:sz w:val="24"/>
          <w:szCs w:val="24"/>
          <w:lang w:val="pl-PL"/>
          <w14:ligatures w14:val="none"/>
        </w:rPr>
        <w:t>s</w:t>
      </w:r>
      <w:r w:rsidR="00BF5A29">
        <w:rPr>
          <w:rFonts w:eastAsia="Calibri" w:cstheme="minorHAnsi"/>
          <w:color w:val="000000"/>
          <w:kern w:val="0"/>
          <w:sz w:val="24"/>
          <w:szCs w:val="24"/>
          <w:lang w:val="pl-PL"/>
          <w14:ligatures w14:val="none"/>
        </w:rPr>
        <w:t>ticionu poziciju, ali i na brzinu reformi u suzbijanju neformalne ekonomije.</w:t>
      </w:r>
      <w:r w:rsidR="00284E23" w:rsidRPr="00281886">
        <w:rPr>
          <w:rFonts w:eastAsia="Calibri" w:cstheme="minorHAnsi"/>
          <w:color w:val="000000"/>
          <w:kern w:val="0"/>
          <w:sz w:val="24"/>
          <w:szCs w:val="24"/>
          <w:lang w:val="pl-PL"/>
          <w14:ligatures w14:val="none"/>
        </w:rPr>
        <w:t xml:space="preserve"> U sprovedenom istraživanju zainteresovanih strana za potrebe ovog </w:t>
      </w:r>
      <w:r w:rsidR="00132C60">
        <w:rPr>
          <w:rFonts w:eastAsia="Calibri" w:cstheme="minorHAnsi"/>
          <w:color w:val="000000"/>
          <w:kern w:val="0"/>
          <w:sz w:val="24"/>
          <w:szCs w:val="24"/>
          <w:lang w:val="pl-PL"/>
          <w14:ligatures w14:val="none"/>
        </w:rPr>
        <w:t>programa</w:t>
      </w:r>
      <w:r w:rsidR="00284E23" w:rsidRPr="00281886">
        <w:rPr>
          <w:rFonts w:eastAsia="Calibri" w:cstheme="minorHAnsi"/>
          <w:color w:val="000000"/>
          <w:kern w:val="0"/>
          <w:sz w:val="24"/>
          <w:szCs w:val="24"/>
          <w:lang w:val="pl-PL"/>
          <w14:ligatures w14:val="none"/>
        </w:rPr>
        <w:t>, najveći broj ispitanika je odgov</w:t>
      </w:r>
      <w:r w:rsidR="005C0985">
        <w:rPr>
          <w:rFonts w:eastAsia="Calibri" w:cstheme="minorHAnsi"/>
          <w:color w:val="000000"/>
          <w:kern w:val="0"/>
          <w:sz w:val="24"/>
          <w:szCs w:val="24"/>
          <w:lang w:val="pl-PL"/>
          <w14:ligatures w14:val="none"/>
        </w:rPr>
        <w:t>ori</w:t>
      </w:r>
      <w:r w:rsidR="00284E23" w:rsidRPr="00281886">
        <w:rPr>
          <w:rFonts w:eastAsia="Calibri" w:cstheme="minorHAnsi"/>
          <w:color w:val="000000"/>
          <w:kern w:val="0"/>
          <w:sz w:val="24"/>
          <w:szCs w:val="24"/>
          <w:lang w:val="pl-PL"/>
          <w14:ligatures w14:val="none"/>
        </w:rPr>
        <w:t>o da je nedovoljna politička i ekonomska stabilnost</w:t>
      </w:r>
      <w:r w:rsidR="009B039E">
        <w:rPr>
          <w:rFonts w:eastAsia="Calibri" w:cstheme="minorHAnsi"/>
          <w:color w:val="000000"/>
          <w:kern w:val="0"/>
          <w:sz w:val="24"/>
          <w:szCs w:val="24"/>
          <w:lang w:val="pl-PL"/>
          <w14:ligatures w14:val="none"/>
        </w:rPr>
        <w:t>u Crnoj Gori,</w:t>
      </w:r>
      <w:r w:rsidR="00284E23" w:rsidRPr="00281886">
        <w:rPr>
          <w:rFonts w:eastAsia="Calibri" w:cstheme="minorHAnsi"/>
          <w:color w:val="000000"/>
          <w:kern w:val="0"/>
          <w:sz w:val="24"/>
          <w:szCs w:val="24"/>
          <w:lang w:val="pl-PL"/>
          <w14:ligatures w14:val="none"/>
        </w:rPr>
        <w:t xml:space="preserve">  najveći</w:t>
      </w:r>
      <w:r w:rsidR="009B039E">
        <w:rPr>
          <w:rFonts w:eastAsia="Calibri" w:cstheme="minorHAnsi"/>
          <w:color w:val="000000"/>
          <w:kern w:val="0"/>
          <w:sz w:val="24"/>
          <w:szCs w:val="24"/>
          <w:lang w:val="pl-PL"/>
          <w14:ligatures w14:val="none"/>
        </w:rPr>
        <w:t xml:space="preserve"> </w:t>
      </w:r>
      <w:r w:rsidR="00284E23" w:rsidRPr="00281886">
        <w:rPr>
          <w:rFonts w:eastAsia="Calibri" w:cstheme="minorHAnsi"/>
          <w:color w:val="000000"/>
          <w:kern w:val="0"/>
          <w:sz w:val="24"/>
          <w:szCs w:val="24"/>
          <w:lang w:val="pl-PL"/>
          <w14:ligatures w14:val="none"/>
        </w:rPr>
        <w:t xml:space="preserve"> uzrok neformalne ekonomije, a potom</w:t>
      </w:r>
      <w:r w:rsidR="00284E23" w:rsidRPr="00281886">
        <w:rPr>
          <w:rFonts w:eastAsia="Calibri" w:cstheme="minorHAnsi"/>
          <w:kern w:val="0"/>
          <w:sz w:val="24"/>
          <w:szCs w:val="24"/>
          <w:lang w:val="sr-Latn-ME"/>
          <w14:ligatures w14:val="none"/>
        </w:rPr>
        <w:t xml:space="preserve"> </w:t>
      </w:r>
      <w:r w:rsidR="00284E23" w:rsidRPr="00281886">
        <w:rPr>
          <w:rFonts w:eastAsia="Calibri" w:cstheme="minorHAnsi"/>
          <w:color w:val="000000"/>
          <w:kern w:val="0"/>
          <w:sz w:val="24"/>
          <w:szCs w:val="24"/>
          <w:lang w:val="sr-Latn-ME"/>
          <w14:ligatures w14:val="none"/>
        </w:rPr>
        <w:t>neadekvatna koordinacija, preklapanja ili nejasne nadležnosti u sprovodjenju restriktivnih/kaznenih mjera na suzbijanju sive ekonomije</w:t>
      </w:r>
      <w:r w:rsidR="003928D6">
        <w:rPr>
          <w:rFonts w:eastAsia="Calibri" w:cstheme="minorHAnsi"/>
          <w:color w:val="000000"/>
          <w:kern w:val="0"/>
          <w:sz w:val="24"/>
          <w:szCs w:val="24"/>
          <w:lang w:val="sr-Latn-ME"/>
          <w14:ligatures w14:val="none"/>
        </w:rPr>
        <w:t xml:space="preserve">, kao i </w:t>
      </w:r>
      <w:r w:rsidR="00B67C80" w:rsidRPr="00281886">
        <w:rPr>
          <w:rFonts w:eastAsia="Calibri" w:cstheme="minorHAnsi"/>
          <w:color w:val="000000"/>
          <w:kern w:val="0"/>
          <w:sz w:val="24"/>
          <w:szCs w:val="24"/>
          <w:lang w:val="sr-Latn-ME"/>
          <w14:ligatures w14:val="none"/>
        </w:rPr>
        <w:t>nedostatak strategije u kreiranju i sprovođenju mjera ekonomske politike.</w:t>
      </w:r>
      <w:r w:rsidR="00521064">
        <w:rPr>
          <w:rFonts w:eastAsia="Calibri" w:cstheme="minorHAnsi"/>
          <w:color w:val="000000"/>
          <w:kern w:val="0"/>
          <w:sz w:val="24"/>
          <w:szCs w:val="24"/>
          <w:lang w:val="sr-Latn-ME"/>
          <w14:ligatures w14:val="none"/>
        </w:rPr>
        <w:t xml:space="preserve"> </w:t>
      </w:r>
      <w:r w:rsidR="002A74DC">
        <w:rPr>
          <w:rFonts w:eastAsia="Calibri" w:cstheme="minorHAnsi"/>
          <w:color w:val="000000"/>
          <w:kern w:val="0"/>
          <w:sz w:val="24"/>
          <w:szCs w:val="24"/>
          <w:lang w:val="sr-Latn-ME"/>
          <w14:ligatures w14:val="none"/>
        </w:rPr>
        <w:t>Prema ocjeni EK (Ocjena PER-a 2023-2026), „</w:t>
      </w:r>
      <w:r w:rsidR="003928D6">
        <w:rPr>
          <w:rFonts w:eastAsia="Calibri" w:cstheme="minorHAnsi"/>
          <w:color w:val="000000"/>
          <w:kern w:val="0"/>
          <w:sz w:val="24"/>
          <w:szCs w:val="24"/>
          <w:lang w:val="sr-Latn-ME"/>
          <w14:ligatures w14:val="none"/>
        </w:rPr>
        <w:t>nedovoljna politička po</w:t>
      </w:r>
      <w:r w:rsidR="00132C60">
        <w:rPr>
          <w:rFonts w:eastAsia="Calibri" w:cstheme="minorHAnsi"/>
          <w:color w:val="000000"/>
          <w:kern w:val="0"/>
          <w:sz w:val="24"/>
          <w:szCs w:val="24"/>
          <w:lang w:val="sr-Latn-ME"/>
          <w14:ligatures w14:val="none"/>
        </w:rPr>
        <w:t>d</w:t>
      </w:r>
      <w:r w:rsidR="003928D6">
        <w:rPr>
          <w:rFonts w:eastAsia="Calibri" w:cstheme="minorHAnsi"/>
          <w:color w:val="000000"/>
          <w:kern w:val="0"/>
          <w:sz w:val="24"/>
          <w:szCs w:val="24"/>
          <w:lang w:val="sr-Latn-ME"/>
          <w14:ligatures w14:val="none"/>
        </w:rPr>
        <w:t>rška i konzistentnost, uz nestalnu implementa</w:t>
      </w:r>
      <w:r w:rsidR="00B6745C">
        <w:rPr>
          <w:rFonts w:eastAsia="Calibri" w:cstheme="minorHAnsi"/>
          <w:color w:val="000000"/>
          <w:kern w:val="0"/>
          <w:sz w:val="24"/>
          <w:szCs w:val="24"/>
          <w:lang w:val="sr-Latn-ME"/>
          <w14:ligatures w14:val="none"/>
        </w:rPr>
        <w:t>ciju reformi, podriva napore za smanjenje neformalnosti“</w:t>
      </w:r>
      <w:r w:rsidR="008C0127">
        <w:rPr>
          <w:rFonts w:eastAsia="Calibri" w:cstheme="minorHAnsi"/>
          <w:color w:val="000000"/>
          <w:kern w:val="0"/>
          <w:sz w:val="24"/>
          <w:szCs w:val="24"/>
          <w:lang w:val="sr-Latn-ME"/>
          <w14:ligatures w14:val="none"/>
        </w:rPr>
        <w:t xml:space="preserve">. </w:t>
      </w:r>
      <w:r w:rsidR="008C0127" w:rsidRPr="008C0127">
        <w:rPr>
          <w:rFonts w:eastAsia="Calibri" w:cstheme="minorHAnsi"/>
          <w:color w:val="000000"/>
          <w:kern w:val="0"/>
          <w:sz w:val="24"/>
          <w:szCs w:val="24"/>
          <w:lang w:val="sr-Latn-ME"/>
          <w14:ligatures w14:val="none"/>
        </w:rPr>
        <w:t>EK</w:t>
      </w:r>
      <w:r w:rsidR="002A74DC" w:rsidRPr="00021CDC">
        <w:rPr>
          <w:sz w:val="24"/>
          <w:szCs w:val="24"/>
          <w:lang w:val="pl-PL"/>
        </w:rPr>
        <w:t xml:space="preserve"> d</w:t>
      </w:r>
      <w:r w:rsidR="00B6745C" w:rsidRPr="00021CDC">
        <w:rPr>
          <w:sz w:val="24"/>
          <w:szCs w:val="24"/>
          <w:lang w:val="pl-PL"/>
        </w:rPr>
        <w:t>al</w:t>
      </w:r>
      <w:r w:rsidR="002A74DC" w:rsidRPr="00021CDC">
        <w:rPr>
          <w:sz w:val="24"/>
          <w:szCs w:val="24"/>
          <w:lang w:val="pl-PL"/>
        </w:rPr>
        <w:t>je navodi da</w:t>
      </w:r>
      <w:r w:rsidR="00B6745C" w:rsidRPr="00021CDC">
        <w:rPr>
          <w:sz w:val="24"/>
          <w:szCs w:val="24"/>
          <w:lang w:val="pl-PL"/>
        </w:rPr>
        <w:t xml:space="preserve"> je potrebno uložiti napore da Radna grupa za izradu Programa neformalne ekonomije </w:t>
      </w:r>
      <w:r w:rsidR="00F55BEF">
        <w:rPr>
          <w:sz w:val="24"/>
          <w:szCs w:val="24"/>
          <w:lang w:val="pl-PL"/>
        </w:rPr>
        <w:t>„</w:t>
      </w:r>
      <w:r w:rsidR="00B6745C" w:rsidRPr="00021CDC">
        <w:rPr>
          <w:sz w:val="24"/>
          <w:szCs w:val="24"/>
          <w:lang w:val="pl-PL"/>
        </w:rPr>
        <w:t xml:space="preserve">nema isključivo tehnički karakter koji se uglavnom odnosi na </w:t>
      </w:r>
      <w:r w:rsidR="00B6745C" w:rsidRPr="00021CDC">
        <w:rPr>
          <w:sz w:val="24"/>
          <w:szCs w:val="24"/>
          <w:lang w:val="pl-PL"/>
        </w:rPr>
        <w:lastRenderedPageBreak/>
        <w:t xml:space="preserve">administrativne autpute </w:t>
      </w:r>
      <w:r w:rsidR="00CA535B" w:rsidRPr="00021CDC">
        <w:rPr>
          <w:sz w:val="24"/>
          <w:szCs w:val="24"/>
          <w:lang w:val="pl-PL"/>
        </w:rPr>
        <w:t>i</w:t>
      </w:r>
      <w:r w:rsidR="00B6745C" w:rsidRPr="00021CDC">
        <w:rPr>
          <w:sz w:val="24"/>
          <w:szCs w:val="24"/>
          <w:lang w:val="pl-PL"/>
        </w:rPr>
        <w:t xml:space="preserve"> povećano interno izvještavanje, već da treba da reflektuje jasnu političku volju da identifikuje </w:t>
      </w:r>
      <w:r w:rsidR="00CA535B" w:rsidRPr="00021CDC">
        <w:rPr>
          <w:sz w:val="24"/>
          <w:szCs w:val="24"/>
          <w:lang w:val="pl-PL"/>
        </w:rPr>
        <w:t>i</w:t>
      </w:r>
      <w:r w:rsidR="00B6745C" w:rsidRPr="00021CDC">
        <w:rPr>
          <w:sz w:val="24"/>
          <w:szCs w:val="24"/>
          <w:lang w:val="pl-PL"/>
        </w:rPr>
        <w:t xml:space="preserve"> implementira neophodne reforme</w:t>
      </w:r>
      <w:r w:rsidR="007C582D" w:rsidRPr="00021CDC">
        <w:rPr>
          <w:sz w:val="24"/>
          <w:szCs w:val="24"/>
          <w:lang w:val="pl-PL"/>
        </w:rPr>
        <w:t>.</w:t>
      </w:r>
      <w:r w:rsidR="002A74DC" w:rsidRPr="00021CDC">
        <w:rPr>
          <w:sz w:val="24"/>
          <w:szCs w:val="24"/>
          <w:lang w:val="pl-PL"/>
        </w:rPr>
        <w:t xml:space="preserve"> </w:t>
      </w:r>
      <w:r w:rsidR="00B6745C" w:rsidRPr="00021CDC">
        <w:rPr>
          <w:sz w:val="24"/>
          <w:szCs w:val="24"/>
          <w:lang w:val="pl-PL"/>
        </w:rPr>
        <w:t>“</w:t>
      </w:r>
    </w:p>
    <w:p w14:paraId="74610570" w14:textId="70FA080B" w:rsidR="00F55BEF" w:rsidRPr="00B67D63" w:rsidRDefault="00ED14BE" w:rsidP="00B67D63">
      <w:pPr>
        <w:pStyle w:val="Heading2"/>
        <w:numPr>
          <w:ilvl w:val="1"/>
          <w:numId w:val="25"/>
        </w:numPr>
        <w:rPr>
          <w:rFonts w:eastAsia="Calibri"/>
          <w:lang w:val="sr-Latn-ME"/>
        </w:rPr>
      </w:pPr>
      <w:bookmarkStart w:id="29" w:name="_Toc147990150"/>
      <w:r w:rsidRPr="00F42C15">
        <w:rPr>
          <w:rFonts w:eastAsia="Calibri"/>
          <w:lang w:val="sr-Latn-ME"/>
        </w:rPr>
        <w:t>Analiza zainteresovanih strana</w:t>
      </w:r>
      <w:bookmarkEnd w:id="29"/>
      <w:r w:rsidRPr="00F42C15">
        <w:rPr>
          <w:rFonts w:eastAsia="Calibri"/>
          <w:lang w:val="sr-Latn-ME"/>
        </w:rPr>
        <w:t xml:space="preserve"> </w:t>
      </w:r>
    </w:p>
    <w:p w14:paraId="59A60B8D" w14:textId="5298B021" w:rsidR="00B47DA8" w:rsidRDefault="003A5156" w:rsidP="00B47DA8">
      <w:pPr>
        <w:spacing w:after="150" w:line="276" w:lineRule="auto"/>
        <w:jc w:val="both"/>
        <w:rPr>
          <w:rFonts w:eastAsia="Calibri" w:cstheme="minorHAnsi"/>
          <w:color w:val="000000"/>
          <w:kern w:val="0"/>
          <w:sz w:val="24"/>
          <w:szCs w:val="24"/>
          <w:lang w:val="sr-Latn-ME"/>
          <w14:ligatures w14:val="none"/>
        </w:rPr>
      </w:pPr>
      <w:r>
        <w:rPr>
          <w:rFonts w:eastAsia="Calibri" w:cstheme="minorHAnsi"/>
          <w:color w:val="000000"/>
          <w:kern w:val="0"/>
          <w:sz w:val="24"/>
          <w:szCs w:val="24"/>
          <w:lang w:val="sr-Latn-ME"/>
          <w14:ligatures w14:val="none"/>
        </w:rPr>
        <w:t xml:space="preserve">Na osnovu Izvještaja pripremljenog nakon konsultovanja javnosti u početnoj fazi pripreme ovog dokumenta može se dobiti odgovor </w:t>
      </w:r>
      <w:r w:rsidR="00ED14BE" w:rsidRPr="00281886">
        <w:rPr>
          <w:rFonts w:eastAsia="Calibri" w:cstheme="minorHAnsi"/>
          <w:color w:val="000000"/>
          <w:kern w:val="0"/>
          <w:sz w:val="24"/>
          <w:szCs w:val="24"/>
          <w:lang w:val="sr-Latn-ME"/>
          <w14:ligatures w14:val="none"/>
        </w:rPr>
        <w:t xml:space="preserve">na pitanje koje bi sve aktere trebalo uključiti u pripremu i sprovođenje </w:t>
      </w:r>
      <w:r w:rsidR="00495069" w:rsidRPr="00281886">
        <w:rPr>
          <w:rFonts w:eastAsia="Calibri" w:cstheme="minorHAnsi"/>
          <w:color w:val="000000"/>
          <w:kern w:val="0"/>
          <w:sz w:val="24"/>
          <w:szCs w:val="24"/>
          <w:lang w:val="sr-Latn-ME"/>
          <w14:ligatures w14:val="none"/>
        </w:rPr>
        <w:t>Programa.</w:t>
      </w:r>
      <w:r w:rsidR="00C66C4D" w:rsidRPr="00281886">
        <w:rPr>
          <w:rFonts w:eastAsia="Calibri" w:cstheme="minorHAnsi"/>
          <w:color w:val="000000"/>
          <w:kern w:val="0"/>
          <w:sz w:val="24"/>
          <w:szCs w:val="24"/>
          <w:lang w:val="sr-Latn-ME"/>
          <w14:ligatures w14:val="none"/>
        </w:rPr>
        <w:t xml:space="preserve"> </w:t>
      </w:r>
    </w:p>
    <w:p w14:paraId="5E874D55" w14:textId="7D1D0927" w:rsidR="0096688D" w:rsidRPr="0096688D" w:rsidRDefault="0096688D" w:rsidP="0096688D">
      <w:pPr>
        <w:spacing w:after="150" w:line="276" w:lineRule="auto"/>
        <w:jc w:val="both"/>
        <w:rPr>
          <w:rFonts w:eastAsia="Calibri" w:cstheme="minorHAnsi"/>
          <w:color w:val="000000"/>
          <w:kern w:val="0"/>
          <w:sz w:val="24"/>
          <w:szCs w:val="24"/>
          <w:lang w:val="sr-Latn-ME"/>
          <w14:ligatures w14:val="none"/>
        </w:rPr>
      </w:pPr>
      <w:r w:rsidRPr="0096688D">
        <w:rPr>
          <w:rFonts w:eastAsia="Calibri" w:cstheme="minorHAnsi"/>
          <w:color w:val="000000"/>
          <w:kern w:val="0"/>
          <w:sz w:val="24"/>
          <w:szCs w:val="24"/>
          <w:lang w:val="pl-PL"/>
          <w14:ligatures w14:val="none"/>
        </w:rPr>
        <w:t>Na</w:t>
      </w:r>
      <w:r w:rsidRPr="00021CDC">
        <w:rPr>
          <w:rFonts w:eastAsia="Calibri" w:cstheme="minorHAnsi"/>
          <w:color w:val="000000"/>
          <w:kern w:val="0"/>
          <w:sz w:val="24"/>
          <w:szCs w:val="24"/>
          <w:lang w:val="sr-Latn-ME"/>
          <w14:ligatures w14:val="none"/>
        </w:rPr>
        <w:t xml:space="preserve"> </w:t>
      </w:r>
      <w:r w:rsidRPr="0096688D">
        <w:rPr>
          <w:rFonts w:eastAsia="Calibri" w:cstheme="minorHAnsi"/>
          <w:color w:val="000000"/>
          <w:kern w:val="0"/>
          <w:sz w:val="24"/>
          <w:szCs w:val="24"/>
          <w:lang w:val="pl-PL"/>
          <w14:ligatures w14:val="none"/>
        </w:rPr>
        <w:t>osnovu</w:t>
      </w:r>
      <w:r w:rsidRPr="00021CDC">
        <w:rPr>
          <w:rFonts w:eastAsia="Calibri" w:cstheme="minorHAnsi"/>
          <w:color w:val="000000"/>
          <w:kern w:val="0"/>
          <w:sz w:val="24"/>
          <w:szCs w:val="24"/>
          <w:lang w:val="sr-Latn-ME"/>
          <w14:ligatures w14:val="none"/>
        </w:rPr>
        <w:t xml:space="preserve"> č</w:t>
      </w:r>
      <w:r w:rsidRPr="0096688D">
        <w:rPr>
          <w:rFonts w:eastAsia="Calibri" w:cstheme="minorHAnsi"/>
          <w:color w:val="000000"/>
          <w:kern w:val="0"/>
          <w:sz w:val="24"/>
          <w:szCs w:val="24"/>
          <w:lang w:val="pl-PL"/>
          <w14:ligatures w14:val="none"/>
        </w:rPr>
        <w:t>lana</w:t>
      </w:r>
      <w:r w:rsidRPr="00021CDC">
        <w:rPr>
          <w:rFonts w:eastAsia="Calibri" w:cstheme="minorHAnsi"/>
          <w:color w:val="000000"/>
          <w:kern w:val="0"/>
          <w:sz w:val="24"/>
          <w:szCs w:val="24"/>
          <w:lang w:val="sr-Latn-ME"/>
          <w14:ligatures w14:val="none"/>
        </w:rPr>
        <w:t xml:space="preserve"> 12 </w:t>
      </w:r>
      <w:r w:rsidRPr="0096688D">
        <w:rPr>
          <w:rFonts w:eastAsia="Calibri" w:cstheme="minorHAnsi"/>
          <w:color w:val="000000"/>
          <w:kern w:val="0"/>
          <w:sz w:val="24"/>
          <w:szCs w:val="24"/>
          <w:lang w:val="sr-Latn-ME"/>
          <w14:ligatures w14:val="none"/>
        </w:rPr>
        <w:t>Uredbe o izboru predstavnika nevladinih organizacija u radna tijela organa državne uprave i sprovođenju javne rasprave u pripremi zakona i strategij</w:t>
      </w:r>
      <w:r w:rsidR="009B039E">
        <w:rPr>
          <w:rFonts w:eastAsia="Calibri" w:cstheme="minorHAnsi"/>
          <w:color w:val="000000"/>
          <w:kern w:val="0"/>
          <w:sz w:val="24"/>
          <w:szCs w:val="24"/>
          <w:lang w:val="sr-Latn-ME"/>
          <w14:ligatures w14:val="none"/>
        </w:rPr>
        <w:t>a,</w:t>
      </w:r>
      <w:r w:rsidRPr="0096688D">
        <w:rPr>
          <w:rFonts w:eastAsia="Calibri" w:cstheme="minorHAnsi"/>
          <w:color w:val="000000"/>
          <w:kern w:val="0"/>
          <w:sz w:val="24"/>
          <w:szCs w:val="24"/>
          <w:lang w:val="sr-Latn-ME"/>
          <w14:ligatures w14:val="none"/>
        </w:rPr>
        <w:t xml:space="preserve"> sprovedeno je konsultovanje zainteresovane javnosti u početnoj fazi izrade Programa. </w:t>
      </w:r>
    </w:p>
    <w:p w14:paraId="48DBB3BE" w14:textId="5DF5241D" w:rsidR="00972291" w:rsidRPr="00972291" w:rsidRDefault="0096688D" w:rsidP="00972291">
      <w:pPr>
        <w:spacing w:after="150" w:line="276" w:lineRule="auto"/>
        <w:jc w:val="both"/>
        <w:rPr>
          <w:rFonts w:eastAsia="Calibri" w:cstheme="minorHAnsi"/>
          <w:bCs/>
          <w:color w:val="000000"/>
          <w:kern w:val="0"/>
          <w:sz w:val="24"/>
          <w:szCs w:val="24"/>
          <w:lang w:val="sr-Latn-ME"/>
          <w14:ligatures w14:val="none"/>
        </w:rPr>
      </w:pPr>
      <w:r w:rsidRPr="0096688D">
        <w:rPr>
          <w:rFonts w:eastAsia="Calibri" w:cstheme="minorHAnsi"/>
          <w:color w:val="000000"/>
          <w:kern w:val="0"/>
          <w:sz w:val="24"/>
          <w:szCs w:val="24"/>
          <w:lang w:val="sr-Latn-ME"/>
          <w14:ligatures w14:val="none"/>
        </w:rPr>
        <w:t xml:space="preserve">Osim javnog poziva, a u cilju šireg konsultativnog procesa, uz podršku kancelarije UNDP-a u Crnoj Gori </w:t>
      </w:r>
      <w:r w:rsidR="00972291">
        <w:rPr>
          <w:rFonts w:eastAsia="Calibri" w:cstheme="minorHAnsi"/>
          <w:color w:val="000000"/>
          <w:kern w:val="0"/>
          <w:sz w:val="24"/>
          <w:szCs w:val="24"/>
          <w:lang w:val="sr-Latn-ME"/>
          <w14:ligatures w14:val="none"/>
        </w:rPr>
        <w:t>u</w:t>
      </w:r>
      <w:r w:rsidR="00972291" w:rsidRPr="00972291">
        <w:rPr>
          <w:rFonts w:eastAsia="Calibri" w:cstheme="minorHAnsi"/>
          <w:color w:val="000000"/>
          <w:kern w:val="0"/>
          <w:sz w:val="24"/>
          <w:szCs w:val="24"/>
          <w:lang w:val="sr-Latn-ME"/>
          <w14:ligatures w14:val="none"/>
        </w:rPr>
        <w:t xml:space="preserve"> izradi Programa su mapirane sve zainteresovane strane </w:t>
      </w:r>
      <w:r w:rsidR="00972291">
        <w:rPr>
          <w:rFonts w:eastAsia="Calibri" w:cstheme="minorHAnsi"/>
          <w:color w:val="000000"/>
          <w:kern w:val="0"/>
          <w:sz w:val="24"/>
          <w:szCs w:val="24"/>
          <w:lang w:val="sr-Latn-ME"/>
          <w14:ligatures w14:val="none"/>
        </w:rPr>
        <w:t>sa kojima</w:t>
      </w:r>
      <w:r w:rsidR="00972291" w:rsidRPr="00972291">
        <w:rPr>
          <w:rFonts w:eastAsia="Calibri" w:cstheme="minorHAnsi"/>
          <w:color w:val="000000"/>
          <w:kern w:val="0"/>
          <w:sz w:val="24"/>
          <w:szCs w:val="24"/>
          <w:lang w:val="sr-Latn-ME"/>
          <w14:ligatures w14:val="none"/>
        </w:rPr>
        <w:t xml:space="preserve"> je realizovan upitnik, koji je uključio i članove Radne grupe za izradu Programa suzbijanja neformalne ekonomije.  Mapirane zainteresovane strane</w:t>
      </w:r>
      <w:r w:rsidR="00972291">
        <w:rPr>
          <w:rFonts w:eastAsia="Calibri" w:cstheme="minorHAnsi"/>
          <w:color w:val="000000"/>
          <w:kern w:val="0"/>
          <w:sz w:val="24"/>
          <w:szCs w:val="24"/>
          <w:lang w:val="sr-Latn-ME"/>
          <w14:ligatures w14:val="none"/>
        </w:rPr>
        <w:t xml:space="preserve"> su: državni organi</w:t>
      </w:r>
      <w:r w:rsidRPr="0096688D">
        <w:rPr>
          <w:rFonts w:eastAsia="Calibri" w:cstheme="minorHAnsi"/>
          <w:color w:val="000000"/>
          <w:kern w:val="0"/>
          <w:sz w:val="24"/>
          <w:szCs w:val="24"/>
          <w:lang w:val="sr-Latn-ME"/>
          <w14:ligatures w14:val="none"/>
        </w:rPr>
        <w:t xml:space="preserve"> i organi državne uprave, </w:t>
      </w:r>
      <w:r w:rsidR="00972291">
        <w:rPr>
          <w:rFonts w:eastAsia="Calibri" w:cstheme="minorHAnsi"/>
          <w:color w:val="000000"/>
          <w:kern w:val="0"/>
          <w:sz w:val="24"/>
          <w:szCs w:val="24"/>
          <w:lang w:val="sr-Latn-ME"/>
          <w14:ligatures w14:val="none"/>
        </w:rPr>
        <w:t xml:space="preserve">jeinice lokalne samouprave, </w:t>
      </w:r>
      <w:r w:rsidRPr="0096688D">
        <w:rPr>
          <w:rFonts w:eastAsia="Calibri" w:cstheme="minorHAnsi"/>
          <w:color w:val="000000"/>
          <w:kern w:val="0"/>
          <w:sz w:val="24"/>
          <w:szCs w:val="24"/>
          <w:lang w:val="sr-Latn-ME"/>
          <w14:ligatures w14:val="none"/>
        </w:rPr>
        <w:t>NVO, mediji, univerziteti, biznis zajednic</w:t>
      </w:r>
      <w:r w:rsidR="00972291">
        <w:rPr>
          <w:rFonts w:eastAsia="Calibri" w:cstheme="minorHAnsi"/>
          <w:color w:val="000000"/>
          <w:kern w:val="0"/>
          <w:sz w:val="24"/>
          <w:szCs w:val="24"/>
          <w:lang w:val="sr-Latn-ME"/>
          <w14:ligatures w14:val="none"/>
        </w:rPr>
        <w:t>a</w:t>
      </w:r>
      <w:r w:rsidRPr="0096688D">
        <w:rPr>
          <w:rFonts w:eastAsia="Calibri" w:cstheme="minorHAnsi"/>
          <w:color w:val="000000"/>
          <w:kern w:val="0"/>
          <w:sz w:val="24"/>
          <w:szCs w:val="24"/>
          <w:lang w:val="sr-Latn-ME"/>
          <w14:ligatures w14:val="none"/>
        </w:rPr>
        <w:t xml:space="preserve">, </w:t>
      </w:r>
      <w:r w:rsidR="00972291">
        <w:rPr>
          <w:rFonts w:eastAsia="Calibri" w:cstheme="minorHAnsi"/>
          <w:color w:val="000000"/>
          <w:kern w:val="0"/>
          <w:sz w:val="24"/>
          <w:szCs w:val="24"/>
          <w:lang w:val="sr-Latn-ME"/>
          <w14:ligatures w14:val="none"/>
        </w:rPr>
        <w:t>pred</w:t>
      </w:r>
      <w:r w:rsidR="009B039E">
        <w:rPr>
          <w:rFonts w:eastAsia="Calibri" w:cstheme="minorHAnsi"/>
          <w:color w:val="000000"/>
          <w:kern w:val="0"/>
          <w:sz w:val="24"/>
          <w:szCs w:val="24"/>
          <w:lang w:val="sr-Latn-ME"/>
          <w14:ligatures w14:val="none"/>
        </w:rPr>
        <w:t>s</w:t>
      </w:r>
      <w:r w:rsidR="00972291">
        <w:rPr>
          <w:rFonts w:eastAsia="Calibri" w:cstheme="minorHAnsi"/>
          <w:color w:val="000000"/>
          <w:kern w:val="0"/>
          <w:sz w:val="24"/>
          <w:szCs w:val="24"/>
          <w:lang w:val="sr-Latn-ME"/>
          <w14:ligatures w14:val="none"/>
        </w:rPr>
        <w:t>tavnici sindikata itd</w:t>
      </w:r>
      <w:r w:rsidRPr="0096688D">
        <w:rPr>
          <w:rFonts w:eastAsia="Calibri" w:cstheme="minorHAnsi"/>
          <w:color w:val="000000"/>
          <w:kern w:val="0"/>
          <w:sz w:val="24"/>
          <w:szCs w:val="24"/>
          <w:lang w:val="sr-Latn-ME"/>
          <w14:ligatures w14:val="none"/>
        </w:rPr>
        <w:t xml:space="preserve">. </w:t>
      </w:r>
    </w:p>
    <w:p w14:paraId="20CDFA0F" w14:textId="5249BAE4" w:rsidR="005C0985" w:rsidRPr="00021CDC" w:rsidRDefault="00972291" w:rsidP="00972291">
      <w:pPr>
        <w:spacing w:after="150" w:line="276" w:lineRule="auto"/>
        <w:jc w:val="both"/>
        <w:rPr>
          <w:rFonts w:eastAsia="Calibri" w:cstheme="minorHAnsi"/>
          <w:bCs/>
          <w:color w:val="000000"/>
          <w:kern w:val="0"/>
          <w:sz w:val="24"/>
          <w:szCs w:val="24"/>
          <w:lang w:val="it-IT"/>
          <w14:ligatures w14:val="none"/>
        </w:rPr>
      </w:pPr>
      <w:r w:rsidRPr="00972291">
        <w:rPr>
          <w:rFonts w:eastAsia="Calibri" w:cstheme="minorHAnsi"/>
          <w:bCs/>
          <w:color w:val="000000"/>
          <w:kern w:val="0"/>
          <w:sz w:val="24"/>
          <w:szCs w:val="24"/>
          <w:lang w:val="pl-PL"/>
          <w14:ligatures w14:val="none"/>
        </w:rPr>
        <w:t xml:space="preserve">Kvalitativno istraživanje (dostavljanje upitnika) sprovedeno je </w:t>
      </w:r>
      <w:r w:rsidR="009370B8">
        <w:rPr>
          <w:rFonts w:eastAsia="Calibri" w:cstheme="minorHAnsi"/>
          <w:bCs/>
          <w:color w:val="000000"/>
          <w:kern w:val="0"/>
          <w:sz w:val="24"/>
          <w:szCs w:val="24"/>
          <w:lang w:val="pl-PL"/>
          <w14:ligatures w14:val="none"/>
        </w:rPr>
        <w:t xml:space="preserve">u julu 2023. </w:t>
      </w:r>
      <w:r w:rsidRPr="00972291">
        <w:rPr>
          <w:rFonts w:eastAsia="Calibri" w:cstheme="minorHAnsi"/>
          <w:bCs/>
          <w:color w:val="000000"/>
          <w:kern w:val="0"/>
          <w:sz w:val="24"/>
          <w:szCs w:val="24"/>
          <w:lang w:val="pl-PL"/>
          <w14:ligatures w14:val="none"/>
        </w:rPr>
        <w:t>na uzorku od 56 ispitanika ( 56 i</w:t>
      </w:r>
      <w:r>
        <w:rPr>
          <w:rFonts w:eastAsia="Calibri" w:cstheme="minorHAnsi"/>
          <w:bCs/>
          <w:color w:val="000000"/>
          <w:kern w:val="0"/>
          <w:sz w:val="24"/>
          <w:szCs w:val="24"/>
          <w:lang w:val="pl-PL"/>
          <w14:ligatures w14:val="none"/>
        </w:rPr>
        <w:t>nstitucija/or</w:t>
      </w:r>
      <w:r w:rsidR="009370B8">
        <w:rPr>
          <w:rFonts w:eastAsia="Calibri" w:cstheme="minorHAnsi"/>
          <w:bCs/>
          <w:color w:val="000000"/>
          <w:kern w:val="0"/>
          <w:sz w:val="24"/>
          <w:szCs w:val="24"/>
          <w:lang w:val="pl-PL"/>
          <w14:ligatures w14:val="none"/>
        </w:rPr>
        <w:t>g</w:t>
      </w:r>
      <w:r>
        <w:rPr>
          <w:rFonts w:eastAsia="Calibri" w:cstheme="minorHAnsi"/>
          <w:bCs/>
          <w:color w:val="000000"/>
          <w:kern w:val="0"/>
          <w:sz w:val="24"/>
          <w:szCs w:val="24"/>
          <w:lang w:val="pl-PL"/>
          <w14:ligatures w14:val="none"/>
        </w:rPr>
        <w:t>anizacija</w:t>
      </w:r>
      <w:r w:rsidRPr="00972291">
        <w:rPr>
          <w:rFonts w:eastAsia="Calibri" w:cstheme="minorHAnsi"/>
          <w:bCs/>
          <w:color w:val="000000"/>
          <w:kern w:val="0"/>
          <w:sz w:val="24"/>
          <w:szCs w:val="24"/>
          <w:lang w:val="pl-PL"/>
          <w14:ligatures w14:val="none"/>
        </w:rPr>
        <w:t xml:space="preserve"> kojima je dostavljen upitnik). Obuhvaćeni su državni organi i organi državne uprave (18), biznis zajednica (8), mediji (21), nvo sektor (5), akademska zajednica (4). </w:t>
      </w:r>
      <w:r>
        <w:rPr>
          <w:rFonts w:eastAsia="Calibri" w:cstheme="minorHAnsi"/>
          <w:bCs/>
          <w:color w:val="000000"/>
          <w:kern w:val="0"/>
          <w:sz w:val="24"/>
          <w:szCs w:val="24"/>
          <w:lang w:val="pl-PL"/>
          <w14:ligatures w14:val="none"/>
        </w:rPr>
        <w:t>U</w:t>
      </w:r>
      <w:r w:rsidRPr="00972291">
        <w:rPr>
          <w:rFonts w:eastAsia="Calibri" w:cstheme="minorHAnsi"/>
          <w:color w:val="000000"/>
          <w:kern w:val="0"/>
          <w:sz w:val="24"/>
          <w:szCs w:val="24"/>
          <w:lang w:val="sr-Latn-ME"/>
          <w14:ligatures w14:val="none"/>
        </w:rPr>
        <w:t>pitnik je nudio pitanja otvorenog i zatvorenog tipa</w:t>
      </w:r>
      <w:r>
        <w:rPr>
          <w:rFonts w:eastAsia="Calibri" w:cstheme="minorHAnsi"/>
          <w:color w:val="000000"/>
          <w:kern w:val="0"/>
          <w:sz w:val="24"/>
          <w:szCs w:val="24"/>
          <w:lang w:val="sr-Latn-ME"/>
          <w14:ligatures w14:val="none"/>
        </w:rPr>
        <w:t>, odnosno značajan</w:t>
      </w:r>
      <w:r w:rsidRPr="00972291">
        <w:rPr>
          <w:rFonts w:eastAsia="Calibri" w:cstheme="minorHAnsi"/>
          <w:color w:val="000000"/>
          <w:kern w:val="0"/>
          <w:sz w:val="24"/>
          <w:szCs w:val="24"/>
          <w:lang w:val="sr-Latn-ME"/>
          <w14:ligatures w14:val="none"/>
        </w:rPr>
        <w:t xml:space="preserve"> broj otvorenih pitanja koji su omogućili jasnije izražavanje stavova ispitanika po pitanju neformalne ekonomije</w:t>
      </w:r>
      <w:r>
        <w:rPr>
          <w:rFonts w:eastAsia="Calibri" w:cstheme="minorHAnsi"/>
          <w:color w:val="000000"/>
          <w:kern w:val="0"/>
          <w:sz w:val="24"/>
          <w:szCs w:val="24"/>
          <w:lang w:val="sr-Latn-ME"/>
          <w14:ligatures w14:val="none"/>
        </w:rPr>
        <w:t>. Takodje,</w:t>
      </w:r>
      <w:r w:rsidRPr="00972291">
        <w:rPr>
          <w:rFonts w:eastAsia="Calibri" w:cstheme="minorHAnsi"/>
          <w:color w:val="000000"/>
          <w:kern w:val="0"/>
          <w:sz w:val="24"/>
          <w:szCs w:val="24"/>
          <w:lang w:val="sr-Latn-ME"/>
          <w14:ligatures w14:val="none"/>
        </w:rPr>
        <w:t xml:space="preserve"> prilikom obrade podataka vodilo se računa da se gotovi svi odgovori nadju u izvještaju i na taj način omogući sveobihvatniji pregled dobijenih odgovora ali i mogućnost njihovog korišćenja prilikom izrade Programa. </w:t>
      </w:r>
      <w:r w:rsidRPr="00972291">
        <w:rPr>
          <w:rFonts w:eastAsia="Calibri" w:cstheme="minorHAnsi"/>
          <w:bCs/>
          <w:color w:val="000000"/>
          <w:kern w:val="0"/>
          <w:sz w:val="24"/>
          <w:szCs w:val="24"/>
          <w:lang w:val="it-IT"/>
          <w14:ligatures w14:val="none"/>
        </w:rPr>
        <w:t xml:space="preserve">Od dvadeset osam (28) dostavljenih odgovora na upitnik, dvanaest (12) je dostavljeno od biznis zajednice, sedam (7), državnih organa i organa državne uprave, dva (2) od jedinica lokalne samouprave, </w:t>
      </w:r>
      <w:r w:rsidR="009370B8">
        <w:rPr>
          <w:rFonts w:eastAsia="Calibri" w:cstheme="minorHAnsi"/>
          <w:bCs/>
          <w:color w:val="000000"/>
          <w:kern w:val="0"/>
          <w:sz w:val="24"/>
          <w:szCs w:val="24"/>
          <w:lang w:val="it-IT"/>
          <w14:ligatures w14:val="none"/>
        </w:rPr>
        <w:t xml:space="preserve"> </w:t>
      </w:r>
      <w:r w:rsidRPr="00972291">
        <w:rPr>
          <w:rFonts w:eastAsia="Calibri" w:cstheme="minorHAnsi"/>
          <w:bCs/>
          <w:color w:val="000000"/>
          <w:kern w:val="0"/>
          <w:sz w:val="24"/>
          <w:szCs w:val="24"/>
          <w:lang w:val="it-IT"/>
          <w14:ligatures w14:val="none"/>
        </w:rPr>
        <w:t>dva ( 2) od sindikata, tri (3) od univerziteta i dva (2) od medija.</w:t>
      </w:r>
      <w:r>
        <w:rPr>
          <w:rFonts w:eastAsia="Calibri" w:cstheme="minorHAnsi"/>
          <w:bCs/>
          <w:color w:val="000000"/>
          <w:kern w:val="0"/>
          <w:sz w:val="24"/>
          <w:szCs w:val="24"/>
          <w:lang w:val="it-IT"/>
          <w14:ligatures w14:val="none"/>
        </w:rPr>
        <w:t xml:space="preserve"> </w:t>
      </w:r>
      <w:r w:rsidR="009B039E">
        <w:rPr>
          <w:rFonts w:eastAsia="Calibri" w:cstheme="minorHAnsi"/>
          <w:bCs/>
          <w:color w:val="000000"/>
          <w:kern w:val="0"/>
          <w:sz w:val="24"/>
          <w:szCs w:val="24"/>
          <w:lang w:val="it-IT"/>
          <w14:ligatures w14:val="none"/>
        </w:rPr>
        <w:t>Za</w:t>
      </w:r>
      <w:r>
        <w:rPr>
          <w:rFonts w:eastAsia="Calibri" w:cstheme="minorHAnsi"/>
          <w:bCs/>
          <w:color w:val="000000"/>
          <w:kern w:val="0"/>
          <w:sz w:val="24"/>
          <w:szCs w:val="24"/>
          <w:lang w:val="it-IT"/>
          <w14:ligatures w14:val="none"/>
        </w:rPr>
        <w:t xml:space="preserve"> više detalja </w:t>
      </w:r>
      <w:r w:rsidR="009B039E">
        <w:rPr>
          <w:rFonts w:eastAsia="Calibri" w:cstheme="minorHAnsi"/>
          <w:bCs/>
          <w:color w:val="000000"/>
          <w:kern w:val="0"/>
          <w:sz w:val="24"/>
          <w:szCs w:val="24"/>
          <w:lang w:val="it-IT"/>
          <w14:ligatures w14:val="none"/>
        </w:rPr>
        <w:t xml:space="preserve">vidjeti </w:t>
      </w:r>
      <w:r>
        <w:rPr>
          <w:rFonts w:eastAsia="Calibri" w:cstheme="minorHAnsi"/>
          <w:bCs/>
          <w:color w:val="000000"/>
          <w:kern w:val="0"/>
          <w:sz w:val="24"/>
          <w:szCs w:val="24"/>
          <w:lang w:val="it-IT"/>
          <w14:ligatures w14:val="none"/>
        </w:rPr>
        <w:t>aneks.</w:t>
      </w:r>
    </w:p>
    <w:p w14:paraId="469C76AC" w14:textId="27D621E3" w:rsidR="001D0030" w:rsidRDefault="00972291" w:rsidP="00972291">
      <w:pPr>
        <w:spacing w:after="150" w:line="276" w:lineRule="auto"/>
        <w:jc w:val="both"/>
        <w:rPr>
          <w:rFonts w:eastAsia="Calibri" w:cstheme="minorHAnsi"/>
          <w:bCs/>
          <w:color w:val="000000"/>
          <w:kern w:val="0"/>
          <w:sz w:val="24"/>
          <w:szCs w:val="24"/>
          <w:lang w:val="it-IT"/>
          <w14:ligatures w14:val="none"/>
        </w:rPr>
      </w:pPr>
      <w:r w:rsidRPr="00972291">
        <w:rPr>
          <w:rFonts w:eastAsia="Calibri" w:cstheme="minorHAnsi"/>
          <w:bCs/>
          <w:color w:val="000000"/>
          <w:kern w:val="0"/>
          <w:sz w:val="24"/>
          <w:szCs w:val="24"/>
          <w:lang w:val="it-IT"/>
          <w14:ligatures w14:val="none"/>
        </w:rPr>
        <w:t xml:space="preserve">Na osnovu </w:t>
      </w:r>
      <w:r w:rsidR="007E3EDD">
        <w:rPr>
          <w:rFonts w:eastAsia="Calibri" w:cstheme="minorHAnsi"/>
          <w:bCs/>
          <w:color w:val="000000"/>
          <w:kern w:val="0"/>
          <w:sz w:val="24"/>
          <w:szCs w:val="24"/>
          <w:lang w:val="it-IT"/>
          <w14:ligatures w14:val="none"/>
        </w:rPr>
        <w:t xml:space="preserve">svih </w:t>
      </w:r>
      <w:r w:rsidRPr="00972291">
        <w:rPr>
          <w:rFonts w:eastAsia="Calibri" w:cstheme="minorHAnsi"/>
          <w:bCs/>
          <w:color w:val="000000"/>
          <w:kern w:val="0"/>
          <w:sz w:val="24"/>
          <w:szCs w:val="24"/>
          <w:lang w:val="it-IT"/>
          <w14:ligatures w14:val="none"/>
        </w:rPr>
        <w:t>dobijenih nalaza</w:t>
      </w:r>
      <w:r w:rsidR="009370B8">
        <w:rPr>
          <w:rFonts w:eastAsia="Calibri" w:cstheme="minorHAnsi"/>
          <w:bCs/>
          <w:color w:val="000000"/>
          <w:kern w:val="0"/>
          <w:sz w:val="24"/>
          <w:szCs w:val="24"/>
          <w:lang w:val="it-IT"/>
          <w14:ligatures w14:val="none"/>
        </w:rPr>
        <w:t xml:space="preserve"> iz</w:t>
      </w:r>
      <w:r w:rsidR="007E3EDD">
        <w:rPr>
          <w:rFonts w:eastAsia="Calibri" w:cstheme="minorHAnsi"/>
          <w:bCs/>
          <w:color w:val="000000"/>
          <w:kern w:val="0"/>
          <w:sz w:val="24"/>
          <w:szCs w:val="24"/>
          <w:lang w:val="it-IT"/>
          <w14:ligatures w14:val="none"/>
        </w:rPr>
        <w:t xml:space="preserve"> primarnih i sekundarnih izvora, </w:t>
      </w:r>
      <w:r w:rsidRPr="00972291">
        <w:rPr>
          <w:rFonts w:eastAsia="Calibri" w:cstheme="minorHAnsi"/>
          <w:bCs/>
          <w:color w:val="000000"/>
          <w:kern w:val="0"/>
          <w:sz w:val="24"/>
          <w:szCs w:val="24"/>
          <w:lang w:val="it-IT"/>
          <w14:ligatures w14:val="none"/>
        </w:rPr>
        <w:t>pripremljen</w:t>
      </w:r>
      <w:r w:rsidR="009370B8">
        <w:rPr>
          <w:rFonts w:eastAsia="Calibri" w:cstheme="minorHAnsi"/>
          <w:bCs/>
          <w:color w:val="000000"/>
          <w:kern w:val="0"/>
          <w:sz w:val="24"/>
          <w:szCs w:val="24"/>
          <w:lang w:val="it-IT"/>
          <w14:ligatures w14:val="none"/>
        </w:rPr>
        <w:t>e su PESTLE i SWOT analiza Programa</w:t>
      </w:r>
      <w:r w:rsidR="007E3EDD">
        <w:rPr>
          <w:rFonts w:eastAsia="Calibri" w:cstheme="minorHAnsi"/>
          <w:bCs/>
          <w:color w:val="000000"/>
          <w:kern w:val="0"/>
          <w:sz w:val="24"/>
          <w:szCs w:val="24"/>
          <w:lang w:val="it-IT"/>
          <w14:ligatures w14:val="none"/>
        </w:rPr>
        <w:t xml:space="preserve">, identifikovani ključni izazovi i </w:t>
      </w:r>
      <w:r w:rsidR="00466D15">
        <w:rPr>
          <w:rFonts w:eastAsia="Calibri" w:cstheme="minorHAnsi"/>
          <w:bCs/>
          <w:color w:val="000000"/>
          <w:kern w:val="0"/>
          <w:sz w:val="24"/>
          <w:szCs w:val="24"/>
          <w:lang w:val="it-IT"/>
          <w14:ligatures w14:val="none"/>
        </w:rPr>
        <w:t>predloženi načini njihovog prevazilaženja kroz operacionalizaciju postavljenih ciljeva.</w:t>
      </w:r>
    </w:p>
    <w:p w14:paraId="744BED07" w14:textId="7A18BD94" w:rsidR="0099562E" w:rsidRPr="00B67D63" w:rsidRDefault="006E1CD4" w:rsidP="00B67D63">
      <w:pPr>
        <w:pStyle w:val="Heading2"/>
        <w:numPr>
          <w:ilvl w:val="1"/>
          <w:numId w:val="25"/>
        </w:numPr>
        <w:rPr>
          <w:lang w:val="it-IT"/>
        </w:rPr>
      </w:pPr>
      <w:bookmarkStart w:id="30" w:name="_Toc147990151"/>
      <w:r w:rsidRPr="00021CDC">
        <w:rPr>
          <w:lang w:val="it-IT"/>
        </w:rPr>
        <w:t>PESTLE analiza</w:t>
      </w:r>
      <w:bookmarkEnd w:id="30"/>
      <w:r w:rsidRPr="00021CDC">
        <w:rPr>
          <w:lang w:val="it-IT"/>
        </w:rPr>
        <w:t xml:space="preserve"> </w:t>
      </w:r>
    </w:p>
    <w:p w14:paraId="44EEBCE2" w14:textId="4644C4B8" w:rsidR="006E1CD4" w:rsidRDefault="006E1CD4" w:rsidP="009370B8">
      <w:pPr>
        <w:jc w:val="both"/>
        <w:rPr>
          <w:rFonts w:cstheme="minorHAnsi"/>
          <w:sz w:val="24"/>
          <w:szCs w:val="24"/>
          <w:lang w:val="sr-Latn-ME"/>
        </w:rPr>
      </w:pPr>
      <w:r w:rsidRPr="00021CDC">
        <w:rPr>
          <w:rFonts w:cstheme="minorHAnsi"/>
          <w:sz w:val="24"/>
          <w:szCs w:val="24"/>
          <w:lang w:val="it-IT"/>
        </w:rPr>
        <w:t xml:space="preserve">Eksterna analiza sprovedena je </w:t>
      </w:r>
      <w:r w:rsidRPr="00281886">
        <w:rPr>
          <w:rFonts w:cstheme="minorHAnsi"/>
          <w:sz w:val="24"/>
          <w:szCs w:val="24"/>
          <w:lang w:val="sr-Latn-ME"/>
        </w:rPr>
        <w:t xml:space="preserve">u cilju utvrđivanja uslova eksternog okruženja koji utiču na neformalnu ekonomiju koristeći PESTLE model. Kroz ovu analizu sagledava se šest oblasti (okruženja) i to: politički (Political-P), ekonomski (Economic-E), socijalni (društveni) ( Social-S), tehnološki (Technological-T), ekološki (Environmental- E), pravni ( Legal- L). </w:t>
      </w:r>
    </w:p>
    <w:p w14:paraId="573BB177" w14:textId="28140E47" w:rsidR="00223E4C" w:rsidRDefault="00223E4C" w:rsidP="009370B8">
      <w:pPr>
        <w:jc w:val="both"/>
        <w:rPr>
          <w:rFonts w:cstheme="minorHAnsi"/>
          <w:sz w:val="24"/>
          <w:szCs w:val="24"/>
          <w:lang w:val="sr-Latn-ME"/>
        </w:rPr>
      </w:pPr>
    </w:p>
    <w:p w14:paraId="247490C9" w14:textId="77777777" w:rsidR="00223E4C" w:rsidRPr="00281886" w:rsidRDefault="00223E4C" w:rsidP="009370B8">
      <w:pPr>
        <w:jc w:val="both"/>
        <w:rPr>
          <w:rFonts w:cstheme="minorHAnsi"/>
          <w:sz w:val="24"/>
          <w:szCs w:val="24"/>
          <w:lang w:val="sr-Latn-ME"/>
        </w:rPr>
      </w:pPr>
    </w:p>
    <w:p w14:paraId="15D0F69B" w14:textId="77777777" w:rsidR="006E1CD4" w:rsidRPr="00281886" w:rsidRDefault="006E1CD4" w:rsidP="009370B8">
      <w:pPr>
        <w:jc w:val="both"/>
        <w:rPr>
          <w:rFonts w:cstheme="minorHAnsi"/>
          <w:sz w:val="24"/>
          <w:szCs w:val="24"/>
          <w:lang w:val="sr-Latn-ME"/>
        </w:rPr>
      </w:pPr>
      <w:r w:rsidRPr="00281886">
        <w:rPr>
          <w:rFonts w:cstheme="minorHAnsi"/>
          <w:sz w:val="24"/>
          <w:szCs w:val="24"/>
          <w:lang w:val="sr-Latn-ME"/>
        </w:rPr>
        <w:lastRenderedPageBreak/>
        <w:t>Grafik: Šematski prikaz PESTLE analize</w:t>
      </w:r>
    </w:p>
    <w:p w14:paraId="0C915D3F" w14:textId="77777777" w:rsidR="006E1CD4" w:rsidRPr="00281886" w:rsidRDefault="006E1CD4" w:rsidP="006E1CD4">
      <w:pPr>
        <w:rPr>
          <w:rFonts w:cstheme="minorHAnsi"/>
          <w:sz w:val="24"/>
          <w:szCs w:val="24"/>
          <w:lang w:val="sr-Latn-ME"/>
        </w:rPr>
      </w:pPr>
      <w:r w:rsidRPr="00281886">
        <w:rPr>
          <w:rFonts w:cstheme="minorHAnsi"/>
          <w:noProof/>
          <w:sz w:val="24"/>
          <w:szCs w:val="24"/>
        </w:rPr>
        <w:drawing>
          <wp:inline distT="0" distB="0" distL="0" distR="0" wp14:anchorId="72B6C2C8" wp14:editId="685B5E67">
            <wp:extent cx="5452110" cy="2260600"/>
            <wp:effectExtent l="0" t="57150" r="0" b="44450"/>
            <wp:docPr id="1606282572" name="Diagram 16062825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FB2F18F" w14:textId="77777777" w:rsidR="006E1CD4" w:rsidRDefault="006E1CD4" w:rsidP="006E1CD4">
      <w:pPr>
        <w:rPr>
          <w:rFonts w:cstheme="minorHAnsi"/>
          <w:sz w:val="24"/>
          <w:szCs w:val="24"/>
          <w:lang w:val="sr-Latn-ME"/>
        </w:rPr>
      </w:pPr>
    </w:p>
    <w:p w14:paraId="763EFA30" w14:textId="77777777" w:rsidR="005A5C62" w:rsidRPr="00281886" w:rsidRDefault="005A5C62" w:rsidP="006E1CD4">
      <w:pPr>
        <w:rPr>
          <w:rFonts w:cstheme="minorHAnsi"/>
          <w:sz w:val="24"/>
          <w:szCs w:val="24"/>
          <w:lang w:val="sr-Latn-ME"/>
        </w:rPr>
      </w:pPr>
    </w:p>
    <w:p w14:paraId="4EE9D337" w14:textId="77777777" w:rsidR="006E1CD4" w:rsidRPr="00B67D63" w:rsidRDefault="006E1CD4" w:rsidP="006E1CD4">
      <w:pPr>
        <w:rPr>
          <w:rFonts w:cstheme="minorHAnsi"/>
          <w:bCs/>
          <w:color w:val="002060"/>
          <w:sz w:val="24"/>
          <w:szCs w:val="24"/>
          <w:lang w:val="sr-Latn-ME"/>
        </w:rPr>
      </w:pPr>
      <w:r w:rsidRPr="00B67D63">
        <w:rPr>
          <w:rFonts w:cstheme="minorHAnsi"/>
          <w:bCs/>
          <w:color w:val="002060"/>
          <w:sz w:val="24"/>
          <w:szCs w:val="24"/>
          <w:lang w:val="sr-Latn-ME"/>
        </w:rPr>
        <w:t xml:space="preserve">P-Političko okruženje </w:t>
      </w:r>
    </w:p>
    <w:p w14:paraId="7B58BDC4" w14:textId="0E08DDDC" w:rsidR="006E1CD4" w:rsidRPr="00281886" w:rsidRDefault="006E1CD4" w:rsidP="00161E6C">
      <w:pPr>
        <w:jc w:val="both"/>
        <w:rPr>
          <w:rFonts w:cstheme="minorHAnsi"/>
          <w:sz w:val="24"/>
          <w:szCs w:val="24"/>
          <w:lang w:val="sr-Latn-ME"/>
        </w:rPr>
      </w:pPr>
      <w:r w:rsidRPr="00281886">
        <w:rPr>
          <w:rFonts w:cstheme="minorHAnsi"/>
          <w:sz w:val="24"/>
          <w:szCs w:val="24"/>
          <w:lang w:val="sr-Latn-ME"/>
        </w:rPr>
        <w:t>Političko okruženje u kojem se priprema i donosi Program može se označiti kao kompleksno. Ovo posebno imajući u vidu da su u toku izrade Programa održani prijevremeni parlamentarni izbori (11.juna 2023.godine), nakon izglasavanja nepovjerenja 43.Vladi</w:t>
      </w:r>
      <w:r w:rsidRPr="00281886">
        <w:rPr>
          <w:rFonts w:cstheme="minorHAnsi"/>
          <w:sz w:val="24"/>
          <w:szCs w:val="24"/>
          <w:vertAlign w:val="superscript"/>
          <w:lang w:val="sr-Latn-ME"/>
        </w:rPr>
        <w:footnoteReference w:id="18"/>
      </w:r>
      <w:r w:rsidRPr="00281886">
        <w:rPr>
          <w:rFonts w:cstheme="minorHAnsi"/>
          <w:sz w:val="24"/>
          <w:szCs w:val="24"/>
          <w:lang w:val="sr-Latn-ME"/>
        </w:rPr>
        <w:t xml:space="preserve">. Vlada je u tehničkom (privremenom) mandatu u trenutku izrade Programa. </w:t>
      </w:r>
    </w:p>
    <w:p w14:paraId="167511C6" w14:textId="563330C3" w:rsidR="006E1CD4" w:rsidRPr="00281886" w:rsidRDefault="006E1CD4" w:rsidP="00161E6C">
      <w:pPr>
        <w:jc w:val="both"/>
        <w:rPr>
          <w:rFonts w:cstheme="minorHAnsi"/>
          <w:sz w:val="24"/>
          <w:szCs w:val="24"/>
          <w:lang w:val="sr-Latn-ME"/>
        </w:rPr>
      </w:pPr>
      <w:r w:rsidRPr="00281886">
        <w:rPr>
          <w:rFonts w:cstheme="minorHAnsi"/>
          <w:sz w:val="24"/>
          <w:szCs w:val="24"/>
          <w:lang w:val="sr-Latn-ME"/>
        </w:rPr>
        <w:t>Geopolitički posmatrano, Crna Gora je čvrsto opredijeljena da postane članica EU, nakon ostvarenog članstva u NATO</w:t>
      </w:r>
      <w:r w:rsidR="00161E6C" w:rsidRPr="00281886">
        <w:rPr>
          <w:rFonts w:cstheme="minorHAnsi"/>
          <w:sz w:val="24"/>
          <w:szCs w:val="24"/>
          <w:lang w:val="sr-Latn-ME"/>
        </w:rPr>
        <w:t>-</w:t>
      </w:r>
      <w:r w:rsidRPr="00281886">
        <w:rPr>
          <w:rFonts w:cstheme="minorHAnsi"/>
          <w:sz w:val="24"/>
          <w:szCs w:val="24"/>
          <w:lang w:val="sr-Latn-ME"/>
        </w:rPr>
        <w:t xml:space="preserve">u. Trenutno je Crna Gora zemlja kandidat za članstvo u EU.  Crna Gora </w:t>
      </w:r>
      <w:r w:rsidR="00161E6C" w:rsidRPr="00281886">
        <w:rPr>
          <w:rFonts w:cstheme="minorHAnsi"/>
          <w:sz w:val="24"/>
          <w:szCs w:val="24"/>
          <w:lang w:val="sr-Latn-ME"/>
        </w:rPr>
        <w:t>je u potpunosti us</w:t>
      </w:r>
      <w:r w:rsidR="004D2B40">
        <w:rPr>
          <w:rFonts w:cstheme="minorHAnsi"/>
          <w:sz w:val="24"/>
          <w:szCs w:val="24"/>
          <w:lang w:val="sr-Latn-ME"/>
        </w:rPr>
        <w:t>k</w:t>
      </w:r>
      <w:r w:rsidR="00161E6C" w:rsidRPr="00281886">
        <w:rPr>
          <w:rFonts w:cstheme="minorHAnsi"/>
          <w:sz w:val="24"/>
          <w:szCs w:val="24"/>
          <w:lang w:val="sr-Latn-ME"/>
        </w:rPr>
        <w:t xml:space="preserve">ladjena u vodjenju vanjske politike sa  politikom </w:t>
      </w:r>
      <w:r w:rsidRPr="00281886">
        <w:rPr>
          <w:rFonts w:cstheme="minorHAnsi"/>
          <w:sz w:val="24"/>
          <w:szCs w:val="24"/>
          <w:lang w:val="sr-Latn-ME"/>
        </w:rPr>
        <w:t xml:space="preserve">EU, uključujući i druge međunarodne organizacije, kao što je npr. Svjetska trgoviska organizacija. </w:t>
      </w:r>
    </w:p>
    <w:p w14:paraId="24379F4A" w14:textId="77777777" w:rsidR="006E1CD4" w:rsidRPr="00B67D63" w:rsidRDefault="006E1CD4" w:rsidP="006E1CD4">
      <w:pPr>
        <w:rPr>
          <w:rFonts w:cstheme="minorHAnsi"/>
          <w:bCs/>
          <w:color w:val="002060"/>
          <w:sz w:val="24"/>
          <w:szCs w:val="24"/>
          <w:lang w:val="sr-Latn-ME"/>
        </w:rPr>
      </w:pPr>
      <w:r w:rsidRPr="00B67D63">
        <w:rPr>
          <w:rFonts w:cstheme="minorHAnsi"/>
          <w:bCs/>
          <w:color w:val="002060"/>
          <w:sz w:val="24"/>
          <w:szCs w:val="24"/>
          <w:lang w:val="sr-Latn-ME"/>
        </w:rPr>
        <w:t xml:space="preserve">E- Ekonomsko okruženje </w:t>
      </w:r>
    </w:p>
    <w:p w14:paraId="5E96BF6C" w14:textId="0533F0BB" w:rsidR="005A5C62" w:rsidRDefault="006E1CD4" w:rsidP="00942088">
      <w:pPr>
        <w:jc w:val="both"/>
        <w:rPr>
          <w:rFonts w:cstheme="minorHAnsi"/>
          <w:sz w:val="24"/>
          <w:szCs w:val="24"/>
          <w:lang w:val="sr-Latn-ME"/>
        </w:rPr>
      </w:pPr>
      <w:proofErr w:type="spellStart"/>
      <w:r w:rsidRPr="00281886">
        <w:rPr>
          <w:rFonts w:cstheme="minorHAnsi"/>
          <w:sz w:val="24"/>
          <w:szCs w:val="24"/>
          <w:lang w:val="en-GB"/>
        </w:rPr>
        <w:t>Ekonomsko</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ure</w:t>
      </w:r>
      <w:proofErr w:type="spellEnd"/>
      <w:r w:rsidRPr="00281886">
        <w:rPr>
          <w:rFonts w:cstheme="minorHAnsi"/>
          <w:sz w:val="24"/>
          <w:szCs w:val="24"/>
          <w:lang w:val="sr-Latn-ME"/>
        </w:rPr>
        <w:t>đ</w:t>
      </w:r>
      <w:proofErr w:type="spellStart"/>
      <w:r w:rsidRPr="00281886">
        <w:rPr>
          <w:rFonts w:cstheme="minorHAnsi"/>
          <w:sz w:val="24"/>
          <w:szCs w:val="24"/>
          <w:lang w:val="en-GB"/>
        </w:rPr>
        <w:t>enje</w:t>
      </w:r>
      <w:proofErr w:type="spellEnd"/>
      <w:r w:rsidRPr="00281886">
        <w:rPr>
          <w:rFonts w:cstheme="minorHAnsi"/>
          <w:sz w:val="24"/>
          <w:szCs w:val="24"/>
          <w:lang w:val="sr-Latn-ME"/>
        </w:rPr>
        <w:t xml:space="preserve"> Crne Gore </w:t>
      </w:r>
      <w:proofErr w:type="spellStart"/>
      <w:r w:rsidRPr="00281886">
        <w:rPr>
          <w:rFonts w:cstheme="minorHAnsi"/>
          <w:sz w:val="24"/>
          <w:szCs w:val="24"/>
          <w:lang w:val="en-GB"/>
        </w:rPr>
        <w:t>zasniva</w:t>
      </w:r>
      <w:proofErr w:type="spellEnd"/>
      <w:r w:rsidRPr="00281886">
        <w:rPr>
          <w:rFonts w:cstheme="minorHAnsi"/>
          <w:sz w:val="24"/>
          <w:szCs w:val="24"/>
          <w:lang w:val="sr-Latn-ME"/>
        </w:rPr>
        <w:t xml:space="preserve"> </w:t>
      </w:r>
      <w:r w:rsidRPr="00281886">
        <w:rPr>
          <w:rFonts w:cstheme="minorHAnsi"/>
          <w:sz w:val="24"/>
          <w:szCs w:val="24"/>
          <w:lang w:val="en-GB"/>
        </w:rPr>
        <w:t>se</w:t>
      </w:r>
      <w:r w:rsidRPr="00281886">
        <w:rPr>
          <w:rFonts w:cstheme="minorHAnsi"/>
          <w:sz w:val="24"/>
          <w:szCs w:val="24"/>
          <w:lang w:val="sr-Latn-ME"/>
        </w:rPr>
        <w:t xml:space="preserve"> </w:t>
      </w:r>
      <w:proofErr w:type="spellStart"/>
      <w:r w:rsidRPr="00281886">
        <w:rPr>
          <w:rFonts w:cstheme="minorHAnsi"/>
          <w:sz w:val="24"/>
          <w:szCs w:val="24"/>
          <w:lang w:val="en-GB"/>
        </w:rPr>
        <w:t>na</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slobodnom</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otvorenom</w:t>
      </w:r>
      <w:proofErr w:type="spellEnd"/>
      <w:r w:rsidRPr="00281886">
        <w:rPr>
          <w:rFonts w:cstheme="minorHAnsi"/>
          <w:sz w:val="24"/>
          <w:szCs w:val="24"/>
          <w:lang w:val="sr-Latn-ME"/>
        </w:rPr>
        <w:t xml:space="preserve"> </w:t>
      </w:r>
      <w:r w:rsidRPr="00281886">
        <w:rPr>
          <w:rFonts w:cstheme="minorHAnsi"/>
          <w:sz w:val="24"/>
          <w:szCs w:val="24"/>
          <w:lang w:val="en-GB"/>
        </w:rPr>
        <w:t>tr</w:t>
      </w:r>
      <w:r w:rsidRPr="00281886">
        <w:rPr>
          <w:rFonts w:cstheme="minorHAnsi"/>
          <w:sz w:val="24"/>
          <w:szCs w:val="24"/>
          <w:lang w:val="sr-Latn-ME"/>
        </w:rPr>
        <w:t>ž</w:t>
      </w:r>
      <w:proofErr w:type="spellStart"/>
      <w:r w:rsidRPr="00281886">
        <w:rPr>
          <w:rFonts w:cstheme="minorHAnsi"/>
          <w:sz w:val="24"/>
          <w:szCs w:val="24"/>
          <w:lang w:val="en-GB"/>
        </w:rPr>
        <w:t>i</w:t>
      </w:r>
      <w:proofErr w:type="spellEnd"/>
      <w:r w:rsidRPr="00281886">
        <w:rPr>
          <w:rFonts w:cstheme="minorHAnsi"/>
          <w:sz w:val="24"/>
          <w:szCs w:val="24"/>
          <w:lang w:val="sr-Latn-ME"/>
        </w:rPr>
        <w:t>š</w:t>
      </w:r>
      <w:proofErr w:type="spellStart"/>
      <w:r w:rsidRPr="00281886">
        <w:rPr>
          <w:rFonts w:cstheme="minorHAnsi"/>
          <w:sz w:val="24"/>
          <w:szCs w:val="24"/>
          <w:lang w:val="en-GB"/>
        </w:rPr>
        <w:t>tu</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slobodi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preduzetni</w:t>
      </w:r>
      <w:proofErr w:type="spellEnd"/>
      <w:r w:rsidRPr="00281886">
        <w:rPr>
          <w:rFonts w:cstheme="minorHAnsi"/>
          <w:sz w:val="24"/>
          <w:szCs w:val="24"/>
          <w:lang w:val="sr-Latn-ME"/>
        </w:rPr>
        <w:t>š</w:t>
      </w:r>
      <w:proofErr w:type="spellStart"/>
      <w:r w:rsidRPr="00281886">
        <w:rPr>
          <w:rFonts w:cstheme="minorHAnsi"/>
          <w:sz w:val="24"/>
          <w:szCs w:val="24"/>
          <w:lang w:val="en-GB"/>
        </w:rPr>
        <w:t>tva</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konkurencije</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samostalnosti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privrednih</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subjekata</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njihovoj</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odgovornosti</w:t>
      </w:r>
      <w:proofErr w:type="spellEnd"/>
      <w:r w:rsidRPr="00281886">
        <w:rPr>
          <w:rFonts w:cstheme="minorHAnsi"/>
          <w:sz w:val="24"/>
          <w:szCs w:val="24"/>
          <w:lang w:val="sr-Latn-ME"/>
        </w:rPr>
        <w:t xml:space="preserve"> </w:t>
      </w:r>
      <w:r w:rsidRPr="00281886">
        <w:rPr>
          <w:rFonts w:cstheme="minorHAnsi"/>
          <w:sz w:val="24"/>
          <w:szCs w:val="24"/>
          <w:lang w:val="en-GB"/>
        </w:rPr>
        <w:t>za</w:t>
      </w:r>
      <w:r w:rsidRPr="00281886">
        <w:rPr>
          <w:rFonts w:cstheme="minorHAnsi"/>
          <w:sz w:val="24"/>
          <w:szCs w:val="24"/>
          <w:lang w:val="sr-Latn-ME"/>
        </w:rPr>
        <w:t xml:space="preserve"> </w:t>
      </w:r>
      <w:proofErr w:type="spellStart"/>
      <w:r w:rsidRPr="00281886">
        <w:rPr>
          <w:rFonts w:cstheme="minorHAnsi"/>
          <w:sz w:val="24"/>
          <w:szCs w:val="24"/>
          <w:lang w:val="en-GB"/>
        </w:rPr>
        <w:t>preuzete</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obaveze</w:t>
      </w:r>
      <w:proofErr w:type="spellEnd"/>
      <w:r w:rsidRPr="00281886">
        <w:rPr>
          <w:rFonts w:cstheme="minorHAnsi"/>
          <w:sz w:val="24"/>
          <w:szCs w:val="24"/>
          <w:lang w:val="sr-Latn-ME"/>
        </w:rPr>
        <w:t xml:space="preserve"> </w:t>
      </w:r>
      <w:r w:rsidRPr="00281886">
        <w:rPr>
          <w:rFonts w:cstheme="minorHAnsi"/>
          <w:sz w:val="24"/>
          <w:szCs w:val="24"/>
          <w:lang w:val="en-GB"/>
        </w:rPr>
        <w:t>u</w:t>
      </w:r>
      <w:r w:rsidRPr="00281886">
        <w:rPr>
          <w:rFonts w:cstheme="minorHAnsi"/>
          <w:sz w:val="24"/>
          <w:szCs w:val="24"/>
          <w:lang w:val="sr-Latn-ME"/>
        </w:rPr>
        <w:t xml:space="preserve"> </w:t>
      </w:r>
      <w:proofErr w:type="spellStart"/>
      <w:r w:rsidRPr="00281886">
        <w:rPr>
          <w:rFonts w:cstheme="minorHAnsi"/>
          <w:sz w:val="24"/>
          <w:szCs w:val="24"/>
          <w:lang w:val="en-GB"/>
        </w:rPr>
        <w:t>pravnom</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prometu</w:t>
      </w:r>
      <w:proofErr w:type="spellEnd"/>
      <w:r w:rsidRPr="00281886">
        <w:rPr>
          <w:rFonts w:cstheme="minorHAnsi"/>
          <w:sz w:val="24"/>
          <w:szCs w:val="24"/>
          <w:lang w:val="sr-Latn-ME"/>
        </w:rPr>
        <w:t xml:space="preserve">, </w:t>
      </w:r>
      <w:r w:rsidRPr="00281886">
        <w:rPr>
          <w:rFonts w:cstheme="minorHAnsi"/>
          <w:sz w:val="24"/>
          <w:szCs w:val="24"/>
          <w:lang w:val="en-GB"/>
        </w:rPr>
        <w:t>za</w:t>
      </w:r>
      <w:r w:rsidRPr="00281886">
        <w:rPr>
          <w:rFonts w:cstheme="minorHAnsi"/>
          <w:sz w:val="24"/>
          <w:szCs w:val="24"/>
          <w:lang w:val="sr-Latn-ME"/>
        </w:rPr>
        <w:t>š</w:t>
      </w:r>
      <w:proofErr w:type="spellStart"/>
      <w:r w:rsidRPr="00281886">
        <w:rPr>
          <w:rFonts w:cstheme="minorHAnsi"/>
          <w:sz w:val="24"/>
          <w:szCs w:val="24"/>
          <w:lang w:val="en-GB"/>
        </w:rPr>
        <w:t>titi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ravnopravnosti</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svih</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oblika</w:t>
      </w:r>
      <w:proofErr w:type="spellEnd"/>
      <w:r w:rsidRPr="00281886">
        <w:rPr>
          <w:rFonts w:cstheme="minorHAnsi"/>
          <w:sz w:val="24"/>
          <w:szCs w:val="24"/>
          <w:lang w:val="sr-Latn-ME"/>
        </w:rPr>
        <w:t xml:space="preserve"> </w:t>
      </w:r>
      <w:proofErr w:type="spellStart"/>
      <w:r w:rsidRPr="00281886">
        <w:rPr>
          <w:rFonts w:cstheme="minorHAnsi"/>
          <w:sz w:val="24"/>
          <w:szCs w:val="24"/>
          <w:lang w:val="en-GB"/>
        </w:rPr>
        <w:t>svojine</w:t>
      </w:r>
      <w:proofErr w:type="spellEnd"/>
      <w:r w:rsidRPr="00281886">
        <w:rPr>
          <w:rFonts w:cstheme="minorHAnsi"/>
          <w:sz w:val="24"/>
          <w:szCs w:val="24"/>
          <w:lang w:val="sr-Latn-ME"/>
        </w:rPr>
        <w:t xml:space="preserve">. </w:t>
      </w:r>
      <w:r w:rsidRPr="00281886">
        <w:rPr>
          <w:rFonts w:cstheme="minorHAnsi"/>
          <w:sz w:val="24"/>
          <w:szCs w:val="24"/>
          <w:lang w:val="pl-PL"/>
        </w:rPr>
        <w:t>Zabranjeno je narušavanje i ograničavanje slobodne konkurencije i podsticanje neravno-pravnog, monopolskog ili dominantnog položaja na tržištu.</w:t>
      </w:r>
      <w:r w:rsidRPr="00281886">
        <w:rPr>
          <w:rFonts w:cstheme="minorHAnsi"/>
          <w:sz w:val="24"/>
          <w:szCs w:val="24"/>
          <w:lang w:val="sr-Latn-ME"/>
        </w:rPr>
        <w:t xml:space="preserve"> Svako je dužan da plaća poreze i dažbine. ( Ustav Crne Gore (član 142)). </w:t>
      </w:r>
      <w:r w:rsidR="00161E6C" w:rsidRPr="00281886">
        <w:rPr>
          <w:rFonts w:cstheme="minorHAnsi"/>
          <w:sz w:val="24"/>
          <w:szCs w:val="24"/>
          <w:lang w:val="sr-Latn-ME"/>
        </w:rPr>
        <w:t xml:space="preserve"> Detaljniji pirikaz markeokonomskog okvira Crne Gore dat je u </w:t>
      </w:r>
      <w:r w:rsidR="00160691" w:rsidRPr="00281886">
        <w:rPr>
          <w:rFonts w:cstheme="minorHAnsi"/>
          <w:sz w:val="24"/>
          <w:szCs w:val="24"/>
          <w:lang w:val="sr-Latn-ME"/>
        </w:rPr>
        <w:t>2.1</w:t>
      </w:r>
      <w:r w:rsidR="005A5C62">
        <w:rPr>
          <w:rFonts w:cstheme="minorHAnsi"/>
          <w:sz w:val="24"/>
          <w:szCs w:val="24"/>
          <w:lang w:val="sr-Latn-ME"/>
        </w:rPr>
        <w:t>.</w:t>
      </w:r>
    </w:p>
    <w:p w14:paraId="19F17602" w14:textId="77777777" w:rsidR="00B67D63" w:rsidRDefault="00B67D63" w:rsidP="00942088">
      <w:pPr>
        <w:jc w:val="both"/>
        <w:rPr>
          <w:rFonts w:cstheme="minorHAnsi"/>
          <w:sz w:val="24"/>
          <w:szCs w:val="24"/>
          <w:lang w:val="sr-Latn-ME"/>
        </w:rPr>
      </w:pPr>
    </w:p>
    <w:p w14:paraId="7C88BD07" w14:textId="77777777" w:rsidR="00B67D63" w:rsidRPr="00281886" w:rsidRDefault="00B67D63" w:rsidP="00942088">
      <w:pPr>
        <w:jc w:val="both"/>
        <w:rPr>
          <w:rFonts w:cstheme="minorHAnsi"/>
          <w:sz w:val="24"/>
          <w:szCs w:val="24"/>
          <w:lang w:val="sr-Latn-ME"/>
        </w:rPr>
      </w:pPr>
    </w:p>
    <w:p w14:paraId="4B3F2DB5" w14:textId="77777777" w:rsidR="006E1CD4" w:rsidRPr="00B67D63" w:rsidRDefault="006E1CD4" w:rsidP="006E1CD4">
      <w:pPr>
        <w:rPr>
          <w:rFonts w:cstheme="minorHAnsi"/>
          <w:bCs/>
          <w:color w:val="002060"/>
          <w:sz w:val="24"/>
          <w:szCs w:val="24"/>
          <w:lang w:val="pl-PL"/>
        </w:rPr>
      </w:pPr>
      <w:r w:rsidRPr="00B67D63">
        <w:rPr>
          <w:rFonts w:cstheme="minorHAnsi"/>
          <w:bCs/>
          <w:color w:val="002060"/>
          <w:sz w:val="24"/>
          <w:szCs w:val="24"/>
          <w:lang w:val="pl-PL"/>
        </w:rPr>
        <w:lastRenderedPageBreak/>
        <w:t xml:space="preserve">S- Socijalno okruženje </w:t>
      </w:r>
    </w:p>
    <w:p w14:paraId="51C96553" w14:textId="0001474B" w:rsidR="006E1CD4" w:rsidRPr="00281886" w:rsidRDefault="006E1CD4" w:rsidP="00161E6C">
      <w:pPr>
        <w:jc w:val="both"/>
        <w:rPr>
          <w:rFonts w:cstheme="minorHAnsi"/>
          <w:sz w:val="24"/>
          <w:szCs w:val="24"/>
          <w:lang w:val="pl-PL"/>
        </w:rPr>
      </w:pPr>
      <w:r w:rsidRPr="00281886">
        <w:rPr>
          <w:rFonts w:cstheme="minorHAnsi"/>
          <w:sz w:val="24"/>
          <w:szCs w:val="24"/>
          <w:lang w:val="pl-PL"/>
        </w:rPr>
        <w:t>Period političke neizvjesnosti 2021. i 2022.</w:t>
      </w:r>
      <w:r w:rsidR="004D2B40">
        <w:rPr>
          <w:rFonts w:cstheme="minorHAnsi"/>
          <w:sz w:val="24"/>
          <w:szCs w:val="24"/>
          <w:lang w:val="pl-PL"/>
        </w:rPr>
        <w:t xml:space="preserve"> </w:t>
      </w:r>
      <w:r w:rsidRPr="00281886">
        <w:rPr>
          <w:rFonts w:cstheme="minorHAnsi"/>
          <w:sz w:val="24"/>
          <w:szCs w:val="24"/>
          <w:lang w:val="pl-PL"/>
        </w:rPr>
        <w:t>godine su bili praćeni povećanim društvenim tenzijama.</w:t>
      </w:r>
      <w:r w:rsidRPr="00281886">
        <w:rPr>
          <w:rFonts w:cstheme="minorHAnsi"/>
          <w:sz w:val="24"/>
          <w:szCs w:val="24"/>
          <w:vertAlign w:val="superscript"/>
          <w:lang w:val="pl-PL"/>
        </w:rPr>
        <w:footnoteReference w:id="19"/>
      </w:r>
      <w:r w:rsidRPr="00281886">
        <w:rPr>
          <w:rFonts w:cstheme="minorHAnsi"/>
          <w:sz w:val="24"/>
          <w:szCs w:val="24"/>
          <w:lang w:val="pl-PL"/>
        </w:rPr>
        <w:t xml:space="preserve">, koje su se jednim dijelom negativno odrazile i na ukupno društveno okruženje. U ovom dijelu analize </w:t>
      </w:r>
      <w:r w:rsidR="00161E6C" w:rsidRPr="00281886">
        <w:rPr>
          <w:rFonts w:cstheme="minorHAnsi"/>
          <w:sz w:val="24"/>
          <w:szCs w:val="24"/>
          <w:lang w:val="pl-PL"/>
        </w:rPr>
        <w:t>prikazane su</w:t>
      </w:r>
      <w:r w:rsidRPr="00281886">
        <w:rPr>
          <w:rFonts w:cstheme="minorHAnsi"/>
          <w:sz w:val="24"/>
          <w:szCs w:val="24"/>
          <w:lang w:val="pl-PL"/>
        </w:rPr>
        <w:t xml:space="preserve"> važne komponente socijalnog okruženje, a koje se odnose na demografiju, obrazovanje i zdravstvo. </w:t>
      </w:r>
    </w:p>
    <w:p w14:paraId="3641028F" w14:textId="77777777" w:rsidR="006E1CD4" w:rsidRPr="00281886" w:rsidRDefault="006E1CD4" w:rsidP="006E1CD4">
      <w:pPr>
        <w:rPr>
          <w:rFonts w:cstheme="minorHAnsi"/>
          <w:i/>
          <w:sz w:val="24"/>
          <w:szCs w:val="24"/>
          <w:lang w:val="pl-PL"/>
        </w:rPr>
      </w:pPr>
      <w:r w:rsidRPr="00281886">
        <w:rPr>
          <w:rFonts w:cstheme="minorHAnsi"/>
          <w:i/>
          <w:sz w:val="24"/>
          <w:szCs w:val="24"/>
          <w:lang w:val="pl-PL"/>
        </w:rPr>
        <w:t>Demografija</w:t>
      </w:r>
    </w:p>
    <w:p w14:paraId="770C06E1" w14:textId="34A6E511" w:rsidR="006E1CD4" w:rsidRPr="00281886" w:rsidRDefault="006E1CD4" w:rsidP="004D2B40">
      <w:pPr>
        <w:jc w:val="both"/>
        <w:rPr>
          <w:rFonts w:cstheme="minorHAnsi"/>
          <w:sz w:val="24"/>
          <w:szCs w:val="24"/>
          <w:lang w:val="pl-PL"/>
        </w:rPr>
      </w:pPr>
      <w:r w:rsidRPr="004D2B40">
        <w:rPr>
          <w:rFonts w:cstheme="minorHAnsi"/>
          <w:sz w:val="24"/>
          <w:szCs w:val="24"/>
          <w:lang w:val="pl-PL"/>
        </w:rPr>
        <w:t xml:space="preserve">Sredinom 2022. </w:t>
      </w:r>
      <w:r w:rsidR="0099562E">
        <w:rPr>
          <w:rFonts w:cstheme="minorHAnsi"/>
          <w:sz w:val="24"/>
          <w:szCs w:val="24"/>
          <w:lang w:val="pl-PL"/>
        </w:rPr>
        <w:t xml:space="preserve"> </w:t>
      </w:r>
      <w:r w:rsidRPr="004D2B40">
        <w:rPr>
          <w:rFonts w:cstheme="minorHAnsi"/>
          <w:sz w:val="24"/>
          <w:szCs w:val="24"/>
          <w:lang w:val="pl-PL"/>
        </w:rPr>
        <w:t>godine u Crnoj Gori je</w:t>
      </w:r>
      <w:r w:rsidR="009914AD" w:rsidRPr="004D2B40">
        <w:rPr>
          <w:rFonts w:cstheme="minorHAnsi"/>
          <w:sz w:val="24"/>
          <w:szCs w:val="24"/>
          <w:lang w:val="pl-PL"/>
        </w:rPr>
        <w:t xml:space="preserve">, prema procjeni Monstata, </w:t>
      </w:r>
      <w:r w:rsidRPr="004D2B40">
        <w:rPr>
          <w:rFonts w:cstheme="minorHAnsi"/>
          <w:sz w:val="24"/>
          <w:szCs w:val="24"/>
          <w:lang w:val="pl-PL"/>
        </w:rPr>
        <w:t xml:space="preserve"> bilo 617 213 stanovnika. Radno sposobno stanovništvo ili stanovništvo staro od 15 do 64 godine čini 65,9% od ukupnog broja stanovnika što je 406 741 stanovnika. Stanovništvo starosti 65 i više godina čini 16,2% od ukupnog broja stanovnika što je 99 951 stanovnika. U Crnoj Gori na osnovu prirodnog priraštaja na 1 000 stanovnika, broj stanovnika se smanjio za 0,1 stanovnik. Stopa migracija u Crnoj Gori iznosi 11,3 što znači da je na 1 000 stanovnika 11 lica promijenilo svoje mjesto prebivališta u okviru granica Crne Gore. Očekivano trajanje života na rođenju u 2022. godini je 76,2 godina</w:t>
      </w:r>
      <w:r w:rsidRPr="004D2B40">
        <w:rPr>
          <w:rFonts w:cstheme="minorHAnsi"/>
          <w:sz w:val="24"/>
          <w:szCs w:val="24"/>
          <w:vertAlign w:val="superscript"/>
          <w:lang w:val="pl-PL"/>
        </w:rPr>
        <w:footnoteReference w:id="20"/>
      </w:r>
      <w:r w:rsidRPr="004D2B40">
        <w:rPr>
          <w:rFonts w:cstheme="minorHAnsi"/>
          <w:sz w:val="24"/>
          <w:szCs w:val="24"/>
          <w:lang w:val="pl-PL"/>
        </w:rPr>
        <w:t>.</w:t>
      </w:r>
      <w:r w:rsidRPr="00281886">
        <w:rPr>
          <w:rFonts w:cstheme="minorHAnsi"/>
          <w:sz w:val="24"/>
          <w:szCs w:val="24"/>
          <w:lang w:val="pl-PL"/>
        </w:rPr>
        <w:t xml:space="preserve"> </w:t>
      </w:r>
      <w:r w:rsidR="004D2B40">
        <w:rPr>
          <w:rFonts w:cstheme="minorHAnsi"/>
          <w:sz w:val="24"/>
          <w:szCs w:val="24"/>
          <w:lang w:val="pl-PL"/>
        </w:rPr>
        <w:t>Crna Gora nema jasno definisanu populacionu politiku koja bi pomogla smanjenju negativnih demografskih trendova, naročito migracija iz manje razvijenih područja.</w:t>
      </w:r>
    </w:p>
    <w:p w14:paraId="3DFE3731" w14:textId="77777777" w:rsidR="006E1CD4" w:rsidRPr="00281886" w:rsidRDefault="006E1CD4" w:rsidP="006E1CD4">
      <w:pPr>
        <w:rPr>
          <w:rFonts w:cstheme="minorHAnsi"/>
          <w:i/>
          <w:sz w:val="24"/>
          <w:szCs w:val="24"/>
          <w:lang w:val="pl-PL"/>
        </w:rPr>
      </w:pPr>
      <w:r w:rsidRPr="00281886">
        <w:rPr>
          <w:rFonts w:cstheme="minorHAnsi"/>
          <w:i/>
          <w:sz w:val="24"/>
          <w:szCs w:val="24"/>
          <w:lang w:val="pl-PL"/>
        </w:rPr>
        <w:t>Obrazovanje</w:t>
      </w:r>
    </w:p>
    <w:p w14:paraId="5C982213" w14:textId="49D88085" w:rsidR="006E1CD4" w:rsidRPr="00281886" w:rsidRDefault="006E1CD4" w:rsidP="004D2B40">
      <w:pPr>
        <w:jc w:val="both"/>
        <w:rPr>
          <w:rFonts w:cstheme="minorHAnsi"/>
          <w:sz w:val="24"/>
          <w:szCs w:val="24"/>
          <w:lang w:val="pl-PL"/>
        </w:rPr>
      </w:pPr>
      <w:r w:rsidRPr="00281886">
        <w:rPr>
          <w:rFonts w:cstheme="minorHAnsi"/>
          <w:sz w:val="24"/>
          <w:szCs w:val="24"/>
          <w:lang w:val="pl-PL"/>
        </w:rPr>
        <w:t>Obrazovni sistem ima važnu ulogu u podizanju svijesti građana i u vezi sa suzbijanjem neformalne ekonomije, ali je i sektor u kojem postoji obavljanje djelatnosti u segmentu neformalne ekonomije</w:t>
      </w:r>
      <w:r w:rsidRPr="00281886">
        <w:rPr>
          <w:rFonts w:cstheme="minorHAnsi"/>
          <w:sz w:val="24"/>
          <w:szCs w:val="24"/>
          <w:vertAlign w:val="superscript"/>
          <w:lang w:val="pl-PL"/>
        </w:rPr>
        <w:footnoteReference w:id="21"/>
      </w:r>
      <w:r w:rsidRPr="00281886">
        <w:rPr>
          <w:rFonts w:cstheme="minorHAnsi"/>
          <w:sz w:val="24"/>
          <w:szCs w:val="24"/>
          <w:lang w:val="pl-PL"/>
        </w:rPr>
        <w:t xml:space="preserve">, pa je samim tim višestrano važan za ovu oblast. </w:t>
      </w:r>
    </w:p>
    <w:p w14:paraId="5360137C" w14:textId="06A17B62" w:rsidR="006E1CD4" w:rsidRPr="00281886" w:rsidRDefault="006E1CD4" w:rsidP="00034A07">
      <w:pPr>
        <w:jc w:val="both"/>
        <w:rPr>
          <w:rFonts w:cstheme="minorHAnsi"/>
          <w:sz w:val="24"/>
          <w:szCs w:val="24"/>
          <w:lang w:val="pl-PL"/>
        </w:rPr>
      </w:pPr>
      <w:r w:rsidRPr="00281886">
        <w:rPr>
          <w:rFonts w:cstheme="minorHAnsi"/>
          <w:sz w:val="24"/>
          <w:szCs w:val="24"/>
          <w:lang w:val="pl-PL"/>
        </w:rPr>
        <w:t xml:space="preserve">Crna Gora je zemlja u kojoj svi imaju jednak </w:t>
      </w:r>
      <w:r w:rsidR="004D2B40">
        <w:rPr>
          <w:rFonts w:cstheme="minorHAnsi"/>
          <w:sz w:val="24"/>
          <w:szCs w:val="24"/>
          <w:lang w:val="pl-PL"/>
        </w:rPr>
        <w:t xml:space="preserve">pristup </w:t>
      </w:r>
      <w:r w:rsidRPr="00281886">
        <w:rPr>
          <w:rFonts w:cstheme="minorHAnsi"/>
          <w:sz w:val="24"/>
          <w:szCs w:val="24"/>
          <w:lang w:val="pl-PL"/>
        </w:rPr>
        <w:t>obrazovanju, na svim nivoima. Obrazovni sistem Crne Gore je kompleksan i čine ga ustanove različitih nivoa obrazovanja i to: 21 državna predškolska ustanova (2 u okviru obrazovnih centara, 1 u sklopu osnovne škole), 35 privatnih predškolskih ustanova (od kojih su 5 internacionalne), 162 državne osnovne škole (2 u okviru obrazovnih centara), 6 privatnih internacionalnih osnovnih škola, 50 državnih, 1 državno-privatna i 5 privatnih srednjih škola (2 državne u okviru obrazovnih centara, 4 privatne su internacionalne), 13 državnih i 1 državno-privatna muzička škola (4 državne i 1 državno-privatna su ujedno i srednje škole), 2 državna obrazovna centra; 3 državna resursna centra, 10 učeničkih i studentskih domova (2 internata u okviru obrazovnih centara, 1 u sklopu osnovne škole, 1 unutar internacionalne škole), 117 licenciranih organizatora obrazovanja odraslih, 70 auto-škola, 4 univerziteta (1 državni i 3 privatna) i 3 samostalna fakulteta (1 državni i 2 privatna)</w:t>
      </w:r>
      <w:r w:rsidRPr="00281886">
        <w:rPr>
          <w:rFonts w:cstheme="minorHAnsi"/>
          <w:sz w:val="24"/>
          <w:szCs w:val="24"/>
          <w:vertAlign w:val="superscript"/>
          <w:lang w:val="pl-PL"/>
        </w:rPr>
        <w:footnoteReference w:id="22"/>
      </w:r>
      <w:r w:rsidRPr="00281886">
        <w:rPr>
          <w:rFonts w:cstheme="minorHAnsi"/>
          <w:sz w:val="24"/>
          <w:szCs w:val="24"/>
          <w:lang w:val="pl-PL"/>
        </w:rPr>
        <w:t xml:space="preserve">. </w:t>
      </w:r>
    </w:p>
    <w:p w14:paraId="27D85B0F" w14:textId="37D174FA" w:rsidR="006E1CD4" w:rsidRPr="00281886" w:rsidRDefault="006E1CD4" w:rsidP="006E1CD4">
      <w:pPr>
        <w:rPr>
          <w:rFonts w:cstheme="minorHAnsi"/>
          <w:sz w:val="24"/>
          <w:szCs w:val="24"/>
          <w:lang w:val="pl-PL"/>
        </w:rPr>
      </w:pPr>
      <w:r w:rsidRPr="00281886">
        <w:rPr>
          <w:rFonts w:cstheme="minorHAnsi"/>
          <w:sz w:val="24"/>
          <w:szCs w:val="24"/>
          <w:lang w:val="pl-PL"/>
        </w:rPr>
        <w:t xml:space="preserve">Finansiranje obrazovnog sistema prvenstveno se </w:t>
      </w:r>
      <w:r w:rsidR="009914AD" w:rsidRPr="00281886">
        <w:rPr>
          <w:rFonts w:cstheme="minorHAnsi"/>
          <w:sz w:val="24"/>
          <w:szCs w:val="24"/>
          <w:lang w:val="pl-PL"/>
        </w:rPr>
        <w:t xml:space="preserve">vrši iz </w:t>
      </w:r>
      <w:r w:rsidR="004D2B40">
        <w:rPr>
          <w:rFonts w:cstheme="minorHAnsi"/>
          <w:sz w:val="24"/>
          <w:szCs w:val="24"/>
          <w:lang w:val="pl-PL"/>
        </w:rPr>
        <w:t>c</w:t>
      </w:r>
      <w:r w:rsidR="009914AD" w:rsidRPr="00281886">
        <w:rPr>
          <w:rFonts w:cstheme="minorHAnsi"/>
          <w:sz w:val="24"/>
          <w:szCs w:val="24"/>
          <w:lang w:val="pl-PL"/>
        </w:rPr>
        <w:t>entralnog budžeta</w:t>
      </w:r>
      <w:r w:rsidRPr="00281886">
        <w:rPr>
          <w:rFonts w:cstheme="minorHAnsi"/>
          <w:sz w:val="24"/>
          <w:szCs w:val="24"/>
          <w:lang w:val="pl-PL"/>
        </w:rPr>
        <w:t xml:space="preserve">. Sredstva koja Crna Gora izdvaja za obrazovanje u okviru državnog budžeta grupisana su po potrošačkim jedinicama </w:t>
      </w:r>
      <w:r w:rsidRPr="00281886">
        <w:rPr>
          <w:rFonts w:cstheme="minorHAnsi"/>
          <w:sz w:val="24"/>
          <w:szCs w:val="24"/>
          <w:lang w:val="pl-PL"/>
        </w:rPr>
        <w:lastRenderedPageBreak/>
        <w:t xml:space="preserve">iz sektora obrazovanja. Na nivou opštine postoje sredstva koja se za obrazovanje izdvajaju iz opštinskog budžeta, ali ona predstavljaju veoma mali udio ukupnog budžeta za obrazovanje. </w:t>
      </w:r>
    </w:p>
    <w:p w14:paraId="322A0E37" w14:textId="77777777" w:rsidR="006E1CD4" w:rsidRPr="00281886" w:rsidRDefault="006E1CD4" w:rsidP="006E1CD4">
      <w:pPr>
        <w:rPr>
          <w:rFonts w:cstheme="minorHAnsi"/>
          <w:i/>
          <w:sz w:val="24"/>
          <w:szCs w:val="24"/>
          <w:lang w:val="pl-PL"/>
        </w:rPr>
      </w:pPr>
      <w:r w:rsidRPr="00281886">
        <w:rPr>
          <w:rFonts w:cstheme="minorHAnsi"/>
          <w:i/>
          <w:sz w:val="24"/>
          <w:szCs w:val="24"/>
          <w:lang w:val="pl-PL"/>
        </w:rPr>
        <w:t>Zdravstvo</w:t>
      </w:r>
    </w:p>
    <w:p w14:paraId="722ADF06" w14:textId="56AE8515" w:rsidR="006E1CD4" w:rsidRPr="00281886" w:rsidRDefault="006E1CD4" w:rsidP="009914AD">
      <w:pPr>
        <w:jc w:val="both"/>
        <w:rPr>
          <w:rFonts w:cstheme="minorHAnsi"/>
          <w:sz w:val="24"/>
          <w:szCs w:val="24"/>
          <w:lang w:val="pl-PL"/>
        </w:rPr>
      </w:pPr>
      <w:r w:rsidRPr="00281886">
        <w:rPr>
          <w:rFonts w:cstheme="minorHAnsi"/>
          <w:sz w:val="24"/>
          <w:szCs w:val="24"/>
          <w:lang w:val="pl-PL"/>
        </w:rPr>
        <w:t>Crna Gora je zemlja u kojoj svi građani imaju jednak pristup besplatnom sistemu zdravstvene zaštite. Prema Ustavu Crne Gore (član 69), svako ima pravo na zdravstvenu zaštitu. U prethodne dvije godine značajno su porasli svi rizici koji se odnose na zdravlje stanovništva, kako na globalnom, tako i na nacionalnom nivou, tako da se život i rad stanovništva odvija u uslovima stalno prisutne neizvjesnosti. Činjenica je da su posljedice i efekti pandemije COVID 19 dugog roka, kao i da su imali značajan materijalni uticaj. Rizici od budućih pandemija su mogući i povezani su sa visokim fiskalnim, ali i šire, makroekonomskim rizicima, jer mogu uticati na smanjenje zdravstvenog potencijala stanovništva, a samim tim i zdravstvene ravnoteže, odnosno na pojavu nestabilnosti u svim oblastima života ljudi. Prisutan je i rizik finansijske održivosti zdravstvenog sistem</w:t>
      </w:r>
      <w:r w:rsidR="00BC22BA">
        <w:rPr>
          <w:rFonts w:cstheme="minorHAnsi"/>
          <w:sz w:val="24"/>
          <w:szCs w:val="24"/>
          <w:lang w:val="pl-PL"/>
        </w:rPr>
        <w:t>a.</w:t>
      </w:r>
    </w:p>
    <w:p w14:paraId="71BACE7B" w14:textId="77777777" w:rsidR="006E1CD4" w:rsidRPr="00281886" w:rsidRDefault="006E1CD4" w:rsidP="006E1CD4">
      <w:pPr>
        <w:rPr>
          <w:rFonts w:cstheme="minorHAnsi"/>
          <w:i/>
          <w:sz w:val="24"/>
          <w:szCs w:val="24"/>
          <w:lang w:val="pl-PL"/>
        </w:rPr>
      </w:pPr>
      <w:r w:rsidRPr="00281886">
        <w:rPr>
          <w:rFonts w:cstheme="minorHAnsi"/>
          <w:i/>
          <w:sz w:val="24"/>
          <w:szCs w:val="24"/>
          <w:lang w:val="pl-PL"/>
        </w:rPr>
        <w:t>Socijalna zaštita</w:t>
      </w:r>
    </w:p>
    <w:p w14:paraId="269034B4" w14:textId="4E915E70" w:rsidR="006E1CD4" w:rsidRPr="00BC22BA" w:rsidRDefault="006E1CD4" w:rsidP="00BC22BA">
      <w:pPr>
        <w:jc w:val="both"/>
        <w:rPr>
          <w:rFonts w:cstheme="minorHAnsi"/>
          <w:sz w:val="24"/>
          <w:szCs w:val="24"/>
          <w:lang w:val="pl-PL"/>
        </w:rPr>
      </w:pPr>
      <w:r w:rsidRPr="00BC22BA">
        <w:rPr>
          <w:rFonts w:cstheme="minorHAnsi"/>
          <w:sz w:val="24"/>
          <w:szCs w:val="24"/>
          <w:lang w:val="pl-PL"/>
        </w:rPr>
        <w:t xml:space="preserve">Crna Gora je država socijalne pravde. Sa druge strane, jaz u finansiranju socijalne sigurnosti predstavlja jedan od značajnih fiskalnih izazova Crne Gore. Jaz u finansiranju se proširio zbog ubrzanog povećanja </w:t>
      </w:r>
      <w:r w:rsidR="00BC22BA">
        <w:rPr>
          <w:rFonts w:cstheme="minorHAnsi"/>
          <w:sz w:val="24"/>
          <w:szCs w:val="24"/>
          <w:lang w:val="pl-PL"/>
        </w:rPr>
        <w:t>izdataka za socijalnu zaštitu nedovoljno dobrim targetiranjem socijalne pomoći prema onima kojima je najpotrebnija.</w:t>
      </w:r>
      <w:r w:rsidRPr="00BC22BA">
        <w:rPr>
          <w:rFonts w:cstheme="minorHAnsi"/>
          <w:sz w:val="24"/>
          <w:szCs w:val="24"/>
          <w:lang w:val="pl-PL"/>
        </w:rPr>
        <w:t xml:space="preserve"> </w:t>
      </w:r>
    </w:p>
    <w:p w14:paraId="68ECC197" w14:textId="77777777" w:rsidR="006E1CD4" w:rsidRPr="00281886" w:rsidRDefault="006E1CD4" w:rsidP="006E1CD4">
      <w:pPr>
        <w:rPr>
          <w:rFonts w:cstheme="minorHAnsi"/>
          <w:i/>
          <w:sz w:val="24"/>
          <w:szCs w:val="24"/>
          <w:lang w:val="pl-PL"/>
        </w:rPr>
      </w:pPr>
      <w:r w:rsidRPr="00281886">
        <w:rPr>
          <w:rFonts w:cstheme="minorHAnsi"/>
          <w:i/>
          <w:sz w:val="24"/>
          <w:szCs w:val="24"/>
          <w:lang w:val="pl-PL"/>
        </w:rPr>
        <w:t>Kultorološki osvrt</w:t>
      </w:r>
    </w:p>
    <w:p w14:paraId="6924D2BC" w14:textId="72F3C272" w:rsidR="006E1CD4" w:rsidRPr="00281886" w:rsidRDefault="00BC22BA" w:rsidP="009914AD">
      <w:pPr>
        <w:jc w:val="both"/>
        <w:rPr>
          <w:rFonts w:cstheme="minorHAnsi"/>
          <w:sz w:val="24"/>
          <w:szCs w:val="24"/>
          <w:lang w:val="pl-PL"/>
        </w:rPr>
      </w:pPr>
      <w:r w:rsidRPr="004D48C0">
        <w:rPr>
          <w:rFonts w:cstheme="minorHAnsi"/>
          <w:sz w:val="24"/>
          <w:szCs w:val="24"/>
          <w:lang w:val="pl-PL"/>
        </w:rPr>
        <w:t>U Crnoj Gori postoji društvena prihvatljivost izbjegavanja plaćanja obaveza prema državi</w:t>
      </w:r>
      <w:r w:rsidR="004D48C0" w:rsidRPr="004D48C0">
        <w:rPr>
          <w:rFonts w:cstheme="minorHAnsi"/>
          <w:sz w:val="24"/>
          <w:szCs w:val="24"/>
          <w:lang w:val="pl-PL"/>
        </w:rPr>
        <w:t xml:space="preserve"> i prijavljivanja onih koji te obavze izbjegavaju.</w:t>
      </w:r>
      <w:r w:rsidR="006E1CD4" w:rsidRPr="004D48C0">
        <w:rPr>
          <w:rFonts w:cstheme="minorHAnsi"/>
          <w:sz w:val="24"/>
          <w:szCs w:val="24"/>
          <w:lang w:val="pl-PL"/>
        </w:rPr>
        <w:t xml:space="preserve">. Ovakav pristup nije samo svojstven Crnoj Gori. Izbjegavanje plaćanja poreza je mnogo rasprostranjenije na jugu Evrope, naročito na Balkanu, nego u ostatku EU, </w:t>
      </w:r>
      <w:r w:rsidR="004D48C0" w:rsidRPr="004D48C0">
        <w:rPr>
          <w:rFonts w:cstheme="minorHAnsi"/>
          <w:sz w:val="24"/>
          <w:szCs w:val="24"/>
          <w:lang w:val="pl-PL"/>
        </w:rPr>
        <w:t>a jedan od razloga toga je u</w:t>
      </w:r>
      <w:r w:rsidR="006E1CD4" w:rsidRPr="004D48C0">
        <w:rPr>
          <w:rFonts w:cstheme="minorHAnsi"/>
          <w:sz w:val="24"/>
          <w:szCs w:val="24"/>
          <w:lang w:val="pl-PL"/>
        </w:rPr>
        <w:t xml:space="preserve"> kultorološkim razlikama, kao i odnosu prema državi.</w:t>
      </w:r>
      <w:r w:rsidR="006E1CD4" w:rsidRPr="00281886">
        <w:rPr>
          <w:rFonts w:cstheme="minorHAnsi"/>
          <w:sz w:val="24"/>
          <w:szCs w:val="24"/>
          <w:lang w:val="pl-PL"/>
        </w:rPr>
        <w:t xml:space="preserve"> </w:t>
      </w:r>
    </w:p>
    <w:p w14:paraId="44B553F5" w14:textId="77777777" w:rsidR="006E1CD4" w:rsidRPr="00E219EC" w:rsidRDefault="006E1CD4" w:rsidP="006E1CD4">
      <w:pPr>
        <w:rPr>
          <w:rFonts w:cstheme="minorHAnsi"/>
          <w:bCs/>
          <w:color w:val="002060"/>
          <w:sz w:val="24"/>
          <w:szCs w:val="24"/>
          <w:lang w:val="pl-PL"/>
        </w:rPr>
      </w:pPr>
      <w:r w:rsidRPr="00E219EC">
        <w:rPr>
          <w:rFonts w:cstheme="minorHAnsi"/>
          <w:bCs/>
          <w:color w:val="002060"/>
          <w:sz w:val="24"/>
          <w:szCs w:val="24"/>
          <w:lang w:val="pl-PL"/>
        </w:rPr>
        <w:t xml:space="preserve">T- Tehnološki razvoj </w:t>
      </w:r>
    </w:p>
    <w:p w14:paraId="7B62B9CA" w14:textId="1D9757A9" w:rsidR="006E1CD4" w:rsidRPr="00281886" w:rsidRDefault="006E1CD4" w:rsidP="00034A07">
      <w:pPr>
        <w:jc w:val="both"/>
        <w:rPr>
          <w:rFonts w:cstheme="minorHAnsi"/>
          <w:sz w:val="24"/>
          <w:szCs w:val="24"/>
          <w:lang w:val="pl-PL"/>
        </w:rPr>
      </w:pPr>
      <w:r w:rsidRPr="00281886">
        <w:rPr>
          <w:rFonts w:cstheme="minorHAnsi"/>
          <w:sz w:val="24"/>
          <w:szCs w:val="24"/>
          <w:lang w:val="pl-PL"/>
        </w:rPr>
        <w:t>Kada analiziramo tehnološki razvoj, sa stanovišta ove analize,  neophodno je posmatrati ga iz dvije dimenzije, jedna se odnosi na politike koje kreira država u ovoj oblasti, a druga je privredna aktivnost privrednih društava iz ovog sektora. I jedna i druga komponenta mogu imati direktan i/ili indirektan uticaj na suzbijanje neformalne ekonomije. Gledajući sa stanovište politika, Crna Gora je inovacije i digitalizaciju postavila kao jedan od razvojnih prioriteta i šansi. To je potvrđeno kroz više strateških dokumenata, ali prije svega kroz Strategiju pametne specijalizacije (S3) i Strategiju digitalne transformacije Crne Gore. Govoreći o digitalizacij</w:t>
      </w:r>
      <w:r w:rsidR="004D48C0">
        <w:rPr>
          <w:rFonts w:cstheme="minorHAnsi"/>
          <w:sz w:val="24"/>
          <w:szCs w:val="24"/>
          <w:lang w:val="pl-PL"/>
        </w:rPr>
        <w:t>i</w:t>
      </w:r>
      <w:r w:rsidRPr="00281886">
        <w:rPr>
          <w:rFonts w:cstheme="minorHAnsi"/>
          <w:sz w:val="24"/>
          <w:szCs w:val="24"/>
          <w:lang w:val="pl-PL"/>
        </w:rPr>
        <w:t xml:space="preserve">, posebno važno sa stanovišta ove analize jeste realizacija projekta elektronske fiskalizacije, koji je kreiran na osnovu odredaba  Zakona o fiskalizaciji u prometu proizvoda i usluga, čija je primjena počela 1. januara 2021. godine. </w:t>
      </w:r>
    </w:p>
    <w:p w14:paraId="2D601EA0" w14:textId="4182E4BD" w:rsidR="006E1CD4" w:rsidRPr="00281886" w:rsidRDefault="006E1CD4" w:rsidP="00034A07">
      <w:pPr>
        <w:jc w:val="both"/>
        <w:rPr>
          <w:rFonts w:cstheme="minorHAnsi"/>
          <w:sz w:val="24"/>
          <w:szCs w:val="24"/>
          <w:lang w:val="pl-PL"/>
        </w:rPr>
      </w:pPr>
      <w:r w:rsidRPr="00281886">
        <w:rPr>
          <w:rFonts w:cstheme="minorHAnsi"/>
          <w:sz w:val="24"/>
          <w:szCs w:val="24"/>
          <w:lang w:val="pl-PL"/>
        </w:rPr>
        <w:lastRenderedPageBreak/>
        <w:t>Inovativne kompanije predstavljaju najdinamičniji i najznačajniji razvojni potencijal moderne privrede. Po podacima iz izvještaja Privredne komore Crne Gore (Pretpostavke razvoja digitalne transformacije o presjeku stanja u Crnoj Gori - pregled iz perspektive IT sektora, 2020), gledano po registracionoj šifri đelatnosti, u 2018. godini završne račune predalo je 790, a 2019. godine 748 kompanija. Još 80 njih bi se moglo svrstati uslovno u ovu grupu jer se bave prodajom i IT uređaja i mobilnih telefona. Od ukupno 828 kompanija, 275 kompanija je prikazalo prihod od 0,00 eur, a 738 kompanija ima 5 i manje zaposlenih (od tog boja, 655 kompanija ima 1 ili 2 zaposlena, a 565 samo jednog zaposlenog). Hiljadu zaposlenih radi u 28 kompanija, koje imaju skoro 80% prometa IT sektora. Manje od 30 kompanija ima prihod veći od 1.000.000 eur</w:t>
      </w:r>
      <w:r w:rsidRPr="00281886">
        <w:rPr>
          <w:rFonts w:cstheme="minorHAnsi"/>
          <w:sz w:val="24"/>
          <w:szCs w:val="24"/>
          <w:vertAlign w:val="superscript"/>
          <w:lang w:val="pl-PL"/>
        </w:rPr>
        <w:footnoteReference w:id="23"/>
      </w:r>
      <w:r w:rsidRPr="00281886">
        <w:rPr>
          <w:rFonts w:cstheme="minorHAnsi"/>
          <w:sz w:val="24"/>
          <w:szCs w:val="24"/>
          <w:lang w:val="pl-PL"/>
        </w:rPr>
        <w:t xml:space="preserve">. </w:t>
      </w:r>
    </w:p>
    <w:p w14:paraId="5B83B817" w14:textId="77777777" w:rsidR="006E1CD4" w:rsidRPr="00E219EC" w:rsidRDefault="006E1CD4" w:rsidP="006E1CD4">
      <w:pPr>
        <w:rPr>
          <w:rFonts w:cstheme="minorHAnsi"/>
          <w:bCs/>
          <w:color w:val="002060"/>
          <w:sz w:val="24"/>
          <w:szCs w:val="24"/>
          <w:lang w:val="sr-Latn-ME"/>
        </w:rPr>
      </w:pPr>
      <w:r w:rsidRPr="00E219EC">
        <w:rPr>
          <w:rFonts w:cstheme="minorHAnsi"/>
          <w:bCs/>
          <w:color w:val="002060"/>
          <w:sz w:val="24"/>
          <w:szCs w:val="24"/>
          <w:lang w:val="sr-Latn-ME"/>
        </w:rPr>
        <w:t>E- ekologija</w:t>
      </w:r>
    </w:p>
    <w:p w14:paraId="673A2DA2" w14:textId="77777777" w:rsidR="006E1CD4" w:rsidRPr="00281886" w:rsidRDefault="006E1CD4" w:rsidP="00B27EAA">
      <w:pPr>
        <w:jc w:val="both"/>
        <w:rPr>
          <w:rFonts w:cstheme="minorHAnsi"/>
          <w:sz w:val="24"/>
          <w:szCs w:val="24"/>
          <w:lang w:val="pl-PL"/>
        </w:rPr>
      </w:pPr>
      <w:r w:rsidRPr="00281886">
        <w:rPr>
          <w:rFonts w:cstheme="minorHAnsi"/>
          <w:sz w:val="24"/>
          <w:szCs w:val="24"/>
          <w:lang w:val="sr-Latn-ME"/>
        </w:rPr>
        <w:t xml:space="preserve">Zaštita životne sredine je ustavna kategorije, pa se tako u Ustavu Crne Gore definiše da svako ima pravo na zdravu životnu sredinu i pravo na blagovremeno i potpuno obavještenje o stanju životne sredine. </w:t>
      </w:r>
      <w:r w:rsidRPr="00281886">
        <w:rPr>
          <w:rFonts w:cstheme="minorHAnsi"/>
          <w:sz w:val="24"/>
          <w:szCs w:val="24"/>
          <w:lang w:val="pl-PL"/>
        </w:rPr>
        <w:t xml:space="preserve">Crna Gora je jedna od prvih zemalja u regionu koja je usvojila princip zaštite i unapređenja životne sredine, kao integralni dio svog nacionalnog koncepta razvoja. </w:t>
      </w:r>
      <w:r w:rsidRPr="00281886">
        <w:rPr>
          <w:rFonts w:cstheme="minorHAnsi"/>
          <w:sz w:val="24"/>
          <w:szCs w:val="24"/>
          <w:lang w:val="en-GB"/>
        </w:rPr>
        <w:t>К</w:t>
      </w:r>
      <w:r w:rsidRPr="00281886">
        <w:rPr>
          <w:rFonts w:cstheme="minorHAnsi"/>
          <w:sz w:val="24"/>
          <w:szCs w:val="24"/>
          <w:lang w:val="pl-PL"/>
        </w:rPr>
        <w:t xml:space="preserve">oncepcija održivog razvoja u Crnoj Gori ima istoriju dugu tri decenije. Analiziranje ekološkog okruženja važno je i sa stanovišta ekonomskog rasta i razvoja ali i javnih finansija. Ekonomski rast može podstaći ekološku održivost i obrnuto. </w:t>
      </w:r>
    </w:p>
    <w:p w14:paraId="216C70A0" w14:textId="0288E8B9" w:rsidR="001D0030" w:rsidRPr="00281886" w:rsidRDefault="006E1CD4" w:rsidP="00B27EAA">
      <w:pPr>
        <w:jc w:val="both"/>
        <w:rPr>
          <w:rFonts w:cstheme="minorHAnsi"/>
          <w:sz w:val="24"/>
          <w:szCs w:val="24"/>
          <w:lang w:val="pl-PL"/>
        </w:rPr>
      </w:pPr>
      <w:r w:rsidRPr="00281886">
        <w:rPr>
          <w:rFonts w:cstheme="minorHAnsi"/>
          <w:sz w:val="24"/>
          <w:szCs w:val="24"/>
          <w:lang w:val="pl-PL"/>
        </w:rPr>
        <w:t xml:space="preserve">Prema procjeni Okvirne konvencije Ujedinjenih nacija o klimatskim promjenama, Crna Gora spada u ugrožene zemlje. Klimatske promjene u Crnoj Gori manifestuju se kroz: češće i duže toplotne talase i češće izuzetno visoke maksimalne i niske minimalne temperature; porast intenziteta kišnih padavina koje imaju poplavni potencijal, sa uticajem na eroziju zemljišta, prodor slane morske vode u riječne tokove, izrazitije plime i osjeke, povećanje visine talasa, smanjivanje površina plaža; češću pojavu snažnih olujnih vjetrova; pojavu bolesti netipičnih za mediteranski region. Klimatske promjene utiču negativno na ekonomski rast i blagostanje. Problematično je i što je u Crnoj Gori prisutna relativno niska svijest građana o očuvanju životne sredine, a to se može pripisati i neadekvatnim mjerama od strane donosioca odluka. Takođe, otpad se ne reciklira ili reciklira u veoma maloj mjeri. </w:t>
      </w:r>
    </w:p>
    <w:p w14:paraId="112A005C" w14:textId="77777777" w:rsidR="006E1CD4" w:rsidRPr="00E219EC" w:rsidRDefault="006E1CD4" w:rsidP="006E1CD4">
      <w:pPr>
        <w:rPr>
          <w:rFonts w:cstheme="minorHAnsi"/>
          <w:bCs/>
          <w:color w:val="002060"/>
          <w:sz w:val="24"/>
          <w:szCs w:val="24"/>
          <w:lang w:val="pl-PL"/>
        </w:rPr>
      </w:pPr>
      <w:r w:rsidRPr="00E219EC">
        <w:rPr>
          <w:rFonts w:cstheme="minorHAnsi"/>
          <w:bCs/>
          <w:color w:val="002060"/>
          <w:sz w:val="24"/>
          <w:szCs w:val="24"/>
          <w:lang w:val="pl-PL"/>
        </w:rPr>
        <w:t>L- Pravni okvir</w:t>
      </w:r>
    </w:p>
    <w:p w14:paraId="135C7A21" w14:textId="5BEEDCAD" w:rsidR="006E1CD4" w:rsidRPr="00281886" w:rsidRDefault="006E1CD4" w:rsidP="00047A71">
      <w:pPr>
        <w:jc w:val="both"/>
        <w:rPr>
          <w:rFonts w:cstheme="minorHAnsi"/>
          <w:sz w:val="24"/>
          <w:szCs w:val="24"/>
          <w:lang w:val="pl-PL"/>
        </w:rPr>
      </w:pPr>
      <w:r w:rsidRPr="00281886">
        <w:rPr>
          <w:rFonts w:cstheme="minorHAnsi"/>
          <w:sz w:val="24"/>
          <w:szCs w:val="24"/>
          <w:lang w:val="pl-PL"/>
        </w:rPr>
        <w:t>Pravni okvir za suzbijanje neformalne ekonomije je u posljednjih par godina značajno unaprijeđen, prije svega kroz novu poresku reformu ali i Zakonom o fiskalizaciji u prometu proizvoda i usluga, koji je stupio na snagu 1. januara 2021.</w:t>
      </w:r>
      <w:r w:rsidR="00A97732">
        <w:rPr>
          <w:rFonts w:cstheme="minorHAnsi"/>
          <w:sz w:val="24"/>
          <w:szCs w:val="24"/>
          <w:lang w:val="pl-PL"/>
        </w:rPr>
        <w:t xml:space="preserve"> </w:t>
      </w:r>
      <w:r w:rsidR="003A5156">
        <w:rPr>
          <w:rFonts w:cstheme="minorHAnsi"/>
          <w:sz w:val="24"/>
          <w:szCs w:val="24"/>
          <w:lang w:val="pl-PL"/>
        </w:rPr>
        <w:t>g</w:t>
      </w:r>
      <w:r w:rsidRPr="00281886">
        <w:rPr>
          <w:rFonts w:cstheme="minorHAnsi"/>
          <w:sz w:val="24"/>
          <w:szCs w:val="24"/>
          <w:lang w:val="pl-PL"/>
        </w:rPr>
        <w:t>odine</w:t>
      </w:r>
      <w:r w:rsidR="003A5156">
        <w:rPr>
          <w:rFonts w:cstheme="minorHAnsi"/>
          <w:sz w:val="24"/>
          <w:szCs w:val="24"/>
          <w:lang w:val="pl-PL"/>
        </w:rPr>
        <w:t>.</w:t>
      </w:r>
    </w:p>
    <w:p w14:paraId="5DC5FA03" w14:textId="6CF1F345" w:rsidR="006E1CD4" w:rsidRPr="00281886" w:rsidRDefault="006E1CD4" w:rsidP="00047A71">
      <w:pPr>
        <w:jc w:val="both"/>
        <w:rPr>
          <w:rFonts w:cstheme="minorHAnsi"/>
          <w:sz w:val="24"/>
          <w:szCs w:val="24"/>
          <w:lang w:val="pl-PL"/>
        </w:rPr>
      </w:pPr>
      <w:r w:rsidRPr="00281886">
        <w:rPr>
          <w:rFonts w:cstheme="minorHAnsi"/>
          <w:sz w:val="24"/>
          <w:szCs w:val="24"/>
          <w:lang w:val="pl-PL"/>
        </w:rPr>
        <w:t>Za predmetnu analizu veoma važni su i</w:t>
      </w:r>
      <w:r w:rsidR="003A5156">
        <w:rPr>
          <w:rFonts w:cstheme="minorHAnsi"/>
          <w:sz w:val="24"/>
          <w:szCs w:val="24"/>
          <w:lang w:val="pl-PL"/>
        </w:rPr>
        <w:t xml:space="preserve"> Zakon o sprječavanju nelegalnog poslovanja,</w:t>
      </w:r>
      <w:r w:rsidRPr="00281886">
        <w:rPr>
          <w:rFonts w:cstheme="minorHAnsi"/>
          <w:sz w:val="24"/>
          <w:szCs w:val="24"/>
          <w:lang w:val="pl-PL"/>
        </w:rPr>
        <w:t xml:space="preserve"> Zakon o radu i  Zakon o penzijsko i invalidskom osiguranju(PIO). Tako je  prema važećem Zakonu o radu ostavljen veliki prostor za zaključivanje ugovora koji su prema ročnosti kratki, ali i podložni zloupotrebama </w:t>
      </w:r>
      <w:r w:rsidRPr="00281886">
        <w:rPr>
          <w:rFonts w:cstheme="minorHAnsi"/>
          <w:sz w:val="24"/>
          <w:szCs w:val="24"/>
          <w:lang w:val="pl-PL"/>
        </w:rPr>
        <w:lastRenderedPageBreak/>
        <w:t>( ugovor na određeno, angažmani preko agencija za privremeno ustupanje zapo</w:t>
      </w:r>
      <w:r w:rsidR="005F639E">
        <w:rPr>
          <w:rFonts w:cstheme="minorHAnsi"/>
          <w:sz w:val="24"/>
          <w:szCs w:val="24"/>
          <w:lang w:val="pl-PL"/>
        </w:rPr>
        <w:t>sl</w:t>
      </w:r>
      <w:r w:rsidRPr="00281886">
        <w:rPr>
          <w:rFonts w:cstheme="minorHAnsi"/>
          <w:sz w:val="24"/>
          <w:szCs w:val="24"/>
          <w:lang w:val="pl-PL"/>
        </w:rPr>
        <w:t>enih, ugovor o privremenim i povremenim poslovima</w:t>
      </w:r>
      <w:r w:rsidR="00E772FE">
        <w:rPr>
          <w:rFonts w:cstheme="minorHAnsi"/>
          <w:sz w:val="24"/>
          <w:szCs w:val="24"/>
          <w:lang w:val="pl-PL"/>
        </w:rPr>
        <w:t>).</w:t>
      </w:r>
      <w:r w:rsidRPr="00281886">
        <w:rPr>
          <w:rFonts w:cstheme="minorHAnsi"/>
          <w:sz w:val="24"/>
          <w:szCs w:val="24"/>
          <w:lang w:val="pl-PL"/>
        </w:rPr>
        <w:t xml:space="preserve"> </w:t>
      </w:r>
    </w:p>
    <w:p w14:paraId="0F151D82" w14:textId="1A6A7068" w:rsidR="006E1CD4" w:rsidRPr="00281886" w:rsidRDefault="006E1CD4" w:rsidP="00047A71">
      <w:pPr>
        <w:jc w:val="both"/>
        <w:rPr>
          <w:rFonts w:cstheme="minorHAnsi"/>
          <w:sz w:val="24"/>
          <w:szCs w:val="24"/>
          <w:lang w:val="pl-PL"/>
        </w:rPr>
      </w:pPr>
      <w:r w:rsidRPr="00281886">
        <w:rPr>
          <w:rFonts w:cstheme="minorHAnsi"/>
          <w:sz w:val="24"/>
          <w:szCs w:val="24"/>
          <w:lang w:val="pl-PL"/>
        </w:rPr>
        <w:t>U odnosu na pregovore sa EU ne može se identifikovati direktna veza sa odgovarajućim pregovaračkim poglavljima i relevatnim direktivama na nivou opšteg cilja Programa</w:t>
      </w:r>
      <w:r w:rsidR="009B039E">
        <w:rPr>
          <w:rFonts w:cstheme="minorHAnsi"/>
          <w:sz w:val="24"/>
          <w:szCs w:val="24"/>
          <w:lang w:val="pl-PL"/>
        </w:rPr>
        <w:t>,</w:t>
      </w:r>
      <w:r w:rsidRPr="00281886">
        <w:rPr>
          <w:rFonts w:cstheme="minorHAnsi"/>
          <w:sz w:val="24"/>
          <w:szCs w:val="24"/>
          <w:lang w:val="pl-PL"/>
        </w:rPr>
        <w:t xml:space="preserve"> a koji se odnosi na suzbijanje neformalne ekonomije. Takodje, indirektna veza može se sagledati iz ugla pregovaračkog poglavlja 16 – koje pokriva oblast poreza, poglavlja 8</w:t>
      </w:r>
      <w:r w:rsidR="009B039E">
        <w:rPr>
          <w:rFonts w:cstheme="minorHAnsi"/>
          <w:sz w:val="24"/>
          <w:szCs w:val="24"/>
          <w:lang w:val="pl-PL"/>
        </w:rPr>
        <w:t xml:space="preserve"> </w:t>
      </w:r>
      <w:r w:rsidRPr="00281886">
        <w:rPr>
          <w:rFonts w:cstheme="minorHAnsi"/>
          <w:sz w:val="24"/>
          <w:szCs w:val="24"/>
          <w:lang w:val="pl-PL"/>
        </w:rPr>
        <w:t>- koje se odnosi na politiku konkurencije, poglavlja 20 – koje je u vezi sa industrijskom politikom i preduzetništvom, poglavlje 19- socijalna politika i zapošljavanje, poglavlje 5- Javne nabavke, kao i sa poglavljima 23 i 24- Pravosuđe i osnovna prava i Pravda, sloboda, bezbjednost.</w:t>
      </w:r>
    </w:p>
    <w:p w14:paraId="6FE9307B" w14:textId="73815D50" w:rsidR="00ED22DC" w:rsidRPr="006A65DE" w:rsidRDefault="006E1CD4" w:rsidP="006A65DE">
      <w:pPr>
        <w:jc w:val="both"/>
        <w:rPr>
          <w:rFonts w:cstheme="minorHAnsi"/>
          <w:sz w:val="24"/>
          <w:szCs w:val="24"/>
          <w:lang w:val="pl-PL"/>
        </w:rPr>
      </w:pPr>
      <w:r w:rsidRPr="006A65DE">
        <w:rPr>
          <w:sz w:val="24"/>
          <w:szCs w:val="24"/>
          <w:lang w:val="pl-PL"/>
        </w:rPr>
        <w:t xml:space="preserve">Sumirana PESTLE analiza prikazana </w:t>
      </w:r>
      <w:r w:rsidR="00ED22DC" w:rsidRPr="006A65DE">
        <w:rPr>
          <w:sz w:val="24"/>
          <w:szCs w:val="24"/>
          <w:lang w:val="pl-PL"/>
        </w:rPr>
        <w:t>u nastavku</w:t>
      </w:r>
      <w:r w:rsidR="006A65DE">
        <w:rPr>
          <w:sz w:val="24"/>
          <w:szCs w:val="24"/>
          <w:lang w:val="pl-PL"/>
        </w:rPr>
        <w:t>.</w:t>
      </w:r>
    </w:p>
    <w:tbl>
      <w:tblPr>
        <w:tblStyle w:val="GridTable4-Accent1"/>
        <w:tblW w:w="9445" w:type="dxa"/>
        <w:tblLook w:val="04A0" w:firstRow="1" w:lastRow="0" w:firstColumn="1" w:lastColumn="0" w:noHBand="0" w:noVBand="1"/>
      </w:tblPr>
      <w:tblGrid>
        <w:gridCol w:w="5215"/>
        <w:gridCol w:w="4230"/>
      </w:tblGrid>
      <w:tr w:rsidR="00ED22DC" w:rsidRPr="00ED22DC" w14:paraId="4A3E9A85" w14:textId="77777777" w:rsidTr="0048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hideMark/>
          </w:tcPr>
          <w:p w14:paraId="5FF5E3E8" w14:textId="04489300" w:rsidR="00ED22DC" w:rsidRPr="00ED22DC" w:rsidRDefault="006A65DE" w:rsidP="00ED22DC">
            <w:pPr>
              <w:spacing w:after="160" w:line="259" w:lineRule="auto"/>
              <w:rPr>
                <w:b w:val="0"/>
                <w:sz w:val="20"/>
                <w:szCs w:val="20"/>
                <w:lang w:val="sr-Latn-ME"/>
              </w:rPr>
            </w:pPr>
            <w:r w:rsidRPr="006A65DE">
              <w:rPr>
                <w:sz w:val="20"/>
                <w:szCs w:val="20"/>
                <w:lang w:val="sr-Latn-ME"/>
              </w:rPr>
              <w:t>POLITIČKO OKRUŽENJE</w:t>
            </w:r>
          </w:p>
        </w:tc>
        <w:tc>
          <w:tcPr>
            <w:tcW w:w="4230" w:type="dxa"/>
            <w:hideMark/>
          </w:tcPr>
          <w:p w14:paraId="7735139E" w14:textId="715F5630" w:rsidR="00ED22DC" w:rsidRPr="00ED22DC" w:rsidRDefault="006A65DE" w:rsidP="00ED22DC">
            <w:pPr>
              <w:spacing w:after="160" w:line="259" w:lineRule="auto"/>
              <w:cnfStyle w:val="100000000000" w:firstRow="1" w:lastRow="0" w:firstColumn="0" w:lastColumn="0" w:oddVBand="0" w:evenVBand="0" w:oddHBand="0" w:evenHBand="0" w:firstRowFirstColumn="0" w:firstRowLastColumn="0" w:lastRowFirstColumn="0" w:lastRowLastColumn="0"/>
              <w:rPr>
                <w:b w:val="0"/>
                <w:sz w:val="20"/>
                <w:szCs w:val="20"/>
                <w:lang w:val="sr-Latn-ME"/>
              </w:rPr>
            </w:pPr>
            <w:r w:rsidRPr="006A65DE">
              <w:rPr>
                <w:sz w:val="20"/>
                <w:szCs w:val="20"/>
                <w:lang w:val="sr-Latn-ME"/>
              </w:rPr>
              <w:t>EKONOMSKO OKRUŽENJE</w:t>
            </w:r>
          </w:p>
        </w:tc>
      </w:tr>
      <w:tr w:rsidR="00ED22DC" w:rsidRPr="00ED22DC" w14:paraId="2ED979B3" w14:textId="77777777" w:rsidTr="0048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EB59A27"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Crna Gora je građanska, demokratska, ekološka i država socijalne pravde</w:t>
            </w:r>
          </w:p>
          <w:p w14:paraId="57E79DA3"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Političko okruženje kompleksno</w:t>
            </w:r>
          </w:p>
          <w:p w14:paraId="6B975D64"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Vlada je u tehničkom (privremenom) mandatu u trenutku izrade Programa</w:t>
            </w:r>
          </w:p>
          <w:p w14:paraId="28E6A3BD"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 xml:space="preserve">Pad povjerenja u politički sistem </w:t>
            </w:r>
          </w:p>
          <w:p w14:paraId="33245E68"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 xml:space="preserve">Usporen proces donošenja odluka i sprovodjenja reformi </w:t>
            </w:r>
          </w:p>
          <w:p w14:paraId="15467FF8"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Crna Gora je zemlja kandidat za članstvo u EU</w:t>
            </w:r>
          </w:p>
          <w:p w14:paraId="4CA80BCF" w14:textId="77777777" w:rsidR="006A65DE" w:rsidRPr="00215261" w:rsidRDefault="006A65DE">
            <w:pPr>
              <w:numPr>
                <w:ilvl w:val="0"/>
                <w:numId w:val="1"/>
              </w:numPr>
              <w:spacing w:after="160" w:line="259" w:lineRule="auto"/>
              <w:rPr>
                <w:b w:val="0"/>
                <w:bCs w:val="0"/>
                <w:sz w:val="20"/>
                <w:szCs w:val="20"/>
                <w:lang w:val="sr-Latn-ME"/>
              </w:rPr>
            </w:pPr>
            <w:r w:rsidRPr="00215261">
              <w:rPr>
                <w:b w:val="0"/>
                <w:bCs w:val="0"/>
                <w:sz w:val="20"/>
                <w:szCs w:val="20"/>
                <w:lang w:val="sr-Latn-ME"/>
              </w:rPr>
              <w:t>Crna Gora je članica NATO saveza</w:t>
            </w:r>
          </w:p>
          <w:p w14:paraId="1C1EA5D6" w14:textId="77777777" w:rsidR="00ED22DC" w:rsidRPr="00215261" w:rsidRDefault="00ED22DC" w:rsidP="00ED22DC">
            <w:pPr>
              <w:spacing w:after="160" w:line="259" w:lineRule="auto"/>
              <w:rPr>
                <w:b w:val="0"/>
                <w:bCs w:val="0"/>
                <w:sz w:val="20"/>
                <w:szCs w:val="20"/>
                <w:lang w:val="sr-Latn-ME"/>
              </w:rPr>
            </w:pPr>
          </w:p>
          <w:p w14:paraId="5ECCD1B7" w14:textId="77777777" w:rsidR="00ED22DC" w:rsidRPr="00215261" w:rsidRDefault="00ED22DC" w:rsidP="00ED22DC">
            <w:pPr>
              <w:spacing w:after="160" w:line="259" w:lineRule="auto"/>
              <w:rPr>
                <w:b w:val="0"/>
                <w:bCs w:val="0"/>
                <w:sz w:val="20"/>
                <w:szCs w:val="20"/>
                <w:lang w:val="sr-Latn-ME"/>
              </w:rPr>
            </w:pPr>
          </w:p>
        </w:tc>
        <w:tc>
          <w:tcPr>
            <w:tcW w:w="4230" w:type="dxa"/>
          </w:tcPr>
          <w:p w14:paraId="28EE59DD" w14:textId="77777777" w:rsidR="00372A08" w:rsidRPr="00372A08" w:rsidRDefault="00372A08" w:rsidP="00372A08">
            <w:pPr>
              <w:pStyle w:val="ListParagraph"/>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Ekonomsko okruženje zasnovano na slobodnom i otvorenom tržištu, slobodi preduzetništva i konkurencije</w:t>
            </w:r>
          </w:p>
          <w:p w14:paraId="5AFA403C"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Zabranjeno je narušavanje i ograničavanje slobodne konkurencije</w:t>
            </w:r>
          </w:p>
          <w:p w14:paraId="4D7F2C8A"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Proces ekonomske tranzicije još nije okončan</w:t>
            </w:r>
          </w:p>
          <w:p w14:paraId="22DC95CF"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Svako je dužan da plaća poreze i dažbine</w:t>
            </w:r>
          </w:p>
          <w:p w14:paraId="036BDA5A"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Uslužno orjentisana privreda više podložna pojavi neformalne ekonomije</w:t>
            </w:r>
          </w:p>
          <w:p w14:paraId="5BA4725B"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p>
          <w:p w14:paraId="4EC3E7B9"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Pad ekonosmke aktivnosti kao posljedica COVID pandemije najveći u Evropi</w:t>
            </w:r>
          </w:p>
          <w:p w14:paraId="4C9D75CE" w14:textId="6C1A61F3"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U 2022.godini privredni rast je bio snažan i iznosio je 6,</w:t>
            </w:r>
            <w:r w:rsidR="00947B3E">
              <w:rPr>
                <w:sz w:val="20"/>
                <w:szCs w:val="20"/>
                <w:lang w:val="sr-Latn-ME"/>
              </w:rPr>
              <w:t>4%</w:t>
            </w:r>
          </w:p>
          <w:p w14:paraId="4FBD3242"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Visok nivo neformalne ekonomije</w:t>
            </w:r>
          </w:p>
          <w:p w14:paraId="283DE053"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Stopa nezaposlenosti  je i dalje visoka.</w:t>
            </w:r>
          </w:p>
          <w:p w14:paraId="68D39B87"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 xml:space="preserve">U 2022.godini u Crnoj Gori je zabilježena najveća inflacija od sticanja </w:t>
            </w:r>
          </w:p>
          <w:p w14:paraId="19027FE8"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nezavisnosti.</w:t>
            </w:r>
          </w:p>
          <w:p w14:paraId="0FF1B669"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Deficit tekućeg računa jedan je od ključnih strukturnih izazova Crne Gore</w:t>
            </w:r>
          </w:p>
          <w:p w14:paraId="46EF866D"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372A08">
              <w:rPr>
                <w:sz w:val="20"/>
                <w:szCs w:val="20"/>
                <w:lang w:val="sr-Latn-ME"/>
              </w:rPr>
              <w:t>Neravnomjerna regionalna razvijenost</w:t>
            </w:r>
          </w:p>
          <w:p w14:paraId="6E04EAD9" w14:textId="77777777" w:rsidR="00372A08" w:rsidRPr="00372A08" w:rsidRDefault="00372A08"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p>
          <w:p w14:paraId="63578014" w14:textId="77777777" w:rsidR="00ED22DC" w:rsidRPr="00215261" w:rsidRDefault="00ED22DC" w:rsidP="00372A0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sz w:val="20"/>
                <w:szCs w:val="20"/>
                <w:lang w:val="sr-Latn-ME"/>
              </w:rPr>
            </w:pPr>
          </w:p>
        </w:tc>
      </w:tr>
      <w:tr w:rsidR="00215261" w:rsidRPr="00215261" w14:paraId="5DF65954" w14:textId="77777777" w:rsidTr="00482B3D">
        <w:tc>
          <w:tcPr>
            <w:cnfStyle w:val="001000000000" w:firstRow="0" w:lastRow="0" w:firstColumn="1" w:lastColumn="0" w:oddVBand="0" w:evenVBand="0" w:oddHBand="0" w:evenHBand="0" w:firstRowFirstColumn="0" w:firstRowLastColumn="0" w:lastRowFirstColumn="0" w:lastRowLastColumn="0"/>
            <w:tcW w:w="5215" w:type="dxa"/>
            <w:shd w:val="clear" w:color="auto" w:fill="4472C4" w:themeFill="accent1"/>
            <w:hideMark/>
          </w:tcPr>
          <w:p w14:paraId="681E9A39" w14:textId="436A1322" w:rsidR="00ED22DC" w:rsidRPr="00215261" w:rsidRDefault="006A65DE" w:rsidP="00ED22DC">
            <w:pPr>
              <w:spacing w:after="160" w:line="259" w:lineRule="auto"/>
              <w:rPr>
                <w:b w:val="0"/>
                <w:color w:val="FFFFFF" w:themeColor="background1"/>
                <w:sz w:val="20"/>
                <w:szCs w:val="20"/>
                <w:lang w:val="sr-Latn-ME"/>
              </w:rPr>
            </w:pPr>
            <w:r w:rsidRPr="00215261">
              <w:rPr>
                <w:color w:val="FFFFFF" w:themeColor="background1"/>
                <w:sz w:val="20"/>
                <w:szCs w:val="20"/>
                <w:lang w:val="sr-Latn-ME"/>
              </w:rPr>
              <w:t>DRUŠTVENO OKRUŽENJE</w:t>
            </w:r>
          </w:p>
        </w:tc>
        <w:tc>
          <w:tcPr>
            <w:tcW w:w="4230" w:type="dxa"/>
            <w:shd w:val="clear" w:color="auto" w:fill="4472C4" w:themeFill="accent1"/>
            <w:hideMark/>
          </w:tcPr>
          <w:p w14:paraId="790F6082" w14:textId="3CAACE43" w:rsidR="00ED22DC" w:rsidRPr="00215261" w:rsidRDefault="006A65DE" w:rsidP="00ED22DC">
            <w:pPr>
              <w:spacing w:after="160" w:line="259" w:lineRule="auto"/>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lang w:val="sr-Latn-ME"/>
              </w:rPr>
            </w:pPr>
            <w:r w:rsidRPr="00215261">
              <w:rPr>
                <w:b/>
                <w:color w:val="FFFFFF" w:themeColor="background1"/>
                <w:sz w:val="20"/>
                <w:szCs w:val="20"/>
                <w:lang w:val="sr-Latn-ME"/>
              </w:rPr>
              <w:t>TEHNOLOŠKO OKRUŽENJE</w:t>
            </w:r>
          </w:p>
        </w:tc>
      </w:tr>
      <w:tr w:rsidR="00ED22DC" w:rsidRPr="00391D03" w14:paraId="5B442828" w14:textId="77777777" w:rsidTr="0048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23EB1B6"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sr-Latn-ME"/>
              </w:rPr>
              <w:t>Povećane društvene tenzije</w:t>
            </w:r>
          </w:p>
          <w:p w14:paraId="2A347460"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sr-Latn-ME"/>
              </w:rPr>
              <w:t>N</w:t>
            </w:r>
            <w:r w:rsidRPr="00372A08">
              <w:rPr>
                <w:b w:val="0"/>
                <w:bCs w:val="0"/>
                <w:sz w:val="20"/>
                <w:szCs w:val="20"/>
                <w:lang w:val="pl-PL"/>
              </w:rPr>
              <w:t>a osnovu prirodnog priraštaja na 1 000 stanovnika, broj stanovnika se smanjio za 0,1 stanovnik.</w:t>
            </w:r>
          </w:p>
          <w:p w14:paraId="396157E0"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pl-PL"/>
              </w:rPr>
              <w:lastRenderedPageBreak/>
              <w:t>Očekivano trajanje života na rođenju u 2022. godini je 76,2 godina</w:t>
            </w:r>
          </w:p>
          <w:p w14:paraId="6674ED69"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pl-PL"/>
              </w:rPr>
              <w:t>Prisutni demografski izazovi (starenje stanovništva i unutrašnje migracije)</w:t>
            </w:r>
          </w:p>
          <w:p w14:paraId="2EC4C876" w14:textId="77777777" w:rsidR="00372A08" w:rsidRPr="00372A08" w:rsidRDefault="00372A08" w:rsidP="00372A08">
            <w:pPr>
              <w:numPr>
                <w:ilvl w:val="0"/>
                <w:numId w:val="2"/>
              </w:numPr>
              <w:spacing w:after="160"/>
              <w:rPr>
                <w:b w:val="0"/>
                <w:bCs w:val="0"/>
                <w:sz w:val="20"/>
                <w:szCs w:val="20"/>
                <w:lang w:val="sr-Latn-ME"/>
              </w:rPr>
            </w:pPr>
            <w:r w:rsidRPr="00372A08">
              <w:rPr>
                <w:b w:val="0"/>
                <w:bCs w:val="0"/>
                <w:sz w:val="20"/>
                <w:szCs w:val="20"/>
                <w:lang w:val="sr-Latn-ME"/>
              </w:rPr>
              <w:t>Obrazovni i zdravstveni sistem zahtijevaju korjenite reforme</w:t>
            </w:r>
          </w:p>
          <w:p w14:paraId="4E4B1F3F"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sr-Latn-ME"/>
              </w:rPr>
              <w:t>Besplatno zdravstvo i obrazovanje</w:t>
            </w:r>
          </w:p>
          <w:p w14:paraId="32FA9F8F" w14:textId="77777777" w:rsidR="00372A08" w:rsidRPr="00372A08" w:rsidRDefault="00372A08" w:rsidP="00372A08">
            <w:pPr>
              <w:numPr>
                <w:ilvl w:val="0"/>
                <w:numId w:val="2"/>
              </w:numPr>
              <w:spacing w:after="160"/>
              <w:rPr>
                <w:b w:val="0"/>
                <w:bCs w:val="0"/>
                <w:sz w:val="20"/>
                <w:szCs w:val="20"/>
                <w:lang w:val="sr-Latn-ME"/>
              </w:rPr>
            </w:pPr>
            <w:r w:rsidRPr="00372A08">
              <w:rPr>
                <w:b w:val="0"/>
                <w:bCs w:val="0"/>
                <w:sz w:val="20"/>
                <w:szCs w:val="20"/>
                <w:lang w:val="sr-Latn-ME"/>
              </w:rPr>
              <w:t>Rizik od pojave novih virusa</w:t>
            </w:r>
          </w:p>
          <w:p w14:paraId="53C80B76"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sr-Latn-ME"/>
              </w:rPr>
              <w:t>Rizik finansijske održivosti zdravstvenog sistema</w:t>
            </w:r>
          </w:p>
          <w:p w14:paraId="3C6C97E4" w14:textId="77777777" w:rsidR="00372A08" w:rsidRPr="00372A08" w:rsidRDefault="00372A08" w:rsidP="00372A08">
            <w:pPr>
              <w:numPr>
                <w:ilvl w:val="0"/>
                <w:numId w:val="2"/>
              </w:numPr>
              <w:spacing w:after="160"/>
              <w:rPr>
                <w:b w:val="0"/>
                <w:bCs w:val="0"/>
                <w:sz w:val="20"/>
                <w:szCs w:val="20"/>
                <w:lang w:val="sr-Latn-ME"/>
              </w:rPr>
            </w:pPr>
            <w:r w:rsidRPr="00372A08">
              <w:rPr>
                <w:b w:val="0"/>
                <w:bCs w:val="0"/>
                <w:sz w:val="20"/>
                <w:szCs w:val="20"/>
                <w:lang w:val="sr-Latn-ME"/>
              </w:rPr>
              <w:t>Država socijalne pravde – visok nivo socijalnih davanja</w:t>
            </w:r>
          </w:p>
          <w:p w14:paraId="2D0BE07E" w14:textId="77777777" w:rsidR="00372A08" w:rsidRPr="00372A08" w:rsidRDefault="00372A08" w:rsidP="00372A08">
            <w:pPr>
              <w:numPr>
                <w:ilvl w:val="0"/>
                <w:numId w:val="2"/>
              </w:numPr>
              <w:spacing w:after="160" w:line="259" w:lineRule="auto"/>
              <w:rPr>
                <w:b w:val="0"/>
                <w:bCs w:val="0"/>
                <w:sz w:val="20"/>
                <w:szCs w:val="20"/>
                <w:lang w:val="sr-Latn-ME"/>
              </w:rPr>
            </w:pPr>
            <w:r w:rsidRPr="00372A08">
              <w:rPr>
                <w:b w:val="0"/>
                <w:bCs w:val="0"/>
                <w:sz w:val="20"/>
                <w:szCs w:val="20"/>
                <w:lang w:val="sr-Latn-ME"/>
              </w:rPr>
              <w:t>Ne postoji kultura plaćanja obaveza prema državi</w:t>
            </w:r>
          </w:p>
          <w:p w14:paraId="76D021E6" w14:textId="77777777" w:rsidR="00ED22DC" w:rsidRPr="00372A08" w:rsidRDefault="00ED22DC" w:rsidP="00ED22DC">
            <w:pPr>
              <w:spacing w:after="160" w:line="259" w:lineRule="auto"/>
              <w:rPr>
                <w:b w:val="0"/>
                <w:bCs w:val="0"/>
                <w:sz w:val="20"/>
                <w:szCs w:val="20"/>
                <w:lang w:val="sr-Latn-ME"/>
              </w:rPr>
            </w:pPr>
          </w:p>
        </w:tc>
        <w:tc>
          <w:tcPr>
            <w:tcW w:w="4230" w:type="dxa"/>
          </w:tcPr>
          <w:p w14:paraId="476CF80E" w14:textId="132EB387" w:rsidR="006A65DE" w:rsidRPr="006A65DE" w:rsidRDefault="006A65DE" w:rsidP="006A65DE">
            <w:pPr>
              <w:cnfStyle w:val="000000100000" w:firstRow="0" w:lastRow="0" w:firstColumn="0" w:lastColumn="0" w:oddVBand="0" w:evenVBand="0" w:oddHBand="1" w:evenHBand="0" w:firstRowFirstColumn="0" w:firstRowLastColumn="0" w:lastRowFirstColumn="0" w:lastRowLastColumn="0"/>
              <w:rPr>
                <w:b/>
                <w:sz w:val="20"/>
                <w:szCs w:val="20"/>
                <w:lang w:val="sr-Latn-ME"/>
              </w:rPr>
            </w:pPr>
            <w:r w:rsidRPr="006A65DE">
              <w:rPr>
                <w:b/>
                <w:sz w:val="20"/>
                <w:szCs w:val="20"/>
                <w:lang w:val="sr-Latn-ME"/>
              </w:rPr>
              <w:lastRenderedPageBreak/>
              <w:t xml:space="preserve"> </w:t>
            </w:r>
          </w:p>
          <w:p w14:paraId="3A74FDF7" w14:textId="77777777" w:rsidR="006A65DE" w:rsidRPr="006A65DE" w:rsidRDefault="006A65DE">
            <w:pPr>
              <w:numPr>
                <w:ilvl w:val="0"/>
                <w:numId w:val="3"/>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6A65DE">
              <w:rPr>
                <w:sz w:val="20"/>
                <w:szCs w:val="20"/>
                <w:lang w:val="sr-Latn-ME"/>
              </w:rPr>
              <w:t>I</w:t>
            </w:r>
            <w:r w:rsidRPr="006A65DE">
              <w:rPr>
                <w:sz w:val="20"/>
                <w:szCs w:val="20"/>
                <w:lang w:val="pl-PL"/>
              </w:rPr>
              <w:t>novacije i digitalizaciju jedan od razvojnih prioriteta i šansi Crne Gore</w:t>
            </w:r>
          </w:p>
          <w:p w14:paraId="353FAE25" w14:textId="77777777" w:rsidR="006A65DE" w:rsidRPr="006A65DE" w:rsidRDefault="006A65DE">
            <w:pPr>
              <w:numPr>
                <w:ilvl w:val="0"/>
                <w:numId w:val="3"/>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6A65DE">
              <w:rPr>
                <w:sz w:val="20"/>
                <w:szCs w:val="20"/>
                <w:lang w:val="sr-Latn-ME"/>
              </w:rPr>
              <w:t>Postavljen strateški okvir</w:t>
            </w:r>
          </w:p>
          <w:p w14:paraId="67088ADE" w14:textId="77777777" w:rsidR="006A65DE" w:rsidRPr="006A65DE" w:rsidRDefault="006A65DE">
            <w:pPr>
              <w:numPr>
                <w:ilvl w:val="0"/>
                <w:numId w:val="3"/>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6A65DE">
              <w:rPr>
                <w:sz w:val="20"/>
                <w:szCs w:val="20"/>
                <w:lang w:val="pl-PL"/>
              </w:rPr>
              <w:t>Realizuje se projekat elektronska fiskalizacija</w:t>
            </w:r>
          </w:p>
          <w:p w14:paraId="4DC46726" w14:textId="77777777" w:rsidR="006A65DE" w:rsidRPr="006A65DE" w:rsidRDefault="006A65DE">
            <w:pPr>
              <w:numPr>
                <w:ilvl w:val="0"/>
                <w:numId w:val="3"/>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6A65DE">
              <w:rPr>
                <w:sz w:val="20"/>
                <w:szCs w:val="20"/>
                <w:lang w:val="pl-PL"/>
              </w:rPr>
              <w:lastRenderedPageBreak/>
              <w:t>Inovativne</w:t>
            </w:r>
            <w:r w:rsidRPr="006A65DE">
              <w:rPr>
                <w:sz w:val="20"/>
                <w:szCs w:val="20"/>
                <w:lang w:val="sr-Latn-ME"/>
              </w:rPr>
              <w:t xml:space="preserve"> </w:t>
            </w:r>
            <w:r w:rsidRPr="006A65DE">
              <w:rPr>
                <w:sz w:val="20"/>
                <w:szCs w:val="20"/>
                <w:lang w:val="pl-PL"/>
              </w:rPr>
              <w:t>kompanije</w:t>
            </w:r>
            <w:r w:rsidRPr="006A65DE">
              <w:rPr>
                <w:sz w:val="20"/>
                <w:szCs w:val="20"/>
                <w:lang w:val="sr-Latn-ME"/>
              </w:rPr>
              <w:t xml:space="preserve"> </w:t>
            </w:r>
            <w:r w:rsidRPr="006A65DE">
              <w:rPr>
                <w:sz w:val="20"/>
                <w:szCs w:val="20"/>
                <w:lang w:val="pl-PL"/>
              </w:rPr>
              <w:t>predstavljaju</w:t>
            </w:r>
            <w:r w:rsidRPr="006A65DE">
              <w:rPr>
                <w:sz w:val="20"/>
                <w:szCs w:val="20"/>
                <w:lang w:val="sr-Latn-ME"/>
              </w:rPr>
              <w:t xml:space="preserve"> </w:t>
            </w:r>
            <w:r w:rsidRPr="006A65DE">
              <w:rPr>
                <w:sz w:val="20"/>
                <w:szCs w:val="20"/>
                <w:lang w:val="pl-PL"/>
              </w:rPr>
              <w:t>najdinami</w:t>
            </w:r>
            <w:r w:rsidRPr="006A65DE">
              <w:rPr>
                <w:sz w:val="20"/>
                <w:szCs w:val="20"/>
                <w:lang w:val="sr-Latn-ME"/>
              </w:rPr>
              <w:t>č</w:t>
            </w:r>
            <w:r w:rsidRPr="006A65DE">
              <w:rPr>
                <w:sz w:val="20"/>
                <w:szCs w:val="20"/>
                <w:lang w:val="pl-PL"/>
              </w:rPr>
              <w:t>niji</w:t>
            </w:r>
            <w:r w:rsidRPr="006A65DE">
              <w:rPr>
                <w:sz w:val="20"/>
                <w:szCs w:val="20"/>
                <w:lang w:val="sr-Latn-ME"/>
              </w:rPr>
              <w:t xml:space="preserve"> </w:t>
            </w:r>
            <w:r w:rsidRPr="006A65DE">
              <w:rPr>
                <w:sz w:val="20"/>
                <w:szCs w:val="20"/>
                <w:lang w:val="pl-PL"/>
              </w:rPr>
              <w:t>i</w:t>
            </w:r>
            <w:r w:rsidRPr="006A65DE">
              <w:rPr>
                <w:sz w:val="20"/>
                <w:szCs w:val="20"/>
                <w:lang w:val="sr-Latn-ME"/>
              </w:rPr>
              <w:t xml:space="preserve"> </w:t>
            </w:r>
            <w:r w:rsidRPr="006A65DE">
              <w:rPr>
                <w:sz w:val="20"/>
                <w:szCs w:val="20"/>
                <w:lang w:val="pl-PL"/>
              </w:rPr>
              <w:t>najzna</w:t>
            </w:r>
            <w:r w:rsidRPr="006A65DE">
              <w:rPr>
                <w:sz w:val="20"/>
                <w:szCs w:val="20"/>
                <w:lang w:val="sr-Latn-ME"/>
              </w:rPr>
              <w:t>č</w:t>
            </w:r>
            <w:r w:rsidRPr="006A65DE">
              <w:rPr>
                <w:sz w:val="20"/>
                <w:szCs w:val="20"/>
                <w:lang w:val="pl-PL"/>
              </w:rPr>
              <w:t>ajniji</w:t>
            </w:r>
            <w:r w:rsidRPr="006A65DE">
              <w:rPr>
                <w:sz w:val="20"/>
                <w:szCs w:val="20"/>
                <w:lang w:val="sr-Latn-ME"/>
              </w:rPr>
              <w:t xml:space="preserve"> </w:t>
            </w:r>
            <w:r w:rsidRPr="006A65DE">
              <w:rPr>
                <w:sz w:val="20"/>
                <w:szCs w:val="20"/>
                <w:lang w:val="pl-PL"/>
              </w:rPr>
              <w:t>razvojni</w:t>
            </w:r>
            <w:r w:rsidRPr="006A65DE">
              <w:rPr>
                <w:sz w:val="20"/>
                <w:szCs w:val="20"/>
                <w:lang w:val="sr-Latn-ME"/>
              </w:rPr>
              <w:t xml:space="preserve"> </w:t>
            </w:r>
            <w:r w:rsidRPr="006A65DE">
              <w:rPr>
                <w:sz w:val="20"/>
                <w:szCs w:val="20"/>
                <w:lang w:val="pl-PL"/>
              </w:rPr>
              <w:t>potencijal</w:t>
            </w:r>
            <w:r w:rsidRPr="006A65DE">
              <w:rPr>
                <w:sz w:val="20"/>
                <w:szCs w:val="20"/>
                <w:lang w:val="sr-Latn-ME"/>
              </w:rPr>
              <w:t xml:space="preserve"> </w:t>
            </w:r>
            <w:r w:rsidRPr="006A65DE">
              <w:rPr>
                <w:sz w:val="20"/>
                <w:szCs w:val="20"/>
                <w:lang w:val="pl-PL"/>
              </w:rPr>
              <w:t>moderne</w:t>
            </w:r>
            <w:r w:rsidRPr="006A65DE">
              <w:rPr>
                <w:sz w:val="20"/>
                <w:szCs w:val="20"/>
                <w:lang w:val="sr-Latn-ME"/>
              </w:rPr>
              <w:t xml:space="preserve"> crnogorske </w:t>
            </w:r>
            <w:r w:rsidRPr="006A65DE">
              <w:rPr>
                <w:sz w:val="20"/>
                <w:szCs w:val="20"/>
                <w:lang w:val="pl-PL"/>
              </w:rPr>
              <w:t>privrede</w:t>
            </w:r>
          </w:p>
          <w:p w14:paraId="02B60A5B" w14:textId="77777777" w:rsidR="006A65DE" w:rsidRPr="00372A08" w:rsidRDefault="006A65DE">
            <w:pPr>
              <w:numPr>
                <w:ilvl w:val="0"/>
                <w:numId w:val="3"/>
              </w:numPr>
              <w:cnfStyle w:val="000000100000" w:firstRow="0" w:lastRow="0" w:firstColumn="0" w:lastColumn="0" w:oddVBand="0" w:evenVBand="0" w:oddHBand="1" w:evenHBand="0" w:firstRowFirstColumn="0" w:firstRowLastColumn="0" w:lastRowFirstColumn="0" w:lastRowLastColumn="0"/>
              <w:rPr>
                <w:sz w:val="20"/>
                <w:szCs w:val="20"/>
                <w:lang w:val="sr-Latn-ME"/>
              </w:rPr>
            </w:pPr>
            <w:r w:rsidRPr="006A65DE">
              <w:rPr>
                <w:sz w:val="20"/>
                <w:szCs w:val="20"/>
                <w:lang w:val="pl-PL"/>
              </w:rPr>
              <w:t>Crnogorski IKT sektor je još uvijek u ranoj fazi razvoja i ima puno potencijala za poboljšanje</w:t>
            </w:r>
          </w:p>
          <w:p w14:paraId="6EFC2C80" w14:textId="4B9B472C" w:rsidR="00ED22DC" w:rsidRPr="00372A08" w:rsidRDefault="00372A08" w:rsidP="00ED22DC">
            <w:pPr>
              <w:pStyle w:val="ListParagraph"/>
              <w:numPr>
                <w:ilvl w:val="0"/>
                <w:numId w:val="3"/>
              </w:numPr>
              <w:spacing w:after="160" w:line="259" w:lineRule="auto"/>
              <w:cnfStyle w:val="000000100000" w:firstRow="0" w:lastRow="0" w:firstColumn="0" w:lastColumn="0" w:oddVBand="0" w:evenVBand="0" w:oddHBand="1" w:evenHBand="0" w:firstRowFirstColumn="0" w:firstRowLastColumn="0" w:lastRowFirstColumn="0" w:lastRowLastColumn="0"/>
              <w:rPr>
                <w:kern w:val="2"/>
                <w:sz w:val="20"/>
                <w:szCs w:val="20"/>
                <w:lang w:val="sr-Latn-ME"/>
              </w:rPr>
            </w:pPr>
            <w:r w:rsidRPr="00372A08">
              <w:rPr>
                <w:kern w:val="2"/>
                <w:sz w:val="20"/>
                <w:szCs w:val="20"/>
                <w:lang w:val="sr-Latn-ME"/>
              </w:rPr>
              <w:t>Sajber napad na državnu IT infrastrukturu pokazao ranjivost sistema</w:t>
            </w:r>
          </w:p>
        </w:tc>
      </w:tr>
      <w:tr w:rsidR="00215261" w:rsidRPr="00215261" w14:paraId="37C3BB5C" w14:textId="77777777" w:rsidTr="00482B3D">
        <w:tc>
          <w:tcPr>
            <w:cnfStyle w:val="001000000000" w:firstRow="0" w:lastRow="0" w:firstColumn="1" w:lastColumn="0" w:oddVBand="0" w:evenVBand="0" w:oddHBand="0" w:evenHBand="0" w:firstRowFirstColumn="0" w:firstRowLastColumn="0" w:lastRowFirstColumn="0" w:lastRowLastColumn="0"/>
            <w:tcW w:w="5215" w:type="dxa"/>
            <w:shd w:val="clear" w:color="auto" w:fill="4472C4" w:themeFill="accent1"/>
          </w:tcPr>
          <w:p w14:paraId="63FFD851" w14:textId="61192BD4" w:rsidR="006A65DE" w:rsidRPr="00215261" w:rsidRDefault="006A65DE" w:rsidP="006A65DE">
            <w:pPr>
              <w:ind w:left="720"/>
              <w:rPr>
                <w:b w:val="0"/>
                <w:bCs w:val="0"/>
                <w:color w:val="FFFFFF" w:themeColor="background1"/>
                <w:sz w:val="20"/>
                <w:szCs w:val="20"/>
                <w:lang w:val="sr-Latn-ME"/>
              </w:rPr>
            </w:pPr>
            <w:r w:rsidRPr="00215261">
              <w:rPr>
                <w:color w:val="FFFFFF" w:themeColor="background1"/>
                <w:sz w:val="20"/>
                <w:szCs w:val="20"/>
                <w:lang w:val="sr-Latn-ME"/>
              </w:rPr>
              <w:lastRenderedPageBreak/>
              <w:t>PRAVNO OKRUŽENJE</w:t>
            </w:r>
          </w:p>
        </w:tc>
        <w:tc>
          <w:tcPr>
            <w:tcW w:w="4230" w:type="dxa"/>
            <w:shd w:val="clear" w:color="auto" w:fill="4472C4" w:themeFill="accent1"/>
          </w:tcPr>
          <w:p w14:paraId="691A79E8" w14:textId="03DA168E" w:rsidR="006A65DE" w:rsidRPr="00215261" w:rsidRDefault="006A65DE" w:rsidP="006A65DE">
            <w:pP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lang w:val="sr-Latn-ME"/>
              </w:rPr>
            </w:pPr>
            <w:r w:rsidRPr="00215261">
              <w:rPr>
                <w:b/>
                <w:color w:val="FFFFFF" w:themeColor="background1"/>
                <w:sz w:val="20"/>
                <w:szCs w:val="20"/>
                <w:lang w:val="sr-Latn-ME"/>
              </w:rPr>
              <w:t xml:space="preserve"> EKOLOŠKO OKRUŽENJE</w:t>
            </w:r>
          </w:p>
        </w:tc>
      </w:tr>
      <w:tr w:rsidR="006A65DE" w:rsidRPr="00391D03" w14:paraId="58B3A97B" w14:textId="77777777" w:rsidTr="0048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189C0EA5" w14:textId="253579C2" w:rsidR="00372A08" w:rsidRPr="00372A08" w:rsidRDefault="00372A08" w:rsidP="00372A08">
            <w:pPr>
              <w:jc w:val="both"/>
              <w:rPr>
                <w:rFonts w:eastAsia="Times New Roman" w:cstheme="minorHAnsi"/>
                <w:sz w:val="20"/>
                <w:szCs w:val="20"/>
                <w:lang w:val="sr-Latn-ME" w:eastAsia="sr-Cyrl-CS"/>
              </w:rPr>
            </w:pPr>
          </w:p>
          <w:p w14:paraId="35EA8990" w14:textId="77777777" w:rsidR="00372A08" w:rsidRPr="0099562E" w:rsidRDefault="00372A08" w:rsidP="00372A08">
            <w:pPr>
              <w:pStyle w:val="ListParagraph"/>
              <w:numPr>
                <w:ilvl w:val="0"/>
                <w:numId w:val="4"/>
              </w:numPr>
              <w:jc w:val="both"/>
              <w:rPr>
                <w:rFonts w:eastAsia="Times New Roman" w:cstheme="minorHAnsi"/>
                <w:b w:val="0"/>
                <w:bCs w:val="0"/>
                <w:sz w:val="20"/>
                <w:szCs w:val="20"/>
                <w:lang w:val="sr-Latn-ME" w:eastAsia="sr-Cyrl-CS"/>
              </w:rPr>
            </w:pPr>
            <w:r w:rsidRPr="0099562E">
              <w:rPr>
                <w:rFonts w:eastAsia="Times New Roman" w:cstheme="minorHAnsi"/>
                <w:b w:val="0"/>
                <w:bCs w:val="0"/>
                <w:sz w:val="20"/>
                <w:szCs w:val="20"/>
                <w:lang w:val="sr-Latn-ME" w:eastAsia="sr-Cyrl-CS"/>
              </w:rPr>
              <w:t>Ne postoji strateški dokument u oblasti suzbijanja neformalne ekonomije.</w:t>
            </w:r>
          </w:p>
          <w:p w14:paraId="01AC26F1" w14:textId="77777777" w:rsidR="00372A08" w:rsidRPr="0099562E" w:rsidRDefault="00372A08" w:rsidP="00372A08">
            <w:pPr>
              <w:pStyle w:val="ListParagraph"/>
              <w:numPr>
                <w:ilvl w:val="0"/>
                <w:numId w:val="4"/>
              </w:numPr>
              <w:jc w:val="both"/>
              <w:rPr>
                <w:rFonts w:eastAsia="Times New Roman" w:cstheme="minorHAnsi"/>
                <w:b w:val="0"/>
                <w:bCs w:val="0"/>
                <w:sz w:val="20"/>
                <w:szCs w:val="20"/>
                <w:lang w:val="sr-Latn-ME" w:eastAsia="sr-Cyrl-CS"/>
              </w:rPr>
            </w:pPr>
            <w:r w:rsidRPr="0099562E">
              <w:rPr>
                <w:rFonts w:eastAsia="Times New Roman" w:cstheme="minorHAnsi"/>
                <w:b w:val="0"/>
                <w:bCs w:val="0"/>
                <w:sz w:val="20"/>
                <w:szCs w:val="20"/>
                <w:lang w:val="sr-Latn-ME" w:eastAsia="sr-Cyrl-CS"/>
              </w:rPr>
              <w:t>Usvojen Zakon o fiskalizaciji u prometu proizvoda i usluga</w:t>
            </w:r>
          </w:p>
          <w:p w14:paraId="445EA5EC" w14:textId="77777777" w:rsidR="00372A08" w:rsidRPr="0099562E" w:rsidRDefault="00372A08" w:rsidP="00372A08">
            <w:pPr>
              <w:pStyle w:val="ListParagraph"/>
              <w:numPr>
                <w:ilvl w:val="0"/>
                <w:numId w:val="4"/>
              </w:numPr>
              <w:jc w:val="both"/>
              <w:rPr>
                <w:rFonts w:eastAsia="Times New Roman" w:cstheme="minorHAnsi"/>
                <w:b w:val="0"/>
                <w:bCs w:val="0"/>
                <w:sz w:val="20"/>
                <w:szCs w:val="20"/>
                <w:lang w:val="sr-Latn-ME" w:eastAsia="sr-Cyrl-CS"/>
              </w:rPr>
            </w:pPr>
            <w:r w:rsidRPr="0099562E">
              <w:rPr>
                <w:rFonts w:eastAsia="Times New Roman" w:cstheme="minorHAnsi"/>
                <w:b w:val="0"/>
                <w:bCs w:val="0"/>
                <w:sz w:val="20"/>
                <w:szCs w:val="20"/>
                <w:lang w:val="sr-Latn-ME" w:eastAsia="sr-Cyrl-CS"/>
              </w:rPr>
              <w:t>Zakonom o radu ostavljen veliki prostor za zaključivanje ugovora koji su prema ročnosti kratki, ali i podložni zlopupotrebama</w:t>
            </w:r>
          </w:p>
          <w:p w14:paraId="7E101551" w14:textId="77777777" w:rsidR="00372A08" w:rsidRPr="0099562E" w:rsidRDefault="00372A08" w:rsidP="00372A08">
            <w:pPr>
              <w:pStyle w:val="ListParagraph"/>
              <w:numPr>
                <w:ilvl w:val="0"/>
                <w:numId w:val="4"/>
              </w:numPr>
              <w:jc w:val="both"/>
              <w:rPr>
                <w:rFonts w:eastAsia="Times New Roman" w:cstheme="minorHAnsi"/>
                <w:b w:val="0"/>
                <w:bCs w:val="0"/>
                <w:sz w:val="20"/>
                <w:szCs w:val="20"/>
                <w:lang w:val="sr-Latn-ME" w:eastAsia="sr-Cyrl-CS"/>
              </w:rPr>
            </w:pPr>
          </w:p>
          <w:p w14:paraId="4A0EB950" w14:textId="77777777" w:rsidR="00372A08" w:rsidRPr="0099562E" w:rsidRDefault="00372A08" w:rsidP="00372A08">
            <w:pPr>
              <w:pStyle w:val="ListParagraph"/>
              <w:numPr>
                <w:ilvl w:val="0"/>
                <w:numId w:val="4"/>
              </w:numPr>
              <w:jc w:val="both"/>
              <w:rPr>
                <w:rFonts w:eastAsia="Times New Roman" w:cstheme="minorHAnsi"/>
                <w:b w:val="0"/>
                <w:bCs w:val="0"/>
                <w:sz w:val="20"/>
                <w:szCs w:val="20"/>
                <w:lang w:val="sr-Latn-ME" w:eastAsia="sr-Cyrl-CS"/>
              </w:rPr>
            </w:pPr>
            <w:r w:rsidRPr="0099562E">
              <w:rPr>
                <w:rFonts w:eastAsia="Times New Roman" w:cstheme="minorHAnsi"/>
                <w:b w:val="0"/>
                <w:bCs w:val="0"/>
                <w:sz w:val="20"/>
                <w:szCs w:val="20"/>
                <w:lang w:val="sr-Latn-ME" w:eastAsia="sr-Cyrl-CS"/>
              </w:rPr>
              <w:t>EK dala jasnu preporuku da je neformalna ekonomija jedan od tri ključna izazova CG ekonomije</w:t>
            </w:r>
          </w:p>
          <w:p w14:paraId="5A01C1E0" w14:textId="302E56CC" w:rsidR="006A65DE" w:rsidRPr="00372A08" w:rsidRDefault="006A65DE" w:rsidP="00372A08">
            <w:pPr>
              <w:pStyle w:val="ListParagraph"/>
              <w:jc w:val="both"/>
              <w:rPr>
                <w:rFonts w:eastAsia="Times New Roman" w:cstheme="minorHAnsi"/>
                <w:sz w:val="20"/>
                <w:szCs w:val="20"/>
                <w:lang w:val="sr-Latn-ME" w:eastAsia="sr-Cyrl-CS"/>
              </w:rPr>
            </w:pPr>
          </w:p>
        </w:tc>
        <w:tc>
          <w:tcPr>
            <w:tcW w:w="4230" w:type="dxa"/>
          </w:tcPr>
          <w:p w14:paraId="4F948EFB" w14:textId="77777777" w:rsidR="00372A08" w:rsidRPr="00372A08" w:rsidRDefault="00372A08" w:rsidP="00372A0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372A08">
              <w:rPr>
                <w:rFonts w:cstheme="minorHAnsi"/>
                <w:bCs/>
                <w:sz w:val="20"/>
                <w:szCs w:val="20"/>
                <w:lang w:val="sr-Latn-ME"/>
              </w:rPr>
              <w:t>Crna Cora je ekološka država</w:t>
            </w:r>
          </w:p>
          <w:p w14:paraId="113E065B" w14:textId="77777777" w:rsidR="00372A08" w:rsidRPr="00372A08" w:rsidRDefault="00372A08" w:rsidP="00372A0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372A08">
              <w:rPr>
                <w:rFonts w:cstheme="minorHAnsi"/>
                <w:bCs/>
                <w:sz w:val="20"/>
                <w:szCs w:val="20"/>
                <w:lang w:val="sr-Latn-ME"/>
              </w:rPr>
              <w:t>Potencijal za razvoj zelene ekonomije</w:t>
            </w:r>
          </w:p>
          <w:p w14:paraId="13869C5D" w14:textId="77777777" w:rsidR="00372A08" w:rsidRPr="00372A08" w:rsidRDefault="00372A08" w:rsidP="00372A0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372A08">
              <w:rPr>
                <w:rFonts w:cstheme="minorHAnsi"/>
                <w:bCs/>
                <w:sz w:val="20"/>
                <w:szCs w:val="20"/>
                <w:lang w:val="sr-Latn-ME"/>
              </w:rPr>
              <w:t>Zaštita životne sredine utiče na rast BDPa</w:t>
            </w:r>
          </w:p>
          <w:p w14:paraId="2E296451" w14:textId="77777777" w:rsidR="00372A08" w:rsidRPr="00372A08" w:rsidRDefault="00372A08" w:rsidP="00372A0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372A08">
              <w:rPr>
                <w:rFonts w:cstheme="minorHAnsi"/>
                <w:bCs/>
                <w:sz w:val="20"/>
                <w:szCs w:val="20"/>
                <w:lang w:val="sr-Latn-ME"/>
              </w:rPr>
              <w:t>Niska svijest o očuvanju životne sredine</w:t>
            </w:r>
          </w:p>
          <w:p w14:paraId="04FA4AAD" w14:textId="77777777" w:rsidR="00372A08" w:rsidRPr="00372A08" w:rsidRDefault="00372A08" w:rsidP="00372A0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theme="minorHAnsi"/>
                <w:bCs/>
                <w:sz w:val="20"/>
                <w:szCs w:val="20"/>
                <w:lang w:val="sr-Latn-ME"/>
              </w:rPr>
            </w:pPr>
            <w:r w:rsidRPr="00372A08">
              <w:rPr>
                <w:rFonts w:cstheme="minorHAnsi"/>
                <w:bCs/>
                <w:sz w:val="20"/>
                <w:szCs w:val="20"/>
                <w:lang w:val="sr-Latn-ME"/>
              </w:rPr>
              <w:t>Otpad se ne reciklira u dovoljnoj mjeri</w:t>
            </w:r>
          </w:p>
          <w:p w14:paraId="1077A2F7" w14:textId="318E2D2D" w:rsidR="006A65DE" w:rsidRPr="00372A08" w:rsidRDefault="00372A08" w:rsidP="00372A08">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theme="minorHAnsi"/>
                <w:b/>
                <w:sz w:val="20"/>
                <w:szCs w:val="20"/>
                <w:lang w:val="sr-Latn-ME"/>
              </w:rPr>
            </w:pPr>
            <w:r w:rsidRPr="00372A08">
              <w:rPr>
                <w:rFonts w:cstheme="minorHAnsi"/>
                <w:bCs/>
                <w:sz w:val="20"/>
                <w:szCs w:val="20"/>
                <w:lang w:val="sr-Latn-ME"/>
              </w:rPr>
              <w:t>Izloženost klimatskim promjenama velika, sa značajnim posljedicama po ekonomiju</w:t>
            </w:r>
          </w:p>
        </w:tc>
      </w:tr>
    </w:tbl>
    <w:p w14:paraId="5ACEB03F" w14:textId="77777777" w:rsidR="005A5C62" w:rsidRDefault="005A5C62" w:rsidP="00867AF6">
      <w:pPr>
        <w:rPr>
          <w:rFonts w:eastAsia="Calibri" w:cstheme="minorHAnsi"/>
          <w:b/>
          <w:bCs/>
          <w:color w:val="0070C0"/>
          <w:kern w:val="0"/>
          <w:lang w:val="sr-Latn-ME"/>
          <w14:ligatures w14:val="none"/>
        </w:rPr>
      </w:pPr>
    </w:p>
    <w:p w14:paraId="0645A05B" w14:textId="7BF77371" w:rsidR="00C379A9" w:rsidRDefault="00A03DDB" w:rsidP="0042027A">
      <w:pPr>
        <w:pStyle w:val="Heading2"/>
        <w:rPr>
          <w:rFonts w:eastAsia="Calibri"/>
          <w:lang w:val="sr-Latn-ME"/>
        </w:rPr>
      </w:pPr>
      <w:bookmarkStart w:id="31" w:name="_Toc147990152"/>
      <w:r w:rsidRPr="00F42C15">
        <w:rPr>
          <w:rFonts w:eastAsia="Calibri"/>
          <w:lang w:val="sr-Latn-ME"/>
        </w:rPr>
        <w:t>2.</w:t>
      </w:r>
      <w:r w:rsidR="00F42C15">
        <w:rPr>
          <w:rFonts w:eastAsia="Calibri"/>
          <w:lang w:val="sr-Latn-ME"/>
        </w:rPr>
        <w:t>7</w:t>
      </w:r>
      <w:r w:rsidRPr="00F42C15">
        <w:rPr>
          <w:rFonts w:eastAsia="Calibri"/>
          <w:lang w:val="sr-Latn-ME"/>
        </w:rPr>
        <w:t xml:space="preserve">. </w:t>
      </w:r>
      <w:r w:rsidR="00C379A9" w:rsidRPr="00F42C15">
        <w:rPr>
          <w:rFonts w:eastAsia="Calibri"/>
          <w:lang w:val="sr-Latn-ME"/>
        </w:rPr>
        <w:t>SWOT analiza</w:t>
      </w:r>
      <w:bookmarkEnd w:id="31"/>
    </w:p>
    <w:p w14:paraId="57FFBC27" w14:textId="77777777" w:rsidR="005A5C62" w:rsidRPr="005A5C62" w:rsidRDefault="005A5C62" w:rsidP="005A5C62">
      <w:pPr>
        <w:rPr>
          <w:lang w:val="sr-Latn-ME"/>
        </w:rPr>
      </w:pPr>
    </w:p>
    <w:p w14:paraId="7ED8F697" w14:textId="10378E6B" w:rsidR="003F374E" w:rsidRDefault="003F374E" w:rsidP="003F374E">
      <w:pPr>
        <w:spacing w:after="0" w:line="240" w:lineRule="auto"/>
        <w:jc w:val="both"/>
        <w:rPr>
          <w:rFonts w:eastAsia="Calibri" w:cstheme="minorHAnsi"/>
          <w:kern w:val="0"/>
          <w:sz w:val="24"/>
          <w:szCs w:val="24"/>
          <w:lang w:val="sr-Latn-ME"/>
          <w14:ligatures w14:val="none"/>
        </w:rPr>
      </w:pPr>
      <w:r w:rsidRPr="00482B3D">
        <w:rPr>
          <w:rFonts w:eastAsia="Calibri" w:cstheme="minorHAnsi"/>
          <w:kern w:val="0"/>
          <w:sz w:val="24"/>
          <w:szCs w:val="24"/>
          <w:lang w:val="sr-Latn-ME"/>
          <w14:ligatures w14:val="none"/>
        </w:rPr>
        <w:t>Kroz SWOT analizu kombinuju se eksterni i interni elementi koji treba da pokažu snage i slabosti, za kreiranje i sprovodjenje Programa, kao i moguće opasnosti za implementaciju. Ovaj analitički metod fokusira se na četiri elementa i to: snage, slabosti, šanse i prijetnje</w:t>
      </w:r>
      <w:r w:rsidR="00482B3D" w:rsidRPr="00482B3D">
        <w:rPr>
          <w:rFonts w:eastAsia="Calibri" w:cstheme="minorHAnsi"/>
          <w:kern w:val="0"/>
          <w:sz w:val="24"/>
          <w:szCs w:val="24"/>
          <w:lang w:val="sr-Latn-ME"/>
          <w14:ligatures w14:val="none"/>
        </w:rPr>
        <w:t xml:space="preserve"> </w:t>
      </w:r>
      <w:r w:rsidRPr="00482B3D">
        <w:rPr>
          <w:rFonts w:eastAsia="Calibri" w:cstheme="minorHAnsi"/>
          <w:kern w:val="0"/>
          <w:sz w:val="24"/>
          <w:szCs w:val="24"/>
          <w:lang w:val="sr-Latn-ME"/>
          <w14:ligatures w14:val="none"/>
        </w:rPr>
        <w:t xml:space="preserve">(opasnosti). Cilj je da se nakon identifikacije ovih elementata maksimalno iskoriste snage i šanse, a sa druge strane nastoje minimizirati slabosti i opasnosti za relizaciju zacrtanih ciljeva. </w:t>
      </w:r>
    </w:p>
    <w:p w14:paraId="652FF27A" w14:textId="77777777" w:rsidR="005A5C62" w:rsidRDefault="005A5C62" w:rsidP="003F374E">
      <w:pPr>
        <w:spacing w:after="0" w:line="240" w:lineRule="auto"/>
        <w:jc w:val="both"/>
        <w:rPr>
          <w:rFonts w:eastAsia="Calibri" w:cstheme="minorHAnsi"/>
          <w:kern w:val="0"/>
          <w:sz w:val="24"/>
          <w:szCs w:val="24"/>
          <w:lang w:val="sr-Latn-ME"/>
          <w14:ligatures w14:val="none"/>
        </w:rPr>
      </w:pPr>
    </w:p>
    <w:p w14:paraId="3AA845EC" w14:textId="77777777" w:rsidR="00B67D63" w:rsidRDefault="00B67D63" w:rsidP="003F374E">
      <w:pPr>
        <w:spacing w:after="0" w:line="240" w:lineRule="auto"/>
        <w:jc w:val="both"/>
        <w:rPr>
          <w:rFonts w:eastAsia="Calibri" w:cstheme="minorHAnsi"/>
          <w:kern w:val="0"/>
          <w:sz w:val="24"/>
          <w:szCs w:val="24"/>
          <w:lang w:val="sr-Latn-ME"/>
          <w14:ligatures w14:val="none"/>
        </w:rPr>
      </w:pPr>
    </w:p>
    <w:p w14:paraId="17C60D3D" w14:textId="77777777" w:rsidR="00B67D63" w:rsidRDefault="00B67D63" w:rsidP="003F374E">
      <w:pPr>
        <w:spacing w:after="0" w:line="240" w:lineRule="auto"/>
        <w:jc w:val="both"/>
        <w:rPr>
          <w:rFonts w:eastAsia="Calibri" w:cstheme="minorHAnsi"/>
          <w:kern w:val="0"/>
          <w:sz w:val="24"/>
          <w:szCs w:val="24"/>
          <w:lang w:val="sr-Latn-ME"/>
          <w14:ligatures w14:val="none"/>
        </w:rPr>
      </w:pPr>
    </w:p>
    <w:p w14:paraId="36F3B840" w14:textId="77777777" w:rsidR="00B67D63" w:rsidRDefault="00B67D63" w:rsidP="003F374E">
      <w:pPr>
        <w:spacing w:after="0" w:line="240" w:lineRule="auto"/>
        <w:jc w:val="both"/>
        <w:rPr>
          <w:rFonts w:eastAsia="Calibri" w:cstheme="minorHAnsi"/>
          <w:kern w:val="0"/>
          <w:sz w:val="24"/>
          <w:szCs w:val="24"/>
          <w:lang w:val="sr-Latn-ME"/>
          <w14:ligatures w14:val="none"/>
        </w:rPr>
      </w:pPr>
    </w:p>
    <w:p w14:paraId="0F828FBC" w14:textId="77777777" w:rsidR="00B67D63" w:rsidRDefault="00B67D63" w:rsidP="003F374E">
      <w:pPr>
        <w:spacing w:after="0" w:line="240" w:lineRule="auto"/>
        <w:jc w:val="both"/>
        <w:rPr>
          <w:rFonts w:eastAsia="Calibri" w:cstheme="minorHAnsi"/>
          <w:kern w:val="0"/>
          <w:sz w:val="24"/>
          <w:szCs w:val="24"/>
          <w:lang w:val="sr-Latn-ME"/>
          <w14:ligatures w14:val="none"/>
        </w:rPr>
      </w:pPr>
    </w:p>
    <w:p w14:paraId="5D27CF1F" w14:textId="77777777" w:rsidR="00B67D63" w:rsidRDefault="00B67D63" w:rsidP="003F374E">
      <w:pPr>
        <w:spacing w:after="0" w:line="240" w:lineRule="auto"/>
        <w:jc w:val="both"/>
        <w:rPr>
          <w:rFonts w:eastAsia="Calibri" w:cstheme="minorHAnsi"/>
          <w:kern w:val="0"/>
          <w:sz w:val="24"/>
          <w:szCs w:val="24"/>
          <w:lang w:val="sr-Latn-ME"/>
          <w14:ligatures w14:val="none"/>
        </w:rPr>
      </w:pPr>
    </w:p>
    <w:p w14:paraId="110BB221" w14:textId="5655AE79" w:rsidR="003F374E" w:rsidRPr="00C379A9" w:rsidRDefault="003F374E" w:rsidP="003F374E">
      <w:pPr>
        <w:spacing w:after="0" w:line="240" w:lineRule="auto"/>
        <w:jc w:val="both"/>
        <w:rPr>
          <w:rFonts w:eastAsia="Calibri" w:cstheme="minorHAnsi"/>
          <w:kern w:val="0"/>
          <w:lang w:val="sr-Latn-ME"/>
          <w14:ligatures w14:val="none"/>
        </w:rPr>
      </w:pPr>
    </w:p>
    <w:tbl>
      <w:tblPr>
        <w:tblStyle w:val="GridTable4-Accent1"/>
        <w:tblW w:w="9535" w:type="dxa"/>
        <w:tblLook w:val="04A0" w:firstRow="1" w:lastRow="0" w:firstColumn="1" w:lastColumn="0" w:noHBand="0" w:noVBand="1"/>
      </w:tblPr>
      <w:tblGrid>
        <w:gridCol w:w="5215"/>
        <w:gridCol w:w="4320"/>
      </w:tblGrid>
      <w:tr w:rsidR="003F374E" w:rsidRPr="006A65DE" w14:paraId="1475590E" w14:textId="77777777" w:rsidTr="0048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hideMark/>
          </w:tcPr>
          <w:p w14:paraId="08BD60C7" w14:textId="77777777" w:rsidR="003F374E" w:rsidRPr="006A65DE" w:rsidRDefault="003F374E" w:rsidP="003F374E">
            <w:pPr>
              <w:jc w:val="center"/>
              <w:rPr>
                <w:rFonts w:cstheme="minorHAnsi"/>
                <w:b w:val="0"/>
                <w:sz w:val="20"/>
                <w:szCs w:val="20"/>
                <w:lang w:val="sr-Latn-ME"/>
              </w:rPr>
            </w:pPr>
            <w:r w:rsidRPr="006A65DE">
              <w:rPr>
                <w:rFonts w:cstheme="minorHAnsi"/>
                <w:sz w:val="20"/>
                <w:szCs w:val="20"/>
                <w:lang w:val="sr-Latn-ME"/>
              </w:rPr>
              <w:lastRenderedPageBreak/>
              <w:t>SNAGE</w:t>
            </w:r>
          </w:p>
        </w:tc>
        <w:tc>
          <w:tcPr>
            <w:tcW w:w="4320" w:type="dxa"/>
            <w:hideMark/>
          </w:tcPr>
          <w:p w14:paraId="64365C07" w14:textId="77777777" w:rsidR="003F374E" w:rsidRPr="006A65DE" w:rsidRDefault="003F374E" w:rsidP="003F374E">
            <w:pPr>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Latn-ME"/>
              </w:rPr>
            </w:pPr>
            <w:r w:rsidRPr="006A65DE">
              <w:rPr>
                <w:rFonts w:cstheme="minorHAnsi"/>
                <w:sz w:val="20"/>
                <w:szCs w:val="20"/>
                <w:lang w:val="sr-Latn-ME"/>
              </w:rPr>
              <w:t>SLABOSTI</w:t>
            </w:r>
          </w:p>
        </w:tc>
      </w:tr>
      <w:tr w:rsidR="003F374E" w:rsidRPr="00391D03" w14:paraId="53FC5043" w14:textId="77777777" w:rsidTr="0048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74E61FC3" w14:textId="77777777" w:rsidR="003F374E" w:rsidRPr="00215261" w:rsidRDefault="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Članica NATO-a</w:t>
            </w:r>
          </w:p>
          <w:p w14:paraId="3B5D6617" w14:textId="77777777" w:rsidR="003F374E" w:rsidRPr="00215261" w:rsidRDefault="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 xml:space="preserve">Status kandidata za članstvo u EU </w:t>
            </w:r>
          </w:p>
          <w:p w14:paraId="092249B7" w14:textId="77777777" w:rsidR="003F374E" w:rsidRPr="00215261" w:rsidRDefault="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 xml:space="preserve">Euro kao sredstvo plaćanja </w:t>
            </w:r>
          </w:p>
          <w:p w14:paraId="03729E4B" w14:textId="77777777" w:rsidR="003F374E" w:rsidRPr="00215261" w:rsidRDefault="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 xml:space="preserve">Rast BDPa </w:t>
            </w:r>
          </w:p>
          <w:p w14:paraId="44B0FA57" w14:textId="77777777" w:rsidR="003F374E" w:rsidRPr="00215261" w:rsidRDefault="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 xml:space="preserve">Likvidan i solventan bankarski sistem </w:t>
            </w:r>
          </w:p>
          <w:p w14:paraId="5480ADE0" w14:textId="77777777" w:rsidR="003F374E" w:rsidRPr="00215261" w:rsidRDefault="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Niske carinske stope</w:t>
            </w:r>
          </w:p>
          <w:p w14:paraId="224C3259" w14:textId="17B64F5A" w:rsidR="003F374E" w:rsidRPr="00372A08" w:rsidRDefault="003F374E" w:rsidP="003F374E">
            <w:pPr>
              <w:numPr>
                <w:ilvl w:val="0"/>
                <w:numId w:val="7"/>
              </w:numPr>
              <w:contextualSpacing/>
              <w:rPr>
                <w:rFonts w:cstheme="minorHAnsi"/>
                <w:b w:val="0"/>
                <w:bCs w:val="0"/>
                <w:sz w:val="20"/>
                <w:szCs w:val="20"/>
                <w:lang w:val="sr-Latn-ME"/>
              </w:rPr>
            </w:pPr>
            <w:r w:rsidRPr="00215261">
              <w:rPr>
                <w:rFonts w:cstheme="minorHAnsi"/>
                <w:b w:val="0"/>
                <w:bCs w:val="0"/>
                <w:sz w:val="20"/>
                <w:szCs w:val="20"/>
                <w:lang w:val="sr-Latn-ME"/>
              </w:rPr>
              <w:t>Relativno niske poreske stope</w:t>
            </w:r>
          </w:p>
          <w:p w14:paraId="554CFE8C" w14:textId="77777777" w:rsidR="00372A08" w:rsidRPr="00372A08" w:rsidRDefault="00372A08" w:rsidP="00372A08">
            <w:pPr>
              <w:numPr>
                <w:ilvl w:val="0"/>
                <w:numId w:val="7"/>
              </w:numPr>
              <w:jc w:val="both"/>
              <w:rPr>
                <w:rFonts w:cstheme="minorHAnsi"/>
                <w:b w:val="0"/>
                <w:bCs w:val="0"/>
                <w:sz w:val="20"/>
                <w:szCs w:val="20"/>
                <w:lang w:val="sr-Latn-ME"/>
              </w:rPr>
            </w:pPr>
            <w:r w:rsidRPr="00372A08">
              <w:rPr>
                <w:rFonts w:cstheme="minorHAnsi"/>
                <w:b w:val="0"/>
                <w:bCs w:val="0"/>
                <w:sz w:val="20"/>
                <w:szCs w:val="20"/>
                <w:lang w:val="hr-HR"/>
              </w:rPr>
              <w:t>Reforma IT sistema UPC</w:t>
            </w:r>
          </w:p>
          <w:p w14:paraId="05CE30A8" w14:textId="77777777" w:rsidR="00372A08" w:rsidRPr="00372A08" w:rsidRDefault="00372A08" w:rsidP="00372A08">
            <w:pPr>
              <w:numPr>
                <w:ilvl w:val="0"/>
                <w:numId w:val="7"/>
              </w:numPr>
              <w:jc w:val="both"/>
              <w:rPr>
                <w:rFonts w:cstheme="minorHAnsi"/>
                <w:b w:val="0"/>
                <w:bCs w:val="0"/>
                <w:sz w:val="20"/>
                <w:szCs w:val="20"/>
                <w:lang w:val="sr-Latn-ME"/>
              </w:rPr>
            </w:pPr>
            <w:r w:rsidRPr="00372A08">
              <w:rPr>
                <w:rFonts w:cstheme="minorHAnsi"/>
                <w:b w:val="0"/>
                <w:bCs w:val="0"/>
                <w:sz w:val="20"/>
                <w:szCs w:val="20"/>
                <w:lang w:val="hr-HR"/>
              </w:rPr>
              <w:t>Postojanje objedinjenog inspekcijskog organa</w:t>
            </w:r>
          </w:p>
          <w:p w14:paraId="6034567F" w14:textId="77777777" w:rsidR="003F374E" w:rsidRPr="006A65DE" w:rsidRDefault="003F374E" w:rsidP="003F374E">
            <w:pPr>
              <w:jc w:val="both"/>
              <w:rPr>
                <w:rFonts w:cstheme="minorHAnsi"/>
                <w:sz w:val="20"/>
                <w:szCs w:val="20"/>
                <w:lang w:val="sr-Latn-ME"/>
              </w:rPr>
            </w:pPr>
          </w:p>
        </w:tc>
        <w:tc>
          <w:tcPr>
            <w:tcW w:w="4320" w:type="dxa"/>
          </w:tcPr>
          <w:p w14:paraId="0447F554"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Politička nestabilnost </w:t>
            </w:r>
          </w:p>
          <w:p w14:paraId="579B4BF7"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Nema streškog dokumenta u oblasti suzbijanja neformalne ekonomije</w:t>
            </w:r>
          </w:p>
          <w:p w14:paraId="7BBE2243"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Nedostatak administrativnih kapaciteta</w:t>
            </w:r>
          </w:p>
          <w:p w14:paraId="483554E2"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Nedovoljno povjerenje u rad državnih organa </w:t>
            </w:r>
          </w:p>
          <w:p w14:paraId="41063559"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Korupcija</w:t>
            </w:r>
          </w:p>
          <w:p w14:paraId="2639699B"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Veliki broj neregistrovanih privrednih aktivnosti </w:t>
            </w:r>
          </w:p>
          <w:p w14:paraId="039523B9"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Ranjiva državna IT infrastruktura</w:t>
            </w:r>
          </w:p>
          <w:p w14:paraId="0B881D78"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Nelikvidnost realnog sektora </w:t>
            </w:r>
          </w:p>
          <w:p w14:paraId="7FDF2CFA"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Visoka stopa inflacije</w:t>
            </w:r>
          </w:p>
          <w:p w14:paraId="2FCD6F5A"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Visoka stopa nezaposlenosti</w:t>
            </w:r>
          </w:p>
          <w:p w14:paraId="7735A556"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p w14:paraId="6014C5AF"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Nepovoljni demografski trendovi</w:t>
            </w:r>
          </w:p>
          <w:p w14:paraId="17F0A4B7"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Rast kamatnih stopa </w:t>
            </w:r>
          </w:p>
          <w:p w14:paraId="05EBC7AB"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Neravnomjeran regionalni razvoj</w:t>
            </w:r>
          </w:p>
          <w:p w14:paraId="41578DAA"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Nefleksibilno tržište rada </w:t>
            </w:r>
          </w:p>
          <w:p w14:paraId="56E2827B"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Trgovinski deficit </w:t>
            </w:r>
          </w:p>
          <w:p w14:paraId="4AB48CB6"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 xml:space="preserve">Visok nivo javnog duga </w:t>
            </w:r>
          </w:p>
          <w:p w14:paraId="0B870EC4"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Loša infrastruktura u ruralnim područjima</w:t>
            </w:r>
          </w:p>
          <w:p w14:paraId="574E3737" w14:textId="77777777" w:rsidR="00372A08" w:rsidRPr="00372A08" w:rsidRDefault="00372A08"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372A08">
              <w:rPr>
                <w:rFonts w:cstheme="minorHAnsi"/>
                <w:sz w:val="20"/>
                <w:szCs w:val="20"/>
                <w:lang w:val="sr-Latn-ME"/>
              </w:rPr>
              <w:t>Kultura plaćanja (nedostatak javne svijesti)</w:t>
            </w:r>
          </w:p>
          <w:p w14:paraId="1817614C" w14:textId="77777777" w:rsidR="003F374E" w:rsidRPr="006A65DE" w:rsidRDefault="003F374E" w:rsidP="00372A0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tc>
      </w:tr>
      <w:tr w:rsidR="00215261" w:rsidRPr="00215261" w14:paraId="49BA15B0" w14:textId="77777777" w:rsidTr="00482B3D">
        <w:tc>
          <w:tcPr>
            <w:cnfStyle w:val="001000000000" w:firstRow="0" w:lastRow="0" w:firstColumn="1" w:lastColumn="0" w:oddVBand="0" w:evenVBand="0" w:oddHBand="0" w:evenHBand="0" w:firstRowFirstColumn="0" w:firstRowLastColumn="0" w:lastRowFirstColumn="0" w:lastRowLastColumn="0"/>
            <w:tcW w:w="5215" w:type="dxa"/>
            <w:shd w:val="clear" w:color="auto" w:fill="4472C4" w:themeFill="accent1"/>
            <w:hideMark/>
          </w:tcPr>
          <w:p w14:paraId="11A00843" w14:textId="77777777" w:rsidR="003F374E" w:rsidRPr="00215261" w:rsidRDefault="003F374E" w:rsidP="003F374E">
            <w:pPr>
              <w:jc w:val="center"/>
              <w:rPr>
                <w:rFonts w:cstheme="minorHAnsi"/>
                <w:b w:val="0"/>
                <w:color w:val="FFFFFF" w:themeColor="background1"/>
                <w:sz w:val="20"/>
                <w:szCs w:val="20"/>
                <w:lang w:val="sr-Latn-ME"/>
              </w:rPr>
            </w:pPr>
            <w:r w:rsidRPr="00215261">
              <w:rPr>
                <w:rFonts w:cstheme="minorHAnsi"/>
                <w:color w:val="FFFFFF" w:themeColor="background1"/>
                <w:sz w:val="20"/>
                <w:szCs w:val="20"/>
                <w:lang w:val="sr-Latn-ME"/>
              </w:rPr>
              <w:t>ŠANSE</w:t>
            </w:r>
          </w:p>
        </w:tc>
        <w:tc>
          <w:tcPr>
            <w:tcW w:w="4320" w:type="dxa"/>
            <w:shd w:val="clear" w:color="auto" w:fill="4472C4" w:themeFill="accent1"/>
            <w:hideMark/>
          </w:tcPr>
          <w:p w14:paraId="4369B7B9" w14:textId="77777777" w:rsidR="003F374E" w:rsidRPr="00215261" w:rsidRDefault="003F374E" w:rsidP="003F374E">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20"/>
                <w:szCs w:val="20"/>
                <w:lang w:val="sr-Latn-ME"/>
              </w:rPr>
            </w:pPr>
            <w:r w:rsidRPr="00215261">
              <w:rPr>
                <w:rFonts w:cstheme="minorHAnsi"/>
                <w:b/>
                <w:color w:val="FFFFFF" w:themeColor="background1"/>
                <w:sz w:val="20"/>
                <w:szCs w:val="20"/>
                <w:lang w:val="sr-Latn-ME"/>
              </w:rPr>
              <w:t>PRIJETNJE</w:t>
            </w:r>
          </w:p>
        </w:tc>
      </w:tr>
      <w:tr w:rsidR="003F374E" w:rsidRPr="006A65DE" w14:paraId="16009D75" w14:textId="77777777" w:rsidTr="0048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EC6C15E"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Rast budžetskih prihoda i pad deficita</w:t>
            </w:r>
          </w:p>
          <w:p w14:paraId="59F52C9B"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Dostupnost međunarodne finansijske podrške</w:t>
            </w:r>
          </w:p>
          <w:p w14:paraId="2DBD2115"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EK dala obavezu i podršku za rješavanje problema neformalne ekonomije</w:t>
            </w:r>
          </w:p>
          <w:p w14:paraId="4BAAF640"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Trend pada neformalne ekonomije</w:t>
            </w:r>
          </w:p>
          <w:p w14:paraId="78B5C3FF"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Ubrzanje procesa članstva u EU</w:t>
            </w:r>
          </w:p>
          <w:p w14:paraId="702D0A2A"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 xml:space="preserve">Naplata poreskog duga </w:t>
            </w:r>
          </w:p>
          <w:p w14:paraId="1760A0DC" w14:textId="46E0C138"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 xml:space="preserve">Rast SDI </w:t>
            </w:r>
            <w:r w:rsidR="003A5156">
              <w:rPr>
                <w:rFonts w:cstheme="minorHAnsi"/>
                <w:b w:val="0"/>
                <w:bCs w:val="0"/>
                <w:sz w:val="20"/>
                <w:szCs w:val="20"/>
                <w:lang w:val="sr-Latn-ME"/>
              </w:rPr>
              <w:t>do 2023.</w:t>
            </w:r>
          </w:p>
          <w:p w14:paraId="7107D283"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Realizacija kapitalnih projekata</w:t>
            </w:r>
          </w:p>
          <w:p w14:paraId="5423ED71"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 xml:space="preserve">Povećanje dostupnosti sredstava za start-up </w:t>
            </w:r>
          </w:p>
          <w:p w14:paraId="0158D9A7"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Bolja iskorišćenost EU fondova i donacija</w:t>
            </w:r>
          </w:p>
          <w:p w14:paraId="48A287BA" w14:textId="77777777" w:rsidR="00372A08" w:rsidRPr="0099562E" w:rsidRDefault="00372A08" w:rsidP="00372A08">
            <w:pPr>
              <w:numPr>
                <w:ilvl w:val="0"/>
                <w:numId w:val="9"/>
              </w:numPr>
              <w:contextualSpacing/>
              <w:rPr>
                <w:rFonts w:cstheme="minorHAnsi"/>
                <w:b w:val="0"/>
                <w:bCs w:val="0"/>
                <w:sz w:val="20"/>
                <w:szCs w:val="20"/>
                <w:lang w:val="sr-Latn-ME"/>
              </w:rPr>
            </w:pPr>
            <w:r w:rsidRPr="0099562E">
              <w:rPr>
                <w:rFonts w:cstheme="minorHAnsi"/>
                <w:b w:val="0"/>
                <w:bCs w:val="0"/>
                <w:sz w:val="20"/>
                <w:szCs w:val="20"/>
                <w:lang w:val="sr-Latn-ME"/>
              </w:rPr>
              <w:t xml:space="preserve">Brži tehnološki razvoj </w:t>
            </w:r>
          </w:p>
          <w:p w14:paraId="0D5EBF21" w14:textId="77777777" w:rsidR="003F374E" w:rsidRPr="006A65DE" w:rsidRDefault="003F374E" w:rsidP="00372A08">
            <w:pPr>
              <w:numPr>
                <w:ilvl w:val="0"/>
                <w:numId w:val="9"/>
              </w:numPr>
              <w:contextualSpacing/>
              <w:rPr>
                <w:rFonts w:cstheme="minorHAnsi"/>
                <w:sz w:val="20"/>
                <w:szCs w:val="20"/>
                <w:lang w:val="sr-Latn-ME"/>
              </w:rPr>
            </w:pPr>
          </w:p>
        </w:tc>
        <w:tc>
          <w:tcPr>
            <w:tcW w:w="4320" w:type="dxa"/>
          </w:tcPr>
          <w:p w14:paraId="79DAE140" w14:textId="4FC6C4DA" w:rsidR="004E2F2C" w:rsidRDefault="0099562E"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Pr>
                <w:rFonts w:cstheme="minorHAnsi"/>
                <w:sz w:val="20"/>
                <w:szCs w:val="20"/>
                <w:lang w:val="sr-Latn-ME"/>
              </w:rPr>
              <w:t xml:space="preserve">Posljedice </w:t>
            </w:r>
            <w:r w:rsidR="004E2F2C">
              <w:rPr>
                <w:rFonts w:cstheme="minorHAnsi"/>
                <w:sz w:val="20"/>
                <w:szCs w:val="20"/>
                <w:lang w:val="sr-Latn-ME"/>
              </w:rPr>
              <w:t>COVID pandemij</w:t>
            </w:r>
            <w:r>
              <w:rPr>
                <w:rFonts w:cstheme="minorHAnsi"/>
                <w:sz w:val="20"/>
                <w:szCs w:val="20"/>
                <w:lang w:val="sr-Latn-ME"/>
              </w:rPr>
              <w:t>e</w:t>
            </w:r>
          </w:p>
          <w:p w14:paraId="5D004B62" w14:textId="77777777" w:rsidR="004E2F2C" w:rsidRPr="006A65DE"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Pr>
                <w:rFonts w:cstheme="minorHAnsi"/>
                <w:sz w:val="20"/>
                <w:szCs w:val="20"/>
                <w:lang w:val="sr-Latn-ME"/>
              </w:rPr>
              <w:t>Potencijalni cyber napadi na državnu IT infrastrukturu</w:t>
            </w:r>
          </w:p>
          <w:p w14:paraId="6F58E79C" w14:textId="77777777" w:rsidR="004E2F2C" w:rsidRPr="006A65DE"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6A65DE">
              <w:rPr>
                <w:rFonts w:cstheme="minorHAnsi"/>
                <w:sz w:val="20"/>
                <w:szCs w:val="20"/>
                <w:lang w:val="sr-Latn-ME"/>
              </w:rPr>
              <w:t>Geopolitička nestabilnost</w:t>
            </w:r>
          </w:p>
          <w:p w14:paraId="40BA32EC" w14:textId="77777777" w:rsidR="004E2F2C" w:rsidRPr="006A65DE"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6A65DE">
              <w:rPr>
                <w:rFonts w:cstheme="minorHAnsi"/>
                <w:sz w:val="20"/>
                <w:szCs w:val="20"/>
                <w:lang w:val="sr-Latn-ME"/>
              </w:rPr>
              <w:t xml:space="preserve">Fiskalna (ne)održivost </w:t>
            </w:r>
          </w:p>
          <w:p w14:paraId="42406D43" w14:textId="77777777" w:rsidR="004E2F2C" w:rsidRPr="006A65DE"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6A65DE">
              <w:rPr>
                <w:rFonts w:cstheme="minorHAnsi"/>
                <w:sz w:val="20"/>
                <w:szCs w:val="20"/>
                <w:lang w:val="sr-Latn-ME"/>
              </w:rPr>
              <w:t xml:space="preserve">Prolongiranje članstva u EU </w:t>
            </w:r>
          </w:p>
          <w:p w14:paraId="3CAC81E6" w14:textId="77777777" w:rsidR="004E2F2C" w:rsidRPr="006A65DE"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6A65DE">
              <w:rPr>
                <w:rFonts w:cstheme="minorHAnsi"/>
                <w:sz w:val="20"/>
                <w:szCs w:val="20"/>
                <w:lang w:val="sr-Latn-ME"/>
              </w:rPr>
              <w:t>Rast inflacije u zemlji i inostranstvu</w:t>
            </w:r>
          </w:p>
          <w:p w14:paraId="4053DB1A" w14:textId="57CDD697" w:rsidR="004E2F2C" w:rsidRPr="004E2F2C"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6A65DE">
              <w:rPr>
                <w:rFonts w:cstheme="minorHAnsi"/>
                <w:sz w:val="20"/>
                <w:szCs w:val="20"/>
                <w:lang w:val="sr-Latn-ME"/>
              </w:rPr>
              <w:t xml:space="preserve">Rast kamatnih stopa </w:t>
            </w:r>
          </w:p>
          <w:p w14:paraId="6C095A45" w14:textId="65AED263" w:rsidR="004E2F2C" w:rsidRDefault="004E2F2C"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sidRPr="006A65DE">
              <w:rPr>
                <w:rFonts w:cstheme="minorHAnsi"/>
                <w:sz w:val="20"/>
                <w:szCs w:val="20"/>
                <w:lang w:val="sr-Latn-ME"/>
              </w:rPr>
              <w:t>Nepovoljan demografski trend</w:t>
            </w:r>
          </w:p>
          <w:p w14:paraId="7ECA1C58" w14:textId="48A1CBF3" w:rsidR="003A5156" w:rsidRPr="006A65DE" w:rsidRDefault="003A5156" w:rsidP="004E2F2C">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r>
              <w:rPr>
                <w:rFonts w:cstheme="minorHAnsi"/>
                <w:sz w:val="20"/>
                <w:szCs w:val="20"/>
                <w:lang w:val="sr-Latn-ME"/>
              </w:rPr>
              <w:t>Pad SDI u 2023.</w:t>
            </w:r>
          </w:p>
          <w:p w14:paraId="64D68D89" w14:textId="77777777" w:rsidR="003F374E" w:rsidRPr="006A65DE" w:rsidRDefault="003F374E" w:rsidP="004E2F2C">
            <w:pPr>
              <w:ind w:left="720"/>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lang w:val="sr-Latn-ME"/>
              </w:rPr>
            </w:pPr>
          </w:p>
        </w:tc>
      </w:tr>
    </w:tbl>
    <w:p w14:paraId="21846E6D" w14:textId="77777777" w:rsidR="006A65DE" w:rsidRDefault="006A65DE" w:rsidP="003F374E">
      <w:pPr>
        <w:spacing w:after="0" w:line="240" w:lineRule="auto"/>
        <w:jc w:val="both"/>
        <w:rPr>
          <w:rFonts w:eastAsia="Calibri" w:cstheme="minorHAnsi"/>
          <w:kern w:val="0"/>
          <w:lang w:val="sr-Latn-ME"/>
          <w14:ligatures w14:val="none"/>
        </w:rPr>
      </w:pPr>
    </w:p>
    <w:p w14:paraId="30A55F6E" w14:textId="21930DC8" w:rsidR="003F374E" w:rsidRDefault="003F374E" w:rsidP="003F374E">
      <w:pPr>
        <w:spacing w:after="0" w:line="240" w:lineRule="auto"/>
        <w:jc w:val="both"/>
        <w:rPr>
          <w:rFonts w:eastAsia="Calibri" w:cstheme="minorHAnsi"/>
          <w:kern w:val="0"/>
          <w:sz w:val="24"/>
          <w:szCs w:val="24"/>
          <w:lang w:val="sr-Latn-ME"/>
          <w14:ligatures w14:val="none"/>
        </w:rPr>
      </w:pPr>
      <w:r w:rsidRPr="00CF369D">
        <w:rPr>
          <w:rFonts w:eastAsia="Calibri" w:cstheme="minorHAnsi"/>
          <w:kern w:val="0"/>
          <w:sz w:val="24"/>
          <w:szCs w:val="24"/>
          <w:lang w:val="sr-Latn-ME"/>
          <w14:ligatures w14:val="none"/>
        </w:rPr>
        <w:t xml:space="preserve">Definisani ciljevi Programa će se fokusirati na maksimalno istorišćavanje snaga i prednosti za kreiranje i implementaciju Programa,  i nastojati da se minimiziraju prepoznate prijetnje i opasnosti. </w:t>
      </w:r>
    </w:p>
    <w:p w14:paraId="4A98F956" w14:textId="77777777" w:rsidR="001D0030" w:rsidRDefault="001D0030" w:rsidP="003F374E">
      <w:pPr>
        <w:spacing w:after="0" w:line="240" w:lineRule="auto"/>
        <w:jc w:val="both"/>
        <w:rPr>
          <w:rFonts w:eastAsia="Calibri" w:cstheme="minorHAnsi"/>
          <w:kern w:val="0"/>
          <w:sz w:val="24"/>
          <w:szCs w:val="24"/>
          <w:lang w:val="sr-Latn-ME"/>
          <w14:ligatures w14:val="none"/>
        </w:rPr>
      </w:pPr>
    </w:p>
    <w:p w14:paraId="25E7D720" w14:textId="77777777" w:rsidR="00B67D63" w:rsidRDefault="00B67D63" w:rsidP="003F374E">
      <w:pPr>
        <w:spacing w:after="0" w:line="240" w:lineRule="auto"/>
        <w:jc w:val="both"/>
        <w:rPr>
          <w:rFonts w:eastAsia="Calibri" w:cstheme="minorHAnsi"/>
          <w:kern w:val="0"/>
          <w:sz w:val="24"/>
          <w:szCs w:val="24"/>
          <w:lang w:val="sr-Latn-ME"/>
          <w14:ligatures w14:val="none"/>
        </w:rPr>
      </w:pPr>
    </w:p>
    <w:p w14:paraId="1581B625" w14:textId="77777777" w:rsidR="00B67D63" w:rsidRPr="00CF369D" w:rsidRDefault="00B67D63" w:rsidP="003F374E">
      <w:pPr>
        <w:spacing w:after="0" w:line="240" w:lineRule="auto"/>
        <w:jc w:val="both"/>
        <w:rPr>
          <w:rFonts w:eastAsia="Calibri" w:cstheme="minorHAnsi"/>
          <w:kern w:val="0"/>
          <w:sz w:val="24"/>
          <w:szCs w:val="24"/>
          <w:lang w:val="sr-Latn-ME"/>
          <w14:ligatures w14:val="none"/>
        </w:rPr>
      </w:pPr>
    </w:p>
    <w:p w14:paraId="6ECBC61A" w14:textId="77777777" w:rsidR="005A5C62" w:rsidRPr="00021CDC" w:rsidRDefault="005A5C62">
      <w:pPr>
        <w:rPr>
          <w:lang w:val="pl-PL"/>
        </w:rPr>
      </w:pPr>
    </w:p>
    <w:p w14:paraId="399D20D2" w14:textId="01519D6C" w:rsidR="00C379A9" w:rsidRDefault="00C379A9" w:rsidP="00405577">
      <w:pPr>
        <w:pStyle w:val="Heading1"/>
        <w:numPr>
          <w:ilvl w:val="0"/>
          <w:numId w:val="12"/>
        </w:numPr>
        <w:rPr>
          <w:lang w:val="pl-PL"/>
        </w:rPr>
      </w:pPr>
      <w:bookmarkStart w:id="32" w:name="_Toc147990153"/>
      <w:r w:rsidRPr="00021CDC">
        <w:rPr>
          <w:lang w:val="pl-PL"/>
        </w:rPr>
        <w:lastRenderedPageBreak/>
        <w:t>CILJEVI PROGRAMA I PRATEĆI INDIKATORI UČINKA</w:t>
      </w:r>
      <w:bookmarkEnd w:id="32"/>
    </w:p>
    <w:p w14:paraId="19B05CDB" w14:textId="77777777" w:rsidR="009E0E77" w:rsidRPr="009E0E77" w:rsidRDefault="009E0E77" w:rsidP="009E0E77">
      <w:pPr>
        <w:pStyle w:val="ListParagraph"/>
        <w:rPr>
          <w:lang w:val="pl-PL"/>
        </w:rPr>
      </w:pPr>
    </w:p>
    <w:p w14:paraId="633D4706" w14:textId="59607934" w:rsidR="00B0276B" w:rsidRPr="00021CDC" w:rsidRDefault="00B0276B" w:rsidP="00B0276B">
      <w:pPr>
        <w:jc w:val="both"/>
        <w:rPr>
          <w:sz w:val="24"/>
          <w:szCs w:val="24"/>
          <w:lang w:val="pl-PL"/>
        </w:rPr>
      </w:pPr>
      <w:r w:rsidRPr="00A42DF7">
        <w:rPr>
          <w:sz w:val="24"/>
          <w:szCs w:val="24"/>
          <w:lang w:val="pl-PL"/>
        </w:rPr>
        <w:t xml:space="preserve">Na osnovu analize postojećeg stanja i </w:t>
      </w:r>
      <w:r w:rsidR="007718B8" w:rsidRPr="00A42DF7">
        <w:rPr>
          <w:sz w:val="24"/>
          <w:szCs w:val="24"/>
          <w:lang w:val="pl-PL"/>
        </w:rPr>
        <w:t>utvrđenih ključnih uzroka neforma</w:t>
      </w:r>
      <w:r w:rsidR="007D7009" w:rsidRPr="00A42DF7">
        <w:rPr>
          <w:sz w:val="24"/>
          <w:szCs w:val="24"/>
          <w:lang w:val="pl-PL"/>
        </w:rPr>
        <w:t>l</w:t>
      </w:r>
      <w:r w:rsidR="007718B8" w:rsidRPr="00A42DF7">
        <w:rPr>
          <w:sz w:val="24"/>
          <w:szCs w:val="24"/>
          <w:lang w:val="pl-PL"/>
        </w:rPr>
        <w:t xml:space="preserve">ne ekonomije u Crnoj Gori, </w:t>
      </w:r>
      <w:r w:rsidRPr="00A42DF7">
        <w:rPr>
          <w:sz w:val="24"/>
          <w:szCs w:val="24"/>
          <w:lang w:val="pl-PL"/>
        </w:rPr>
        <w:t xml:space="preserve"> kao i na osnovu šireg strateškog okvira, definisa</w:t>
      </w:r>
      <w:r w:rsidR="007718B8" w:rsidRPr="00A42DF7">
        <w:rPr>
          <w:sz w:val="24"/>
          <w:szCs w:val="24"/>
          <w:lang w:val="pl-PL"/>
        </w:rPr>
        <w:t>ni</w:t>
      </w:r>
      <w:r w:rsidRPr="00A42DF7">
        <w:rPr>
          <w:sz w:val="24"/>
          <w:szCs w:val="24"/>
          <w:lang w:val="pl-PL"/>
        </w:rPr>
        <w:t xml:space="preserve"> s</w:t>
      </w:r>
      <w:r w:rsidR="007718B8" w:rsidRPr="00A42DF7">
        <w:rPr>
          <w:sz w:val="24"/>
          <w:szCs w:val="24"/>
          <w:lang w:val="pl-PL"/>
        </w:rPr>
        <w:t>u</w:t>
      </w:r>
      <w:r w:rsidRPr="00A42DF7">
        <w:rPr>
          <w:sz w:val="24"/>
          <w:szCs w:val="24"/>
          <w:lang w:val="pl-PL"/>
        </w:rPr>
        <w:t xml:space="preserve"> opšti i operativni ciljevi Programa. </w:t>
      </w:r>
      <w:r w:rsidRPr="009D1610">
        <w:rPr>
          <w:sz w:val="24"/>
          <w:szCs w:val="24"/>
          <w:lang w:val="pl-PL"/>
        </w:rPr>
        <w:t>Takođe, elaborira</w:t>
      </w:r>
      <w:r w:rsidR="007718B8" w:rsidRPr="009D1610">
        <w:rPr>
          <w:sz w:val="24"/>
          <w:szCs w:val="24"/>
          <w:lang w:val="pl-PL"/>
        </w:rPr>
        <w:t>na je</w:t>
      </w:r>
      <w:r w:rsidRPr="009D1610">
        <w:rPr>
          <w:sz w:val="24"/>
          <w:szCs w:val="24"/>
          <w:lang w:val="pl-PL"/>
        </w:rPr>
        <w:t xml:space="preserve"> uzročno-posljedična veza kao osnov za definisanje operativnih ciljeva</w:t>
      </w:r>
      <w:r w:rsidR="007718B8" w:rsidRPr="009D1610">
        <w:rPr>
          <w:sz w:val="24"/>
          <w:szCs w:val="24"/>
          <w:lang w:val="pl-PL"/>
        </w:rPr>
        <w:t xml:space="preserve">. </w:t>
      </w:r>
      <w:r w:rsidRPr="009D1610">
        <w:rPr>
          <w:sz w:val="24"/>
          <w:szCs w:val="24"/>
          <w:lang w:val="pl-PL"/>
        </w:rPr>
        <w:t xml:space="preserve"> </w:t>
      </w:r>
      <w:r w:rsidR="003720F0" w:rsidRPr="00CE07A9">
        <w:rPr>
          <w:sz w:val="24"/>
          <w:szCs w:val="24"/>
          <w:lang w:val="pl-PL"/>
        </w:rPr>
        <w:t>Konkretnije, pošlo se od identikfikovanih “problema” odnosno uz</w:t>
      </w:r>
      <w:r w:rsidR="00BB56E8" w:rsidRPr="00CE07A9">
        <w:rPr>
          <w:sz w:val="24"/>
          <w:szCs w:val="24"/>
          <w:lang w:val="pl-PL"/>
        </w:rPr>
        <w:t>ro</w:t>
      </w:r>
      <w:r w:rsidR="003720F0" w:rsidRPr="00CE07A9">
        <w:rPr>
          <w:sz w:val="24"/>
          <w:szCs w:val="24"/>
          <w:lang w:val="pl-PL"/>
        </w:rPr>
        <w:t xml:space="preserve">ka neformalne ekonomije </w:t>
      </w:r>
      <w:r w:rsidR="003F6877" w:rsidRPr="00CE07A9">
        <w:rPr>
          <w:sz w:val="24"/>
          <w:szCs w:val="24"/>
          <w:lang w:val="pl-PL"/>
        </w:rPr>
        <w:t xml:space="preserve">i </w:t>
      </w:r>
      <w:r w:rsidR="003720F0" w:rsidRPr="00CE07A9">
        <w:rPr>
          <w:sz w:val="24"/>
          <w:szCs w:val="24"/>
          <w:lang w:val="pl-PL"/>
        </w:rPr>
        <w:t xml:space="preserve"> definisani</w:t>
      </w:r>
      <w:r w:rsidR="003F6877" w:rsidRPr="00CE07A9">
        <w:rPr>
          <w:sz w:val="24"/>
          <w:szCs w:val="24"/>
          <w:lang w:val="pl-PL"/>
        </w:rPr>
        <w:t xml:space="preserve"> su</w:t>
      </w:r>
      <w:r w:rsidR="003720F0" w:rsidRPr="00CE07A9">
        <w:rPr>
          <w:sz w:val="24"/>
          <w:szCs w:val="24"/>
          <w:lang w:val="pl-PL"/>
        </w:rPr>
        <w:t xml:space="preserve"> ciljevi koji se žele postići njihovim rješavanjem.</w:t>
      </w:r>
      <w:r w:rsidR="003F37B5" w:rsidRPr="00CE07A9">
        <w:rPr>
          <w:sz w:val="24"/>
          <w:szCs w:val="24"/>
          <w:lang w:val="pl-PL"/>
        </w:rPr>
        <w:t xml:space="preserve"> </w:t>
      </w:r>
      <w:r w:rsidR="003F37B5" w:rsidRPr="00021CDC">
        <w:rPr>
          <w:sz w:val="24"/>
          <w:szCs w:val="24"/>
          <w:lang w:val="pl-PL"/>
        </w:rPr>
        <w:t xml:space="preserve">Ona je u skladu </w:t>
      </w:r>
      <w:r w:rsidR="003F6877" w:rsidRPr="00021CDC">
        <w:rPr>
          <w:sz w:val="24"/>
          <w:szCs w:val="24"/>
          <w:lang w:val="pl-PL"/>
        </w:rPr>
        <w:t>i</w:t>
      </w:r>
      <w:r w:rsidR="003F37B5" w:rsidRPr="00021CDC">
        <w:rPr>
          <w:sz w:val="24"/>
          <w:szCs w:val="24"/>
          <w:lang w:val="pl-PL"/>
        </w:rPr>
        <w:t xml:space="preserve"> sa nalazima EK o tome kako treba dati odgovor na ključne izazove postojanja neformalne ekonomije, budući da EK u ocjeni PER-a 2023-2026. </w:t>
      </w:r>
      <w:r w:rsidR="00CF4A9A" w:rsidRPr="00021CDC">
        <w:rPr>
          <w:sz w:val="24"/>
          <w:szCs w:val="24"/>
          <w:lang w:val="pl-PL"/>
        </w:rPr>
        <w:t>n</w:t>
      </w:r>
      <w:r w:rsidR="003F37B5" w:rsidRPr="00021CDC">
        <w:rPr>
          <w:sz w:val="24"/>
          <w:szCs w:val="24"/>
          <w:lang w:val="pl-PL"/>
        </w:rPr>
        <w:t xml:space="preserve">avodi da </w:t>
      </w:r>
      <w:r w:rsidR="00CF4A9A" w:rsidRPr="00021CDC">
        <w:rPr>
          <w:sz w:val="24"/>
          <w:szCs w:val="24"/>
          <w:lang w:val="pl-PL"/>
        </w:rPr>
        <w:t>politike kojima treba smanjiti neformalnu ekonomiju trebaju biti široke i sveobuvatne zbog različitosti uz</w:t>
      </w:r>
      <w:r w:rsidR="003F6877" w:rsidRPr="00021CDC">
        <w:rPr>
          <w:sz w:val="24"/>
          <w:szCs w:val="24"/>
          <w:lang w:val="pl-PL"/>
        </w:rPr>
        <w:t>ro</w:t>
      </w:r>
      <w:r w:rsidR="00CF4A9A" w:rsidRPr="00021CDC">
        <w:rPr>
          <w:sz w:val="24"/>
          <w:szCs w:val="24"/>
          <w:lang w:val="pl-PL"/>
        </w:rPr>
        <w:t xml:space="preserve">ka neformalne ekonomije </w:t>
      </w:r>
      <w:r w:rsidR="003F6877" w:rsidRPr="00021CDC">
        <w:rPr>
          <w:sz w:val="24"/>
          <w:szCs w:val="24"/>
          <w:lang w:val="pl-PL"/>
        </w:rPr>
        <w:t>i</w:t>
      </w:r>
      <w:r w:rsidR="00CF4A9A" w:rsidRPr="00021CDC">
        <w:rPr>
          <w:sz w:val="24"/>
          <w:szCs w:val="24"/>
          <w:lang w:val="pl-PL"/>
        </w:rPr>
        <w:t xml:space="preserve"> komp</w:t>
      </w:r>
      <w:r w:rsidR="003F6877" w:rsidRPr="00021CDC">
        <w:rPr>
          <w:sz w:val="24"/>
          <w:szCs w:val="24"/>
          <w:lang w:val="pl-PL"/>
        </w:rPr>
        <w:t>le</w:t>
      </w:r>
      <w:r w:rsidR="00CF4A9A" w:rsidRPr="00021CDC">
        <w:rPr>
          <w:sz w:val="24"/>
          <w:szCs w:val="24"/>
          <w:lang w:val="pl-PL"/>
        </w:rPr>
        <w:t>ksnih odnosa izme</w:t>
      </w:r>
      <w:r w:rsidR="00F14409">
        <w:rPr>
          <w:sz w:val="24"/>
          <w:szCs w:val="24"/>
          <w:lang w:val="pl-PL"/>
        </w:rPr>
        <w:t>đ</w:t>
      </w:r>
      <w:r w:rsidR="00CF4A9A" w:rsidRPr="00021CDC">
        <w:rPr>
          <w:sz w:val="24"/>
          <w:szCs w:val="24"/>
          <w:lang w:val="pl-PL"/>
        </w:rPr>
        <w:t>u stru</w:t>
      </w:r>
      <w:r w:rsidR="003F6877" w:rsidRPr="00021CDC">
        <w:rPr>
          <w:sz w:val="24"/>
          <w:szCs w:val="24"/>
          <w:lang w:val="pl-PL"/>
        </w:rPr>
        <w:t>k</w:t>
      </w:r>
      <w:r w:rsidR="00CF4A9A" w:rsidRPr="00021CDC">
        <w:rPr>
          <w:sz w:val="24"/>
          <w:szCs w:val="24"/>
          <w:lang w:val="pl-PL"/>
        </w:rPr>
        <w:t xml:space="preserve">ture tržišta rada, institucionalnog </w:t>
      </w:r>
      <w:r w:rsidR="003F6877" w:rsidRPr="00021CDC">
        <w:rPr>
          <w:sz w:val="24"/>
          <w:szCs w:val="24"/>
          <w:lang w:val="pl-PL"/>
        </w:rPr>
        <w:t>i</w:t>
      </w:r>
      <w:r w:rsidR="00CF4A9A" w:rsidRPr="00021CDC">
        <w:rPr>
          <w:sz w:val="24"/>
          <w:szCs w:val="24"/>
          <w:lang w:val="pl-PL"/>
        </w:rPr>
        <w:t xml:space="preserve"> regulatornog okruženja, poreske </w:t>
      </w:r>
      <w:r w:rsidR="003F6877" w:rsidRPr="00021CDC">
        <w:rPr>
          <w:sz w:val="24"/>
          <w:szCs w:val="24"/>
          <w:lang w:val="pl-PL"/>
        </w:rPr>
        <w:t>i</w:t>
      </w:r>
      <w:r w:rsidR="00CF4A9A" w:rsidRPr="00021CDC">
        <w:rPr>
          <w:sz w:val="24"/>
          <w:szCs w:val="24"/>
          <w:lang w:val="pl-PL"/>
        </w:rPr>
        <w:t xml:space="preserve"> socijalnih politika, kao </w:t>
      </w:r>
      <w:r w:rsidR="003F6877" w:rsidRPr="00021CDC">
        <w:rPr>
          <w:sz w:val="24"/>
          <w:szCs w:val="24"/>
          <w:lang w:val="pl-PL"/>
        </w:rPr>
        <w:t>i</w:t>
      </w:r>
      <w:r w:rsidR="00CF4A9A" w:rsidRPr="00021CDC">
        <w:rPr>
          <w:sz w:val="24"/>
          <w:szCs w:val="24"/>
          <w:lang w:val="pl-PL"/>
        </w:rPr>
        <w:t xml:space="preserve"> faktora kulture. </w:t>
      </w:r>
    </w:p>
    <w:p w14:paraId="6F3DE72D" w14:textId="6CAF2DED" w:rsidR="00472384" w:rsidRPr="001262CA" w:rsidRDefault="00472384" w:rsidP="00B0276B">
      <w:pPr>
        <w:jc w:val="both"/>
        <w:rPr>
          <w:sz w:val="24"/>
          <w:szCs w:val="24"/>
          <w:lang w:val="pl-PL"/>
        </w:rPr>
      </w:pPr>
      <w:r w:rsidRPr="00021CDC">
        <w:rPr>
          <w:sz w:val="24"/>
          <w:szCs w:val="24"/>
          <w:lang w:val="pl-PL"/>
        </w:rPr>
        <w:t xml:space="preserve">Shodno navedenom, fundamentalni principi na </w:t>
      </w:r>
      <w:r w:rsidR="00CF4A9A" w:rsidRPr="00021CDC">
        <w:rPr>
          <w:sz w:val="24"/>
          <w:szCs w:val="24"/>
          <w:lang w:val="pl-PL"/>
        </w:rPr>
        <w:t>k</w:t>
      </w:r>
      <w:r w:rsidRPr="00021CDC">
        <w:rPr>
          <w:sz w:val="24"/>
          <w:szCs w:val="24"/>
          <w:lang w:val="pl-PL"/>
        </w:rPr>
        <w:t xml:space="preserve">ojima počiva ovaj </w:t>
      </w:r>
      <w:r w:rsidR="00F14409">
        <w:rPr>
          <w:sz w:val="24"/>
          <w:szCs w:val="24"/>
          <w:lang w:val="pl-PL"/>
        </w:rPr>
        <w:t>p</w:t>
      </w:r>
      <w:r w:rsidRPr="00021CDC">
        <w:rPr>
          <w:sz w:val="24"/>
          <w:szCs w:val="24"/>
          <w:lang w:val="pl-PL"/>
        </w:rPr>
        <w:t xml:space="preserve">rogram </w:t>
      </w:r>
      <w:r w:rsidR="00CF4A9A" w:rsidRPr="00021CDC">
        <w:rPr>
          <w:sz w:val="24"/>
          <w:szCs w:val="24"/>
          <w:lang w:val="pl-PL"/>
        </w:rPr>
        <w:t>i</w:t>
      </w:r>
      <w:r w:rsidRPr="00021CDC">
        <w:rPr>
          <w:sz w:val="24"/>
          <w:szCs w:val="24"/>
          <w:lang w:val="pl-PL"/>
        </w:rPr>
        <w:t xml:space="preserve"> njegovi operativni ciljevi </w:t>
      </w:r>
      <w:r w:rsidR="00CF4A9A" w:rsidRPr="00021CDC">
        <w:rPr>
          <w:sz w:val="24"/>
          <w:szCs w:val="24"/>
          <w:lang w:val="pl-PL"/>
        </w:rPr>
        <w:t>se odnose na</w:t>
      </w:r>
      <w:r w:rsidR="008F501B" w:rsidRPr="00021CDC">
        <w:rPr>
          <w:sz w:val="24"/>
          <w:szCs w:val="24"/>
          <w:lang w:val="pl-PL"/>
        </w:rPr>
        <w:t xml:space="preserve"> </w:t>
      </w:r>
      <w:r w:rsidR="00E253A2">
        <w:rPr>
          <w:sz w:val="24"/>
          <w:szCs w:val="24"/>
          <w:lang w:val="pl-PL"/>
        </w:rPr>
        <w:t xml:space="preserve">princip jednakog tretmana za sve učesnike u ekonomskoj aktivnosti, kroz </w:t>
      </w:r>
      <w:r w:rsidR="00CF4A9A" w:rsidRPr="00021CDC">
        <w:rPr>
          <w:b/>
          <w:bCs/>
          <w:sz w:val="24"/>
          <w:szCs w:val="24"/>
          <w:lang w:val="pl-PL"/>
        </w:rPr>
        <w:t xml:space="preserve">promovisanje prednosti formalnog poslovanja </w:t>
      </w:r>
      <w:r w:rsidR="00CA535B" w:rsidRPr="00021CDC">
        <w:rPr>
          <w:b/>
          <w:bCs/>
          <w:sz w:val="24"/>
          <w:szCs w:val="24"/>
          <w:lang w:val="pl-PL"/>
        </w:rPr>
        <w:t>i</w:t>
      </w:r>
      <w:r w:rsidR="00CF4A9A" w:rsidRPr="00021CDC">
        <w:rPr>
          <w:b/>
          <w:bCs/>
          <w:sz w:val="24"/>
          <w:szCs w:val="24"/>
          <w:lang w:val="pl-PL"/>
        </w:rPr>
        <w:t xml:space="preserve"> </w:t>
      </w:r>
      <w:r w:rsidR="00291A64">
        <w:rPr>
          <w:b/>
          <w:bCs/>
          <w:sz w:val="24"/>
          <w:szCs w:val="24"/>
          <w:lang w:val="pl-PL"/>
        </w:rPr>
        <w:t>smanjenja</w:t>
      </w:r>
      <w:r w:rsidR="00CF4A9A" w:rsidRPr="00021CDC">
        <w:rPr>
          <w:b/>
          <w:bCs/>
          <w:sz w:val="24"/>
          <w:szCs w:val="24"/>
          <w:lang w:val="pl-PL"/>
        </w:rPr>
        <w:t xml:space="preserve"> neformalne ekonomije</w:t>
      </w:r>
      <w:r w:rsidR="00291A64">
        <w:rPr>
          <w:b/>
          <w:bCs/>
          <w:sz w:val="24"/>
          <w:szCs w:val="24"/>
          <w:lang w:val="pl-PL"/>
        </w:rPr>
        <w:t xml:space="preserve"> i njenih negativnih konsekvenci</w:t>
      </w:r>
      <w:r w:rsidR="00CF4A9A" w:rsidRPr="00021CDC">
        <w:rPr>
          <w:b/>
          <w:bCs/>
          <w:sz w:val="24"/>
          <w:szCs w:val="24"/>
          <w:lang w:val="pl-PL"/>
        </w:rPr>
        <w:t>.</w:t>
      </w:r>
      <w:r w:rsidR="001262CA">
        <w:rPr>
          <w:b/>
          <w:bCs/>
          <w:sz w:val="24"/>
          <w:szCs w:val="24"/>
          <w:lang w:val="pl-PL"/>
        </w:rPr>
        <w:t xml:space="preserve"> </w:t>
      </w:r>
      <w:r w:rsidR="001262CA" w:rsidRPr="001262CA">
        <w:rPr>
          <w:sz w:val="24"/>
          <w:szCs w:val="24"/>
          <w:lang w:val="pl-PL"/>
        </w:rPr>
        <w:t>Konkretnije, operativni ciljevi apostrofiraju smanjenje sive ekonomije u poslovanju registrovanih pre</w:t>
      </w:r>
      <w:r w:rsidR="00F14409">
        <w:rPr>
          <w:sz w:val="24"/>
          <w:szCs w:val="24"/>
          <w:lang w:val="pl-PL"/>
        </w:rPr>
        <w:t>d</w:t>
      </w:r>
      <w:r w:rsidR="001262CA" w:rsidRPr="001262CA">
        <w:rPr>
          <w:sz w:val="24"/>
          <w:szCs w:val="24"/>
          <w:lang w:val="pl-PL"/>
        </w:rPr>
        <w:t>uzeća i preduzetnika, ali i</w:t>
      </w:r>
      <w:r w:rsidR="001262CA">
        <w:rPr>
          <w:b/>
          <w:bCs/>
          <w:sz w:val="24"/>
          <w:szCs w:val="24"/>
          <w:lang w:val="pl-PL"/>
        </w:rPr>
        <w:t xml:space="preserve"> </w:t>
      </w:r>
      <w:r w:rsidR="001262CA" w:rsidRPr="001262CA">
        <w:rPr>
          <w:sz w:val="24"/>
          <w:szCs w:val="24"/>
          <w:lang w:val="pl-PL"/>
        </w:rPr>
        <w:t>registr</w:t>
      </w:r>
      <w:r w:rsidR="00467ED6">
        <w:rPr>
          <w:sz w:val="24"/>
          <w:szCs w:val="24"/>
          <w:lang w:val="pl-PL"/>
        </w:rPr>
        <w:t xml:space="preserve">aciju neregistovanih </w:t>
      </w:r>
      <w:r w:rsidR="001262CA" w:rsidRPr="001262CA">
        <w:rPr>
          <w:sz w:val="24"/>
          <w:szCs w:val="24"/>
          <w:lang w:val="pl-PL"/>
        </w:rPr>
        <w:t>ekonomskih aktivnosti, odnosno njihovo prevo</w:t>
      </w:r>
      <w:r w:rsidR="00F14409">
        <w:rPr>
          <w:sz w:val="24"/>
          <w:szCs w:val="24"/>
          <w:lang w:val="pl-PL"/>
        </w:rPr>
        <w:t>đ</w:t>
      </w:r>
      <w:r w:rsidR="001262CA" w:rsidRPr="001262CA">
        <w:rPr>
          <w:sz w:val="24"/>
          <w:szCs w:val="24"/>
          <w:lang w:val="pl-PL"/>
        </w:rPr>
        <w:t>enje u legalne tokove.</w:t>
      </w:r>
    </w:p>
    <w:p w14:paraId="40DAAA7D" w14:textId="0A2D978C" w:rsidR="00B0276B" w:rsidRPr="00021CDC" w:rsidRDefault="00B0276B" w:rsidP="00B0276B">
      <w:pPr>
        <w:jc w:val="both"/>
        <w:rPr>
          <w:sz w:val="24"/>
          <w:szCs w:val="24"/>
          <w:lang w:val="pl-PL"/>
        </w:rPr>
      </w:pPr>
      <w:r w:rsidRPr="00CE07A9">
        <w:rPr>
          <w:sz w:val="24"/>
          <w:szCs w:val="24"/>
          <w:lang w:val="pl-PL"/>
        </w:rPr>
        <w:t xml:space="preserve">Ciljevi Programa </w:t>
      </w:r>
      <w:r w:rsidR="004C63AD" w:rsidRPr="00CE07A9">
        <w:rPr>
          <w:sz w:val="24"/>
          <w:szCs w:val="24"/>
          <w:lang w:val="pl-PL"/>
        </w:rPr>
        <w:t>sadrže</w:t>
      </w:r>
      <w:r w:rsidRPr="00CE07A9">
        <w:rPr>
          <w:sz w:val="24"/>
          <w:szCs w:val="24"/>
          <w:lang w:val="pl-PL"/>
        </w:rPr>
        <w:t xml:space="preserve"> opšti cilj i operativne ciljeve. Opšti cilj </w:t>
      </w:r>
      <w:r w:rsidR="004C63AD" w:rsidRPr="00CE07A9">
        <w:rPr>
          <w:sz w:val="24"/>
          <w:szCs w:val="24"/>
          <w:lang w:val="pl-PL"/>
        </w:rPr>
        <w:t>je</w:t>
      </w:r>
      <w:r w:rsidRPr="00CE07A9">
        <w:rPr>
          <w:sz w:val="24"/>
          <w:szCs w:val="24"/>
          <w:lang w:val="pl-PL"/>
        </w:rPr>
        <w:t xml:space="preserve"> praćen indikatorima u</w:t>
      </w:r>
      <w:r w:rsidR="00D919F7" w:rsidRPr="00CE07A9">
        <w:rPr>
          <w:sz w:val="24"/>
          <w:szCs w:val="24"/>
          <w:lang w:val="pl-PL"/>
        </w:rPr>
        <w:t xml:space="preserve">ticaja </w:t>
      </w:r>
      <w:r w:rsidRPr="00CE07A9">
        <w:rPr>
          <w:sz w:val="24"/>
          <w:szCs w:val="24"/>
          <w:lang w:val="pl-PL"/>
        </w:rPr>
        <w:t xml:space="preserve"> (impact indicators) u 202</w:t>
      </w:r>
      <w:r w:rsidR="00BB56E8" w:rsidRPr="00CE07A9">
        <w:rPr>
          <w:sz w:val="24"/>
          <w:szCs w:val="24"/>
          <w:lang w:val="pl-PL"/>
        </w:rPr>
        <w:t>2</w:t>
      </w:r>
      <w:r w:rsidRPr="00CE07A9">
        <w:rPr>
          <w:sz w:val="24"/>
          <w:szCs w:val="24"/>
          <w:lang w:val="pl-PL"/>
        </w:rPr>
        <w:t>.</w:t>
      </w:r>
      <w:r w:rsidR="00C03C27">
        <w:rPr>
          <w:sz w:val="24"/>
          <w:szCs w:val="24"/>
          <w:lang w:val="pl-PL"/>
        </w:rPr>
        <w:t xml:space="preserve"> </w:t>
      </w:r>
      <w:r w:rsidRPr="00CE07A9">
        <w:rPr>
          <w:sz w:val="24"/>
          <w:szCs w:val="24"/>
          <w:lang w:val="pl-PL"/>
        </w:rPr>
        <w:t xml:space="preserve"> kao baznoj, 2025. kao godini za praćenje međuvrijednosti i 2026. kao ciljnoj godini. </w:t>
      </w:r>
      <w:r w:rsidRPr="00021CDC">
        <w:rPr>
          <w:sz w:val="24"/>
          <w:szCs w:val="24"/>
          <w:lang w:val="pl-PL"/>
        </w:rPr>
        <w:t xml:space="preserve">Operativni ciljevi </w:t>
      </w:r>
      <w:r w:rsidR="004C63AD" w:rsidRPr="00021CDC">
        <w:rPr>
          <w:sz w:val="24"/>
          <w:szCs w:val="24"/>
          <w:lang w:val="pl-PL"/>
        </w:rPr>
        <w:t>su</w:t>
      </w:r>
      <w:r w:rsidRPr="00021CDC">
        <w:rPr>
          <w:sz w:val="24"/>
          <w:szCs w:val="24"/>
          <w:lang w:val="pl-PL"/>
        </w:rPr>
        <w:t xml:space="preserve"> praćeni ind</w:t>
      </w:r>
      <w:r w:rsidR="004C63AD" w:rsidRPr="00021CDC">
        <w:rPr>
          <w:sz w:val="24"/>
          <w:szCs w:val="24"/>
          <w:lang w:val="pl-PL"/>
        </w:rPr>
        <w:t>i</w:t>
      </w:r>
      <w:r w:rsidRPr="00021CDC">
        <w:rPr>
          <w:sz w:val="24"/>
          <w:szCs w:val="24"/>
          <w:lang w:val="pl-PL"/>
        </w:rPr>
        <w:t>katorima učinka (outcome indicators), u 202</w:t>
      </w:r>
      <w:r w:rsidR="00BB56E8" w:rsidRPr="00021CDC">
        <w:rPr>
          <w:sz w:val="24"/>
          <w:szCs w:val="24"/>
          <w:lang w:val="pl-PL"/>
        </w:rPr>
        <w:t>2</w:t>
      </w:r>
      <w:r w:rsidRPr="00021CDC">
        <w:rPr>
          <w:sz w:val="24"/>
          <w:szCs w:val="24"/>
          <w:lang w:val="pl-PL"/>
        </w:rPr>
        <w:t xml:space="preserve">. kao baznoj godini, 2025. kao godini za praćenje međuvrijednosti i 2026. kao ciljnoj. </w:t>
      </w:r>
    </w:p>
    <w:p w14:paraId="5FC8B3B1" w14:textId="146561E5" w:rsidR="00B67D63" w:rsidRPr="00B67D63" w:rsidRDefault="004C63AD" w:rsidP="00B0276B">
      <w:pPr>
        <w:jc w:val="both"/>
        <w:rPr>
          <w:sz w:val="24"/>
          <w:szCs w:val="24"/>
          <w:lang w:val="pl-PL"/>
        </w:rPr>
      </w:pPr>
      <w:r w:rsidRPr="00021CDC">
        <w:rPr>
          <w:sz w:val="24"/>
          <w:szCs w:val="24"/>
          <w:lang w:val="pl-PL"/>
        </w:rPr>
        <w:t xml:space="preserve">Opšti cilj Programa je </w:t>
      </w:r>
      <w:r w:rsidRPr="00021CDC">
        <w:rPr>
          <w:b/>
          <w:bCs/>
          <w:sz w:val="24"/>
          <w:szCs w:val="24"/>
          <w:lang w:val="pl-PL"/>
        </w:rPr>
        <w:t>smanjenje učešća</w:t>
      </w:r>
      <w:r w:rsidR="00D919F7" w:rsidRPr="00021CDC">
        <w:rPr>
          <w:b/>
          <w:bCs/>
          <w:sz w:val="24"/>
          <w:szCs w:val="24"/>
          <w:lang w:val="pl-PL"/>
        </w:rPr>
        <w:t xml:space="preserve"> </w:t>
      </w:r>
      <w:r w:rsidR="00CF4A9A" w:rsidRPr="00021CDC">
        <w:rPr>
          <w:b/>
          <w:bCs/>
          <w:sz w:val="24"/>
          <w:szCs w:val="24"/>
          <w:lang w:val="pl-PL"/>
        </w:rPr>
        <w:t>neformalne</w:t>
      </w:r>
      <w:r w:rsidRPr="00021CDC">
        <w:rPr>
          <w:b/>
          <w:bCs/>
          <w:sz w:val="24"/>
          <w:szCs w:val="24"/>
          <w:lang w:val="pl-PL"/>
        </w:rPr>
        <w:t xml:space="preserve"> ekonomije</w:t>
      </w:r>
      <w:r w:rsidR="007D7009">
        <w:rPr>
          <w:rStyle w:val="FootnoteReference"/>
          <w:b/>
          <w:bCs/>
          <w:sz w:val="24"/>
          <w:szCs w:val="24"/>
        </w:rPr>
        <w:footnoteReference w:id="24"/>
      </w:r>
      <w:r w:rsidRPr="00021CDC">
        <w:rPr>
          <w:b/>
          <w:bCs/>
          <w:sz w:val="24"/>
          <w:szCs w:val="24"/>
          <w:lang w:val="pl-PL"/>
        </w:rPr>
        <w:t xml:space="preserve"> u </w:t>
      </w:r>
      <w:r w:rsidR="009D1610">
        <w:rPr>
          <w:b/>
          <w:bCs/>
          <w:sz w:val="24"/>
          <w:szCs w:val="24"/>
          <w:lang w:val="pl-PL"/>
        </w:rPr>
        <w:t>ukupnoj privrednoj aktivnosti</w:t>
      </w:r>
      <w:r w:rsidRPr="00021CDC">
        <w:rPr>
          <w:b/>
          <w:bCs/>
          <w:sz w:val="24"/>
          <w:szCs w:val="24"/>
          <w:lang w:val="pl-PL"/>
        </w:rPr>
        <w:t>.</w:t>
      </w:r>
      <w:r w:rsidR="00C03C27">
        <w:rPr>
          <w:b/>
          <w:bCs/>
          <w:sz w:val="24"/>
          <w:szCs w:val="24"/>
          <w:lang w:val="pl-PL"/>
        </w:rPr>
        <w:t xml:space="preserve"> </w:t>
      </w:r>
      <w:r w:rsidR="00C03C27">
        <w:rPr>
          <w:sz w:val="24"/>
          <w:szCs w:val="24"/>
          <w:lang w:val="pl-PL"/>
        </w:rPr>
        <w:t>Za p</w:t>
      </w:r>
      <w:r w:rsidR="00467ED6">
        <w:rPr>
          <w:sz w:val="24"/>
          <w:szCs w:val="24"/>
          <w:lang w:val="pl-PL"/>
        </w:rPr>
        <w:t>r</w:t>
      </w:r>
      <w:r w:rsidR="00C03C27">
        <w:rPr>
          <w:sz w:val="24"/>
          <w:szCs w:val="24"/>
          <w:lang w:val="pl-PL"/>
        </w:rPr>
        <w:t>aćenje njegovog ostvarenja će se sprovoditi ankete o učešću sive ekonomije u pos</w:t>
      </w:r>
      <w:r w:rsidR="00467ED6">
        <w:rPr>
          <w:sz w:val="24"/>
          <w:szCs w:val="24"/>
          <w:lang w:val="pl-PL"/>
        </w:rPr>
        <w:t>l</w:t>
      </w:r>
      <w:r w:rsidR="00C03C27">
        <w:rPr>
          <w:sz w:val="24"/>
          <w:szCs w:val="24"/>
          <w:lang w:val="pl-PL"/>
        </w:rPr>
        <w:t xml:space="preserve">ovanju registrovanih </w:t>
      </w:r>
      <w:r w:rsidR="00467ED6">
        <w:rPr>
          <w:sz w:val="24"/>
          <w:szCs w:val="24"/>
          <w:lang w:val="pl-PL"/>
        </w:rPr>
        <w:t>pr</w:t>
      </w:r>
      <w:r w:rsidR="00C03C27">
        <w:rPr>
          <w:sz w:val="24"/>
          <w:szCs w:val="24"/>
          <w:lang w:val="pl-PL"/>
        </w:rPr>
        <w:t xml:space="preserve">eduzeća i preduzetnika,  kao i ankete o učešću </w:t>
      </w:r>
      <w:r w:rsidR="00C03C27">
        <w:rPr>
          <w:b/>
          <w:bCs/>
          <w:sz w:val="24"/>
          <w:szCs w:val="24"/>
          <w:lang w:val="pl-PL"/>
        </w:rPr>
        <w:t xml:space="preserve"> </w:t>
      </w:r>
      <w:r w:rsidR="00467ED6" w:rsidRPr="00467ED6">
        <w:rPr>
          <w:sz w:val="24"/>
          <w:szCs w:val="24"/>
          <w:lang w:val="pl-PL"/>
        </w:rPr>
        <w:t>neregistrovanih ekonomskih aktivnosti</w:t>
      </w:r>
      <w:r w:rsidR="00467ED6">
        <w:rPr>
          <w:b/>
          <w:bCs/>
          <w:sz w:val="24"/>
          <w:szCs w:val="24"/>
          <w:lang w:val="pl-PL"/>
        </w:rPr>
        <w:t xml:space="preserve"> </w:t>
      </w:r>
      <w:r w:rsidR="00467ED6" w:rsidRPr="00467ED6">
        <w:rPr>
          <w:sz w:val="24"/>
          <w:szCs w:val="24"/>
          <w:lang w:val="pl-PL"/>
        </w:rPr>
        <w:t>u ekonomiji.</w:t>
      </w:r>
    </w:p>
    <w:p w14:paraId="79C2DB08" w14:textId="399AE272" w:rsidR="005D2C45" w:rsidRDefault="005D2C45" w:rsidP="005D2C45">
      <w:pPr>
        <w:jc w:val="both"/>
        <w:rPr>
          <w:sz w:val="24"/>
          <w:szCs w:val="24"/>
          <w:lang w:val="pl-PL"/>
        </w:rPr>
      </w:pPr>
      <w:r w:rsidRPr="009D1610">
        <w:rPr>
          <w:sz w:val="24"/>
          <w:szCs w:val="24"/>
          <w:lang w:val="pl-PL"/>
        </w:rPr>
        <w:t xml:space="preserve">Opšti cilj Programa </w:t>
      </w:r>
      <w:r w:rsidR="00ED22DC" w:rsidRPr="009D1610">
        <w:rPr>
          <w:sz w:val="24"/>
          <w:szCs w:val="24"/>
          <w:lang w:val="pl-PL"/>
        </w:rPr>
        <w:t>i</w:t>
      </w:r>
      <w:r w:rsidRPr="009D1610">
        <w:rPr>
          <w:sz w:val="24"/>
          <w:szCs w:val="24"/>
          <w:lang w:val="pl-PL"/>
        </w:rPr>
        <w:t xml:space="preserve"> ključni indikatori uticaja </w:t>
      </w:r>
      <w:r w:rsidR="008361D3" w:rsidRPr="009D1610">
        <w:rPr>
          <w:sz w:val="24"/>
          <w:szCs w:val="24"/>
          <w:lang w:val="pl-PL"/>
        </w:rPr>
        <w:t>su</w:t>
      </w:r>
      <w:r w:rsidRPr="009D1610">
        <w:rPr>
          <w:sz w:val="24"/>
          <w:szCs w:val="24"/>
          <w:lang w:val="pl-PL"/>
        </w:rPr>
        <w:t xml:space="preserve"> prikazan</w:t>
      </w:r>
      <w:r w:rsidR="008361D3" w:rsidRPr="009D1610">
        <w:rPr>
          <w:sz w:val="24"/>
          <w:szCs w:val="24"/>
          <w:lang w:val="pl-PL"/>
        </w:rPr>
        <w:t>i</w:t>
      </w:r>
      <w:r w:rsidRPr="009D1610">
        <w:rPr>
          <w:sz w:val="24"/>
          <w:szCs w:val="24"/>
          <w:lang w:val="pl-PL"/>
        </w:rPr>
        <w:t xml:space="preserve"> u narednoj tabeli</w:t>
      </w:r>
      <w:r w:rsidR="003613E7" w:rsidRPr="009D1610">
        <w:rPr>
          <w:sz w:val="24"/>
          <w:szCs w:val="24"/>
          <w:lang w:val="pl-PL"/>
        </w:rPr>
        <w:t>.</w:t>
      </w:r>
    </w:p>
    <w:p w14:paraId="7B4181E1" w14:textId="77777777" w:rsidR="00B67D63" w:rsidRDefault="00B67D63" w:rsidP="005D2C45">
      <w:pPr>
        <w:jc w:val="both"/>
        <w:rPr>
          <w:sz w:val="24"/>
          <w:szCs w:val="24"/>
          <w:lang w:val="pl-PL"/>
        </w:rPr>
      </w:pPr>
    </w:p>
    <w:p w14:paraId="7B4D73DF" w14:textId="77777777" w:rsidR="00B67D63" w:rsidRDefault="00B67D63" w:rsidP="005D2C45">
      <w:pPr>
        <w:jc w:val="both"/>
        <w:rPr>
          <w:sz w:val="24"/>
          <w:szCs w:val="24"/>
          <w:lang w:val="pl-PL"/>
        </w:rPr>
      </w:pPr>
    </w:p>
    <w:p w14:paraId="60A273DC" w14:textId="77777777" w:rsidR="00B67D63" w:rsidRDefault="00B67D63" w:rsidP="005D2C45">
      <w:pPr>
        <w:jc w:val="both"/>
        <w:rPr>
          <w:sz w:val="24"/>
          <w:szCs w:val="24"/>
          <w:lang w:val="pl-PL"/>
        </w:rPr>
      </w:pPr>
    </w:p>
    <w:p w14:paraId="38EE237C" w14:textId="77777777" w:rsidR="00B67D63" w:rsidRDefault="00B67D63" w:rsidP="005D2C45">
      <w:pPr>
        <w:jc w:val="both"/>
        <w:rPr>
          <w:sz w:val="24"/>
          <w:szCs w:val="24"/>
          <w:lang w:val="pl-PL"/>
        </w:rPr>
      </w:pPr>
    </w:p>
    <w:p w14:paraId="7C896B02" w14:textId="77777777" w:rsidR="00B67D63" w:rsidRDefault="00B67D63" w:rsidP="005D2C45">
      <w:pPr>
        <w:jc w:val="both"/>
        <w:rPr>
          <w:sz w:val="24"/>
          <w:szCs w:val="24"/>
          <w:lang w:val="pl-PL"/>
        </w:rPr>
      </w:pPr>
    </w:p>
    <w:p w14:paraId="40A9D4AC" w14:textId="77777777" w:rsidR="00B67D63" w:rsidRPr="009D1610" w:rsidRDefault="00B67D63" w:rsidP="005D2C45">
      <w:pPr>
        <w:jc w:val="both"/>
        <w:rPr>
          <w:sz w:val="24"/>
          <w:szCs w:val="24"/>
          <w:lang w:val="pl-PL"/>
        </w:rPr>
      </w:pPr>
    </w:p>
    <w:tbl>
      <w:tblPr>
        <w:tblStyle w:val="GridTable4-Accent5"/>
        <w:tblW w:w="0" w:type="auto"/>
        <w:tblLook w:val="04A0" w:firstRow="1" w:lastRow="0" w:firstColumn="1" w:lastColumn="0" w:noHBand="0" w:noVBand="1"/>
      </w:tblPr>
      <w:tblGrid>
        <w:gridCol w:w="1605"/>
        <w:gridCol w:w="1481"/>
        <w:gridCol w:w="1704"/>
        <w:gridCol w:w="1605"/>
        <w:gridCol w:w="1300"/>
        <w:gridCol w:w="1655"/>
      </w:tblGrid>
      <w:tr w:rsidR="006C691C" w:rsidRPr="00482B3D" w14:paraId="6492D6DB" w14:textId="77777777" w:rsidTr="00E96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6"/>
          </w:tcPr>
          <w:p w14:paraId="6640F20D" w14:textId="60DF5316" w:rsidR="006C691C" w:rsidRPr="009D1610" w:rsidRDefault="006C691C" w:rsidP="006C691C">
            <w:pPr>
              <w:rPr>
                <w:color w:val="2F5496" w:themeColor="accent1" w:themeShade="BF"/>
                <w:sz w:val="20"/>
                <w:szCs w:val="20"/>
                <w:lang w:val="hr-BA"/>
              </w:rPr>
            </w:pPr>
            <w:proofErr w:type="spellStart"/>
            <w:r w:rsidRPr="00482B3D">
              <w:rPr>
                <w:color w:val="auto"/>
                <w:sz w:val="20"/>
                <w:szCs w:val="20"/>
              </w:rPr>
              <w:lastRenderedPageBreak/>
              <w:t>Opšti</w:t>
            </w:r>
            <w:proofErr w:type="spellEnd"/>
            <w:r w:rsidRPr="00482B3D">
              <w:rPr>
                <w:color w:val="auto"/>
                <w:sz w:val="20"/>
                <w:szCs w:val="20"/>
              </w:rPr>
              <w:t xml:space="preserve"> </w:t>
            </w:r>
            <w:proofErr w:type="spellStart"/>
            <w:r w:rsidRPr="00482B3D">
              <w:rPr>
                <w:color w:val="auto"/>
                <w:sz w:val="20"/>
                <w:szCs w:val="20"/>
              </w:rPr>
              <w:t>cilj</w:t>
            </w:r>
            <w:proofErr w:type="spellEnd"/>
            <w:r w:rsidRPr="00482B3D">
              <w:rPr>
                <w:color w:val="auto"/>
                <w:sz w:val="20"/>
                <w:szCs w:val="20"/>
              </w:rPr>
              <w:t xml:space="preserve"> </w:t>
            </w:r>
            <w:proofErr w:type="spellStart"/>
            <w:r w:rsidRPr="00482B3D">
              <w:rPr>
                <w:color w:val="auto"/>
                <w:sz w:val="20"/>
                <w:szCs w:val="20"/>
              </w:rPr>
              <w:t>Programa</w:t>
            </w:r>
            <w:proofErr w:type="spellEnd"/>
            <w:r w:rsidRPr="00482B3D">
              <w:rPr>
                <w:color w:val="auto"/>
                <w:sz w:val="20"/>
                <w:szCs w:val="20"/>
              </w:rPr>
              <w:t xml:space="preserve">- </w:t>
            </w:r>
            <w:proofErr w:type="spellStart"/>
            <w:r w:rsidRPr="00482B3D">
              <w:rPr>
                <w:color w:val="auto"/>
                <w:sz w:val="20"/>
                <w:szCs w:val="20"/>
              </w:rPr>
              <w:t>Smanjenje</w:t>
            </w:r>
            <w:proofErr w:type="spellEnd"/>
            <w:r w:rsidRPr="00482B3D">
              <w:rPr>
                <w:color w:val="auto"/>
                <w:sz w:val="20"/>
                <w:szCs w:val="20"/>
              </w:rPr>
              <w:t xml:space="preserve"> </w:t>
            </w:r>
            <w:proofErr w:type="spellStart"/>
            <w:r w:rsidRPr="00482B3D">
              <w:rPr>
                <w:color w:val="auto"/>
                <w:sz w:val="20"/>
                <w:szCs w:val="20"/>
              </w:rPr>
              <w:t>učešća</w:t>
            </w:r>
            <w:proofErr w:type="spellEnd"/>
            <w:r w:rsidRPr="00482B3D">
              <w:rPr>
                <w:color w:val="auto"/>
                <w:sz w:val="20"/>
                <w:szCs w:val="20"/>
              </w:rPr>
              <w:t xml:space="preserve"> </w:t>
            </w:r>
            <w:proofErr w:type="spellStart"/>
            <w:r w:rsidRPr="00482B3D">
              <w:rPr>
                <w:color w:val="auto"/>
                <w:sz w:val="20"/>
                <w:szCs w:val="20"/>
              </w:rPr>
              <w:t>neformalne</w:t>
            </w:r>
            <w:proofErr w:type="spellEnd"/>
            <w:r w:rsidRPr="00482B3D">
              <w:rPr>
                <w:color w:val="auto"/>
                <w:sz w:val="20"/>
                <w:szCs w:val="20"/>
              </w:rPr>
              <w:t xml:space="preserve"> </w:t>
            </w:r>
            <w:proofErr w:type="spellStart"/>
            <w:r w:rsidRPr="00482B3D">
              <w:rPr>
                <w:color w:val="auto"/>
                <w:sz w:val="20"/>
                <w:szCs w:val="20"/>
              </w:rPr>
              <w:t>ekonomije</w:t>
            </w:r>
            <w:proofErr w:type="spellEnd"/>
            <w:r w:rsidRPr="00482B3D">
              <w:rPr>
                <w:color w:val="auto"/>
                <w:sz w:val="20"/>
                <w:szCs w:val="20"/>
              </w:rPr>
              <w:t xml:space="preserve"> </w:t>
            </w:r>
            <w:r>
              <w:rPr>
                <w:color w:val="auto"/>
                <w:sz w:val="20"/>
                <w:szCs w:val="20"/>
              </w:rPr>
              <w:t xml:space="preserve">u </w:t>
            </w:r>
            <w:proofErr w:type="spellStart"/>
            <w:r>
              <w:rPr>
                <w:color w:val="auto"/>
                <w:sz w:val="20"/>
                <w:szCs w:val="20"/>
              </w:rPr>
              <w:t>ukupnoj</w:t>
            </w:r>
            <w:proofErr w:type="spellEnd"/>
            <w:r>
              <w:rPr>
                <w:color w:val="auto"/>
                <w:sz w:val="20"/>
                <w:szCs w:val="20"/>
              </w:rPr>
              <w:t xml:space="preserve"> </w:t>
            </w:r>
            <w:proofErr w:type="spellStart"/>
            <w:r w:rsidRPr="009D1610">
              <w:rPr>
                <w:color w:val="auto"/>
                <w:sz w:val="20"/>
                <w:szCs w:val="20"/>
              </w:rPr>
              <w:t>privrednoj</w:t>
            </w:r>
            <w:proofErr w:type="spellEnd"/>
            <w:r w:rsidRPr="009D1610">
              <w:rPr>
                <w:color w:val="auto"/>
                <w:sz w:val="20"/>
                <w:szCs w:val="20"/>
              </w:rPr>
              <w:t xml:space="preserve"> </w:t>
            </w:r>
            <w:proofErr w:type="spellStart"/>
            <w:r w:rsidRPr="009D1610">
              <w:rPr>
                <w:color w:val="auto"/>
                <w:sz w:val="20"/>
                <w:szCs w:val="20"/>
              </w:rPr>
              <w:t>aktivnosti</w:t>
            </w:r>
            <w:proofErr w:type="spellEnd"/>
          </w:p>
        </w:tc>
      </w:tr>
      <w:tr w:rsidR="00482B3D" w:rsidRPr="00482B3D" w14:paraId="546207C0" w14:textId="77777777" w:rsidTr="006C69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shd w:val="clear" w:color="auto" w:fill="D9E2F3" w:themeFill="accent1" w:themeFillTint="33"/>
          </w:tcPr>
          <w:p w14:paraId="60D69E53" w14:textId="77777777" w:rsidR="005D2C45" w:rsidRPr="00482B3D" w:rsidRDefault="005D2C45" w:rsidP="005D2C45">
            <w:pPr>
              <w:jc w:val="both"/>
              <w:rPr>
                <w:b w:val="0"/>
                <w:bCs w:val="0"/>
                <w:sz w:val="20"/>
                <w:szCs w:val="20"/>
                <w:lang w:val="hr-BA"/>
              </w:rPr>
            </w:pPr>
            <w:r w:rsidRPr="00482B3D">
              <w:rPr>
                <w:sz w:val="20"/>
                <w:szCs w:val="20"/>
                <w:lang w:val="hr-BA"/>
              </w:rPr>
              <w:t>Uticaj</w:t>
            </w:r>
          </w:p>
        </w:tc>
        <w:tc>
          <w:tcPr>
            <w:tcW w:w="1481" w:type="dxa"/>
            <w:shd w:val="clear" w:color="auto" w:fill="D9E2F3" w:themeFill="accent1" w:themeFillTint="33"/>
          </w:tcPr>
          <w:p w14:paraId="2484BDEE" w14:textId="77777777" w:rsidR="005D2C45" w:rsidRPr="00482B3D" w:rsidRDefault="005D2C45" w:rsidP="005D2C45">
            <w:pPr>
              <w:jc w:val="both"/>
              <w:cnfStyle w:val="000000100000" w:firstRow="0" w:lastRow="0" w:firstColumn="0" w:lastColumn="0" w:oddVBand="0" w:evenVBand="0" w:oddHBand="1" w:evenHBand="0" w:firstRowFirstColumn="0" w:firstRowLastColumn="0" w:lastRowFirstColumn="0" w:lastRowLastColumn="0"/>
              <w:rPr>
                <w:b/>
                <w:bCs/>
                <w:sz w:val="20"/>
                <w:szCs w:val="20"/>
                <w:lang w:val="hr-BA"/>
              </w:rPr>
            </w:pPr>
            <w:r w:rsidRPr="00482B3D">
              <w:rPr>
                <w:b/>
                <w:bCs/>
                <w:sz w:val="20"/>
                <w:szCs w:val="20"/>
                <w:lang w:val="hr-BA"/>
              </w:rPr>
              <w:t>Indikator uticaja (impact indicator)</w:t>
            </w:r>
          </w:p>
        </w:tc>
        <w:tc>
          <w:tcPr>
            <w:tcW w:w="1704" w:type="dxa"/>
            <w:shd w:val="clear" w:color="auto" w:fill="D9E2F3" w:themeFill="accent1" w:themeFillTint="33"/>
          </w:tcPr>
          <w:p w14:paraId="13771CE5" w14:textId="77777777" w:rsidR="005D2C45" w:rsidRPr="00482B3D" w:rsidRDefault="005D2C45" w:rsidP="005D2C45">
            <w:pPr>
              <w:jc w:val="both"/>
              <w:cnfStyle w:val="000000100000" w:firstRow="0" w:lastRow="0" w:firstColumn="0" w:lastColumn="0" w:oddVBand="0" w:evenVBand="0" w:oddHBand="1" w:evenHBand="0" w:firstRowFirstColumn="0" w:firstRowLastColumn="0" w:lastRowFirstColumn="0" w:lastRowLastColumn="0"/>
              <w:rPr>
                <w:b/>
                <w:bCs/>
                <w:sz w:val="20"/>
                <w:szCs w:val="20"/>
                <w:lang w:val="hr-BA"/>
              </w:rPr>
            </w:pPr>
            <w:r w:rsidRPr="00482B3D">
              <w:rPr>
                <w:b/>
                <w:bCs/>
                <w:sz w:val="20"/>
                <w:szCs w:val="20"/>
                <w:lang w:val="hr-BA"/>
              </w:rPr>
              <w:t>Izvor verifikacije</w:t>
            </w:r>
          </w:p>
        </w:tc>
        <w:tc>
          <w:tcPr>
            <w:tcW w:w="1605" w:type="dxa"/>
            <w:shd w:val="clear" w:color="auto" w:fill="D9E2F3" w:themeFill="accent1" w:themeFillTint="33"/>
          </w:tcPr>
          <w:p w14:paraId="5B9C30F7" w14:textId="77777777" w:rsidR="005D2C45" w:rsidRPr="00482B3D" w:rsidRDefault="005D2C45" w:rsidP="005D2C45">
            <w:pPr>
              <w:jc w:val="both"/>
              <w:cnfStyle w:val="000000100000" w:firstRow="0" w:lastRow="0" w:firstColumn="0" w:lastColumn="0" w:oddVBand="0" w:evenVBand="0" w:oddHBand="1" w:evenHBand="0" w:firstRowFirstColumn="0" w:firstRowLastColumn="0" w:lastRowFirstColumn="0" w:lastRowLastColumn="0"/>
              <w:rPr>
                <w:b/>
                <w:bCs/>
                <w:sz w:val="20"/>
                <w:szCs w:val="20"/>
                <w:lang w:val="hr-BA"/>
              </w:rPr>
            </w:pPr>
            <w:r w:rsidRPr="00482B3D">
              <w:rPr>
                <w:b/>
                <w:bCs/>
                <w:sz w:val="20"/>
                <w:szCs w:val="20"/>
                <w:lang w:val="hr-BA"/>
              </w:rPr>
              <w:t>Početna vrijednost 2022.</w:t>
            </w:r>
          </w:p>
        </w:tc>
        <w:tc>
          <w:tcPr>
            <w:tcW w:w="1300" w:type="dxa"/>
            <w:shd w:val="clear" w:color="auto" w:fill="D9E2F3" w:themeFill="accent1" w:themeFillTint="33"/>
          </w:tcPr>
          <w:p w14:paraId="120F6147" w14:textId="77777777" w:rsidR="005D2C45" w:rsidRPr="00482B3D" w:rsidRDefault="005D2C45" w:rsidP="005D2C45">
            <w:pPr>
              <w:jc w:val="both"/>
              <w:cnfStyle w:val="000000100000" w:firstRow="0" w:lastRow="0" w:firstColumn="0" w:lastColumn="0" w:oddVBand="0" w:evenVBand="0" w:oddHBand="1" w:evenHBand="0" w:firstRowFirstColumn="0" w:firstRowLastColumn="0" w:lastRowFirstColumn="0" w:lastRowLastColumn="0"/>
              <w:rPr>
                <w:b/>
                <w:bCs/>
                <w:sz w:val="20"/>
                <w:szCs w:val="20"/>
                <w:lang w:val="hr-BA"/>
              </w:rPr>
            </w:pPr>
            <w:r w:rsidRPr="00482B3D">
              <w:rPr>
                <w:b/>
                <w:bCs/>
                <w:sz w:val="20"/>
                <w:szCs w:val="20"/>
                <w:lang w:val="hr-BA"/>
              </w:rPr>
              <w:t>Vrijednost  u 2025.</w:t>
            </w:r>
          </w:p>
        </w:tc>
        <w:tc>
          <w:tcPr>
            <w:tcW w:w="1655" w:type="dxa"/>
            <w:shd w:val="clear" w:color="auto" w:fill="D9E2F3" w:themeFill="accent1" w:themeFillTint="33"/>
          </w:tcPr>
          <w:p w14:paraId="7313A9B2" w14:textId="77777777" w:rsidR="005D2C45" w:rsidRPr="00482B3D" w:rsidRDefault="005D2C45" w:rsidP="005D2C45">
            <w:pPr>
              <w:jc w:val="both"/>
              <w:cnfStyle w:val="000000100000" w:firstRow="0" w:lastRow="0" w:firstColumn="0" w:lastColumn="0" w:oddVBand="0" w:evenVBand="0" w:oddHBand="1" w:evenHBand="0" w:firstRowFirstColumn="0" w:firstRowLastColumn="0" w:lastRowFirstColumn="0" w:lastRowLastColumn="0"/>
              <w:rPr>
                <w:b/>
                <w:bCs/>
                <w:sz w:val="20"/>
                <w:szCs w:val="20"/>
                <w:lang w:val="hr-BA"/>
              </w:rPr>
            </w:pPr>
            <w:r w:rsidRPr="00482B3D">
              <w:rPr>
                <w:b/>
                <w:bCs/>
                <w:sz w:val="20"/>
                <w:szCs w:val="20"/>
                <w:lang w:val="hr-BA"/>
              </w:rPr>
              <w:t>Ciljna vrijednost 2026.</w:t>
            </w:r>
          </w:p>
        </w:tc>
      </w:tr>
      <w:tr w:rsidR="005D2C45" w:rsidRPr="00482B3D" w14:paraId="47998908" w14:textId="77777777" w:rsidTr="006C691C">
        <w:tc>
          <w:tcPr>
            <w:cnfStyle w:val="001000000000" w:firstRow="0" w:lastRow="0" w:firstColumn="1" w:lastColumn="0" w:oddVBand="0" w:evenVBand="0" w:oddHBand="0" w:evenHBand="0" w:firstRowFirstColumn="0" w:firstRowLastColumn="0" w:lastRowFirstColumn="0" w:lastRowLastColumn="0"/>
            <w:tcW w:w="1605" w:type="dxa"/>
          </w:tcPr>
          <w:p w14:paraId="4FD034C7" w14:textId="31244EB8" w:rsidR="005D2C45" w:rsidRPr="00482B3D" w:rsidRDefault="005D2C45" w:rsidP="005D2C45">
            <w:pPr>
              <w:jc w:val="both"/>
              <w:rPr>
                <w:b w:val="0"/>
                <w:bCs w:val="0"/>
                <w:sz w:val="20"/>
                <w:szCs w:val="20"/>
                <w:lang w:val="hr-BA"/>
              </w:rPr>
            </w:pPr>
            <w:r w:rsidRPr="00482B3D">
              <w:rPr>
                <w:b w:val="0"/>
                <w:bCs w:val="0"/>
                <w:sz w:val="20"/>
                <w:szCs w:val="20"/>
                <w:lang w:val="hr-BA"/>
              </w:rPr>
              <w:t xml:space="preserve">Smanjeno učešće sive ekonomije u BDP </w:t>
            </w:r>
          </w:p>
        </w:tc>
        <w:tc>
          <w:tcPr>
            <w:tcW w:w="1481" w:type="dxa"/>
          </w:tcPr>
          <w:p w14:paraId="0185A2F1" w14:textId="58ECB831" w:rsidR="005D2C45" w:rsidRPr="00482B3D" w:rsidRDefault="005D2C45" w:rsidP="005D2C45">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sidRPr="00482B3D">
              <w:rPr>
                <w:sz w:val="20"/>
                <w:szCs w:val="20"/>
                <w:lang w:val="hr-BA"/>
              </w:rPr>
              <w:t>Siva ekonomija kao % BDP</w:t>
            </w:r>
            <w:r w:rsidR="00BF7E70">
              <w:rPr>
                <w:rStyle w:val="FootnoteReference"/>
                <w:sz w:val="20"/>
                <w:szCs w:val="20"/>
                <w:lang w:val="hr-BA"/>
              </w:rPr>
              <w:footnoteReference w:id="25"/>
            </w:r>
          </w:p>
        </w:tc>
        <w:tc>
          <w:tcPr>
            <w:tcW w:w="1704" w:type="dxa"/>
          </w:tcPr>
          <w:p w14:paraId="7EC8B98F" w14:textId="77777777" w:rsidR="005D2C45" w:rsidRPr="00482B3D" w:rsidRDefault="005D2C45" w:rsidP="005D2C45">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sidRPr="00482B3D">
              <w:rPr>
                <w:sz w:val="20"/>
                <w:szCs w:val="20"/>
                <w:lang w:val="hr-BA"/>
              </w:rPr>
              <w:t>MF, anketno istraživanje</w:t>
            </w:r>
          </w:p>
        </w:tc>
        <w:tc>
          <w:tcPr>
            <w:tcW w:w="1605" w:type="dxa"/>
          </w:tcPr>
          <w:p w14:paraId="7583A420" w14:textId="5F8DF33A" w:rsidR="005D2C45" w:rsidRPr="00482B3D" w:rsidRDefault="005D2C45" w:rsidP="005D2C45">
            <w:pPr>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482B3D">
              <w:rPr>
                <w:sz w:val="20"/>
                <w:szCs w:val="20"/>
                <w:lang w:val="en-GB"/>
              </w:rPr>
              <w:t>20,6</w:t>
            </w:r>
            <w:r w:rsidR="00A4700F">
              <w:rPr>
                <w:rStyle w:val="FootnoteReference"/>
                <w:sz w:val="20"/>
                <w:szCs w:val="20"/>
                <w:lang w:val="en-GB"/>
              </w:rPr>
              <w:footnoteReference w:id="26"/>
            </w:r>
          </w:p>
        </w:tc>
        <w:tc>
          <w:tcPr>
            <w:tcW w:w="1300" w:type="dxa"/>
          </w:tcPr>
          <w:p w14:paraId="563C4AB2" w14:textId="1F5C4791" w:rsidR="005D2C45" w:rsidRPr="00C30C31" w:rsidRDefault="00503333" w:rsidP="005D2C45">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sidRPr="00C30C31">
              <w:rPr>
                <w:sz w:val="20"/>
                <w:szCs w:val="20"/>
                <w:lang w:val="hr-BA"/>
              </w:rPr>
              <w:t>15,4-17,5</w:t>
            </w:r>
          </w:p>
        </w:tc>
        <w:tc>
          <w:tcPr>
            <w:tcW w:w="1655" w:type="dxa"/>
          </w:tcPr>
          <w:p w14:paraId="620A7E3B" w14:textId="23F5BC09" w:rsidR="005D2C45" w:rsidRPr="00C30C31" w:rsidRDefault="00503333" w:rsidP="005D2C45">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sidRPr="00C30C31">
              <w:rPr>
                <w:sz w:val="20"/>
                <w:szCs w:val="20"/>
                <w:lang w:val="hr-BA"/>
              </w:rPr>
              <w:t>15,2-17,2</w:t>
            </w:r>
          </w:p>
        </w:tc>
      </w:tr>
      <w:tr w:rsidR="00006697" w:rsidRPr="00482B3D" w14:paraId="6BD8A6EC" w14:textId="77777777" w:rsidTr="006C691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605" w:type="dxa"/>
          </w:tcPr>
          <w:p w14:paraId="682ACB73" w14:textId="4184278C" w:rsidR="00006697" w:rsidRPr="00482B3D" w:rsidRDefault="00006697" w:rsidP="00006697">
            <w:pPr>
              <w:jc w:val="both"/>
              <w:rPr>
                <w:b w:val="0"/>
                <w:bCs w:val="0"/>
                <w:sz w:val="20"/>
                <w:szCs w:val="20"/>
                <w:lang w:val="hr-BA"/>
              </w:rPr>
            </w:pPr>
            <w:r w:rsidRPr="00482B3D">
              <w:rPr>
                <w:b w:val="0"/>
                <w:bCs w:val="0"/>
                <w:sz w:val="20"/>
                <w:szCs w:val="20"/>
                <w:lang w:val="hr-BA"/>
              </w:rPr>
              <w:t>Povećan</w:t>
            </w:r>
            <w:r w:rsidR="003D2BF3">
              <w:rPr>
                <w:b w:val="0"/>
                <w:bCs w:val="0"/>
                <w:sz w:val="20"/>
                <w:szCs w:val="20"/>
                <w:lang w:val="hr-BA"/>
              </w:rPr>
              <w:t>i</w:t>
            </w:r>
            <w:r w:rsidRPr="00482B3D">
              <w:rPr>
                <w:b w:val="0"/>
                <w:bCs w:val="0"/>
                <w:sz w:val="20"/>
                <w:szCs w:val="20"/>
                <w:lang w:val="hr-BA"/>
              </w:rPr>
              <w:t xml:space="preserve">  izvorni javni prihod</w:t>
            </w:r>
            <w:r w:rsidR="003D2BF3">
              <w:rPr>
                <w:b w:val="0"/>
                <w:bCs w:val="0"/>
                <w:sz w:val="20"/>
                <w:szCs w:val="20"/>
                <w:lang w:val="hr-BA"/>
              </w:rPr>
              <w:t>i</w:t>
            </w:r>
            <w:r w:rsidRPr="00482B3D">
              <w:rPr>
                <w:b w:val="0"/>
                <w:bCs w:val="0"/>
                <w:sz w:val="20"/>
                <w:szCs w:val="20"/>
                <w:lang w:val="hr-BA"/>
              </w:rPr>
              <w:t xml:space="preserve"> u odnosu na BDP</w:t>
            </w:r>
          </w:p>
        </w:tc>
        <w:tc>
          <w:tcPr>
            <w:tcW w:w="1481" w:type="dxa"/>
          </w:tcPr>
          <w:p w14:paraId="4CCBE8EC" w14:textId="137711F6" w:rsidR="00006697" w:rsidRPr="00482B3D" w:rsidRDefault="00006697" w:rsidP="00006697">
            <w:pPr>
              <w:jc w:val="both"/>
              <w:cnfStyle w:val="000000100000" w:firstRow="0" w:lastRow="0" w:firstColumn="0" w:lastColumn="0" w:oddVBand="0" w:evenVBand="0" w:oddHBand="1" w:evenHBand="0" w:firstRowFirstColumn="0" w:firstRowLastColumn="0" w:lastRowFirstColumn="0" w:lastRowLastColumn="0"/>
              <w:rPr>
                <w:sz w:val="20"/>
                <w:szCs w:val="20"/>
                <w:lang w:val="hr-BA"/>
              </w:rPr>
            </w:pPr>
            <w:r w:rsidRPr="00482B3D">
              <w:rPr>
                <w:sz w:val="20"/>
                <w:szCs w:val="20"/>
                <w:lang w:val="hr-BA"/>
              </w:rPr>
              <w:t>Izvorni javni  prihodi kao % BDP</w:t>
            </w:r>
          </w:p>
        </w:tc>
        <w:tc>
          <w:tcPr>
            <w:tcW w:w="1704" w:type="dxa"/>
          </w:tcPr>
          <w:p w14:paraId="45B38006" w14:textId="3A4A9817" w:rsidR="00006697" w:rsidRPr="00482B3D" w:rsidRDefault="00006697" w:rsidP="00006697">
            <w:pPr>
              <w:jc w:val="both"/>
              <w:cnfStyle w:val="000000100000" w:firstRow="0" w:lastRow="0" w:firstColumn="0" w:lastColumn="0" w:oddVBand="0" w:evenVBand="0" w:oddHBand="1" w:evenHBand="0" w:firstRowFirstColumn="0" w:firstRowLastColumn="0" w:lastRowFirstColumn="0" w:lastRowLastColumn="0"/>
              <w:rPr>
                <w:sz w:val="20"/>
                <w:szCs w:val="20"/>
                <w:lang w:val="hr-BA"/>
              </w:rPr>
            </w:pPr>
            <w:r w:rsidRPr="00482B3D">
              <w:rPr>
                <w:sz w:val="20"/>
                <w:szCs w:val="20"/>
                <w:lang w:val="hr-BA"/>
              </w:rPr>
              <w:t>MF, UP</w:t>
            </w:r>
            <w:r w:rsidR="00467ED6">
              <w:rPr>
                <w:sz w:val="20"/>
                <w:szCs w:val="20"/>
                <w:lang w:val="hr-BA"/>
              </w:rPr>
              <w:t>C</w:t>
            </w:r>
          </w:p>
        </w:tc>
        <w:tc>
          <w:tcPr>
            <w:tcW w:w="1605" w:type="dxa"/>
          </w:tcPr>
          <w:p w14:paraId="12433B4D" w14:textId="0C8FDD59" w:rsidR="00006697" w:rsidRPr="00482B3D" w:rsidRDefault="00006697" w:rsidP="00006697">
            <w:pPr>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482B3D">
              <w:rPr>
                <w:sz w:val="20"/>
                <w:szCs w:val="20"/>
                <w:lang w:val="en-GB"/>
              </w:rPr>
              <w:t>40,3</w:t>
            </w:r>
          </w:p>
        </w:tc>
        <w:tc>
          <w:tcPr>
            <w:tcW w:w="1300" w:type="dxa"/>
          </w:tcPr>
          <w:p w14:paraId="3846B9A3" w14:textId="2DB11B43" w:rsidR="00006697" w:rsidRPr="00482B3D" w:rsidRDefault="00006697" w:rsidP="00006697">
            <w:pPr>
              <w:jc w:val="both"/>
              <w:cnfStyle w:val="000000100000" w:firstRow="0" w:lastRow="0" w:firstColumn="0" w:lastColumn="0" w:oddVBand="0" w:evenVBand="0" w:oddHBand="1" w:evenHBand="0" w:firstRowFirstColumn="0" w:firstRowLastColumn="0" w:lastRowFirstColumn="0" w:lastRowLastColumn="0"/>
              <w:rPr>
                <w:sz w:val="20"/>
                <w:szCs w:val="20"/>
                <w:lang w:val="hr-BA"/>
              </w:rPr>
            </w:pPr>
            <w:r w:rsidRPr="00482B3D">
              <w:rPr>
                <w:sz w:val="20"/>
                <w:szCs w:val="20"/>
                <w:lang w:val="hr-BA"/>
              </w:rPr>
              <w:t>40,5</w:t>
            </w:r>
          </w:p>
        </w:tc>
        <w:tc>
          <w:tcPr>
            <w:tcW w:w="1655" w:type="dxa"/>
          </w:tcPr>
          <w:p w14:paraId="0C4C72B1" w14:textId="6F1EEF7F" w:rsidR="00006697" w:rsidRPr="00482B3D" w:rsidRDefault="00006697" w:rsidP="00006697">
            <w:pPr>
              <w:jc w:val="both"/>
              <w:cnfStyle w:val="000000100000" w:firstRow="0" w:lastRow="0" w:firstColumn="0" w:lastColumn="0" w:oddVBand="0" w:evenVBand="0" w:oddHBand="1" w:evenHBand="0" w:firstRowFirstColumn="0" w:firstRowLastColumn="0" w:lastRowFirstColumn="0" w:lastRowLastColumn="0"/>
              <w:rPr>
                <w:sz w:val="20"/>
                <w:szCs w:val="20"/>
                <w:lang w:val="hr-BA"/>
              </w:rPr>
            </w:pPr>
            <w:r w:rsidRPr="00482B3D">
              <w:rPr>
                <w:sz w:val="20"/>
                <w:szCs w:val="20"/>
                <w:lang w:val="hr-BA"/>
              </w:rPr>
              <w:t>4</w:t>
            </w:r>
            <w:r w:rsidR="007D1D90">
              <w:rPr>
                <w:sz w:val="20"/>
                <w:szCs w:val="20"/>
                <w:lang w:val="hr-BA"/>
              </w:rPr>
              <w:t>0,7</w:t>
            </w:r>
            <w:r w:rsidRPr="00482B3D">
              <w:rPr>
                <w:rStyle w:val="FootnoteReference"/>
                <w:sz w:val="20"/>
                <w:szCs w:val="20"/>
                <w:lang w:val="hr-BA"/>
              </w:rPr>
              <w:footnoteReference w:id="27"/>
            </w:r>
          </w:p>
        </w:tc>
      </w:tr>
      <w:tr w:rsidR="00467ED6" w:rsidRPr="00467ED6" w14:paraId="529F3174" w14:textId="77777777" w:rsidTr="006C691C">
        <w:tc>
          <w:tcPr>
            <w:cnfStyle w:val="001000000000" w:firstRow="0" w:lastRow="0" w:firstColumn="1" w:lastColumn="0" w:oddVBand="0" w:evenVBand="0" w:oddHBand="0" w:evenHBand="0" w:firstRowFirstColumn="0" w:firstRowLastColumn="0" w:lastRowFirstColumn="0" w:lastRowLastColumn="0"/>
            <w:tcW w:w="1605" w:type="dxa"/>
          </w:tcPr>
          <w:p w14:paraId="03966977" w14:textId="11BFEB83" w:rsidR="00467ED6" w:rsidRPr="00467ED6" w:rsidRDefault="00467ED6" w:rsidP="00006697">
            <w:pPr>
              <w:jc w:val="both"/>
              <w:rPr>
                <w:b w:val="0"/>
                <w:bCs w:val="0"/>
                <w:sz w:val="20"/>
                <w:szCs w:val="20"/>
                <w:lang w:val="hr-BA"/>
              </w:rPr>
            </w:pPr>
            <w:r w:rsidRPr="00467ED6">
              <w:rPr>
                <w:b w:val="0"/>
                <w:bCs w:val="0"/>
                <w:sz w:val="20"/>
                <w:szCs w:val="20"/>
                <w:lang w:val="hr-BA"/>
              </w:rPr>
              <w:t>Smanjeno učešće neregistrovanih ekonomskih aktivnosti</w:t>
            </w:r>
            <w:r w:rsidR="00BF7E70">
              <w:rPr>
                <w:b w:val="0"/>
                <w:bCs w:val="0"/>
                <w:sz w:val="20"/>
                <w:szCs w:val="20"/>
                <w:lang w:val="hr-BA"/>
              </w:rPr>
              <w:t xml:space="preserve"> </w:t>
            </w:r>
            <w:r>
              <w:rPr>
                <w:b w:val="0"/>
                <w:bCs w:val="0"/>
                <w:sz w:val="20"/>
                <w:szCs w:val="20"/>
                <w:lang w:val="hr-BA"/>
              </w:rPr>
              <w:t>u ekonomiji</w:t>
            </w:r>
          </w:p>
        </w:tc>
        <w:tc>
          <w:tcPr>
            <w:tcW w:w="1481" w:type="dxa"/>
          </w:tcPr>
          <w:p w14:paraId="3C58B101" w14:textId="033F0936" w:rsidR="00467ED6" w:rsidRPr="00467ED6" w:rsidRDefault="00BF7E70" w:rsidP="00006697">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Pr>
                <w:sz w:val="20"/>
                <w:szCs w:val="20"/>
                <w:lang w:val="hr-BA"/>
              </w:rPr>
              <w:t>Procijenjena vrijednost poslovanja neregistrovanih biznisa</w:t>
            </w:r>
            <w:r w:rsidR="00467ED6" w:rsidRPr="00467ED6">
              <w:rPr>
                <w:sz w:val="20"/>
                <w:szCs w:val="20"/>
                <w:lang w:val="hr-BA"/>
              </w:rPr>
              <w:t xml:space="preserve"> kao % BDP</w:t>
            </w:r>
          </w:p>
        </w:tc>
        <w:tc>
          <w:tcPr>
            <w:tcW w:w="1704" w:type="dxa"/>
          </w:tcPr>
          <w:p w14:paraId="318B44BD" w14:textId="164F0983" w:rsidR="00467ED6" w:rsidRPr="00467ED6" w:rsidRDefault="00467ED6" w:rsidP="00006697">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Pr>
                <w:sz w:val="20"/>
                <w:szCs w:val="20"/>
                <w:lang w:val="hr-BA"/>
              </w:rPr>
              <w:t>MF</w:t>
            </w:r>
            <w:r w:rsidR="00BF7E70">
              <w:rPr>
                <w:sz w:val="20"/>
                <w:szCs w:val="20"/>
                <w:lang w:val="hr-BA"/>
              </w:rPr>
              <w:t>, a</w:t>
            </w:r>
            <w:r w:rsidR="003D2BF3">
              <w:rPr>
                <w:sz w:val="20"/>
                <w:szCs w:val="20"/>
                <w:lang w:val="hr-BA"/>
              </w:rPr>
              <w:t>n</w:t>
            </w:r>
            <w:r w:rsidR="00BF7E70">
              <w:rPr>
                <w:sz w:val="20"/>
                <w:szCs w:val="20"/>
                <w:lang w:val="hr-BA"/>
              </w:rPr>
              <w:t>ketno istraživanje</w:t>
            </w:r>
          </w:p>
        </w:tc>
        <w:tc>
          <w:tcPr>
            <w:tcW w:w="1605" w:type="dxa"/>
          </w:tcPr>
          <w:p w14:paraId="46D8C42D" w14:textId="5A77E886" w:rsidR="00467ED6" w:rsidRPr="00467ED6" w:rsidRDefault="00467ED6" w:rsidP="00006697">
            <w:pPr>
              <w:jc w:val="both"/>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w:t>
            </w:r>
          </w:p>
        </w:tc>
        <w:tc>
          <w:tcPr>
            <w:tcW w:w="1300" w:type="dxa"/>
          </w:tcPr>
          <w:p w14:paraId="04EAD110" w14:textId="45203745" w:rsidR="00467ED6" w:rsidRPr="00467ED6" w:rsidRDefault="00467ED6" w:rsidP="00006697">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Pr>
                <w:sz w:val="20"/>
                <w:szCs w:val="20"/>
                <w:lang w:val="hr-BA"/>
              </w:rPr>
              <w:t>-</w:t>
            </w:r>
          </w:p>
        </w:tc>
        <w:tc>
          <w:tcPr>
            <w:tcW w:w="1655" w:type="dxa"/>
          </w:tcPr>
          <w:p w14:paraId="3F62F6B4" w14:textId="688EDE3B" w:rsidR="00467ED6" w:rsidRPr="00467ED6" w:rsidRDefault="003D2BF3" w:rsidP="00006697">
            <w:pPr>
              <w:jc w:val="both"/>
              <w:cnfStyle w:val="000000000000" w:firstRow="0" w:lastRow="0" w:firstColumn="0" w:lastColumn="0" w:oddVBand="0" w:evenVBand="0" w:oddHBand="0" w:evenHBand="0" w:firstRowFirstColumn="0" w:firstRowLastColumn="0" w:lastRowFirstColumn="0" w:lastRowLastColumn="0"/>
              <w:rPr>
                <w:sz w:val="20"/>
                <w:szCs w:val="20"/>
                <w:lang w:val="hr-BA"/>
              </w:rPr>
            </w:pPr>
            <w:r>
              <w:rPr>
                <w:sz w:val="20"/>
                <w:szCs w:val="20"/>
                <w:lang w:val="hr-BA"/>
              </w:rPr>
              <w:t>10-</w:t>
            </w:r>
            <w:r w:rsidR="00627AA5">
              <w:rPr>
                <w:sz w:val="20"/>
                <w:szCs w:val="20"/>
                <w:lang w:val="hr-BA"/>
              </w:rPr>
              <w:t>15</w:t>
            </w:r>
          </w:p>
        </w:tc>
      </w:tr>
    </w:tbl>
    <w:p w14:paraId="53690D49" w14:textId="77777777" w:rsidR="002A7C54" w:rsidRPr="00482B3D" w:rsidRDefault="002A7C54" w:rsidP="002A7C54">
      <w:pPr>
        <w:jc w:val="both"/>
        <w:rPr>
          <w:sz w:val="20"/>
          <w:szCs w:val="20"/>
        </w:rPr>
      </w:pPr>
    </w:p>
    <w:p w14:paraId="18453219" w14:textId="64E0209D" w:rsidR="002A7C54" w:rsidRPr="008D5F1B" w:rsidRDefault="002A7C54" w:rsidP="002A7C54">
      <w:pPr>
        <w:jc w:val="both"/>
        <w:rPr>
          <w:sz w:val="24"/>
          <w:szCs w:val="24"/>
        </w:rPr>
      </w:pPr>
      <w:proofErr w:type="spellStart"/>
      <w:r w:rsidRPr="008D5F1B">
        <w:rPr>
          <w:sz w:val="24"/>
          <w:szCs w:val="24"/>
        </w:rPr>
        <w:t>Opšti</w:t>
      </w:r>
      <w:proofErr w:type="spellEnd"/>
      <w:r w:rsidRPr="008D5F1B">
        <w:rPr>
          <w:sz w:val="24"/>
          <w:szCs w:val="24"/>
        </w:rPr>
        <w:t xml:space="preserve"> </w:t>
      </w:r>
      <w:proofErr w:type="spellStart"/>
      <w:r w:rsidRPr="008D5F1B">
        <w:rPr>
          <w:sz w:val="24"/>
          <w:szCs w:val="24"/>
        </w:rPr>
        <w:t>cilj</w:t>
      </w:r>
      <w:proofErr w:type="spellEnd"/>
      <w:r w:rsidRPr="008D5F1B">
        <w:rPr>
          <w:sz w:val="24"/>
          <w:szCs w:val="24"/>
        </w:rPr>
        <w:t xml:space="preserve"> </w:t>
      </w:r>
      <w:proofErr w:type="spellStart"/>
      <w:r w:rsidRPr="008D5F1B">
        <w:rPr>
          <w:sz w:val="24"/>
          <w:szCs w:val="24"/>
        </w:rPr>
        <w:t>Programa</w:t>
      </w:r>
      <w:proofErr w:type="spellEnd"/>
      <w:r w:rsidRPr="008D5F1B">
        <w:rPr>
          <w:sz w:val="24"/>
          <w:szCs w:val="24"/>
        </w:rPr>
        <w:t xml:space="preserve">, </w:t>
      </w:r>
      <w:proofErr w:type="spellStart"/>
      <w:r w:rsidRPr="008D5F1B">
        <w:rPr>
          <w:sz w:val="24"/>
          <w:szCs w:val="24"/>
        </w:rPr>
        <w:t>operacionali</w:t>
      </w:r>
      <w:r w:rsidR="007C0E18" w:rsidRPr="008D5F1B">
        <w:rPr>
          <w:sz w:val="24"/>
          <w:szCs w:val="24"/>
        </w:rPr>
        <w:t>z</w:t>
      </w:r>
      <w:r w:rsidRPr="008D5F1B">
        <w:rPr>
          <w:sz w:val="24"/>
          <w:szCs w:val="24"/>
        </w:rPr>
        <w:t>ovaće</w:t>
      </w:r>
      <w:proofErr w:type="spellEnd"/>
      <w:r w:rsidRPr="008D5F1B">
        <w:rPr>
          <w:sz w:val="24"/>
          <w:szCs w:val="24"/>
        </w:rPr>
        <w:t xml:space="preserve"> se </w:t>
      </w:r>
      <w:proofErr w:type="spellStart"/>
      <w:r w:rsidRPr="008D5F1B">
        <w:rPr>
          <w:sz w:val="24"/>
          <w:szCs w:val="24"/>
        </w:rPr>
        <w:t>kroz</w:t>
      </w:r>
      <w:proofErr w:type="spellEnd"/>
      <w:r w:rsidRPr="008D5F1B">
        <w:rPr>
          <w:sz w:val="24"/>
          <w:szCs w:val="24"/>
        </w:rPr>
        <w:t xml:space="preserve"> pet </w:t>
      </w:r>
      <w:proofErr w:type="spellStart"/>
      <w:r w:rsidRPr="008D5F1B">
        <w:rPr>
          <w:sz w:val="24"/>
          <w:szCs w:val="24"/>
        </w:rPr>
        <w:t>operativnih</w:t>
      </w:r>
      <w:proofErr w:type="spellEnd"/>
      <w:r w:rsidRPr="008D5F1B">
        <w:rPr>
          <w:sz w:val="24"/>
          <w:szCs w:val="24"/>
        </w:rPr>
        <w:t xml:space="preserve"> </w:t>
      </w:r>
      <w:proofErr w:type="spellStart"/>
      <w:r w:rsidRPr="008D5F1B">
        <w:rPr>
          <w:sz w:val="24"/>
          <w:szCs w:val="24"/>
        </w:rPr>
        <w:t>ciljeva</w:t>
      </w:r>
      <w:proofErr w:type="spellEnd"/>
      <w:r w:rsidRPr="008D5F1B">
        <w:rPr>
          <w:sz w:val="24"/>
          <w:szCs w:val="24"/>
        </w:rPr>
        <w:t xml:space="preserve"> </w:t>
      </w:r>
      <w:proofErr w:type="spellStart"/>
      <w:r w:rsidRPr="008D5F1B">
        <w:rPr>
          <w:sz w:val="24"/>
          <w:szCs w:val="24"/>
        </w:rPr>
        <w:t>koji</w:t>
      </w:r>
      <w:proofErr w:type="spellEnd"/>
      <w:r w:rsidRPr="008D5F1B">
        <w:rPr>
          <w:sz w:val="24"/>
          <w:szCs w:val="24"/>
        </w:rPr>
        <w:t xml:space="preserve"> se </w:t>
      </w:r>
      <w:proofErr w:type="spellStart"/>
      <w:r w:rsidRPr="008D5F1B">
        <w:rPr>
          <w:sz w:val="24"/>
          <w:szCs w:val="24"/>
        </w:rPr>
        <w:t>ostvaruju</w:t>
      </w:r>
      <w:proofErr w:type="spellEnd"/>
      <w:r w:rsidRPr="008D5F1B">
        <w:rPr>
          <w:sz w:val="24"/>
          <w:szCs w:val="24"/>
        </w:rPr>
        <w:t xml:space="preserve"> </w:t>
      </w:r>
      <w:proofErr w:type="spellStart"/>
      <w:r w:rsidRPr="008D5F1B">
        <w:rPr>
          <w:sz w:val="24"/>
          <w:szCs w:val="24"/>
        </w:rPr>
        <w:t>sublimacijom</w:t>
      </w:r>
      <w:proofErr w:type="spellEnd"/>
      <w:r w:rsidRPr="008D5F1B">
        <w:rPr>
          <w:sz w:val="24"/>
          <w:szCs w:val="24"/>
        </w:rPr>
        <w:t xml:space="preserve"> </w:t>
      </w:r>
      <w:proofErr w:type="spellStart"/>
      <w:r w:rsidRPr="008D5F1B">
        <w:rPr>
          <w:sz w:val="24"/>
          <w:szCs w:val="24"/>
        </w:rPr>
        <w:t>rješenja</w:t>
      </w:r>
      <w:proofErr w:type="spellEnd"/>
      <w:r w:rsidRPr="008D5F1B">
        <w:rPr>
          <w:sz w:val="24"/>
          <w:szCs w:val="24"/>
        </w:rPr>
        <w:t xml:space="preserve"> u </w:t>
      </w:r>
      <w:proofErr w:type="spellStart"/>
      <w:r w:rsidRPr="008D5F1B">
        <w:rPr>
          <w:sz w:val="24"/>
          <w:szCs w:val="24"/>
        </w:rPr>
        <w:t>prevazilaženju</w:t>
      </w:r>
      <w:proofErr w:type="spellEnd"/>
      <w:r w:rsidRPr="008D5F1B">
        <w:rPr>
          <w:sz w:val="24"/>
          <w:szCs w:val="24"/>
        </w:rPr>
        <w:t xml:space="preserve"> </w:t>
      </w:r>
      <w:proofErr w:type="spellStart"/>
      <w:r w:rsidRPr="008D5F1B">
        <w:rPr>
          <w:sz w:val="24"/>
          <w:szCs w:val="24"/>
        </w:rPr>
        <w:t>identifikovanih</w:t>
      </w:r>
      <w:proofErr w:type="spellEnd"/>
      <w:r w:rsidRPr="008D5F1B">
        <w:rPr>
          <w:sz w:val="24"/>
          <w:szCs w:val="24"/>
        </w:rPr>
        <w:t xml:space="preserve"> </w:t>
      </w:r>
      <w:proofErr w:type="spellStart"/>
      <w:r w:rsidRPr="008D5F1B">
        <w:rPr>
          <w:sz w:val="24"/>
          <w:szCs w:val="24"/>
        </w:rPr>
        <w:t>uzroka</w:t>
      </w:r>
      <w:proofErr w:type="spellEnd"/>
      <w:r w:rsidRPr="008D5F1B">
        <w:rPr>
          <w:sz w:val="24"/>
          <w:szCs w:val="24"/>
        </w:rPr>
        <w:t xml:space="preserve"> </w:t>
      </w:r>
      <w:proofErr w:type="spellStart"/>
      <w:r w:rsidRPr="008D5F1B">
        <w:rPr>
          <w:sz w:val="24"/>
          <w:szCs w:val="24"/>
        </w:rPr>
        <w:t>neformalne</w:t>
      </w:r>
      <w:proofErr w:type="spellEnd"/>
      <w:r w:rsidRPr="008D5F1B">
        <w:rPr>
          <w:sz w:val="24"/>
          <w:szCs w:val="24"/>
        </w:rPr>
        <w:t xml:space="preserve"> </w:t>
      </w:r>
      <w:proofErr w:type="spellStart"/>
      <w:r w:rsidRPr="008D5F1B">
        <w:rPr>
          <w:sz w:val="24"/>
          <w:szCs w:val="24"/>
        </w:rPr>
        <w:t>ekonomije</w:t>
      </w:r>
      <w:proofErr w:type="spellEnd"/>
      <w:r w:rsidRPr="008D5F1B">
        <w:rPr>
          <w:sz w:val="24"/>
          <w:szCs w:val="24"/>
        </w:rPr>
        <w:t xml:space="preserve">, </w:t>
      </w:r>
      <w:proofErr w:type="spellStart"/>
      <w:r w:rsidRPr="008D5F1B">
        <w:rPr>
          <w:sz w:val="24"/>
          <w:szCs w:val="24"/>
        </w:rPr>
        <w:t>ko</w:t>
      </w:r>
      <w:r w:rsidR="00B96872" w:rsidRPr="008D5F1B">
        <w:rPr>
          <w:sz w:val="24"/>
          <w:szCs w:val="24"/>
        </w:rPr>
        <w:t>ja</w:t>
      </w:r>
      <w:proofErr w:type="spellEnd"/>
      <w:r w:rsidRPr="008D5F1B">
        <w:rPr>
          <w:sz w:val="24"/>
          <w:szCs w:val="24"/>
        </w:rPr>
        <w:t xml:space="preserve"> </w:t>
      </w:r>
      <w:proofErr w:type="spellStart"/>
      <w:r w:rsidRPr="008D5F1B">
        <w:rPr>
          <w:sz w:val="24"/>
          <w:szCs w:val="24"/>
        </w:rPr>
        <w:t>obuhvataju</w:t>
      </w:r>
      <w:proofErr w:type="spellEnd"/>
      <w:r w:rsidRPr="008D5F1B">
        <w:rPr>
          <w:sz w:val="24"/>
          <w:szCs w:val="24"/>
        </w:rPr>
        <w:t>:</w:t>
      </w:r>
    </w:p>
    <w:p w14:paraId="319FBAAE" w14:textId="41B13215" w:rsidR="002A7C54" w:rsidRDefault="002A7C54" w:rsidP="002A7C54">
      <w:pPr>
        <w:jc w:val="both"/>
        <w:rPr>
          <w:sz w:val="24"/>
          <w:szCs w:val="24"/>
        </w:rPr>
      </w:pPr>
      <w:r w:rsidRPr="008D5F1B">
        <w:rPr>
          <w:sz w:val="24"/>
          <w:szCs w:val="24"/>
        </w:rPr>
        <w:t xml:space="preserve">- </w:t>
      </w:r>
      <w:proofErr w:type="spellStart"/>
      <w:r w:rsidR="0018197B">
        <w:rPr>
          <w:sz w:val="24"/>
          <w:szCs w:val="24"/>
        </w:rPr>
        <w:t>s</w:t>
      </w:r>
      <w:r w:rsidR="006A7C3A" w:rsidRPr="008D5F1B">
        <w:rPr>
          <w:sz w:val="24"/>
          <w:szCs w:val="24"/>
        </w:rPr>
        <w:t>timula</w:t>
      </w:r>
      <w:r w:rsidR="00191E68" w:rsidRPr="008D5F1B">
        <w:rPr>
          <w:sz w:val="24"/>
          <w:szCs w:val="24"/>
        </w:rPr>
        <w:t>t</w:t>
      </w:r>
      <w:r w:rsidR="006A7C3A" w:rsidRPr="008D5F1B">
        <w:rPr>
          <w:sz w:val="24"/>
          <w:szCs w:val="24"/>
        </w:rPr>
        <w:t>ivne</w:t>
      </w:r>
      <w:proofErr w:type="spellEnd"/>
      <w:r w:rsidR="006C691C">
        <w:rPr>
          <w:sz w:val="24"/>
          <w:szCs w:val="24"/>
        </w:rPr>
        <w:t xml:space="preserve"> </w:t>
      </w:r>
      <w:proofErr w:type="spellStart"/>
      <w:r w:rsidR="006C691C">
        <w:rPr>
          <w:sz w:val="24"/>
          <w:szCs w:val="24"/>
        </w:rPr>
        <w:t>i</w:t>
      </w:r>
      <w:proofErr w:type="spellEnd"/>
      <w:r w:rsidR="006C691C">
        <w:rPr>
          <w:sz w:val="24"/>
          <w:szCs w:val="24"/>
        </w:rPr>
        <w:t xml:space="preserve"> </w:t>
      </w:r>
      <w:proofErr w:type="spellStart"/>
      <w:r w:rsidR="006C691C">
        <w:rPr>
          <w:sz w:val="24"/>
          <w:szCs w:val="24"/>
        </w:rPr>
        <w:t>preventivne</w:t>
      </w:r>
      <w:proofErr w:type="spellEnd"/>
      <w:r w:rsidRPr="008D5F1B">
        <w:rPr>
          <w:sz w:val="24"/>
          <w:szCs w:val="24"/>
        </w:rPr>
        <w:t xml:space="preserve"> </w:t>
      </w:r>
      <w:proofErr w:type="spellStart"/>
      <w:r w:rsidRPr="008D5F1B">
        <w:rPr>
          <w:sz w:val="24"/>
          <w:szCs w:val="24"/>
        </w:rPr>
        <w:t>akcije</w:t>
      </w:r>
      <w:proofErr w:type="spellEnd"/>
      <w:r w:rsidRPr="008D5F1B">
        <w:rPr>
          <w:sz w:val="24"/>
          <w:szCs w:val="24"/>
        </w:rPr>
        <w:t xml:space="preserve"> u </w:t>
      </w:r>
      <w:proofErr w:type="spellStart"/>
      <w:r w:rsidRPr="008D5F1B">
        <w:rPr>
          <w:sz w:val="24"/>
          <w:szCs w:val="24"/>
        </w:rPr>
        <w:t>cilju</w:t>
      </w:r>
      <w:proofErr w:type="spellEnd"/>
      <w:r w:rsidRPr="008D5F1B">
        <w:rPr>
          <w:sz w:val="24"/>
          <w:szCs w:val="24"/>
        </w:rPr>
        <w:t xml:space="preserve"> </w:t>
      </w:r>
      <w:proofErr w:type="spellStart"/>
      <w:r w:rsidRPr="008D5F1B">
        <w:rPr>
          <w:sz w:val="24"/>
          <w:szCs w:val="24"/>
        </w:rPr>
        <w:t>pojednostavljenja</w:t>
      </w:r>
      <w:proofErr w:type="spellEnd"/>
      <w:r w:rsidRPr="008D5F1B">
        <w:rPr>
          <w:sz w:val="24"/>
          <w:szCs w:val="24"/>
        </w:rPr>
        <w:t xml:space="preserve"> </w:t>
      </w:r>
      <w:proofErr w:type="spellStart"/>
      <w:r w:rsidRPr="008D5F1B">
        <w:rPr>
          <w:sz w:val="24"/>
          <w:szCs w:val="24"/>
        </w:rPr>
        <w:t>procedura</w:t>
      </w:r>
      <w:proofErr w:type="spellEnd"/>
      <w:r w:rsidRPr="008D5F1B">
        <w:rPr>
          <w:sz w:val="24"/>
          <w:szCs w:val="24"/>
        </w:rPr>
        <w:t xml:space="preserve"> u </w:t>
      </w:r>
      <w:proofErr w:type="spellStart"/>
      <w:r w:rsidRPr="008D5F1B">
        <w:rPr>
          <w:sz w:val="24"/>
          <w:szCs w:val="24"/>
        </w:rPr>
        <w:t>smanjenja</w:t>
      </w:r>
      <w:proofErr w:type="spellEnd"/>
      <w:r w:rsidRPr="008D5F1B">
        <w:rPr>
          <w:sz w:val="24"/>
          <w:szCs w:val="24"/>
        </w:rPr>
        <w:t xml:space="preserve"> </w:t>
      </w:r>
      <w:proofErr w:type="spellStart"/>
      <w:r w:rsidRPr="008D5F1B">
        <w:rPr>
          <w:sz w:val="24"/>
          <w:szCs w:val="24"/>
        </w:rPr>
        <w:t>troškova</w:t>
      </w:r>
      <w:proofErr w:type="spellEnd"/>
      <w:r w:rsidRPr="008D5F1B">
        <w:rPr>
          <w:sz w:val="24"/>
          <w:szCs w:val="24"/>
        </w:rPr>
        <w:t xml:space="preserve"> </w:t>
      </w:r>
      <w:proofErr w:type="spellStart"/>
      <w:r w:rsidRPr="008D5F1B">
        <w:rPr>
          <w:sz w:val="24"/>
          <w:szCs w:val="24"/>
        </w:rPr>
        <w:t>poslovanju</w:t>
      </w:r>
      <w:proofErr w:type="spellEnd"/>
      <w:r w:rsidRPr="008D5F1B">
        <w:rPr>
          <w:sz w:val="24"/>
          <w:szCs w:val="24"/>
        </w:rPr>
        <w:t xml:space="preserve"> </w:t>
      </w:r>
      <w:proofErr w:type="spellStart"/>
      <w:r w:rsidRPr="008D5F1B">
        <w:rPr>
          <w:sz w:val="24"/>
          <w:szCs w:val="24"/>
        </w:rPr>
        <w:t>privrede</w:t>
      </w:r>
      <w:proofErr w:type="spellEnd"/>
      <w:r w:rsidRPr="008D5F1B">
        <w:rPr>
          <w:sz w:val="24"/>
          <w:szCs w:val="24"/>
        </w:rPr>
        <w:t xml:space="preserve"> </w:t>
      </w:r>
      <w:proofErr w:type="spellStart"/>
      <w:r w:rsidR="00191E68" w:rsidRPr="008D5F1B">
        <w:rPr>
          <w:sz w:val="24"/>
          <w:szCs w:val="24"/>
        </w:rPr>
        <w:t>i</w:t>
      </w:r>
      <w:proofErr w:type="spellEnd"/>
      <w:r w:rsidRPr="008D5F1B">
        <w:rPr>
          <w:sz w:val="24"/>
          <w:szCs w:val="24"/>
        </w:rPr>
        <w:t xml:space="preserve"> </w:t>
      </w:r>
      <w:proofErr w:type="spellStart"/>
      <w:r w:rsidRPr="008D5F1B">
        <w:rPr>
          <w:sz w:val="24"/>
          <w:szCs w:val="24"/>
        </w:rPr>
        <w:t>registrovanju</w:t>
      </w:r>
      <w:proofErr w:type="spellEnd"/>
      <w:r w:rsidRPr="008D5F1B">
        <w:rPr>
          <w:sz w:val="24"/>
          <w:szCs w:val="24"/>
        </w:rPr>
        <w:t xml:space="preserve"> </w:t>
      </w:r>
      <w:proofErr w:type="spellStart"/>
      <w:r w:rsidRPr="008D5F1B">
        <w:rPr>
          <w:sz w:val="24"/>
          <w:szCs w:val="24"/>
        </w:rPr>
        <w:t>zaposlenosti</w:t>
      </w:r>
      <w:proofErr w:type="spellEnd"/>
      <w:r w:rsidRPr="008D5F1B">
        <w:rPr>
          <w:sz w:val="24"/>
          <w:szCs w:val="24"/>
        </w:rPr>
        <w:t xml:space="preserve">;  </w:t>
      </w:r>
    </w:p>
    <w:p w14:paraId="6CD70968" w14:textId="5975C618" w:rsidR="009E0E77" w:rsidRPr="00686BAF" w:rsidRDefault="009E0E77" w:rsidP="002A7C54">
      <w:pPr>
        <w:jc w:val="both"/>
        <w:rPr>
          <w:sz w:val="24"/>
          <w:szCs w:val="24"/>
          <w:lang w:val="pl-PL"/>
        </w:rPr>
      </w:pPr>
      <w:r w:rsidRPr="00686BAF">
        <w:rPr>
          <w:sz w:val="24"/>
          <w:szCs w:val="24"/>
          <w:lang w:val="pl-PL"/>
        </w:rPr>
        <w:t>-</w:t>
      </w:r>
      <w:r w:rsidRPr="009E0E77">
        <w:rPr>
          <w:sz w:val="24"/>
          <w:szCs w:val="24"/>
          <w:lang w:val="pl-PL"/>
        </w:rPr>
        <w:t xml:space="preserve"> </w:t>
      </w:r>
      <w:r w:rsidR="0018197B">
        <w:rPr>
          <w:sz w:val="24"/>
          <w:szCs w:val="24"/>
          <w:lang w:val="pl-PL"/>
        </w:rPr>
        <w:t>a</w:t>
      </w:r>
      <w:r w:rsidRPr="009E0E77">
        <w:rPr>
          <w:sz w:val="24"/>
          <w:szCs w:val="24"/>
          <w:lang w:val="pl-PL"/>
        </w:rPr>
        <w:t>kt</w:t>
      </w:r>
      <w:r w:rsidR="006C691C">
        <w:rPr>
          <w:sz w:val="24"/>
          <w:szCs w:val="24"/>
          <w:lang w:val="pl-PL"/>
        </w:rPr>
        <w:t>i</w:t>
      </w:r>
      <w:r w:rsidRPr="009E0E77">
        <w:rPr>
          <w:sz w:val="24"/>
          <w:szCs w:val="24"/>
          <w:lang w:val="pl-PL"/>
        </w:rPr>
        <w:t>vnosti na podizanju društvene svijesti o negativnim implikacijama neformalne eknomije i jačanje uloge obr</w:t>
      </w:r>
      <w:r w:rsidR="0018197B">
        <w:rPr>
          <w:sz w:val="24"/>
          <w:szCs w:val="24"/>
          <w:lang w:val="pl-PL"/>
        </w:rPr>
        <w:t>a</w:t>
      </w:r>
      <w:r w:rsidRPr="009E0E77">
        <w:rPr>
          <w:sz w:val="24"/>
          <w:szCs w:val="24"/>
          <w:lang w:val="pl-PL"/>
        </w:rPr>
        <w:t>z</w:t>
      </w:r>
      <w:r w:rsidR="0018197B">
        <w:rPr>
          <w:sz w:val="24"/>
          <w:szCs w:val="24"/>
          <w:lang w:val="pl-PL"/>
        </w:rPr>
        <w:t>o</w:t>
      </w:r>
      <w:r w:rsidRPr="009E0E77">
        <w:rPr>
          <w:sz w:val="24"/>
          <w:szCs w:val="24"/>
          <w:lang w:val="pl-PL"/>
        </w:rPr>
        <w:t>vanja</w:t>
      </w:r>
      <w:r>
        <w:rPr>
          <w:sz w:val="24"/>
          <w:szCs w:val="24"/>
          <w:lang w:val="pl-PL"/>
        </w:rPr>
        <w:t>;</w:t>
      </w:r>
    </w:p>
    <w:p w14:paraId="4F116E9E" w14:textId="5BEC896A" w:rsidR="003613E7" w:rsidRPr="00686BAF" w:rsidRDefault="002A7C54" w:rsidP="00B0276B">
      <w:pPr>
        <w:jc w:val="both"/>
        <w:rPr>
          <w:sz w:val="24"/>
          <w:szCs w:val="24"/>
        </w:rPr>
      </w:pPr>
      <w:r w:rsidRPr="00686BAF">
        <w:rPr>
          <w:sz w:val="24"/>
          <w:szCs w:val="24"/>
        </w:rPr>
        <w:t xml:space="preserve">- </w:t>
      </w:r>
      <w:proofErr w:type="spellStart"/>
      <w:r w:rsidR="0018197B" w:rsidRPr="00686BAF">
        <w:rPr>
          <w:sz w:val="24"/>
          <w:szCs w:val="24"/>
        </w:rPr>
        <w:t>r</w:t>
      </w:r>
      <w:r w:rsidRPr="00686BAF">
        <w:rPr>
          <w:sz w:val="24"/>
          <w:szCs w:val="24"/>
        </w:rPr>
        <w:t>epresivne</w:t>
      </w:r>
      <w:proofErr w:type="spellEnd"/>
      <w:r w:rsidRPr="00686BAF">
        <w:rPr>
          <w:sz w:val="24"/>
          <w:szCs w:val="24"/>
        </w:rPr>
        <w:t xml:space="preserve"> </w:t>
      </w:r>
      <w:proofErr w:type="spellStart"/>
      <w:r w:rsidRPr="00686BAF">
        <w:rPr>
          <w:sz w:val="24"/>
          <w:szCs w:val="24"/>
        </w:rPr>
        <w:t>akcije</w:t>
      </w:r>
      <w:proofErr w:type="spellEnd"/>
      <w:r w:rsidR="009E0E77" w:rsidRPr="00686BAF">
        <w:rPr>
          <w:sz w:val="24"/>
          <w:szCs w:val="24"/>
        </w:rPr>
        <w:t xml:space="preserve"> </w:t>
      </w:r>
      <w:proofErr w:type="spellStart"/>
      <w:r w:rsidR="009E0E77" w:rsidRPr="00686BAF">
        <w:rPr>
          <w:sz w:val="24"/>
          <w:szCs w:val="24"/>
        </w:rPr>
        <w:t>i</w:t>
      </w:r>
      <w:proofErr w:type="spellEnd"/>
      <w:r w:rsidR="009E0E77" w:rsidRPr="00686BAF">
        <w:rPr>
          <w:sz w:val="24"/>
          <w:szCs w:val="24"/>
        </w:rPr>
        <w:t xml:space="preserve"> </w:t>
      </w:r>
      <w:proofErr w:type="spellStart"/>
      <w:r w:rsidR="009E0E77" w:rsidRPr="00686BAF">
        <w:rPr>
          <w:sz w:val="24"/>
          <w:szCs w:val="24"/>
        </w:rPr>
        <w:t>aktivnosti</w:t>
      </w:r>
      <w:proofErr w:type="spellEnd"/>
      <w:r w:rsidR="009E0E77" w:rsidRPr="00686BAF">
        <w:rPr>
          <w:sz w:val="24"/>
          <w:szCs w:val="24"/>
        </w:rPr>
        <w:t xml:space="preserve"> </w:t>
      </w:r>
      <w:proofErr w:type="spellStart"/>
      <w:r w:rsidR="009E0E77" w:rsidRPr="00686BAF">
        <w:rPr>
          <w:sz w:val="24"/>
          <w:szCs w:val="24"/>
        </w:rPr>
        <w:t>odvraćanja</w:t>
      </w:r>
      <w:proofErr w:type="spellEnd"/>
      <w:r w:rsidRPr="00686BAF">
        <w:rPr>
          <w:sz w:val="24"/>
          <w:szCs w:val="24"/>
        </w:rPr>
        <w:t xml:space="preserve"> </w:t>
      </w:r>
      <w:proofErr w:type="spellStart"/>
      <w:r w:rsidRPr="00686BAF">
        <w:rPr>
          <w:sz w:val="24"/>
          <w:szCs w:val="24"/>
        </w:rPr>
        <w:t>kroz</w:t>
      </w:r>
      <w:proofErr w:type="spellEnd"/>
      <w:r w:rsidRPr="00686BAF">
        <w:rPr>
          <w:sz w:val="24"/>
          <w:szCs w:val="24"/>
        </w:rPr>
        <w:t xml:space="preserve"> </w:t>
      </w:r>
      <w:proofErr w:type="spellStart"/>
      <w:r w:rsidRPr="00686BAF">
        <w:rPr>
          <w:sz w:val="24"/>
          <w:szCs w:val="24"/>
        </w:rPr>
        <w:t>jačanje</w:t>
      </w:r>
      <w:proofErr w:type="spellEnd"/>
      <w:r w:rsidRPr="00686BAF">
        <w:rPr>
          <w:sz w:val="24"/>
          <w:szCs w:val="24"/>
        </w:rPr>
        <w:t xml:space="preserve"> </w:t>
      </w:r>
      <w:proofErr w:type="spellStart"/>
      <w:r w:rsidRPr="00686BAF">
        <w:rPr>
          <w:sz w:val="24"/>
          <w:szCs w:val="24"/>
        </w:rPr>
        <w:t>nadzora</w:t>
      </w:r>
      <w:proofErr w:type="spellEnd"/>
      <w:r w:rsidRPr="00686BAF">
        <w:rPr>
          <w:sz w:val="24"/>
          <w:szCs w:val="24"/>
        </w:rPr>
        <w:t xml:space="preserve"> </w:t>
      </w:r>
      <w:proofErr w:type="spellStart"/>
      <w:r w:rsidRPr="00686BAF">
        <w:rPr>
          <w:sz w:val="24"/>
          <w:szCs w:val="24"/>
        </w:rPr>
        <w:t>i</w:t>
      </w:r>
      <w:proofErr w:type="spellEnd"/>
      <w:r w:rsidRPr="00686BAF">
        <w:rPr>
          <w:sz w:val="24"/>
          <w:szCs w:val="24"/>
        </w:rPr>
        <w:t xml:space="preserve"> </w:t>
      </w:r>
      <w:proofErr w:type="spellStart"/>
      <w:r w:rsidRPr="00686BAF">
        <w:rPr>
          <w:sz w:val="24"/>
          <w:szCs w:val="24"/>
        </w:rPr>
        <w:t>primjena</w:t>
      </w:r>
      <w:proofErr w:type="spellEnd"/>
      <w:r w:rsidRPr="00686BAF">
        <w:rPr>
          <w:sz w:val="24"/>
          <w:szCs w:val="24"/>
        </w:rPr>
        <w:t xml:space="preserve"> </w:t>
      </w:r>
      <w:proofErr w:type="spellStart"/>
      <w:r w:rsidRPr="00686BAF">
        <w:rPr>
          <w:sz w:val="24"/>
          <w:szCs w:val="24"/>
        </w:rPr>
        <w:t>odgovarajućih</w:t>
      </w:r>
      <w:proofErr w:type="spellEnd"/>
      <w:r w:rsidRPr="00686BAF">
        <w:rPr>
          <w:sz w:val="24"/>
          <w:szCs w:val="24"/>
        </w:rPr>
        <w:t xml:space="preserve"> </w:t>
      </w:r>
      <w:proofErr w:type="spellStart"/>
      <w:r w:rsidRPr="00686BAF">
        <w:rPr>
          <w:sz w:val="24"/>
          <w:szCs w:val="24"/>
        </w:rPr>
        <w:t>sankcija</w:t>
      </w:r>
      <w:proofErr w:type="spellEnd"/>
      <w:r w:rsidRPr="00686BAF">
        <w:rPr>
          <w:sz w:val="24"/>
          <w:szCs w:val="24"/>
        </w:rPr>
        <w:t xml:space="preserve"> u </w:t>
      </w:r>
      <w:proofErr w:type="spellStart"/>
      <w:r w:rsidRPr="00686BAF">
        <w:rPr>
          <w:sz w:val="24"/>
          <w:szCs w:val="24"/>
        </w:rPr>
        <w:t>odnosu</w:t>
      </w:r>
      <w:proofErr w:type="spellEnd"/>
      <w:r w:rsidRPr="00686BAF">
        <w:rPr>
          <w:sz w:val="24"/>
          <w:szCs w:val="24"/>
        </w:rPr>
        <w:t xml:space="preserve"> </w:t>
      </w:r>
      <w:proofErr w:type="spellStart"/>
      <w:r w:rsidRPr="00686BAF">
        <w:rPr>
          <w:sz w:val="24"/>
          <w:szCs w:val="24"/>
        </w:rPr>
        <w:t>na</w:t>
      </w:r>
      <w:proofErr w:type="spellEnd"/>
      <w:r w:rsidRPr="00686BAF">
        <w:rPr>
          <w:sz w:val="24"/>
          <w:szCs w:val="24"/>
        </w:rPr>
        <w:t xml:space="preserve"> one </w:t>
      </w:r>
      <w:proofErr w:type="spellStart"/>
      <w:r w:rsidRPr="00686BAF">
        <w:rPr>
          <w:sz w:val="24"/>
          <w:szCs w:val="24"/>
        </w:rPr>
        <w:t>koji</w:t>
      </w:r>
      <w:proofErr w:type="spellEnd"/>
      <w:r w:rsidRPr="00686BAF">
        <w:rPr>
          <w:sz w:val="24"/>
          <w:szCs w:val="24"/>
        </w:rPr>
        <w:t xml:space="preserve"> </w:t>
      </w:r>
      <w:proofErr w:type="spellStart"/>
      <w:r w:rsidRPr="00686BAF">
        <w:rPr>
          <w:sz w:val="24"/>
          <w:szCs w:val="24"/>
        </w:rPr>
        <w:t>imaju</w:t>
      </w:r>
      <w:proofErr w:type="spellEnd"/>
      <w:r w:rsidRPr="00686BAF">
        <w:rPr>
          <w:sz w:val="24"/>
          <w:szCs w:val="24"/>
        </w:rPr>
        <w:t xml:space="preserve"> </w:t>
      </w:r>
      <w:proofErr w:type="spellStart"/>
      <w:r w:rsidRPr="00686BAF">
        <w:rPr>
          <w:sz w:val="24"/>
          <w:szCs w:val="24"/>
        </w:rPr>
        <w:t>koristi</w:t>
      </w:r>
      <w:proofErr w:type="spellEnd"/>
      <w:r w:rsidRPr="00686BAF">
        <w:rPr>
          <w:sz w:val="24"/>
          <w:szCs w:val="24"/>
        </w:rPr>
        <w:t xml:space="preserve"> </w:t>
      </w:r>
      <w:proofErr w:type="spellStart"/>
      <w:r w:rsidRPr="00686BAF">
        <w:rPr>
          <w:sz w:val="24"/>
          <w:szCs w:val="24"/>
        </w:rPr>
        <w:t>od</w:t>
      </w:r>
      <w:proofErr w:type="spellEnd"/>
      <w:r w:rsidRPr="00686BAF">
        <w:rPr>
          <w:sz w:val="24"/>
          <w:szCs w:val="24"/>
        </w:rPr>
        <w:t xml:space="preserve"> </w:t>
      </w:r>
      <w:proofErr w:type="spellStart"/>
      <w:r w:rsidRPr="00686BAF">
        <w:rPr>
          <w:sz w:val="24"/>
          <w:szCs w:val="24"/>
        </w:rPr>
        <w:t>prikrivenog</w:t>
      </w:r>
      <w:proofErr w:type="spellEnd"/>
      <w:r w:rsidRPr="00686BAF">
        <w:rPr>
          <w:sz w:val="24"/>
          <w:szCs w:val="24"/>
        </w:rPr>
        <w:t xml:space="preserve"> </w:t>
      </w:r>
      <w:proofErr w:type="spellStart"/>
      <w:r w:rsidRPr="00686BAF">
        <w:rPr>
          <w:sz w:val="24"/>
          <w:szCs w:val="24"/>
        </w:rPr>
        <w:t>rada</w:t>
      </w:r>
      <w:proofErr w:type="spellEnd"/>
      <w:r w:rsidRPr="00686BAF">
        <w:rPr>
          <w:sz w:val="24"/>
          <w:szCs w:val="24"/>
        </w:rPr>
        <w:t xml:space="preserve">, </w:t>
      </w:r>
      <w:proofErr w:type="spellStart"/>
      <w:r w:rsidRPr="00686BAF">
        <w:rPr>
          <w:sz w:val="24"/>
          <w:szCs w:val="24"/>
        </w:rPr>
        <w:t>kao</w:t>
      </w:r>
      <w:proofErr w:type="spellEnd"/>
      <w:r w:rsidRPr="00686BAF">
        <w:rPr>
          <w:sz w:val="24"/>
          <w:szCs w:val="24"/>
        </w:rPr>
        <w:t xml:space="preserve"> </w:t>
      </w:r>
      <w:proofErr w:type="spellStart"/>
      <w:r w:rsidRPr="00686BAF">
        <w:rPr>
          <w:sz w:val="24"/>
          <w:szCs w:val="24"/>
        </w:rPr>
        <w:t>i</w:t>
      </w:r>
      <w:proofErr w:type="spellEnd"/>
      <w:r w:rsidRPr="00686BAF">
        <w:rPr>
          <w:sz w:val="24"/>
          <w:szCs w:val="24"/>
        </w:rPr>
        <w:t xml:space="preserve"> </w:t>
      </w:r>
      <w:proofErr w:type="spellStart"/>
      <w:r w:rsidRPr="00686BAF">
        <w:rPr>
          <w:sz w:val="24"/>
          <w:szCs w:val="24"/>
        </w:rPr>
        <w:t>zaštita</w:t>
      </w:r>
      <w:proofErr w:type="spellEnd"/>
      <w:r w:rsidRPr="00686BAF">
        <w:rPr>
          <w:sz w:val="24"/>
          <w:szCs w:val="24"/>
        </w:rPr>
        <w:t xml:space="preserve"> </w:t>
      </w:r>
      <w:proofErr w:type="spellStart"/>
      <w:r w:rsidRPr="00686BAF">
        <w:rPr>
          <w:sz w:val="24"/>
          <w:szCs w:val="24"/>
        </w:rPr>
        <w:t>neformalno</w:t>
      </w:r>
      <w:proofErr w:type="spellEnd"/>
      <w:r w:rsidRPr="00686BAF">
        <w:rPr>
          <w:sz w:val="24"/>
          <w:szCs w:val="24"/>
        </w:rPr>
        <w:t xml:space="preserve"> </w:t>
      </w:r>
      <w:proofErr w:type="spellStart"/>
      <w:r w:rsidRPr="00686BAF">
        <w:rPr>
          <w:sz w:val="24"/>
          <w:szCs w:val="24"/>
        </w:rPr>
        <w:t>registrovanih</w:t>
      </w:r>
      <w:proofErr w:type="spellEnd"/>
      <w:r w:rsidR="00191E68" w:rsidRPr="00686BAF">
        <w:rPr>
          <w:sz w:val="24"/>
          <w:szCs w:val="24"/>
        </w:rPr>
        <w:t>;</w:t>
      </w:r>
    </w:p>
    <w:p w14:paraId="5AF51654" w14:textId="6525F299" w:rsidR="002A7C54" w:rsidRPr="00021CDC" w:rsidRDefault="002A7C54" w:rsidP="00B0276B">
      <w:pPr>
        <w:jc w:val="both"/>
        <w:rPr>
          <w:sz w:val="24"/>
          <w:szCs w:val="24"/>
          <w:lang w:val="pl-PL"/>
        </w:rPr>
      </w:pPr>
      <w:r w:rsidRPr="00021CDC">
        <w:rPr>
          <w:sz w:val="24"/>
          <w:szCs w:val="24"/>
          <w:lang w:val="pl-PL"/>
        </w:rPr>
        <w:t>Shodno navedenom, operativni ciljevi Programa su:</w:t>
      </w:r>
    </w:p>
    <w:p w14:paraId="44E45958" w14:textId="5B51DE2A" w:rsidR="002A7C54" w:rsidRPr="00021CDC" w:rsidRDefault="006A7C3A" w:rsidP="00B0276B">
      <w:pPr>
        <w:jc w:val="both"/>
        <w:rPr>
          <w:sz w:val="24"/>
          <w:szCs w:val="24"/>
          <w:lang w:val="pl-PL"/>
        </w:rPr>
      </w:pPr>
      <w:r w:rsidRPr="008F501B">
        <w:rPr>
          <w:sz w:val="24"/>
          <w:szCs w:val="24"/>
          <w:lang w:val="sr-Latn-ME"/>
        </w:rPr>
        <w:t>O</w:t>
      </w:r>
      <w:r w:rsidR="00AA68D8">
        <w:rPr>
          <w:sz w:val="24"/>
          <w:szCs w:val="24"/>
          <w:lang w:val="sr-Latn-ME"/>
        </w:rPr>
        <w:t>C</w:t>
      </w:r>
      <w:r w:rsidRPr="008F501B">
        <w:rPr>
          <w:sz w:val="24"/>
          <w:szCs w:val="24"/>
          <w:lang w:val="sr-Latn-ME"/>
        </w:rPr>
        <w:t>1 -</w:t>
      </w:r>
      <w:r w:rsidRPr="00021CDC">
        <w:rPr>
          <w:sz w:val="24"/>
          <w:szCs w:val="24"/>
          <w:lang w:val="pl-PL"/>
        </w:rPr>
        <w:t xml:space="preserve"> Unapređenje poslovnog ambijenta kroz smanjenje broja i visine fiskaliteta i parafiskaliteta</w:t>
      </w:r>
    </w:p>
    <w:p w14:paraId="518E20D7" w14:textId="1009403D" w:rsidR="00CC5B95" w:rsidRPr="008F501B" w:rsidRDefault="006A7C3A" w:rsidP="00B0276B">
      <w:pPr>
        <w:jc w:val="both"/>
        <w:rPr>
          <w:sz w:val="24"/>
          <w:szCs w:val="24"/>
          <w:lang w:val="sr-Latn-ME"/>
        </w:rPr>
      </w:pPr>
      <w:r w:rsidRPr="008F501B">
        <w:rPr>
          <w:sz w:val="24"/>
          <w:szCs w:val="24"/>
          <w:lang w:val="sr-Latn-ME"/>
        </w:rPr>
        <w:t>O</w:t>
      </w:r>
      <w:r w:rsidR="00AA68D8">
        <w:rPr>
          <w:sz w:val="24"/>
          <w:szCs w:val="24"/>
          <w:lang w:val="sr-Latn-ME"/>
        </w:rPr>
        <w:t>C</w:t>
      </w:r>
      <w:r w:rsidRPr="008F501B">
        <w:rPr>
          <w:sz w:val="24"/>
          <w:szCs w:val="24"/>
          <w:lang w:val="sr-Latn-ME"/>
        </w:rPr>
        <w:t xml:space="preserve">2 - Podrška fer preduzetništvu i </w:t>
      </w:r>
      <w:r w:rsidR="00921305" w:rsidRPr="008F501B">
        <w:rPr>
          <w:sz w:val="24"/>
          <w:szCs w:val="24"/>
          <w:lang w:val="sr-Latn-ME"/>
        </w:rPr>
        <w:t>tranziciji</w:t>
      </w:r>
      <w:r w:rsidRPr="008F501B">
        <w:rPr>
          <w:sz w:val="24"/>
          <w:szCs w:val="24"/>
          <w:lang w:val="sr-Latn-ME"/>
        </w:rPr>
        <w:t xml:space="preserve"> u formalnu ekonomiju</w:t>
      </w:r>
    </w:p>
    <w:p w14:paraId="177DC602" w14:textId="5C171329" w:rsidR="006A7C3A" w:rsidRPr="00021CDC" w:rsidRDefault="006A7C3A" w:rsidP="006A7C3A">
      <w:pPr>
        <w:jc w:val="both"/>
        <w:rPr>
          <w:sz w:val="24"/>
          <w:szCs w:val="24"/>
          <w:lang w:val="pl-PL"/>
        </w:rPr>
      </w:pPr>
      <w:r w:rsidRPr="008F501B">
        <w:rPr>
          <w:sz w:val="24"/>
          <w:szCs w:val="24"/>
          <w:lang w:val="sr-Latn-ME"/>
        </w:rPr>
        <w:t>O</w:t>
      </w:r>
      <w:r w:rsidR="00AA68D8">
        <w:rPr>
          <w:sz w:val="24"/>
          <w:szCs w:val="24"/>
          <w:lang w:val="sr-Latn-ME"/>
        </w:rPr>
        <w:t>C</w:t>
      </w:r>
      <w:r w:rsidRPr="008F501B">
        <w:rPr>
          <w:sz w:val="24"/>
          <w:szCs w:val="24"/>
          <w:lang w:val="sr-Latn-ME"/>
        </w:rPr>
        <w:t>3 -</w:t>
      </w:r>
      <w:r w:rsidRPr="00021CDC">
        <w:rPr>
          <w:color w:val="0070C0"/>
          <w:sz w:val="24"/>
          <w:szCs w:val="24"/>
          <w:lang w:val="pl-PL"/>
        </w:rPr>
        <w:t xml:space="preserve"> </w:t>
      </w:r>
      <w:r w:rsidR="008F501B" w:rsidRPr="00021CDC">
        <w:rPr>
          <w:sz w:val="24"/>
          <w:szCs w:val="24"/>
          <w:lang w:val="pl-PL"/>
        </w:rPr>
        <w:t>Povećanje formalne zaposlenosti, sa većim fokusom na zelena radna mjesta</w:t>
      </w:r>
    </w:p>
    <w:p w14:paraId="18C00B83" w14:textId="49385454" w:rsidR="006A7C3A" w:rsidRPr="00021CDC" w:rsidRDefault="006A7C3A" w:rsidP="006A7C3A">
      <w:pPr>
        <w:jc w:val="both"/>
        <w:rPr>
          <w:sz w:val="24"/>
          <w:szCs w:val="24"/>
          <w:lang w:val="pl-PL"/>
        </w:rPr>
      </w:pPr>
      <w:r w:rsidRPr="008F501B">
        <w:rPr>
          <w:sz w:val="24"/>
          <w:szCs w:val="24"/>
          <w:lang w:val="sr-Latn-ME"/>
        </w:rPr>
        <w:t>O</w:t>
      </w:r>
      <w:r w:rsidR="00AA68D8">
        <w:rPr>
          <w:sz w:val="24"/>
          <w:szCs w:val="24"/>
          <w:lang w:val="sr-Latn-ME"/>
        </w:rPr>
        <w:t>C</w:t>
      </w:r>
      <w:r w:rsidRPr="008F501B">
        <w:rPr>
          <w:sz w:val="24"/>
          <w:szCs w:val="24"/>
          <w:lang w:val="sr-Latn-ME"/>
        </w:rPr>
        <w:t xml:space="preserve">4 – </w:t>
      </w:r>
      <w:r w:rsidRPr="00021CDC">
        <w:rPr>
          <w:sz w:val="24"/>
          <w:szCs w:val="24"/>
          <w:lang w:val="pl-PL"/>
        </w:rPr>
        <w:t>Unapređenje</w:t>
      </w:r>
      <w:r w:rsidR="00E525AB">
        <w:rPr>
          <w:sz w:val="24"/>
          <w:szCs w:val="24"/>
          <w:lang w:val="pl-PL"/>
        </w:rPr>
        <w:t xml:space="preserve"> elektronskih usluga javne uprave, </w:t>
      </w:r>
      <w:r w:rsidRPr="00021CDC">
        <w:rPr>
          <w:sz w:val="24"/>
          <w:szCs w:val="24"/>
          <w:lang w:val="pl-PL"/>
        </w:rPr>
        <w:t xml:space="preserve"> inst</w:t>
      </w:r>
      <w:r w:rsidR="00191E68" w:rsidRPr="00021CDC">
        <w:rPr>
          <w:sz w:val="24"/>
          <w:szCs w:val="24"/>
          <w:lang w:val="pl-PL"/>
        </w:rPr>
        <w:t>i</w:t>
      </w:r>
      <w:r w:rsidRPr="00021CDC">
        <w:rPr>
          <w:sz w:val="24"/>
          <w:szCs w:val="24"/>
          <w:lang w:val="pl-PL"/>
        </w:rPr>
        <w:t>tucionalnog okvira</w:t>
      </w:r>
      <w:r w:rsidR="008C0127" w:rsidRPr="00021CDC">
        <w:rPr>
          <w:sz w:val="24"/>
          <w:szCs w:val="24"/>
          <w:lang w:val="pl-PL"/>
        </w:rPr>
        <w:t xml:space="preserve"> </w:t>
      </w:r>
      <w:r w:rsidRPr="00021CDC">
        <w:rPr>
          <w:sz w:val="24"/>
          <w:szCs w:val="24"/>
          <w:lang w:val="pl-PL"/>
        </w:rPr>
        <w:t xml:space="preserve">i administrativnih kapaciteta u </w:t>
      </w:r>
      <w:r w:rsidR="00191E68" w:rsidRPr="00021CDC">
        <w:rPr>
          <w:sz w:val="24"/>
          <w:szCs w:val="24"/>
          <w:lang w:val="pl-PL"/>
        </w:rPr>
        <w:t>smanjenju neformalne ekonomije</w:t>
      </w:r>
    </w:p>
    <w:p w14:paraId="2F580E62" w14:textId="2791CF32" w:rsidR="006A7C3A" w:rsidRPr="00021CDC" w:rsidRDefault="006A7C3A" w:rsidP="006A7C3A">
      <w:pPr>
        <w:jc w:val="both"/>
        <w:rPr>
          <w:sz w:val="24"/>
          <w:szCs w:val="24"/>
          <w:lang w:val="pl-PL"/>
        </w:rPr>
      </w:pPr>
      <w:r w:rsidRPr="00E525AB">
        <w:rPr>
          <w:sz w:val="24"/>
          <w:szCs w:val="24"/>
          <w:lang w:val="pl-PL"/>
        </w:rPr>
        <w:t>O</w:t>
      </w:r>
      <w:r w:rsidR="00AA68D8">
        <w:rPr>
          <w:sz w:val="24"/>
          <w:szCs w:val="24"/>
          <w:lang w:val="pl-PL"/>
        </w:rPr>
        <w:t>C</w:t>
      </w:r>
      <w:r w:rsidRPr="00E525AB">
        <w:rPr>
          <w:sz w:val="24"/>
          <w:szCs w:val="24"/>
          <w:lang w:val="pl-PL"/>
        </w:rPr>
        <w:t>5- Smanjenje društvene prihvatljivosti neformalne ekonomije</w:t>
      </w:r>
      <w:r w:rsidR="007E71C8" w:rsidRPr="00E525AB">
        <w:rPr>
          <w:sz w:val="24"/>
          <w:szCs w:val="24"/>
          <w:lang w:val="pl-PL"/>
        </w:rPr>
        <w:t>.</w:t>
      </w:r>
    </w:p>
    <w:p w14:paraId="48C5DD52" w14:textId="77777777" w:rsidR="00921305" w:rsidRPr="00021CDC" w:rsidRDefault="00921305" w:rsidP="006A7C3A">
      <w:pPr>
        <w:jc w:val="both"/>
        <w:rPr>
          <w:lang w:val="pl-PL"/>
        </w:rPr>
      </w:pPr>
    </w:p>
    <w:p w14:paraId="37CF39E1" w14:textId="48418627" w:rsidR="002675FC" w:rsidRPr="00021CDC" w:rsidRDefault="006A031D" w:rsidP="005D2C45">
      <w:pPr>
        <w:jc w:val="both"/>
        <w:rPr>
          <w:b/>
          <w:bCs/>
          <w:color w:val="1F3864" w:themeColor="accent1" w:themeShade="80"/>
          <w:sz w:val="24"/>
          <w:szCs w:val="24"/>
          <w:lang w:val="pl-PL"/>
        </w:rPr>
      </w:pPr>
      <w:r w:rsidRPr="00482B3D">
        <w:rPr>
          <w:b/>
          <w:bCs/>
          <w:color w:val="1F3864" w:themeColor="accent1" w:themeShade="80"/>
          <w:sz w:val="24"/>
          <w:szCs w:val="24"/>
          <w:lang w:val="sr-Latn-ME"/>
        </w:rPr>
        <w:t>O</w:t>
      </w:r>
      <w:r w:rsidR="00B351C7">
        <w:rPr>
          <w:b/>
          <w:bCs/>
          <w:color w:val="1F3864" w:themeColor="accent1" w:themeShade="80"/>
          <w:sz w:val="24"/>
          <w:szCs w:val="24"/>
          <w:lang w:val="sr-Latn-ME"/>
        </w:rPr>
        <w:t>C</w:t>
      </w:r>
      <w:r w:rsidRPr="00482B3D">
        <w:rPr>
          <w:b/>
          <w:bCs/>
          <w:color w:val="1F3864" w:themeColor="accent1" w:themeShade="80"/>
          <w:sz w:val="24"/>
          <w:szCs w:val="24"/>
          <w:lang w:val="sr-Latn-ME"/>
        </w:rPr>
        <w:t>1 -</w:t>
      </w:r>
      <w:r w:rsidRPr="00021CDC">
        <w:rPr>
          <w:b/>
          <w:bCs/>
          <w:color w:val="1F3864" w:themeColor="accent1" w:themeShade="80"/>
          <w:sz w:val="24"/>
          <w:szCs w:val="24"/>
          <w:lang w:val="pl-PL"/>
        </w:rPr>
        <w:t xml:space="preserve"> Unapređenje poslovnog ambijenta kroz smanjenje broja i visine fiskaliteta i parafiskaliteta</w:t>
      </w:r>
    </w:p>
    <w:p w14:paraId="226DC8DE" w14:textId="3F0FBE17" w:rsidR="00BB56E8" w:rsidRPr="00021CDC" w:rsidRDefault="006A031D" w:rsidP="00BB56E8">
      <w:pPr>
        <w:jc w:val="both"/>
        <w:rPr>
          <w:rFonts w:cstheme="minorHAnsi"/>
          <w:sz w:val="24"/>
          <w:szCs w:val="24"/>
          <w:lang w:val="pl-PL"/>
        </w:rPr>
      </w:pPr>
      <w:r w:rsidRPr="00021CDC">
        <w:rPr>
          <w:rFonts w:cstheme="minorHAnsi"/>
          <w:sz w:val="24"/>
          <w:szCs w:val="24"/>
          <w:lang w:val="pl-PL"/>
        </w:rPr>
        <w:t xml:space="preserve">Aktivnosti na unapređenju poslovnog ambijenta </w:t>
      </w:r>
      <w:r w:rsidR="001A5DA2" w:rsidRPr="00021CDC">
        <w:rPr>
          <w:rFonts w:cstheme="minorHAnsi"/>
          <w:sz w:val="24"/>
          <w:szCs w:val="24"/>
          <w:lang w:val="pl-PL"/>
        </w:rPr>
        <w:t>i</w:t>
      </w:r>
      <w:r w:rsidRPr="00021CDC">
        <w:rPr>
          <w:rFonts w:cstheme="minorHAnsi"/>
          <w:sz w:val="24"/>
          <w:szCs w:val="24"/>
          <w:lang w:val="pl-PL"/>
        </w:rPr>
        <w:t xml:space="preserve"> smanjenju fi</w:t>
      </w:r>
      <w:r w:rsidR="00191E68" w:rsidRPr="00021CDC">
        <w:rPr>
          <w:rFonts w:cstheme="minorHAnsi"/>
          <w:sz w:val="24"/>
          <w:szCs w:val="24"/>
          <w:lang w:val="pl-PL"/>
        </w:rPr>
        <w:t>skalnog</w:t>
      </w:r>
      <w:r w:rsidRPr="00021CDC">
        <w:rPr>
          <w:rFonts w:cstheme="minorHAnsi"/>
          <w:sz w:val="24"/>
          <w:szCs w:val="24"/>
          <w:lang w:val="pl-PL"/>
        </w:rPr>
        <w:t xml:space="preserve"> opterećenja </w:t>
      </w:r>
      <w:r w:rsidR="00191E68" w:rsidRPr="00021CDC">
        <w:rPr>
          <w:rFonts w:cstheme="minorHAnsi"/>
          <w:sz w:val="24"/>
          <w:szCs w:val="24"/>
          <w:lang w:val="pl-PL"/>
        </w:rPr>
        <w:t>i</w:t>
      </w:r>
      <w:r w:rsidRPr="00021CDC">
        <w:rPr>
          <w:rFonts w:cstheme="minorHAnsi"/>
          <w:sz w:val="24"/>
          <w:szCs w:val="24"/>
          <w:lang w:val="pl-PL"/>
        </w:rPr>
        <w:t xml:space="preserve"> parafiskaliteta, </w:t>
      </w:r>
      <w:r w:rsidR="00826894" w:rsidRPr="00021CDC">
        <w:rPr>
          <w:rFonts w:cstheme="minorHAnsi"/>
          <w:sz w:val="24"/>
          <w:szCs w:val="24"/>
          <w:lang w:val="pl-PL"/>
        </w:rPr>
        <w:t xml:space="preserve">kao jednog od uzroka postojanja neformalne ekonomije, </w:t>
      </w:r>
      <w:r w:rsidRPr="00021CDC">
        <w:rPr>
          <w:rFonts w:cstheme="minorHAnsi"/>
          <w:sz w:val="24"/>
          <w:szCs w:val="24"/>
          <w:lang w:val="pl-PL"/>
        </w:rPr>
        <w:t>predstav</w:t>
      </w:r>
      <w:r w:rsidR="00191E68" w:rsidRPr="00021CDC">
        <w:rPr>
          <w:rFonts w:cstheme="minorHAnsi"/>
          <w:sz w:val="24"/>
          <w:szCs w:val="24"/>
          <w:lang w:val="pl-PL"/>
        </w:rPr>
        <w:t>l</w:t>
      </w:r>
      <w:r w:rsidRPr="00021CDC">
        <w:rPr>
          <w:rFonts w:cstheme="minorHAnsi"/>
          <w:sz w:val="24"/>
          <w:szCs w:val="24"/>
          <w:lang w:val="pl-PL"/>
        </w:rPr>
        <w:t>jaju prio</w:t>
      </w:r>
      <w:r w:rsidR="00191E68" w:rsidRPr="00021CDC">
        <w:rPr>
          <w:rFonts w:cstheme="minorHAnsi"/>
          <w:sz w:val="24"/>
          <w:szCs w:val="24"/>
          <w:lang w:val="pl-PL"/>
        </w:rPr>
        <w:t>r</w:t>
      </w:r>
      <w:r w:rsidRPr="00021CDC">
        <w:rPr>
          <w:rFonts w:cstheme="minorHAnsi"/>
          <w:sz w:val="24"/>
          <w:szCs w:val="24"/>
          <w:lang w:val="pl-PL"/>
        </w:rPr>
        <w:t xml:space="preserve">itet Vlade godinama unazad. </w:t>
      </w:r>
      <w:r w:rsidR="00BB56E8" w:rsidRPr="00021CDC">
        <w:rPr>
          <w:rFonts w:cstheme="minorHAnsi"/>
          <w:sz w:val="24"/>
          <w:szCs w:val="24"/>
          <w:lang w:val="pl-PL"/>
        </w:rPr>
        <w:t>Ostvarivanje O</w:t>
      </w:r>
      <w:r w:rsidR="009E0E77">
        <w:rPr>
          <w:rFonts w:cstheme="minorHAnsi"/>
          <w:sz w:val="24"/>
          <w:szCs w:val="24"/>
          <w:lang w:val="pl-PL"/>
        </w:rPr>
        <w:t>C</w:t>
      </w:r>
      <w:r w:rsidR="00BB56E8" w:rsidRPr="00021CDC">
        <w:rPr>
          <w:rFonts w:cstheme="minorHAnsi"/>
          <w:sz w:val="24"/>
          <w:szCs w:val="24"/>
          <w:lang w:val="pl-PL"/>
        </w:rPr>
        <w:t xml:space="preserve">1 će se realizovati dominantno stimulativnim mjerama, ali i njihovom kombinacijom </w:t>
      </w:r>
      <w:r w:rsidR="0018197B">
        <w:rPr>
          <w:rFonts w:cstheme="minorHAnsi"/>
          <w:sz w:val="24"/>
          <w:szCs w:val="24"/>
          <w:lang w:val="pl-PL"/>
        </w:rPr>
        <w:t xml:space="preserve">i sa </w:t>
      </w:r>
      <w:r w:rsidR="00BB56E8" w:rsidRPr="00021CDC">
        <w:rPr>
          <w:rFonts w:cstheme="minorHAnsi"/>
          <w:sz w:val="24"/>
          <w:szCs w:val="24"/>
          <w:lang w:val="pl-PL"/>
        </w:rPr>
        <w:t>restriktivnim aktivnostima</w:t>
      </w:r>
      <w:r w:rsidR="006C691C">
        <w:rPr>
          <w:rFonts w:cstheme="minorHAnsi"/>
          <w:sz w:val="24"/>
          <w:szCs w:val="24"/>
          <w:lang w:val="pl-PL"/>
        </w:rPr>
        <w:t>, odnosno aktivnostim odvraćanja</w:t>
      </w:r>
      <w:r w:rsidR="00BB56E8" w:rsidRPr="00021CDC">
        <w:rPr>
          <w:rFonts w:cstheme="minorHAnsi"/>
          <w:sz w:val="24"/>
          <w:szCs w:val="24"/>
          <w:lang w:val="pl-PL"/>
        </w:rPr>
        <w:t>.</w:t>
      </w:r>
    </w:p>
    <w:p w14:paraId="057783AB" w14:textId="68BFC3A3" w:rsidR="00172FEC" w:rsidRPr="00B351C7" w:rsidRDefault="006A031D" w:rsidP="0010775C">
      <w:pPr>
        <w:jc w:val="both"/>
        <w:rPr>
          <w:rFonts w:cstheme="minorHAnsi"/>
          <w:b/>
          <w:bCs/>
          <w:sz w:val="24"/>
          <w:szCs w:val="24"/>
          <w:lang w:val="sr-Cyrl-RS"/>
        </w:rPr>
      </w:pPr>
      <w:r w:rsidRPr="00021CDC">
        <w:rPr>
          <w:rFonts w:cstheme="minorHAnsi"/>
          <w:sz w:val="24"/>
          <w:szCs w:val="24"/>
          <w:lang w:val="pl-PL"/>
        </w:rPr>
        <w:t xml:space="preserve"> U os</w:t>
      </w:r>
      <w:r w:rsidR="00191E68" w:rsidRPr="00021CDC">
        <w:rPr>
          <w:rFonts w:cstheme="minorHAnsi"/>
          <w:sz w:val="24"/>
          <w:szCs w:val="24"/>
          <w:lang w:val="pl-PL"/>
        </w:rPr>
        <w:t>t</w:t>
      </w:r>
      <w:r w:rsidRPr="00021CDC">
        <w:rPr>
          <w:rFonts w:cstheme="minorHAnsi"/>
          <w:sz w:val="24"/>
          <w:szCs w:val="24"/>
          <w:lang w:val="pl-PL"/>
        </w:rPr>
        <w:t>v</w:t>
      </w:r>
      <w:r w:rsidR="00191E68" w:rsidRPr="00021CDC">
        <w:rPr>
          <w:rFonts w:cstheme="minorHAnsi"/>
          <w:sz w:val="24"/>
          <w:szCs w:val="24"/>
          <w:lang w:val="pl-PL"/>
        </w:rPr>
        <w:t>ari</w:t>
      </w:r>
      <w:r w:rsidRPr="00021CDC">
        <w:rPr>
          <w:rFonts w:cstheme="minorHAnsi"/>
          <w:sz w:val="24"/>
          <w:szCs w:val="24"/>
          <w:lang w:val="pl-PL"/>
        </w:rPr>
        <w:t>vanju ovog operativnog cilja u Programu suzbijanja neformalne ekonomije za period 2024-2026.</w:t>
      </w:r>
      <w:r w:rsidR="007E71C8" w:rsidRPr="00021CDC">
        <w:rPr>
          <w:rFonts w:cstheme="minorHAnsi"/>
          <w:sz w:val="24"/>
          <w:szCs w:val="24"/>
          <w:lang w:val="pl-PL"/>
        </w:rPr>
        <w:t xml:space="preserve"> </w:t>
      </w:r>
      <w:r w:rsidRPr="00021CDC">
        <w:rPr>
          <w:rFonts w:cstheme="minorHAnsi"/>
          <w:sz w:val="24"/>
          <w:szCs w:val="24"/>
          <w:lang w:val="pl-PL"/>
        </w:rPr>
        <w:t xml:space="preserve">godina, neophodno je </w:t>
      </w:r>
      <w:r w:rsidR="00172FEC" w:rsidRPr="00021CDC">
        <w:rPr>
          <w:rFonts w:cstheme="minorHAnsi"/>
          <w:sz w:val="24"/>
          <w:szCs w:val="24"/>
          <w:lang w:val="pl-PL"/>
        </w:rPr>
        <w:t>nastaviti sa</w:t>
      </w:r>
      <w:r w:rsidR="00BB56E8" w:rsidRPr="00021CDC">
        <w:rPr>
          <w:rFonts w:cstheme="minorHAnsi"/>
          <w:sz w:val="24"/>
          <w:szCs w:val="24"/>
          <w:lang w:val="pl-PL"/>
        </w:rPr>
        <w:t xml:space="preserve"> stimulativnim aktivnostima, prvenstveno</w:t>
      </w:r>
      <w:r w:rsidR="00172FEC" w:rsidRPr="00021CDC">
        <w:rPr>
          <w:rFonts w:cstheme="minorHAnsi"/>
          <w:sz w:val="24"/>
          <w:szCs w:val="24"/>
          <w:lang w:val="pl-PL"/>
        </w:rPr>
        <w:t xml:space="preserve"> smanjenjem poresk</w:t>
      </w:r>
      <w:r w:rsidR="000A4CB0" w:rsidRPr="00021CDC">
        <w:rPr>
          <w:rFonts w:cstheme="minorHAnsi"/>
          <w:sz w:val="24"/>
          <w:szCs w:val="24"/>
          <w:lang w:val="pl-PL"/>
        </w:rPr>
        <w:t xml:space="preserve">ih opterećenja. </w:t>
      </w:r>
      <w:r w:rsidR="00172FEC" w:rsidRPr="00021CDC">
        <w:rPr>
          <w:rFonts w:cstheme="minorHAnsi"/>
          <w:sz w:val="24"/>
          <w:szCs w:val="24"/>
          <w:lang w:val="pl-PL"/>
        </w:rPr>
        <w:t>Kada su u pitanju parafiskaliteti, dodatno rasterećenje se može p</w:t>
      </w:r>
      <w:r w:rsidR="00AD079F" w:rsidRPr="00021CDC">
        <w:rPr>
          <w:rFonts w:cstheme="minorHAnsi"/>
          <w:sz w:val="24"/>
          <w:szCs w:val="24"/>
          <w:lang w:val="pl-PL"/>
        </w:rPr>
        <w:t>os</w:t>
      </w:r>
      <w:r w:rsidR="00172FEC" w:rsidRPr="00021CDC">
        <w:rPr>
          <w:rFonts w:cstheme="minorHAnsi"/>
          <w:sz w:val="24"/>
          <w:szCs w:val="24"/>
          <w:lang w:val="pl-PL"/>
        </w:rPr>
        <w:t>tići smanjenjem njihovog broja ili njihovim objedinjavanjem</w:t>
      </w:r>
      <w:r w:rsidR="00D914FA" w:rsidRPr="00021CDC">
        <w:rPr>
          <w:rFonts w:cstheme="minorHAnsi"/>
          <w:sz w:val="24"/>
          <w:szCs w:val="24"/>
          <w:lang w:val="pl-PL"/>
        </w:rPr>
        <w:t xml:space="preserve">, </w:t>
      </w:r>
      <w:r w:rsidR="00D914FA" w:rsidRPr="00B351C7">
        <w:rPr>
          <w:rFonts w:cstheme="minorHAnsi"/>
          <w:b/>
          <w:bCs/>
          <w:sz w:val="24"/>
          <w:szCs w:val="24"/>
          <w:lang w:val="pl-PL"/>
        </w:rPr>
        <w:t>što je neopho</w:t>
      </w:r>
      <w:r w:rsidR="00826894" w:rsidRPr="00B351C7">
        <w:rPr>
          <w:rFonts w:cstheme="minorHAnsi"/>
          <w:b/>
          <w:bCs/>
          <w:sz w:val="24"/>
          <w:szCs w:val="24"/>
          <w:lang w:val="pl-PL"/>
        </w:rPr>
        <w:t>d</w:t>
      </w:r>
      <w:r w:rsidR="00D914FA" w:rsidRPr="00B351C7">
        <w:rPr>
          <w:rFonts w:cstheme="minorHAnsi"/>
          <w:b/>
          <w:bCs/>
          <w:sz w:val="24"/>
          <w:szCs w:val="24"/>
          <w:lang w:val="pl-PL"/>
        </w:rPr>
        <w:t>no realizovati u tijesnoj saradnji sa jedinicama lokalne samoupr</w:t>
      </w:r>
      <w:r w:rsidR="00AD079F" w:rsidRPr="00B351C7">
        <w:rPr>
          <w:rFonts w:cstheme="minorHAnsi"/>
          <w:b/>
          <w:bCs/>
          <w:sz w:val="24"/>
          <w:szCs w:val="24"/>
          <w:lang w:val="pl-PL"/>
        </w:rPr>
        <w:t>a</w:t>
      </w:r>
      <w:r w:rsidR="00D914FA" w:rsidRPr="00B351C7">
        <w:rPr>
          <w:rFonts w:cstheme="minorHAnsi"/>
          <w:b/>
          <w:bCs/>
          <w:sz w:val="24"/>
          <w:szCs w:val="24"/>
          <w:lang w:val="pl-PL"/>
        </w:rPr>
        <w:t>ve</w:t>
      </w:r>
      <w:r w:rsidR="00172FEC" w:rsidRPr="00B351C7">
        <w:rPr>
          <w:rFonts w:cstheme="minorHAnsi"/>
          <w:b/>
          <w:bCs/>
          <w:sz w:val="24"/>
          <w:szCs w:val="24"/>
          <w:lang w:val="pl-PL"/>
        </w:rPr>
        <w:t xml:space="preserve">. </w:t>
      </w:r>
    </w:p>
    <w:p w14:paraId="722636CB" w14:textId="0BF96A23" w:rsidR="00466D1B" w:rsidRPr="00021CDC" w:rsidRDefault="00440CF4" w:rsidP="00B27BE9">
      <w:pPr>
        <w:jc w:val="both"/>
        <w:rPr>
          <w:rFonts w:cstheme="minorHAnsi"/>
          <w:sz w:val="24"/>
          <w:szCs w:val="24"/>
          <w:lang w:val="sr-Latn-ME"/>
        </w:rPr>
      </w:pPr>
      <w:r w:rsidRPr="00B27BE9">
        <w:rPr>
          <w:rFonts w:eastAsia="Tw Cen MT" w:cstheme="minorHAnsi"/>
          <w:bCs/>
          <w:kern w:val="0"/>
          <w:sz w:val="24"/>
          <w:szCs w:val="24"/>
          <w:lang w:val="sr-Latn-RS"/>
          <w14:ligatures w14:val="none"/>
        </w:rPr>
        <w:t xml:space="preserve">Dodatno, </w:t>
      </w:r>
      <w:r w:rsidRPr="00B27BE9">
        <w:rPr>
          <w:rFonts w:cstheme="minorHAnsi"/>
          <w:sz w:val="24"/>
          <w:szCs w:val="24"/>
        </w:rPr>
        <w:t>p</w:t>
      </w:r>
      <w:r w:rsidR="00677FF4" w:rsidRPr="00B27BE9">
        <w:rPr>
          <w:rFonts w:eastAsia="Calibri" w:cstheme="minorHAnsi"/>
          <w:color w:val="000000"/>
          <w:kern w:val="0"/>
          <w:sz w:val="24"/>
          <w:szCs w:val="24"/>
          <w:lang w:val="sr-Latn-ME"/>
          <w14:ligatures w14:val="none"/>
        </w:rPr>
        <w:t>o</w:t>
      </w:r>
      <w:r w:rsidRPr="00B27BE9">
        <w:rPr>
          <w:rFonts w:eastAsia="Calibri" w:cstheme="minorHAnsi"/>
          <w:color w:val="000000"/>
          <w:kern w:val="0"/>
          <w:sz w:val="24"/>
          <w:szCs w:val="24"/>
          <w:lang w:val="sr-Latn-ME"/>
          <w14:ligatures w14:val="none"/>
        </w:rPr>
        <w:t>je</w:t>
      </w:r>
      <w:r w:rsidR="00677FF4" w:rsidRPr="00B27BE9">
        <w:rPr>
          <w:rFonts w:eastAsia="Calibri" w:cstheme="minorHAnsi"/>
          <w:color w:val="000000"/>
          <w:kern w:val="0"/>
          <w:sz w:val="24"/>
          <w:szCs w:val="24"/>
          <w:lang w:val="sr-Latn-ME"/>
          <w14:ligatures w14:val="none"/>
        </w:rPr>
        <w:t>d</w:t>
      </w:r>
      <w:r w:rsidR="00A775CB">
        <w:rPr>
          <w:rFonts w:eastAsia="Calibri" w:cstheme="minorHAnsi"/>
          <w:color w:val="000000"/>
          <w:kern w:val="0"/>
          <w:sz w:val="24"/>
          <w:szCs w:val="24"/>
          <w:lang w:val="sr-Latn-ME"/>
          <w14:ligatures w14:val="none"/>
        </w:rPr>
        <w:t>no</w:t>
      </w:r>
      <w:r w:rsidR="00677FF4" w:rsidRPr="00B27BE9">
        <w:rPr>
          <w:rFonts w:eastAsia="Calibri" w:cstheme="minorHAnsi"/>
          <w:color w:val="000000"/>
          <w:kern w:val="0"/>
          <w:sz w:val="24"/>
          <w:szCs w:val="24"/>
          <w:lang w:val="sr-Latn-ME"/>
          <w14:ligatures w14:val="none"/>
        </w:rPr>
        <w:t>stavljenje poreske administracije i uvo</w:t>
      </w:r>
      <w:r w:rsidR="00B859CD" w:rsidRPr="00B27BE9">
        <w:rPr>
          <w:rFonts w:eastAsia="Calibri" w:cstheme="minorHAnsi"/>
          <w:color w:val="000000"/>
          <w:kern w:val="0"/>
          <w:sz w:val="24"/>
          <w:szCs w:val="24"/>
          <w:lang w:val="sr-Latn-ME"/>
          <w14:ligatures w14:val="none"/>
        </w:rPr>
        <w:t>đ</w:t>
      </w:r>
      <w:r w:rsidR="00677FF4" w:rsidRPr="00B27BE9">
        <w:rPr>
          <w:rFonts w:eastAsia="Calibri" w:cstheme="minorHAnsi"/>
          <w:color w:val="000000"/>
          <w:kern w:val="0"/>
          <w:sz w:val="24"/>
          <w:szCs w:val="24"/>
          <w:lang w:val="sr-Latn-ME"/>
          <w14:ligatures w14:val="none"/>
        </w:rPr>
        <w:t>enje jedinstvenog šaltera, kao i</w:t>
      </w:r>
      <w:r w:rsidRPr="00B27BE9">
        <w:rPr>
          <w:rFonts w:eastAsia="Calibri" w:cstheme="minorHAnsi"/>
          <w:color w:val="000000"/>
          <w:kern w:val="0"/>
          <w:sz w:val="24"/>
          <w:szCs w:val="24"/>
          <w:lang w:val="sr-Latn-ME"/>
          <w14:ligatures w14:val="none"/>
        </w:rPr>
        <w:t xml:space="preserve"> </w:t>
      </w:r>
      <w:r w:rsidR="00677FF4" w:rsidRPr="00B27BE9">
        <w:rPr>
          <w:rFonts w:eastAsia="Calibri" w:cstheme="minorHAnsi"/>
          <w:color w:val="000000"/>
          <w:kern w:val="0"/>
          <w:sz w:val="24"/>
          <w:szCs w:val="24"/>
          <w:lang w:val="sr-Latn-ME"/>
          <w14:ligatures w14:val="none"/>
        </w:rPr>
        <w:t>e</w:t>
      </w:r>
      <w:r w:rsidRPr="00B27BE9">
        <w:rPr>
          <w:rFonts w:eastAsia="Calibri" w:cstheme="minorHAnsi"/>
          <w:color w:val="000000"/>
          <w:kern w:val="0"/>
          <w:sz w:val="24"/>
          <w:szCs w:val="24"/>
          <w:lang w:val="sr-Latn-ME"/>
          <w14:ligatures w14:val="none"/>
        </w:rPr>
        <w:t>le</w:t>
      </w:r>
      <w:r w:rsidR="00677FF4" w:rsidRPr="00B27BE9">
        <w:rPr>
          <w:rFonts w:eastAsia="Calibri" w:cstheme="minorHAnsi"/>
          <w:color w:val="000000"/>
          <w:kern w:val="0"/>
          <w:sz w:val="24"/>
          <w:szCs w:val="24"/>
          <w:lang w:val="sr-Latn-ME"/>
          <w14:ligatures w14:val="none"/>
        </w:rPr>
        <w:t xml:space="preserve">ktronskih usluga, značajno će rasteretiti </w:t>
      </w:r>
      <w:r w:rsidRPr="00B27BE9">
        <w:rPr>
          <w:rFonts w:eastAsia="Calibri" w:cstheme="minorHAnsi"/>
          <w:color w:val="000000"/>
          <w:kern w:val="0"/>
          <w:sz w:val="24"/>
          <w:szCs w:val="24"/>
          <w:lang w:val="sr-Latn-ME"/>
          <w14:ligatures w14:val="none"/>
        </w:rPr>
        <w:t xml:space="preserve">privredu i </w:t>
      </w:r>
      <w:r w:rsidR="00677FF4" w:rsidRPr="00B27BE9">
        <w:rPr>
          <w:rFonts w:eastAsia="Calibri" w:cstheme="minorHAnsi"/>
          <w:color w:val="000000"/>
          <w:kern w:val="0"/>
          <w:sz w:val="24"/>
          <w:szCs w:val="24"/>
          <w:lang w:val="sr-Latn-ME"/>
          <w14:ligatures w14:val="none"/>
        </w:rPr>
        <w:t>građane od ovih troškova. T</w:t>
      </w:r>
      <w:r w:rsidRPr="00B27BE9">
        <w:rPr>
          <w:rFonts w:eastAsia="Calibri" w:cstheme="minorHAnsi"/>
          <w:color w:val="000000"/>
          <w:kern w:val="0"/>
          <w:sz w:val="24"/>
          <w:szCs w:val="24"/>
          <w:lang w:val="sr-Latn-ME"/>
          <w14:ligatures w14:val="none"/>
        </w:rPr>
        <w:t>o</w:t>
      </w:r>
      <w:r w:rsidR="00677FF4" w:rsidRPr="00B27BE9">
        <w:rPr>
          <w:rFonts w:eastAsia="Calibri" w:cstheme="minorHAnsi"/>
          <w:color w:val="000000"/>
          <w:kern w:val="0"/>
          <w:sz w:val="24"/>
          <w:szCs w:val="24"/>
          <w:lang w:val="sr-Latn-ME"/>
          <w14:ligatures w14:val="none"/>
        </w:rPr>
        <w:t xml:space="preserve"> </w:t>
      </w:r>
      <w:r w:rsidRPr="00B27BE9">
        <w:rPr>
          <w:rFonts w:eastAsia="Calibri" w:cstheme="minorHAnsi"/>
          <w:color w:val="000000"/>
          <w:kern w:val="0"/>
          <w:sz w:val="24"/>
          <w:szCs w:val="24"/>
          <w:lang w:val="sr-Latn-ME"/>
          <w14:ligatures w14:val="none"/>
        </w:rPr>
        <w:t>kratkoročno</w:t>
      </w:r>
      <w:r w:rsidR="00677FF4" w:rsidRPr="00B27BE9">
        <w:rPr>
          <w:rFonts w:eastAsia="Calibri" w:cstheme="minorHAnsi"/>
          <w:color w:val="000000"/>
          <w:kern w:val="0"/>
          <w:sz w:val="24"/>
          <w:szCs w:val="24"/>
          <w:lang w:val="sr-Latn-ME"/>
          <w14:ligatures w14:val="none"/>
        </w:rPr>
        <w:t xml:space="preserve"> </w:t>
      </w:r>
      <w:r w:rsidRPr="00B27BE9">
        <w:rPr>
          <w:rFonts w:eastAsia="Calibri" w:cstheme="minorHAnsi"/>
          <w:color w:val="000000"/>
          <w:kern w:val="0"/>
          <w:sz w:val="24"/>
          <w:szCs w:val="24"/>
          <w:lang w:val="sr-Latn-ME"/>
          <w14:ligatures w14:val="none"/>
        </w:rPr>
        <w:t>m</w:t>
      </w:r>
      <w:r w:rsidR="00677FF4" w:rsidRPr="00B27BE9">
        <w:rPr>
          <w:rFonts w:eastAsia="Calibri" w:cstheme="minorHAnsi"/>
          <w:color w:val="000000"/>
          <w:kern w:val="0"/>
          <w:sz w:val="24"/>
          <w:szCs w:val="24"/>
          <w:lang w:val="sr-Latn-ME"/>
          <w14:ligatures w14:val="none"/>
        </w:rPr>
        <w:t>ože smanjiti prihode Vlade i lokalnih s</w:t>
      </w:r>
      <w:r w:rsidRPr="00B27BE9">
        <w:rPr>
          <w:rFonts w:eastAsia="Calibri" w:cstheme="minorHAnsi"/>
          <w:color w:val="000000"/>
          <w:kern w:val="0"/>
          <w:sz w:val="24"/>
          <w:szCs w:val="24"/>
          <w:lang w:val="sr-Latn-ME"/>
          <w14:ligatures w14:val="none"/>
        </w:rPr>
        <w:t>am</w:t>
      </w:r>
      <w:r w:rsidR="00677FF4" w:rsidRPr="00B27BE9">
        <w:rPr>
          <w:rFonts w:eastAsia="Calibri" w:cstheme="minorHAnsi"/>
          <w:color w:val="000000"/>
          <w:kern w:val="0"/>
          <w:sz w:val="24"/>
          <w:szCs w:val="24"/>
          <w:lang w:val="sr-Latn-ME"/>
          <w14:ligatures w14:val="none"/>
        </w:rPr>
        <w:t xml:space="preserve">ouprava, ali će značajno doprinijeti registraciji novih biznisa i </w:t>
      </w:r>
      <w:r w:rsidRPr="00B27BE9">
        <w:rPr>
          <w:rFonts w:eastAsia="Calibri" w:cstheme="minorHAnsi"/>
          <w:color w:val="000000"/>
          <w:kern w:val="0"/>
          <w:sz w:val="24"/>
          <w:szCs w:val="24"/>
          <w:lang w:val="sr-Latn-ME"/>
          <w14:ligatures w14:val="none"/>
        </w:rPr>
        <w:t>zaposlenosti</w:t>
      </w:r>
      <w:r w:rsidR="00677FF4" w:rsidRPr="00B27BE9">
        <w:rPr>
          <w:rFonts w:eastAsia="Calibri" w:cstheme="minorHAnsi"/>
          <w:color w:val="000000"/>
          <w:kern w:val="0"/>
          <w:sz w:val="24"/>
          <w:szCs w:val="24"/>
          <w:lang w:val="sr-Latn-ME"/>
          <w14:ligatures w14:val="none"/>
        </w:rPr>
        <w:t xml:space="preserve"> i proširiti p</w:t>
      </w:r>
      <w:r w:rsidR="00E369A1">
        <w:rPr>
          <w:rFonts w:eastAsia="Calibri" w:cstheme="minorHAnsi"/>
          <w:color w:val="000000"/>
          <w:kern w:val="0"/>
          <w:sz w:val="24"/>
          <w:szCs w:val="24"/>
          <w:lang w:val="sr-Latn-ME"/>
          <w14:ligatures w14:val="none"/>
        </w:rPr>
        <w:t>or</w:t>
      </w:r>
      <w:r w:rsidR="00677FF4" w:rsidRPr="00B27BE9">
        <w:rPr>
          <w:rFonts w:eastAsia="Calibri" w:cstheme="minorHAnsi"/>
          <w:color w:val="000000"/>
          <w:kern w:val="0"/>
          <w:sz w:val="24"/>
          <w:szCs w:val="24"/>
          <w:lang w:val="sr-Latn-ME"/>
          <w14:ligatures w14:val="none"/>
        </w:rPr>
        <w:t xml:space="preserve">esku bazu. </w:t>
      </w:r>
    </w:p>
    <w:p w14:paraId="5832EDC9" w14:textId="49D69E92" w:rsidR="006A031D" w:rsidRPr="00A942C4" w:rsidRDefault="00466D1B" w:rsidP="00B27BE9">
      <w:pPr>
        <w:spacing w:after="150" w:line="276" w:lineRule="auto"/>
        <w:jc w:val="both"/>
        <w:rPr>
          <w:rFonts w:eastAsia="Calibri" w:cstheme="minorHAnsi"/>
          <w:color w:val="000000"/>
          <w:kern w:val="0"/>
          <w:sz w:val="24"/>
          <w:szCs w:val="24"/>
          <w:lang w:val="sr-Cyrl-RS"/>
          <w14:ligatures w14:val="none"/>
        </w:rPr>
      </w:pPr>
      <w:r w:rsidRPr="00B27BE9">
        <w:rPr>
          <w:rFonts w:eastAsia="Calibri" w:cstheme="minorHAnsi"/>
          <w:color w:val="000000"/>
          <w:kern w:val="0"/>
          <w:sz w:val="24"/>
          <w:szCs w:val="24"/>
          <w:lang w:val="sr-Latn-ME"/>
          <w14:ligatures w14:val="none"/>
        </w:rPr>
        <w:t>P</w:t>
      </w:r>
      <w:r w:rsidR="00440CF4" w:rsidRPr="00B27BE9">
        <w:rPr>
          <w:rFonts w:eastAsia="Calibri" w:cstheme="minorHAnsi"/>
          <w:color w:val="000000"/>
          <w:kern w:val="0"/>
          <w:sz w:val="24"/>
          <w:szCs w:val="24"/>
          <w:lang w:val="sr-Latn-ME"/>
          <w14:ligatures w14:val="none"/>
        </w:rPr>
        <w:t xml:space="preserve">ored navedenog, neophodno je </w:t>
      </w:r>
      <w:r w:rsidR="00B27BE9" w:rsidRPr="00B27BE9">
        <w:rPr>
          <w:rFonts w:eastAsia="Calibri" w:cstheme="minorHAnsi"/>
          <w:color w:val="000000"/>
          <w:kern w:val="0"/>
          <w:sz w:val="24"/>
          <w:szCs w:val="24"/>
          <w:lang w:val="sr-Latn-ME"/>
          <w14:ligatures w14:val="none"/>
        </w:rPr>
        <w:t>sagledati smanjenje poreskih</w:t>
      </w:r>
      <w:r w:rsidR="00440CF4" w:rsidRPr="00B27BE9">
        <w:rPr>
          <w:rFonts w:eastAsia="Calibri" w:cstheme="minorHAnsi"/>
          <w:color w:val="000000"/>
          <w:kern w:val="0"/>
          <w:sz w:val="24"/>
          <w:szCs w:val="24"/>
          <w:lang w:val="sr-Latn-ME"/>
          <w14:ligatures w14:val="none"/>
        </w:rPr>
        <w:t xml:space="preserve"> stopa kad</w:t>
      </w:r>
      <w:r w:rsidR="00B27BE9" w:rsidRPr="00B27BE9">
        <w:rPr>
          <w:rFonts w:eastAsia="Calibri" w:cstheme="minorHAnsi"/>
          <w:color w:val="000000"/>
          <w:kern w:val="0"/>
          <w:sz w:val="24"/>
          <w:szCs w:val="24"/>
          <w:lang w:val="sr-Latn-ME"/>
          <w14:ligatures w14:val="none"/>
        </w:rPr>
        <w:t xml:space="preserve">a </w:t>
      </w:r>
      <w:r w:rsidR="00440CF4" w:rsidRPr="00A942C4">
        <w:rPr>
          <w:rFonts w:eastAsia="Calibri" w:cstheme="minorHAnsi"/>
          <w:color w:val="000000"/>
          <w:kern w:val="0"/>
          <w:sz w:val="24"/>
          <w:szCs w:val="24"/>
          <w:lang w:val="sr-Latn-ME"/>
          <w14:ligatures w14:val="none"/>
        </w:rPr>
        <w:t>je riječ o porezu na nepokretnost (koje odre</w:t>
      </w:r>
      <w:r w:rsidR="0018197B">
        <w:rPr>
          <w:rFonts w:eastAsia="Calibri" w:cstheme="minorHAnsi"/>
          <w:color w:val="000000"/>
          <w:kern w:val="0"/>
          <w:sz w:val="24"/>
          <w:szCs w:val="24"/>
          <w:lang w:val="sr-Latn-ME"/>
          <w14:ligatures w14:val="none"/>
        </w:rPr>
        <w:t>đ</w:t>
      </w:r>
      <w:r w:rsidR="00440CF4" w:rsidRPr="00A942C4">
        <w:rPr>
          <w:rFonts w:eastAsia="Calibri" w:cstheme="minorHAnsi"/>
          <w:color w:val="000000"/>
          <w:kern w:val="0"/>
          <w:sz w:val="24"/>
          <w:szCs w:val="24"/>
          <w:lang w:val="sr-Latn-ME"/>
          <w14:ligatures w14:val="none"/>
        </w:rPr>
        <w:t>uju je</w:t>
      </w:r>
      <w:r w:rsidR="00B27BE9" w:rsidRPr="00A942C4">
        <w:rPr>
          <w:rFonts w:eastAsia="Calibri" w:cstheme="minorHAnsi"/>
          <w:color w:val="000000"/>
          <w:kern w:val="0"/>
          <w:sz w:val="24"/>
          <w:szCs w:val="24"/>
          <w:lang w:val="sr-Latn-ME"/>
          <w14:ligatures w14:val="none"/>
        </w:rPr>
        <w:t>dinice</w:t>
      </w:r>
      <w:r w:rsidR="00440CF4" w:rsidRPr="00A942C4">
        <w:rPr>
          <w:rFonts w:eastAsia="Calibri" w:cstheme="minorHAnsi"/>
          <w:color w:val="000000"/>
          <w:kern w:val="0"/>
          <w:sz w:val="24"/>
          <w:szCs w:val="24"/>
          <w:lang w:val="sr-Latn-ME"/>
          <w14:ligatures w14:val="none"/>
        </w:rPr>
        <w:t xml:space="preserve"> lokalne samouprave svojim aktima)</w:t>
      </w:r>
      <w:r w:rsidR="00B27BE9" w:rsidRPr="00A942C4">
        <w:rPr>
          <w:rFonts w:eastAsia="Calibri" w:cstheme="minorHAnsi"/>
          <w:color w:val="000000"/>
          <w:kern w:val="0"/>
          <w:sz w:val="24"/>
          <w:szCs w:val="24"/>
          <w:lang w:val="sr-Latn-ME"/>
          <w14:ligatures w14:val="none"/>
        </w:rPr>
        <w:t>, a tako</w:t>
      </w:r>
      <w:r w:rsidR="0018197B">
        <w:rPr>
          <w:rFonts w:eastAsia="Calibri" w:cstheme="minorHAnsi"/>
          <w:color w:val="000000"/>
          <w:kern w:val="0"/>
          <w:sz w:val="24"/>
          <w:szCs w:val="24"/>
          <w:lang w:val="sr-Latn-ME"/>
          <w14:ligatures w14:val="none"/>
        </w:rPr>
        <w:t>đ</w:t>
      </w:r>
      <w:r w:rsidR="00B27BE9" w:rsidRPr="00A942C4">
        <w:rPr>
          <w:rFonts w:eastAsia="Calibri" w:cstheme="minorHAnsi"/>
          <w:color w:val="000000"/>
          <w:kern w:val="0"/>
          <w:sz w:val="24"/>
          <w:szCs w:val="24"/>
          <w:lang w:val="sr-Latn-ME"/>
          <w14:ligatures w14:val="none"/>
        </w:rPr>
        <w:t>e razmotriti visinu stope p</w:t>
      </w:r>
      <w:r w:rsidRPr="00A942C4">
        <w:rPr>
          <w:rFonts w:eastAsia="Calibri" w:cstheme="minorHAnsi"/>
          <w:color w:val="000000"/>
          <w:kern w:val="0"/>
          <w:sz w:val="24"/>
          <w:szCs w:val="24"/>
          <w:lang w:val="sr-Latn-ME"/>
          <w14:ligatures w14:val="none"/>
        </w:rPr>
        <w:t>orez</w:t>
      </w:r>
      <w:r w:rsidR="00B27BE9" w:rsidRPr="00A942C4">
        <w:rPr>
          <w:rFonts w:eastAsia="Calibri" w:cstheme="minorHAnsi"/>
          <w:color w:val="000000"/>
          <w:kern w:val="0"/>
          <w:sz w:val="24"/>
          <w:szCs w:val="24"/>
          <w:lang w:val="sr-Latn-ME"/>
          <w14:ligatures w14:val="none"/>
        </w:rPr>
        <w:t>a</w:t>
      </w:r>
      <w:r w:rsidRPr="00A942C4">
        <w:rPr>
          <w:rFonts w:eastAsia="Calibri" w:cstheme="minorHAnsi"/>
          <w:color w:val="000000"/>
          <w:kern w:val="0"/>
          <w:sz w:val="24"/>
          <w:szCs w:val="24"/>
          <w:lang w:val="sr-Latn-ME"/>
          <w14:ligatures w14:val="none"/>
        </w:rPr>
        <w:t xml:space="preserve"> na promet nepokretnosti</w:t>
      </w:r>
      <w:r w:rsidR="00B27BE9" w:rsidRPr="00A942C4">
        <w:rPr>
          <w:rFonts w:eastAsia="Calibri" w:cstheme="minorHAnsi"/>
          <w:color w:val="000000"/>
          <w:kern w:val="0"/>
          <w:sz w:val="24"/>
          <w:szCs w:val="24"/>
          <w:lang w:val="sr-Latn-ME"/>
          <w14:ligatures w14:val="none"/>
        </w:rPr>
        <w:t xml:space="preserve">. </w:t>
      </w:r>
    </w:p>
    <w:p w14:paraId="4872347E" w14:textId="3A12D9A9" w:rsidR="00A30FE6" w:rsidRDefault="00B859CD" w:rsidP="00A942C4">
      <w:pPr>
        <w:spacing w:after="150" w:line="276" w:lineRule="auto"/>
        <w:rPr>
          <w:rFonts w:eastAsia="Calibri" w:cstheme="minorHAnsi"/>
          <w:color w:val="000000"/>
          <w:kern w:val="0"/>
          <w:sz w:val="24"/>
          <w:szCs w:val="24"/>
          <w:lang w:val="sr-Latn-ME"/>
          <w14:ligatures w14:val="none"/>
        </w:rPr>
      </w:pPr>
      <w:r w:rsidRPr="00A942C4">
        <w:rPr>
          <w:rFonts w:eastAsia="Calibri" w:cstheme="minorHAnsi"/>
          <w:color w:val="000000"/>
          <w:kern w:val="0"/>
          <w:sz w:val="24"/>
          <w:szCs w:val="24"/>
          <w:lang w:val="sr-Latn-ME"/>
          <w14:ligatures w14:val="none"/>
        </w:rPr>
        <w:t xml:space="preserve">Indikatori </w:t>
      </w:r>
      <w:r w:rsidR="00921305">
        <w:rPr>
          <w:rFonts w:eastAsia="Calibri" w:cstheme="minorHAnsi"/>
          <w:color w:val="000000"/>
          <w:kern w:val="0"/>
          <w:sz w:val="24"/>
          <w:szCs w:val="24"/>
          <w:lang w:val="sr-Latn-ME"/>
          <w14:ligatures w14:val="none"/>
        </w:rPr>
        <w:t>u</w:t>
      </w:r>
      <w:r w:rsidRPr="00A942C4">
        <w:rPr>
          <w:rFonts w:eastAsia="Calibri" w:cstheme="minorHAnsi"/>
          <w:color w:val="000000"/>
          <w:kern w:val="0"/>
          <w:sz w:val="24"/>
          <w:szCs w:val="24"/>
          <w:lang w:val="sr-Latn-ME"/>
          <w14:ligatures w14:val="none"/>
        </w:rPr>
        <w:t xml:space="preserve">činka za dostizanje ovog operativnog cilja su prikazani u tabeli , dok su aktivnosti u </w:t>
      </w:r>
      <w:r w:rsidRPr="00921305">
        <w:rPr>
          <w:rFonts w:eastAsia="Calibri" w:cstheme="minorHAnsi"/>
          <w:color w:val="000000"/>
          <w:kern w:val="0"/>
          <w:sz w:val="24"/>
          <w:szCs w:val="24"/>
          <w:lang w:val="sr-Latn-ME"/>
          <w14:ligatures w14:val="none"/>
        </w:rPr>
        <w:t>okviru ovog operativnog cilja detaljnije prikazane u Akcionom planu.</w:t>
      </w:r>
      <w:r w:rsidRPr="00A942C4">
        <w:rPr>
          <w:rFonts w:eastAsia="Calibri" w:cstheme="minorHAnsi"/>
          <w:color w:val="000000"/>
          <w:kern w:val="0"/>
          <w:sz w:val="24"/>
          <w:szCs w:val="24"/>
          <w:lang w:val="sr-Latn-ME"/>
          <w14:ligatures w14:val="none"/>
        </w:rPr>
        <w:t xml:space="preserve"> </w:t>
      </w:r>
    </w:p>
    <w:p w14:paraId="6F995FE0" w14:textId="77777777" w:rsidR="00C30C31" w:rsidRDefault="00C30C31" w:rsidP="00A942C4">
      <w:pPr>
        <w:spacing w:after="150" w:line="276" w:lineRule="auto"/>
        <w:rPr>
          <w:rFonts w:eastAsia="Calibri" w:cstheme="minorHAnsi"/>
          <w:kern w:val="0"/>
          <w:sz w:val="24"/>
          <w:szCs w:val="24"/>
          <w:lang w:val="sr-Latn-ME"/>
          <w14:ligatures w14:val="none"/>
        </w:rPr>
      </w:pPr>
    </w:p>
    <w:p w14:paraId="369618C9" w14:textId="77777777" w:rsidR="00B67D63" w:rsidRDefault="00B67D63" w:rsidP="00A942C4">
      <w:pPr>
        <w:spacing w:after="150" w:line="276" w:lineRule="auto"/>
        <w:rPr>
          <w:rFonts w:eastAsia="Calibri" w:cstheme="minorHAnsi"/>
          <w:kern w:val="0"/>
          <w:sz w:val="24"/>
          <w:szCs w:val="24"/>
          <w:lang w:val="sr-Latn-ME"/>
          <w14:ligatures w14:val="none"/>
        </w:rPr>
      </w:pPr>
    </w:p>
    <w:p w14:paraId="665CCBDA" w14:textId="77777777" w:rsidR="00B67D63" w:rsidRDefault="00B67D63" w:rsidP="00A942C4">
      <w:pPr>
        <w:spacing w:after="150" w:line="276" w:lineRule="auto"/>
        <w:rPr>
          <w:rFonts w:eastAsia="Calibri" w:cstheme="minorHAnsi"/>
          <w:kern w:val="0"/>
          <w:sz w:val="24"/>
          <w:szCs w:val="24"/>
          <w:lang w:val="sr-Latn-ME"/>
          <w14:ligatures w14:val="none"/>
        </w:rPr>
      </w:pPr>
    </w:p>
    <w:p w14:paraId="061014D6" w14:textId="77777777" w:rsidR="00B67D63" w:rsidRDefault="00B67D63" w:rsidP="00A942C4">
      <w:pPr>
        <w:spacing w:after="150" w:line="276" w:lineRule="auto"/>
        <w:rPr>
          <w:rFonts w:eastAsia="Calibri" w:cstheme="minorHAnsi"/>
          <w:kern w:val="0"/>
          <w:sz w:val="24"/>
          <w:szCs w:val="24"/>
          <w:lang w:val="sr-Latn-ME"/>
          <w14:ligatures w14:val="none"/>
        </w:rPr>
      </w:pPr>
    </w:p>
    <w:p w14:paraId="17C0B82F" w14:textId="77777777" w:rsidR="00B67D63" w:rsidRDefault="00B67D63" w:rsidP="00A942C4">
      <w:pPr>
        <w:spacing w:after="150" w:line="276" w:lineRule="auto"/>
        <w:rPr>
          <w:rFonts w:eastAsia="Calibri" w:cstheme="minorHAnsi"/>
          <w:kern w:val="0"/>
          <w:sz w:val="24"/>
          <w:szCs w:val="24"/>
          <w:lang w:val="sr-Latn-ME"/>
          <w14:ligatures w14:val="none"/>
        </w:rPr>
      </w:pPr>
    </w:p>
    <w:p w14:paraId="389E755C" w14:textId="77777777" w:rsidR="00B67D63" w:rsidRDefault="00B67D63" w:rsidP="00A942C4">
      <w:pPr>
        <w:spacing w:after="150" w:line="276" w:lineRule="auto"/>
        <w:rPr>
          <w:rFonts w:eastAsia="Calibri" w:cstheme="minorHAnsi"/>
          <w:kern w:val="0"/>
          <w:sz w:val="24"/>
          <w:szCs w:val="24"/>
          <w:lang w:val="sr-Latn-ME"/>
          <w14:ligatures w14:val="none"/>
        </w:rPr>
      </w:pPr>
    </w:p>
    <w:p w14:paraId="0E899AC6" w14:textId="77777777" w:rsidR="00B67D63" w:rsidRDefault="00B67D63" w:rsidP="00A942C4">
      <w:pPr>
        <w:spacing w:after="150" w:line="276" w:lineRule="auto"/>
        <w:rPr>
          <w:rFonts w:eastAsia="Calibri" w:cstheme="minorHAnsi"/>
          <w:kern w:val="0"/>
          <w:sz w:val="24"/>
          <w:szCs w:val="24"/>
          <w:lang w:val="sr-Latn-ME"/>
          <w14:ligatures w14:val="none"/>
        </w:rPr>
      </w:pPr>
    </w:p>
    <w:p w14:paraId="287F0C72" w14:textId="77777777" w:rsidR="00B67D63" w:rsidRDefault="00B67D63" w:rsidP="00A942C4">
      <w:pPr>
        <w:spacing w:after="150" w:line="276" w:lineRule="auto"/>
        <w:rPr>
          <w:rFonts w:eastAsia="Calibri" w:cstheme="minorHAnsi"/>
          <w:kern w:val="0"/>
          <w:sz w:val="24"/>
          <w:szCs w:val="24"/>
          <w:lang w:val="sr-Latn-ME"/>
          <w14:ligatures w14:val="none"/>
        </w:rPr>
      </w:pPr>
    </w:p>
    <w:p w14:paraId="6803EB3C" w14:textId="77777777" w:rsidR="00B67D63" w:rsidRDefault="00B67D63" w:rsidP="00A942C4">
      <w:pPr>
        <w:spacing w:after="150" w:line="276" w:lineRule="auto"/>
        <w:rPr>
          <w:rFonts w:eastAsia="Calibri" w:cstheme="minorHAnsi"/>
          <w:kern w:val="0"/>
          <w:sz w:val="24"/>
          <w:szCs w:val="24"/>
          <w:lang w:val="sr-Latn-ME"/>
          <w14:ligatures w14:val="none"/>
        </w:rPr>
      </w:pPr>
    </w:p>
    <w:p w14:paraId="63BC38B7" w14:textId="77777777" w:rsidR="00B67D63" w:rsidRDefault="00B67D63" w:rsidP="00A942C4">
      <w:pPr>
        <w:spacing w:after="150" w:line="276" w:lineRule="auto"/>
        <w:rPr>
          <w:rFonts w:eastAsia="Calibri" w:cstheme="minorHAnsi"/>
          <w:kern w:val="0"/>
          <w:sz w:val="24"/>
          <w:szCs w:val="24"/>
          <w:lang w:val="sr-Latn-ME"/>
          <w14:ligatures w14:val="none"/>
        </w:rPr>
      </w:pPr>
    </w:p>
    <w:p w14:paraId="55C0A8B1" w14:textId="77777777" w:rsidR="00B67D63" w:rsidRPr="00A942C4" w:rsidRDefault="00B67D63" w:rsidP="00A942C4">
      <w:pPr>
        <w:spacing w:after="150" w:line="276" w:lineRule="auto"/>
        <w:rPr>
          <w:rFonts w:eastAsia="Calibri" w:cstheme="minorHAnsi"/>
          <w:kern w:val="0"/>
          <w:sz w:val="24"/>
          <w:szCs w:val="24"/>
          <w:lang w:val="sr-Latn-ME"/>
          <w14:ligatures w14:val="none"/>
        </w:rPr>
      </w:pPr>
    </w:p>
    <w:tbl>
      <w:tblPr>
        <w:tblStyle w:val="GridTable3-Accent1"/>
        <w:tblW w:w="9355" w:type="dxa"/>
        <w:tblLayout w:type="fixed"/>
        <w:tblLook w:val="0400" w:firstRow="0" w:lastRow="0" w:firstColumn="0" w:lastColumn="0" w:noHBand="0" w:noVBand="1"/>
      </w:tblPr>
      <w:tblGrid>
        <w:gridCol w:w="1525"/>
        <w:gridCol w:w="1470"/>
        <w:gridCol w:w="1620"/>
        <w:gridCol w:w="1890"/>
        <w:gridCol w:w="1620"/>
        <w:gridCol w:w="1230"/>
      </w:tblGrid>
      <w:tr w:rsidR="00AC4DD1" w:rsidRPr="00391D03" w14:paraId="7E64882C" w14:textId="77777777" w:rsidTr="00646E9C">
        <w:trPr>
          <w:cnfStyle w:val="000000100000" w:firstRow="0" w:lastRow="0" w:firstColumn="0" w:lastColumn="0" w:oddVBand="0" w:evenVBand="0" w:oddHBand="1" w:evenHBand="0" w:firstRowFirstColumn="0" w:firstRowLastColumn="0" w:lastRowFirstColumn="0" w:lastRowLastColumn="0"/>
        </w:trPr>
        <w:tc>
          <w:tcPr>
            <w:tcW w:w="9355" w:type="dxa"/>
            <w:gridSpan w:val="6"/>
            <w:shd w:val="clear" w:color="auto" w:fill="8EAADB" w:themeFill="accent1" w:themeFillTint="99"/>
          </w:tcPr>
          <w:p w14:paraId="794F9DC5" w14:textId="45DA0E77" w:rsidR="00123FE9" w:rsidRPr="00C12CD2" w:rsidRDefault="00EA52F5" w:rsidP="00123FE9">
            <w:pPr>
              <w:rPr>
                <w:b/>
                <w:bCs/>
                <w:sz w:val="20"/>
                <w:szCs w:val="20"/>
                <w:lang w:val="sr-Latn-ME"/>
              </w:rPr>
            </w:pPr>
            <w:r w:rsidRPr="00C12CD2">
              <w:rPr>
                <w:b/>
                <w:bCs/>
                <w:sz w:val="20"/>
                <w:szCs w:val="20"/>
                <w:lang w:val="sr-Latn-ME"/>
              </w:rPr>
              <w:t>O</w:t>
            </w:r>
            <w:r w:rsidR="00B351C7">
              <w:rPr>
                <w:b/>
                <w:bCs/>
                <w:sz w:val="20"/>
                <w:szCs w:val="20"/>
                <w:lang w:val="sr-Latn-ME"/>
              </w:rPr>
              <w:t>C</w:t>
            </w:r>
            <w:r w:rsidRPr="00C12CD2">
              <w:rPr>
                <w:b/>
                <w:bCs/>
                <w:sz w:val="20"/>
                <w:szCs w:val="20"/>
                <w:lang w:val="sr-Latn-ME"/>
              </w:rPr>
              <w:t>1</w:t>
            </w:r>
            <w:r w:rsidR="00123FE9" w:rsidRPr="00C12CD2">
              <w:rPr>
                <w:b/>
                <w:bCs/>
                <w:sz w:val="20"/>
                <w:szCs w:val="20"/>
                <w:lang w:val="sr-Latn-ME"/>
              </w:rPr>
              <w:t xml:space="preserve"> -</w:t>
            </w:r>
            <w:r w:rsidR="008620CB" w:rsidRPr="00021CDC">
              <w:rPr>
                <w:rFonts w:cstheme="minorHAnsi"/>
                <w:sz w:val="20"/>
                <w:szCs w:val="20"/>
                <w:lang w:val="pl-PL"/>
              </w:rPr>
              <w:t xml:space="preserve"> </w:t>
            </w:r>
            <w:r w:rsidR="008620CB" w:rsidRPr="00021CDC">
              <w:rPr>
                <w:b/>
                <w:bCs/>
                <w:sz w:val="20"/>
                <w:szCs w:val="20"/>
                <w:lang w:val="pl-PL"/>
              </w:rPr>
              <w:t xml:space="preserve">Unapređenje poslovnog ambijenta kroz smanjenje broja i visine fiskaliteta i parafiskaliteta </w:t>
            </w:r>
          </w:p>
        </w:tc>
      </w:tr>
      <w:tr w:rsidR="00AC4DD1" w:rsidRPr="00AC4DD1" w14:paraId="2C7717C4" w14:textId="77777777" w:rsidTr="00646E9C">
        <w:tc>
          <w:tcPr>
            <w:tcW w:w="1525" w:type="dxa"/>
          </w:tcPr>
          <w:p w14:paraId="71C8F8B1" w14:textId="77777777" w:rsidR="00123FE9" w:rsidRPr="00C12CD2" w:rsidRDefault="00123FE9" w:rsidP="00123FE9">
            <w:pPr>
              <w:rPr>
                <w:b/>
                <w:bCs/>
                <w:sz w:val="20"/>
                <w:szCs w:val="20"/>
                <w:lang w:val="sr-Latn-ME"/>
              </w:rPr>
            </w:pPr>
            <w:r w:rsidRPr="00C12CD2">
              <w:rPr>
                <w:b/>
                <w:bCs/>
                <w:sz w:val="20"/>
                <w:szCs w:val="20"/>
                <w:lang w:val="sr-Latn-ME"/>
              </w:rPr>
              <w:t>Učinak</w:t>
            </w:r>
          </w:p>
        </w:tc>
        <w:tc>
          <w:tcPr>
            <w:tcW w:w="1470" w:type="dxa"/>
          </w:tcPr>
          <w:p w14:paraId="45F9901E" w14:textId="77777777" w:rsidR="00123FE9" w:rsidRPr="00C12CD2" w:rsidRDefault="00123FE9" w:rsidP="00123FE9">
            <w:pPr>
              <w:rPr>
                <w:b/>
                <w:bCs/>
                <w:sz w:val="20"/>
                <w:szCs w:val="20"/>
                <w:lang w:val="sr-Latn-ME"/>
              </w:rPr>
            </w:pPr>
            <w:r w:rsidRPr="00C12CD2">
              <w:rPr>
                <w:b/>
                <w:bCs/>
                <w:sz w:val="20"/>
                <w:szCs w:val="20"/>
                <w:lang w:val="sr-Latn-ME"/>
              </w:rPr>
              <w:t>Indikator učinka (outcome indicator)</w:t>
            </w:r>
          </w:p>
        </w:tc>
        <w:tc>
          <w:tcPr>
            <w:tcW w:w="1620" w:type="dxa"/>
          </w:tcPr>
          <w:p w14:paraId="121AA572" w14:textId="77777777" w:rsidR="00123FE9" w:rsidRPr="00C12CD2" w:rsidRDefault="00123FE9" w:rsidP="00123FE9">
            <w:pPr>
              <w:rPr>
                <w:b/>
                <w:bCs/>
                <w:sz w:val="20"/>
                <w:szCs w:val="20"/>
                <w:lang w:val="sr-Latn-ME"/>
              </w:rPr>
            </w:pPr>
            <w:r w:rsidRPr="00C12CD2">
              <w:rPr>
                <w:b/>
                <w:bCs/>
                <w:sz w:val="20"/>
                <w:szCs w:val="20"/>
                <w:lang w:val="sr-Latn-ME"/>
              </w:rPr>
              <w:t>Izvor verifikacije</w:t>
            </w:r>
          </w:p>
        </w:tc>
        <w:tc>
          <w:tcPr>
            <w:tcW w:w="1890" w:type="dxa"/>
          </w:tcPr>
          <w:p w14:paraId="2349B206" w14:textId="77777777" w:rsidR="00123FE9" w:rsidRPr="00C12CD2" w:rsidRDefault="00123FE9" w:rsidP="00123FE9">
            <w:pPr>
              <w:rPr>
                <w:b/>
                <w:bCs/>
                <w:sz w:val="20"/>
                <w:szCs w:val="20"/>
                <w:lang w:val="sr-Latn-ME"/>
              </w:rPr>
            </w:pPr>
            <w:r w:rsidRPr="00C12CD2">
              <w:rPr>
                <w:b/>
                <w:bCs/>
                <w:sz w:val="20"/>
                <w:szCs w:val="20"/>
                <w:lang w:val="sr-Latn-ME"/>
              </w:rPr>
              <w:t>Početna vrijednost 2022.</w:t>
            </w:r>
          </w:p>
        </w:tc>
        <w:tc>
          <w:tcPr>
            <w:tcW w:w="1620" w:type="dxa"/>
          </w:tcPr>
          <w:p w14:paraId="5D3F5F14" w14:textId="77777777" w:rsidR="00123FE9" w:rsidRPr="00C12CD2" w:rsidRDefault="00123FE9" w:rsidP="00123FE9">
            <w:pPr>
              <w:rPr>
                <w:b/>
                <w:bCs/>
                <w:sz w:val="20"/>
                <w:szCs w:val="20"/>
                <w:lang w:val="sr-Latn-ME"/>
              </w:rPr>
            </w:pPr>
            <w:r w:rsidRPr="00C12CD2">
              <w:rPr>
                <w:b/>
                <w:bCs/>
                <w:sz w:val="20"/>
                <w:szCs w:val="20"/>
                <w:lang w:val="sr-Latn-ME"/>
              </w:rPr>
              <w:t>Vrijednost u 2025.</w:t>
            </w:r>
          </w:p>
        </w:tc>
        <w:tc>
          <w:tcPr>
            <w:tcW w:w="1230" w:type="dxa"/>
          </w:tcPr>
          <w:p w14:paraId="632F665E" w14:textId="77777777" w:rsidR="00123FE9" w:rsidRPr="00C12CD2" w:rsidRDefault="00123FE9" w:rsidP="00123FE9">
            <w:pPr>
              <w:rPr>
                <w:b/>
                <w:bCs/>
                <w:sz w:val="20"/>
                <w:szCs w:val="20"/>
                <w:lang w:val="sr-Latn-ME"/>
              </w:rPr>
            </w:pPr>
            <w:r w:rsidRPr="00C12CD2">
              <w:rPr>
                <w:b/>
                <w:bCs/>
                <w:sz w:val="20"/>
                <w:szCs w:val="20"/>
                <w:lang w:val="sr-Latn-ME"/>
              </w:rPr>
              <w:t>Ciljna vrijednost 2026.</w:t>
            </w:r>
          </w:p>
        </w:tc>
      </w:tr>
      <w:tr w:rsidR="00B77C62" w:rsidRPr="00123FE9" w14:paraId="1F454B14" w14:textId="77777777" w:rsidTr="00646E9C">
        <w:trPr>
          <w:cnfStyle w:val="000000100000" w:firstRow="0" w:lastRow="0" w:firstColumn="0" w:lastColumn="0" w:oddVBand="0" w:evenVBand="0" w:oddHBand="1" w:evenHBand="0" w:firstRowFirstColumn="0" w:firstRowLastColumn="0" w:lastRowFirstColumn="0" w:lastRowLastColumn="0"/>
          <w:trHeight w:val="1250"/>
        </w:trPr>
        <w:tc>
          <w:tcPr>
            <w:tcW w:w="1525" w:type="dxa"/>
          </w:tcPr>
          <w:p w14:paraId="6FD77817" w14:textId="4F022FC1" w:rsidR="00123FE9" w:rsidRPr="00C12CD2" w:rsidRDefault="00123FE9" w:rsidP="00123FE9">
            <w:pPr>
              <w:rPr>
                <w:sz w:val="20"/>
                <w:szCs w:val="20"/>
                <w:lang w:val="sr-Latn-ME"/>
              </w:rPr>
            </w:pPr>
            <w:r w:rsidRPr="00C12CD2">
              <w:rPr>
                <w:sz w:val="20"/>
                <w:szCs w:val="20"/>
                <w:lang w:val="sr-Latn-ME"/>
              </w:rPr>
              <w:t>Smanjeno poresko opterećenje rada</w:t>
            </w:r>
          </w:p>
        </w:tc>
        <w:tc>
          <w:tcPr>
            <w:tcW w:w="1470" w:type="dxa"/>
          </w:tcPr>
          <w:p w14:paraId="38270BE8" w14:textId="5E62F5D3" w:rsidR="00123FE9" w:rsidRPr="00C12CD2" w:rsidRDefault="00123FE9" w:rsidP="00123FE9">
            <w:pPr>
              <w:rPr>
                <w:sz w:val="20"/>
                <w:szCs w:val="20"/>
                <w:lang w:val="sr-Latn-ME"/>
              </w:rPr>
            </w:pPr>
            <w:r w:rsidRPr="00C12CD2">
              <w:rPr>
                <w:sz w:val="20"/>
                <w:szCs w:val="20"/>
                <w:lang w:val="sr-Latn-ME"/>
              </w:rPr>
              <w:t>Poresko opterećenje rada (%)</w:t>
            </w:r>
          </w:p>
        </w:tc>
        <w:tc>
          <w:tcPr>
            <w:tcW w:w="1620" w:type="dxa"/>
          </w:tcPr>
          <w:p w14:paraId="4D009F5E" w14:textId="62BDADEB" w:rsidR="00123FE9" w:rsidRPr="00C12CD2" w:rsidRDefault="008620CB" w:rsidP="00123FE9">
            <w:pPr>
              <w:rPr>
                <w:sz w:val="20"/>
                <w:szCs w:val="20"/>
                <w:lang w:val="sr-Latn-ME"/>
              </w:rPr>
            </w:pPr>
            <w:r w:rsidRPr="00C12CD2">
              <w:rPr>
                <w:sz w:val="20"/>
                <w:szCs w:val="20"/>
                <w:lang w:val="sr-Latn-ME"/>
              </w:rPr>
              <w:t>MF</w:t>
            </w:r>
          </w:p>
        </w:tc>
        <w:tc>
          <w:tcPr>
            <w:tcW w:w="1890" w:type="dxa"/>
          </w:tcPr>
          <w:p w14:paraId="2BEEBC0E" w14:textId="100F5B24" w:rsidR="00123FE9" w:rsidRPr="00C12CD2" w:rsidRDefault="00D035F2" w:rsidP="00123FE9">
            <w:pPr>
              <w:rPr>
                <w:sz w:val="20"/>
                <w:szCs w:val="20"/>
                <w:lang w:val="sr-Latn-ME"/>
              </w:rPr>
            </w:pPr>
            <w:r w:rsidRPr="00C12CD2">
              <w:rPr>
                <w:sz w:val="20"/>
                <w:szCs w:val="20"/>
                <w:lang w:val="sr-Latn-ME"/>
              </w:rPr>
              <w:t>2</w:t>
            </w:r>
            <w:r w:rsidR="00BE5454" w:rsidRPr="00C12CD2">
              <w:rPr>
                <w:sz w:val="20"/>
                <w:szCs w:val="20"/>
                <w:lang w:val="sr-Latn-ME"/>
              </w:rPr>
              <w:t>0,4-32</w:t>
            </w:r>
          </w:p>
        </w:tc>
        <w:tc>
          <w:tcPr>
            <w:tcW w:w="1620" w:type="dxa"/>
          </w:tcPr>
          <w:p w14:paraId="00B135F0" w14:textId="4DAB75E1" w:rsidR="00123FE9" w:rsidRPr="00C12CD2" w:rsidRDefault="00D035F2" w:rsidP="00123FE9">
            <w:pPr>
              <w:rPr>
                <w:sz w:val="20"/>
                <w:szCs w:val="20"/>
                <w:lang w:val="sr-Latn-ME"/>
              </w:rPr>
            </w:pPr>
            <w:r w:rsidRPr="00C12CD2">
              <w:rPr>
                <w:sz w:val="20"/>
                <w:szCs w:val="20"/>
                <w:lang w:val="sr-Latn-ME"/>
              </w:rPr>
              <w:t>2</w:t>
            </w:r>
            <w:r w:rsidR="00BE5454" w:rsidRPr="00C12CD2">
              <w:rPr>
                <w:sz w:val="20"/>
                <w:szCs w:val="20"/>
                <w:lang w:val="sr-Latn-ME"/>
              </w:rPr>
              <w:t>0,4-32</w:t>
            </w:r>
          </w:p>
        </w:tc>
        <w:tc>
          <w:tcPr>
            <w:tcW w:w="1230" w:type="dxa"/>
          </w:tcPr>
          <w:p w14:paraId="296EEB4A" w14:textId="4A276991" w:rsidR="00123FE9" w:rsidRPr="00C12CD2" w:rsidRDefault="00BE5454" w:rsidP="00123FE9">
            <w:pPr>
              <w:rPr>
                <w:sz w:val="20"/>
                <w:szCs w:val="20"/>
                <w:lang w:val="sr-Latn-ME"/>
              </w:rPr>
            </w:pPr>
            <w:r w:rsidRPr="00C12CD2">
              <w:rPr>
                <w:sz w:val="20"/>
                <w:szCs w:val="20"/>
                <w:lang w:val="sr-Latn-ME"/>
              </w:rPr>
              <w:t>20,4-30</w:t>
            </w:r>
          </w:p>
        </w:tc>
      </w:tr>
      <w:tr w:rsidR="009D1610" w:rsidRPr="009D1610" w14:paraId="713D759B" w14:textId="77777777" w:rsidTr="007028EE">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6BB770BB" w14:textId="5DD41ACB" w:rsidR="009D1610" w:rsidRPr="009D1610" w:rsidRDefault="009D1610" w:rsidP="009D1610">
            <w:pPr>
              <w:rPr>
                <w:sz w:val="20"/>
                <w:szCs w:val="20"/>
                <w:lang w:val="sr-Latn-ME"/>
              </w:rPr>
            </w:pPr>
            <w:r w:rsidRPr="007028EE">
              <w:rPr>
                <w:rFonts w:cstheme="minorHAnsi"/>
                <w:sz w:val="20"/>
                <w:szCs w:val="20"/>
                <w:lang w:val="sr-Latn-ME"/>
              </w:rPr>
              <w:t>Povećan stepen primjene analize uticaja propisa (RIA)</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3AD10168" w14:textId="77777777" w:rsidR="009D1610" w:rsidRPr="007028EE" w:rsidRDefault="009D1610" w:rsidP="009D1610">
            <w:pPr>
              <w:jc w:val="center"/>
              <w:rPr>
                <w:rFonts w:cstheme="minorHAnsi"/>
                <w:sz w:val="20"/>
                <w:szCs w:val="20"/>
                <w:lang w:val="pl-PL"/>
              </w:rPr>
            </w:pPr>
            <w:r w:rsidRPr="007028EE">
              <w:rPr>
                <w:rFonts w:cstheme="minorHAnsi"/>
                <w:sz w:val="20"/>
                <w:szCs w:val="20"/>
                <w:lang w:val="pl-PL"/>
              </w:rPr>
              <w:t>Broj službenika na centralnom i lokalnom nivou obučenih za RIA</w:t>
            </w:r>
          </w:p>
          <w:p w14:paraId="776C9F34" w14:textId="4D9B56C6" w:rsidR="009D1610" w:rsidRPr="009D1610" w:rsidRDefault="009D1610" w:rsidP="009D1610">
            <w:pPr>
              <w:rPr>
                <w:sz w:val="20"/>
                <w:szCs w:val="20"/>
                <w:lang w:val="sr-Latn-ME"/>
              </w:rPr>
            </w:pP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14:paraId="7F2FD708" w14:textId="77777777" w:rsidR="009D1610" w:rsidRPr="007028EE" w:rsidRDefault="009D1610" w:rsidP="009D1610">
            <w:pPr>
              <w:jc w:val="center"/>
              <w:rPr>
                <w:rFonts w:cstheme="minorHAnsi"/>
                <w:sz w:val="20"/>
                <w:szCs w:val="20"/>
                <w:lang w:val="sr-Latn-ME"/>
              </w:rPr>
            </w:pPr>
            <w:r w:rsidRPr="007028EE">
              <w:rPr>
                <w:rFonts w:cstheme="minorHAnsi"/>
                <w:sz w:val="20"/>
                <w:szCs w:val="20"/>
                <w:lang w:val="sr-Latn-ME"/>
              </w:rPr>
              <w:t>MF – godišnjii</w:t>
            </w:r>
          </w:p>
          <w:p w14:paraId="69594F74" w14:textId="77777777" w:rsidR="009D1610" w:rsidRPr="007028EE" w:rsidRDefault="009D1610" w:rsidP="009D1610">
            <w:pPr>
              <w:jc w:val="center"/>
              <w:rPr>
                <w:rFonts w:cstheme="minorHAnsi"/>
                <w:sz w:val="20"/>
                <w:szCs w:val="20"/>
                <w:lang w:val="sr-Latn-ME"/>
              </w:rPr>
            </w:pPr>
          </w:p>
          <w:p w14:paraId="1D24960A" w14:textId="492E502B" w:rsidR="009D1610" w:rsidRPr="009D1610" w:rsidRDefault="009D1610" w:rsidP="009D1610">
            <w:pPr>
              <w:rPr>
                <w:sz w:val="20"/>
                <w:szCs w:val="20"/>
                <w:lang w:val="sr-Latn-ME"/>
              </w:rPr>
            </w:pPr>
            <w:r w:rsidRPr="007028EE">
              <w:rPr>
                <w:rFonts w:cstheme="minorHAnsi"/>
                <w:sz w:val="20"/>
                <w:szCs w:val="20"/>
                <w:lang w:val="sr-Latn-ME"/>
              </w:rPr>
              <w:t xml:space="preserve"> izvještaj o kvalitetu primjene RIA-e</w:t>
            </w:r>
          </w:p>
        </w:tc>
        <w:tc>
          <w:tcPr>
            <w:tcW w:w="1890" w:type="dxa"/>
            <w:tcBorders>
              <w:top w:val="single" w:sz="4" w:space="0" w:color="808080"/>
              <w:left w:val="single" w:sz="4" w:space="0" w:color="808080"/>
              <w:bottom w:val="single" w:sz="4" w:space="0" w:color="808080"/>
              <w:right w:val="single" w:sz="4" w:space="0" w:color="808080"/>
            </w:tcBorders>
          </w:tcPr>
          <w:p w14:paraId="1F9CB2C2" w14:textId="0F77DEC4" w:rsidR="009D1610" w:rsidRPr="009D1610" w:rsidRDefault="009D1610" w:rsidP="009D1610">
            <w:pPr>
              <w:rPr>
                <w:sz w:val="20"/>
                <w:szCs w:val="20"/>
                <w:lang w:val="sr-Latn-ME"/>
              </w:rPr>
            </w:pPr>
            <w:r w:rsidRPr="007028EE">
              <w:rPr>
                <w:rFonts w:cstheme="minorHAnsi"/>
                <w:sz w:val="20"/>
                <w:szCs w:val="20"/>
                <w:lang w:val="sr-Latn-ME"/>
              </w:rPr>
              <w:t>4 78 (34 na državnom i 44 na lokalnom nivou)</w:t>
            </w:r>
          </w:p>
        </w:tc>
        <w:tc>
          <w:tcPr>
            <w:tcW w:w="1620" w:type="dxa"/>
            <w:tcBorders>
              <w:top w:val="single" w:sz="4" w:space="0" w:color="808080"/>
              <w:left w:val="single" w:sz="4" w:space="0" w:color="808080"/>
              <w:bottom w:val="single" w:sz="4" w:space="0" w:color="808080"/>
              <w:right w:val="single" w:sz="4" w:space="0" w:color="808080"/>
            </w:tcBorders>
          </w:tcPr>
          <w:p w14:paraId="59828DFF" w14:textId="4FC6CF4C" w:rsidR="009D1610" w:rsidRPr="009D1610" w:rsidRDefault="009D1610" w:rsidP="009D1610">
            <w:pPr>
              <w:rPr>
                <w:sz w:val="20"/>
                <w:szCs w:val="20"/>
                <w:lang w:val="sr-Latn-ME"/>
              </w:rPr>
            </w:pPr>
            <w:r w:rsidRPr="007028EE">
              <w:rPr>
                <w:rFonts w:cstheme="minorHAnsi"/>
                <w:sz w:val="20"/>
                <w:szCs w:val="20"/>
                <w:lang w:val="sr-Latn-ME"/>
              </w:rPr>
              <w:t>84 (36 na državnom i 48 na lokalnom nivou)</w:t>
            </w:r>
          </w:p>
        </w:tc>
        <w:tc>
          <w:tcPr>
            <w:tcW w:w="1230" w:type="dxa"/>
            <w:tcBorders>
              <w:top w:val="single" w:sz="4" w:space="0" w:color="808080"/>
              <w:left w:val="single" w:sz="4" w:space="0" w:color="808080"/>
              <w:bottom w:val="single" w:sz="4" w:space="0" w:color="808080"/>
              <w:right w:val="single" w:sz="4" w:space="0" w:color="808080"/>
            </w:tcBorders>
          </w:tcPr>
          <w:p w14:paraId="008E6175" w14:textId="358BD986" w:rsidR="009D1610" w:rsidRPr="009D1610" w:rsidRDefault="009D1610" w:rsidP="009D1610">
            <w:pPr>
              <w:rPr>
                <w:sz w:val="20"/>
                <w:szCs w:val="20"/>
                <w:lang w:val="sr-Latn-ME"/>
              </w:rPr>
            </w:pPr>
            <w:r w:rsidRPr="009D1610">
              <w:rPr>
                <w:rFonts w:cstheme="minorHAnsi"/>
                <w:sz w:val="20"/>
                <w:szCs w:val="20"/>
                <w:lang w:val="sr-Latn-ME"/>
              </w:rPr>
              <w:t>92 (38 na državnom i 54 na lokalnom nivou)</w:t>
            </w:r>
          </w:p>
        </w:tc>
      </w:tr>
      <w:tr w:rsidR="009D1610" w:rsidRPr="009D1610" w14:paraId="1E07CD89" w14:textId="77777777" w:rsidTr="00FE1BAB">
        <w:trPr>
          <w:cnfStyle w:val="000000100000" w:firstRow="0" w:lastRow="0" w:firstColumn="0" w:lastColumn="0" w:oddVBand="0" w:evenVBand="0" w:oddHBand="1" w:evenHBand="0" w:firstRowFirstColumn="0" w:firstRowLastColumn="0" w:lastRowFirstColumn="0" w:lastRowLastColumn="0"/>
        </w:trPr>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64AFCC1C" w14:textId="24924A39" w:rsidR="009D1610" w:rsidRPr="009D1610" w:rsidDel="009D1610" w:rsidRDefault="009D1610" w:rsidP="009D1610">
            <w:pPr>
              <w:rPr>
                <w:sz w:val="20"/>
                <w:szCs w:val="20"/>
                <w:lang w:val="sr-Latn-ME"/>
              </w:rPr>
            </w:pPr>
            <w:r w:rsidRPr="00F20EB5">
              <w:rPr>
                <w:rFonts w:cstheme="minorHAnsi"/>
                <w:sz w:val="20"/>
                <w:szCs w:val="20"/>
                <w:lang w:val="sr-Latn-ME"/>
              </w:rPr>
              <w:t>Analiza efekata propisa RIA sadrži MMSP test</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47363439" w14:textId="1B363610" w:rsidR="009D1610" w:rsidRPr="009D1610" w:rsidDel="009D1610" w:rsidRDefault="009D1610" w:rsidP="009D1610">
            <w:pPr>
              <w:rPr>
                <w:sz w:val="20"/>
                <w:szCs w:val="20"/>
                <w:lang w:val="sr-Latn-ME"/>
              </w:rPr>
            </w:pPr>
            <w:r w:rsidRPr="007028EE">
              <w:rPr>
                <w:rFonts w:cstheme="minorHAnsi"/>
                <w:sz w:val="20"/>
                <w:szCs w:val="20"/>
                <w:lang w:val="pl-PL"/>
              </w:rPr>
              <w:t>% RIA koje sadrže MMSE test, a za koje je bio relevantan</w:t>
            </w:r>
          </w:p>
        </w:tc>
        <w:tc>
          <w:tcPr>
            <w:tcW w:w="1620" w:type="dxa"/>
            <w:tcBorders>
              <w:top w:val="single" w:sz="4" w:space="0" w:color="808080"/>
              <w:left w:val="single" w:sz="4" w:space="0" w:color="808080"/>
              <w:bottom w:val="single" w:sz="4" w:space="0" w:color="808080"/>
              <w:right w:val="single" w:sz="4" w:space="0" w:color="808080"/>
            </w:tcBorders>
            <w:shd w:val="clear" w:color="auto" w:fill="FFFFFF"/>
          </w:tcPr>
          <w:p w14:paraId="057E57AF" w14:textId="09C4D6FD" w:rsidR="009D1610" w:rsidRPr="009D1610" w:rsidDel="009D1610" w:rsidRDefault="009D1610" w:rsidP="009D1610">
            <w:pPr>
              <w:rPr>
                <w:sz w:val="20"/>
                <w:szCs w:val="20"/>
                <w:lang w:val="sr-Latn-ME"/>
              </w:rPr>
            </w:pPr>
            <w:r w:rsidRPr="007028EE">
              <w:rPr>
                <w:rFonts w:cstheme="minorHAnsi"/>
                <w:sz w:val="20"/>
                <w:szCs w:val="20"/>
                <w:lang w:val="sr-Latn-ME"/>
              </w:rPr>
              <w:t>MF – godišnji izvještaj o kvalitetu primjene RIA-e</w:t>
            </w:r>
          </w:p>
        </w:tc>
        <w:tc>
          <w:tcPr>
            <w:tcW w:w="1890" w:type="dxa"/>
            <w:tcBorders>
              <w:top w:val="single" w:sz="4" w:space="0" w:color="808080"/>
              <w:left w:val="single" w:sz="4" w:space="0" w:color="808080"/>
              <w:bottom w:val="single" w:sz="4" w:space="0" w:color="808080"/>
              <w:right w:val="single" w:sz="4" w:space="0" w:color="808080"/>
            </w:tcBorders>
          </w:tcPr>
          <w:p w14:paraId="5AF69A68" w14:textId="5F784CD9" w:rsidR="009D1610" w:rsidRPr="009D1610" w:rsidRDefault="009D1610" w:rsidP="009D1610">
            <w:pPr>
              <w:rPr>
                <w:sz w:val="20"/>
                <w:szCs w:val="20"/>
                <w:lang w:val="sr-Latn-ME"/>
              </w:rPr>
            </w:pPr>
            <w:r w:rsidRPr="007028EE">
              <w:rPr>
                <w:rFonts w:cstheme="minorHAnsi"/>
                <w:sz w:val="20"/>
                <w:szCs w:val="20"/>
                <w:lang w:val="sr-Latn-ME"/>
              </w:rPr>
              <w:t>0</w:t>
            </w:r>
          </w:p>
        </w:tc>
        <w:tc>
          <w:tcPr>
            <w:tcW w:w="1620" w:type="dxa"/>
            <w:tcBorders>
              <w:top w:val="single" w:sz="4" w:space="0" w:color="808080"/>
              <w:left w:val="single" w:sz="4" w:space="0" w:color="808080"/>
              <w:bottom w:val="single" w:sz="4" w:space="0" w:color="808080"/>
              <w:right w:val="single" w:sz="4" w:space="0" w:color="808080"/>
            </w:tcBorders>
          </w:tcPr>
          <w:p w14:paraId="418E6CB6" w14:textId="25290FBA" w:rsidR="009D1610" w:rsidRPr="009D1610" w:rsidDel="009D1610" w:rsidRDefault="009D1610" w:rsidP="009D1610">
            <w:pPr>
              <w:rPr>
                <w:sz w:val="20"/>
                <w:szCs w:val="20"/>
                <w:lang w:val="sr-Latn-ME"/>
              </w:rPr>
            </w:pPr>
            <w:r w:rsidRPr="007028EE">
              <w:rPr>
                <w:rFonts w:cstheme="minorHAnsi"/>
                <w:sz w:val="20"/>
                <w:szCs w:val="20"/>
                <w:lang w:val="sr-Latn-ME"/>
              </w:rPr>
              <w:t>15</w:t>
            </w:r>
          </w:p>
        </w:tc>
        <w:tc>
          <w:tcPr>
            <w:tcW w:w="1230" w:type="dxa"/>
            <w:tcBorders>
              <w:top w:val="single" w:sz="4" w:space="0" w:color="808080"/>
              <w:left w:val="single" w:sz="4" w:space="0" w:color="808080"/>
              <w:bottom w:val="single" w:sz="4" w:space="0" w:color="808080"/>
              <w:right w:val="single" w:sz="4" w:space="0" w:color="808080"/>
            </w:tcBorders>
          </w:tcPr>
          <w:p w14:paraId="0FED4F4C" w14:textId="334D25D1" w:rsidR="009D1610" w:rsidRPr="009D1610" w:rsidDel="009D1610" w:rsidRDefault="009D1610" w:rsidP="009D1610">
            <w:pPr>
              <w:rPr>
                <w:sz w:val="20"/>
                <w:szCs w:val="20"/>
                <w:lang w:val="sr-Latn-ME"/>
              </w:rPr>
            </w:pPr>
            <w:r w:rsidRPr="009D1610">
              <w:rPr>
                <w:rFonts w:cstheme="minorHAnsi"/>
                <w:sz w:val="20"/>
                <w:szCs w:val="20"/>
                <w:lang w:val="sr-Latn-ME"/>
              </w:rPr>
              <w:t>20</w:t>
            </w:r>
          </w:p>
        </w:tc>
      </w:tr>
      <w:tr w:rsidR="009D1610" w:rsidRPr="00123FE9" w14:paraId="6E2F90BE" w14:textId="77777777" w:rsidTr="00646E9C">
        <w:tc>
          <w:tcPr>
            <w:tcW w:w="1525" w:type="dxa"/>
          </w:tcPr>
          <w:p w14:paraId="405E1166" w14:textId="71226FA8" w:rsidR="009D1610" w:rsidRPr="00C12CD2" w:rsidRDefault="009D1610" w:rsidP="009D1610">
            <w:pPr>
              <w:rPr>
                <w:sz w:val="20"/>
                <w:szCs w:val="20"/>
                <w:lang w:val="sr-Latn-ME"/>
              </w:rPr>
            </w:pPr>
            <w:r w:rsidRPr="00C12CD2">
              <w:rPr>
                <w:sz w:val="20"/>
                <w:szCs w:val="20"/>
                <w:lang w:val="sr-Latn-ME"/>
              </w:rPr>
              <w:t xml:space="preserve">Smanjen broj </w:t>
            </w:r>
            <w:r>
              <w:rPr>
                <w:sz w:val="20"/>
                <w:szCs w:val="20"/>
                <w:lang w:val="sr-Latn-ME"/>
              </w:rPr>
              <w:t>nameta</w:t>
            </w:r>
          </w:p>
        </w:tc>
        <w:tc>
          <w:tcPr>
            <w:tcW w:w="1470" w:type="dxa"/>
          </w:tcPr>
          <w:p w14:paraId="73CE510D" w14:textId="6B389EAB" w:rsidR="009D1610" w:rsidRPr="00C12CD2" w:rsidRDefault="009D1610" w:rsidP="009D1610">
            <w:pPr>
              <w:rPr>
                <w:sz w:val="20"/>
                <w:szCs w:val="20"/>
                <w:lang w:val="sr-Latn-ME"/>
              </w:rPr>
            </w:pPr>
            <w:r w:rsidRPr="00C12CD2">
              <w:rPr>
                <w:sz w:val="20"/>
                <w:szCs w:val="20"/>
                <w:lang w:val="sr-Latn-ME"/>
              </w:rPr>
              <w:t>Broj nameta u registru nameta</w:t>
            </w:r>
          </w:p>
        </w:tc>
        <w:tc>
          <w:tcPr>
            <w:tcW w:w="1620" w:type="dxa"/>
          </w:tcPr>
          <w:p w14:paraId="4D0863E5" w14:textId="0136AB86" w:rsidR="009D1610" w:rsidRPr="00C12CD2" w:rsidRDefault="009D1610" w:rsidP="009D1610">
            <w:pPr>
              <w:rPr>
                <w:sz w:val="20"/>
                <w:szCs w:val="20"/>
                <w:lang w:val="sr-Latn-ME"/>
              </w:rPr>
            </w:pPr>
            <w:r w:rsidRPr="00C12CD2">
              <w:rPr>
                <w:sz w:val="20"/>
                <w:szCs w:val="20"/>
                <w:lang w:val="sr-Latn-ME"/>
              </w:rPr>
              <w:t xml:space="preserve">MERT, </w:t>
            </w:r>
            <w:r>
              <w:rPr>
                <w:sz w:val="20"/>
                <w:szCs w:val="20"/>
                <w:lang w:val="sr-Latn-ME"/>
              </w:rPr>
              <w:t>MF, Jedinice lokalne samouprave</w:t>
            </w:r>
          </w:p>
        </w:tc>
        <w:tc>
          <w:tcPr>
            <w:tcW w:w="1890" w:type="dxa"/>
          </w:tcPr>
          <w:p w14:paraId="55ED31EA" w14:textId="574ED955" w:rsidR="009D1610" w:rsidRPr="00C12CD2" w:rsidRDefault="009D1610" w:rsidP="009D1610">
            <w:pPr>
              <w:rPr>
                <w:sz w:val="20"/>
                <w:szCs w:val="20"/>
                <w:lang w:val="sr-Latn-ME"/>
              </w:rPr>
            </w:pPr>
            <w:r w:rsidRPr="00C12CD2">
              <w:rPr>
                <w:sz w:val="20"/>
                <w:szCs w:val="20"/>
                <w:lang w:val="sr-Latn-ME"/>
              </w:rPr>
              <w:t>1789</w:t>
            </w:r>
          </w:p>
        </w:tc>
        <w:tc>
          <w:tcPr>
            <w:tcW w:w="1620" w:type="dxa"/>
          </w:tcPr>
          <w:p w14:paraId="07A0C32A" w14:textId="0A7C6031" w:rsidR="009D1610" w:rsidRPr="00C12CD2" w:rsidRDefault="009D1610" w:rsidP="009D1610">
            <w:pPr>
              <w:rPr>
                <w:sz w:val="20"/>
                <w:szCs w:val="20"/>
                <w:lang w:val="sr-Latn-ME"/>
              </w:rPr>
            </w:pPr>
            <w:r w:rsidRPr="00C12CD2">
              <w:rPr>
                <w:sz w:val="20"/>
                <w:szCs w:val="20"/>
                <w:lang w:val="sr-Latn-ME"/>
              </w:rPr>
              <w:t xml:space="preserve"> 1775</w:t>
            </w:r>
          </w:p>
        </w:tc>
        <w:tc>
          <w:tcPr>
            <w:tcW w:w="1230" w:type="dxa"/>
          </w:tcPr>
          <w:p w14:paraId="3D6BDDFA" w14:textId="4E0AB2DB" w:rsidR="009D1610" w:rsidRPr="00C12CD2" w:rsidRDefault="009D1610" w:rsidP="009D1610">
            <w:pPr>
              <w:rPr>
                <w:sz w:val="20"/>
                <w:szCs w:val="20"/>
                <w:lang w:val="sr-Latn-ME"/>
              </w:rPr>
            </w:pPr>
            <w:r w:rsidRPr="00C12CD2">
              <w:rPr>
                <w:sz w:val="20"/>
                <w:szCs w:val="20"/>
                <w:lang w:val="sr-Latn-ME"/>
              </w:rPr>
              <w:t>1</w:t>
            </w:r>
            <w:r>
              <w:rPr>
                <w:sz w:val="20"/>
                <w:szCs w:val="20"/>
                <w:lang w:val="sr-Latn-ME"/>
              </w:rPr>
              <w:t>654</w:t>
            </w:r>
          </w:p>
        </w:tc>
      </w:tr>
      <w:tr w:rsidR="009D1610" w:rsidRPr="00123FE9" w14:paraId="30572992" w14:textId="77777777" w:rsidTr="00646E9C">
        <w:trPr>
          <w:cnfStyle w:val="000000100000" w:firstRow="0" w:lastRow="0" w:firstColumn="0" w:lastColumn="0" w:oddVBand="0" w:evenVBand="0" w:oddHBand="1" w:evenHBand="0" w:firstRowFirstColumn="0" w:firstRowLastColumn="0" w:lastRowFirstColumn="0" w:lastRowLastColumn="0"/>
        </w:trPr>
        <w:tc>
          <w:tcPr>
            <w:tcW w:w="1525" w:type="dxa"/>
          </w:tcPr>
          <w:p w14:paraId="6626D52B" w14:textId="37D42B60" w:rsidR="009D1610" w:rsidRPr="00C12CD2" w:rsidRDefault="009D1610" w:rsidP="009D1610">
            <w:pPr>
              <w:rPr>
                <w:sz w:val="20"/>
                <w:szCs w:val="20"/>
                <w:lang w:val="sr-Latn-ME"/>
              </w:rPr>
            </w:pPr>
            <w:bookmarkStart w:id="33" w:name="_Hlk147974141"/>
            <w:r w:rsidRPr="00646E9C">
              <w:rPr>
                <w:sz w:val="20"/>
                <w:szCs w:val="20"/>
                <w:lang w:val="sr-Latn-ME"/>
              </w:rPr>
              <w:t>Povećan</w:t>
            </w:r>
            <w:r>
              <w:rPr>
                <w:sz w:val="20"/>
                <w:szCs w:val="20"/>
                <w:lang w:val="sr-Latn-ME"/>
              </w:rPr>
              <w:t xml:space="preserve"> ukupan</w:t>
            </w:r>
            <w:r w:rsidRPr="00646E9C">
              <w:rPr>
                <w:sz w:val="20"/>
                <w:szCs w:val="20"/>
                <w:lang w:val="sr-Latn-ME"/>
              </w:rPr>
              <w:t xml:space="preserve"> broj poslovnih subjekata</w:t>
            </w:r>
          </w:p>
        </w:tc>
        <w:tc>
          <w:tcPr>
            <w:tcW w:w="1470" w:type="dxa"/>
          </w:tcPr>
          <w:p w14:paraId="3D9EEAB3" w14:textId="77777777" w:rsidR="009D1610" w:rsidRDefault="009D1610" w:rsidP="009D1610">
            <w:pPr>
              <w:rPr>
                <w:lang w:val="sr-Latn-ME"/>
              </w:rPr>
            </w:pPr>
            <w:r w:rsidRPr="00AC4DD1">
              <w:rPr>
                <w:lang w:val="sr-Latn-ME"/>
              </w:rPr>
              <w:t xml:space="preserve">Broj </w:t>
            </w:r>
            <w:r>
              <w:rPr>
                <w:lang w:val="sr-Latn-ME"/>
              </w:rPr>
              <w:t>poslovnih subjekata u Crnj Gori</w:t>
            </w:r>
          </w:p>
          <w:p w14:paraId="7ACCCF99" w14:textId="77777777" w:rsidR="009D1610" w:rsidRPr="00C12CD2" w:rsidRDefault="009D1610" w:rsidP="009D1610">
            <w:pPr>
              <w:rPr>
                <w:sz w:val="20"/>
                <w:szCs w:val="20"/>
                <w:lang w:val="sr-Latn-ME"/>
              </w:rPr>
            </w:pPr>
          </w:p>
        </w:tc>
        <w:tc>
          <w:tcPr>
            <w:tcW w:w="1620" w:type="dxa"/>
          </w:tcPr>
          <w:p w14:paraId="1E451FE3" w14:textId="149EA61A" w:rsidR="009D1610" w:rsidRPr="00C12CD2" w:rsidRDefault="009D1610" w:rsidP="009D1610">
            <w:pPr>
              <w:rPr>
                <w:sz w:val="20"/>
                <w:szCs w:val="20"/>
                <w:lang w:val="sr-Latn-ME"/>
              </w:rPr>
            </w:pPr>
            <w:r w:rsidRPr="00AC4DD1">
              <w:rPr>
                <w:lang w:val="sr-Latn-ME"/>
              </w:rPr>
              <w:t>Monstat, UPC</w:t>
            </w:r>
          </w:p>
        </w:tc>
        <w:tc>
          <w:tcPr>
            <w:tcW w:w="1890" w:type="dxa"/>
          </w:tcPr>
          <w:p w14:paraId="5CE51251" w14:textId="2EB4CE30" w:rsidR="009D1610" w:rsidRPr="00C12CD2" w:rsidRDefault="009D1610" w:rsidP="009D1610">
            <w:pPr>
              <w:rPr>
                <w:sz w:val="20"/>
                <w:szCs w:val="20"/>
                <w:lang w:val="sr-Latn-ME"/>
              </w:rPr>
            </w:pPr>
            <w:r>
              <w:rPr>
                <w:lang w:val="sr-Latn-ME"/>
              </w:rPr>
              <w:t>45.675</w:t>
            </w:r>
          </w:p>
        </w:tc>
        <w:tc>
          <w:tcPr>
            <w:tcW w:w="1620" w:type="dxa"/>
          </w:tcPr>
          <w:p w14:paraId="5AFC98DF" w14:textId="61BE38EB" w:rsidR="009D1610" w:rsidRPr="00C12CD2" w:rsidRDefault="009D1610" w:rsidP="009D1610">
            <w:pPr>
              <w:rPr>
                <w:sz w:val="20"/>
                <w:szCs w:val="20"/>
                <w:lang w:val="sr-Latn-ME"/>
              </w:rPr>
            </w:pPr>
            <w:r>
              <w:rPr>
                <w:lang w:val="sr-Latn-ME"/>
              </w:rPr>
              <w:t>47.930</w:t>
            </w:r>
          </w:p>
        </w:tc>
        <w:tc>
          <w:tcPr>
            <w:tcW w:w="1230" w:type="dxa"/>
          </w:tcPr>
          <w:p w14:paraId="27818EFC" w14:textId="2F2E5367" w:rsidR="009D1610" w:rsidRPr="00C12CD2" w:rsidRDefault="009D1610" w:rsidP="009D1610">
            <w:pPr>
              <w:rPr>
                <w:sz w:val="20"/>
                <w:szCs w:val="20"/>
                <w:lang w:val="sr-Latn-ME"/>
              </w:rPr>
            </w:pPr>
            <w:r>
              <w:rPr>
                <w:lang w:val="sr-Latn-ME"/>
              </w:rPr>
              <w:t>48.686</w:t>
            </w:r>
          </w:p>
        </w:tc>
      </w:tr>
      <w:bookmarkEnd w:id="33"/>
    </w:tbl>
    <w:p w14:paraId="21ECEAA8" w14:textId="77777777" w:rsidR="0017670E" w:rsidRDefault="0017670E" w:rsidP="008E24C4">
      <w:pPr>
        <w:rPr>
          <w:color w:val="0070C0"/>
          <w:lang w:val="sr-Latn-ME"/>
        </w:rPr>
      </w:pPr>
    </w:p>
    <w:p w14:paraId="60C3362A" w14:textId="4ABD9D7D" w:rsidR="008E24C4" w:rsidRPr="00AA1E48" w:rsidRDefault="008E24C4" w:rsidP="008E24C4">
      <w:pPr>
        <w:rPr>
          <w:b/>
          <w:bCs/>
          <w:color w:val="1F3864" w:themeColor="accent1" w:themeShade="80"/>
          <w:sz w:val="24"/>
          <w:szCs w:val="24"/>
          <w:lang w:val="sr-Latn-ME"/>
        </w:rPr>
      </w:pPr>
      <w:r w:rsidRPr="00AA1E48">
        <w:rPr>
          <w:b/>
          <w:bCs/>
          <w:color w:val="1F3864" w:themeColor="accent1" w:themeShade="80"/>
          <w:sz w:val="24"/>
          <w:szCs w:val="24"/>
          <w:lang w:val="sr-Latn-ME"/>
        </w:rPr>
        <w:t>O</w:t>
      </w:r>
      <w:r w:rsidR="00B351C7">
        <w:rPr>
          <w:b/>
          <w:bCs/>
          <w:color w:val="1F3864" w:themeColor="accent1" w:themeShade="80"/>
          <w:sz w:val="24"/>
          <w:szCs w:val="24"/>
          <w:lang w:val="sr-Latn-ME"/>
        </w:rPr>
        <w:t>C</w:t>
      </w:r>
      <w:r w:rsidRPr="00AA1E48">
        <w:rPr>
          <w:b/>
          <w:bCs/>
          <w:color w:val="1F3864" w:themeColor="accent1" w:themeShade="80"/>
          <w:sz w:val="24"/>
          <w:szCs w:val="24"/>
          <w:lang w:val="sr-Latn-ME"/>
        </w:rPr>
        <w:t xml:space="preserve">2 - Podrška fer preduzetništvu i </w:t>
      </w:r>
      <w:r w:rsidR="00A53D7B" w:rsidRPr="00AA1E48">
        <w:rPr>
          <w:b/>
          <w:bCs/>
          <w:color w:val="1F3864" w:themeColor="accent1" w:themeShade="80"/>
          <w:sz w:val="24"/>
          <w:szCs w:val="24"/>
          <w:lang w:val="sr-Latn-ME"/>
        </w:rPr>
        <w:t>tranziciji</w:t>
      </w:r>
      <w:r w:rsidRPr="00AA1E48">
        <w:rPr>
          <w:b/>
          <w:bCs/>
          <w:color w:val="1F3864" w:themeColor="accent1" w:themeShade="80"/>
          <w:sz w:val="24"/>
          <w:szCs w:val="24"/>
          <w:lang w:val="sr-Latn-ME"/>
        </w:rPr>
        <w:t xml:space="preserve"> u formalnu ekonomiju</w:t>
      </w:r>
    </w:p>
    <w:p w14:paraId="6B011192" w14:textId="26BBEFBF" w:rsidR="00A41BF1" w:rsidRPr="00021CDC" w:rsidRDefault="00A41BF1" w:rsidP="00A53D7B">
      <w:pPr>
        <w:jc w:val="both"/>
        <w:rPr>
          <w:sz w:val="24"/>
          <w:szCs w:val="24"/>
          <w:lang w:val="sr-Latn-ME"/>
        </w:rPr>
      </w:pPr>
      <w:proofErr w:type="spellStart"/>
      <w:r w:rsidRPr="007E71C8">
        <w:rPr>
          <w:sz w:val="24"/>
          <w:szCs w:val="24"/>
        </w:rPr>
        <w:t>Ostvarivanje</w:t>
      </w:r>
      <w:proofErr w:type="spellEnd"/>
      <w:r w:rsidRPr="00021CDC">
        <w:rPr>
          <w:sz w:val="24"/>
          <w:szCs w:val="24"/>
          <w:lang w:val="sr-Latn-ME"/>
        </w:rPr>
        <w:t xml:space="preserve"> </w:t>
      </w:r>
      <w:r w:rsidRPr="007E71C8">
        <w:rPr>
          <w:sz w:val="24"/>
          <w:szCs w:val="24"/>
        </w:rPr>
        <w:t>OP</w:t>
      </w:r>
      <w:r w:rsidRPr="00021CDC">
        <w:rPr>
          <w:sz w:val="24"/>
          <w:szCs w:val="24"/>
          <w:lang w:val="sr-Latn-ME"/>
        </w:rPr>
        <w:t>2 ć</w:t>
      </w:r>
      <w:r w:rsidRPr="007E71C8">
        <w:rPr>
          <w:sz w:val="24"/>
          <w:szCs w:val="24"/>
        </w:rPr>
        <w:t>e</w:t>
      </w:r>
      <w:r w:rsidRPr="00021CDC">
        <w:rPr>
          <w:sz w:val="24"/>
          <w:szCs w:val="24"/>
          <w:lang w:val="sr-Latn-ME"/>
        </w:rPr>
        <w:t xml:space="preserve"> </w:t>
      </w:r>
      <w:r w:rsidRPr="007E71C8">
        <w:rPr>
          <w:sz w:val="24"/>
          <w:szCs w:val="24"/>
        </w:rPr>
        <w:t>se</w:t>
      </w:r>
      <w:r w:rsidRPr="00021CDC">
        <w:rPr>
          <w:sz w:val="24"/>
          <w:szCs w:val="24"/>
          <w:lang w:val="sr-Latn-ME"/>
        </w:rPr>
        <w:t xml:space="preserve"> </w:t>
      </w:r>
      <w:proofErr w:type="spellStart"/>
      <w:r w:rsidRPr="007E71C8">
        <w:rPr>
          <w:sz w:val="24"/>
          <w:szCs w:val="24"/>
        </w:rPr>
        <w:t>re</w:t>
      </w:r>
      <w:r w:rsidR="00AC4DD1" w:rsidRPr="007E71C8">
        <w:rPr>
          <w:sz w:val="24"/>
          <w:szCs w:val="24"/>
        </w:rPr>
        <w:t>a</w:t>
      </w:r>
      <w:r w:rsidRPr="007E71C8">
        <w:rPr>
          <w:sz w:val="24"/>
          <w:szCs w:val="24"/>
        </w:rPr>
        <w:t>lizovati</w:t>
      </w:r>
      <w:proofErr w:type="spellEnd"/>
      <w:r w:rsidRPr="00021CDC">
        <w:rPr>
          <w:sz w:val="24"/>
          <w:szCs w:val="24"/>
          <w:lang w:val="sr-Latn-ME"/>
        </w:rPr>
        <w:t xml:space="preserve"> </w:t>
      </w:r>
      <w:proofErr w:type="spellStart"/>
      <w:r w:rsidRPr="007E71C8">
        <w:rPr>
          <w:sz w:val="24"/>
          <w:szCs w:val="24"/>
        </w:rPr>
        <w:t>kombi</w:t>
      </w:r>
      <w:r w:rsidR="00AC4DD1" w:rsidRPr="007E71C8">
        <w:rPr>
          <w:sz w:val="24"/>
          <w:szCs w:val="24"/>
        </w:rPr>
        <w:t>na</w:t>
      </w:r>
      <w:r w:rsidRPr="007E71C8">
        <w:rPr>
          <w:sz w:val="24"/>
          <w:szCs w:val="24"/>
        </w:rPr>
        <w:t>cijom</w:t>
      </w:r>
      <w:proofErr w:type="spellEnd"/>
      <w:r w:rsidRPr="00021CDC">
        <w:rPr>
          <w:sz w:val="24"/>
          <w:szCs w:val="24"/>
          <w:lang w:val="sr-Latn-ME"/>
        </w:rPr>
        <w:t xml:space="preserve"> </w:t>
      </w:r>
      <w:proofErr w:type="spellStart"/>
      <w:r w:rsidRPr="007E71C8">
        <w:rPr>
          <w:sz w:val="24"/>
          <w:szCs w:val="24"/>
        </w:rPr>
        <w:t>stimulativnih</w:t>
      </w:r>
      <w:proofErr w:type="spellEnd"/>
      <w:r w:rsidRPr="00021CDC">
        <w:rPr>
          <w:sz w:val="24"/>
          <w:szCs w:val="24"/>
          <w:lang w:val="sr-Latn-ME"/>
        </w:rPr>
        <w:t xml:space="preserve"> </w:t>
      </w:r>
      <w:proofErr w:type="spellStart"/>
      <w:r w:rsidRPr="007E71C8">
        <w:rPr>
          <w:sz w:val="24"/>
          <w:szCs w:val="24"/>
        </w:rPr>
        <w:t>i</w:t>
      </w:r>
      <w:proofErr w:type="spellEnd"/>
      <w:r w:rsidRPr="00021CDC">
        <w:rPr>
          <w:sz w:val="24"/>
          <w:szCs w:val="24"/>
          <w:lang w:val="sr-Latn-ME"/>
        </w:rPr>
        <w:t xml:space="preserve"> </w:t>
      </w:r>
      <w:proofErr w:type="spellStart"/>
      <w:r w:rsidRPr="007E71C8">
        <w:rPr>
          <w:sz w:val="24"/>
          <w:szCs w:val="24"/>
        </w:rPr>
        <w:t>aktivnosti</w:t>
      </w:r>
      <w:proofErr w:type="spellEnd"/>
      <w:r w:rsidR="009E0E77">
        <w:rPr>
          <w:sz w:val="24"/>
          <w:szCs w:val="24"/>
          <w:lang w:val="sr-Latn-ME"/>
        </w:rPr>
        <w:t xml:space="preserve"> odvraćanja.</w:t>
      </w:r>
    </w:p>
    <w:p w14:paraId="2CEF4DA2" w14:textId="4C8C1BCA" w:rsidR="00423784" w:rsidRPr="00A42DF7" w:rsidRDefault="00A53D7B" w:rsidP="00A53D7B">
      <w:pPr>
        <w:jc w:val="both"/>
        <w:rPr>
          <w:sz w:val="24"/>
          <w:szCs w:val="24"/>
          <w:lang w:val="sr-Latn-ME"/>
        </w:rPr>
      </w:pPr>
      <w:proofErr w:type="spellStart"/>
      <w:r w:rsidRPr="007E71C8">
        <w:rPr>
          <w:sz w:val="24"/>
          <w:szCs w:val="24"/>
        </w:rPr>
        <w:t>Stimulativne</w:t>
      </w:r>
      <w:proofErr w:type="spellEnd"/>
      <w:r w:rsidRPr="00A42DF7">
        <w:rPr>
          <w:sz w:val="24"/>
          <w:szCs w:val="24"/>
          <w:lang w:val="sr-Latn-ME"/>
        </w:rPr>
        <w:t xml:space="preserve"> </w:t>
      </w:r>
      <w:proofErr w:type="spellStart"/>
      <w:proofErr w:type="gramStart"/>
      <w:r w:rsidRPr="007E71C8">
        <w:rPr>
          <w:sz w:val="24"/>
          <w:szCs w:val="24"/>
        </w:rPr>
        <w:t>aktivnosti</w:t>
      </w:r>
      <w:proofErr w:type="spellEnd"/>
      <w:r w:rsidRPr="00A42DF7">
        <w:rPr>
          <w:sz w:val="24"/>
          <w:szCs w:val="24"/>
          <w:lang w:val="sr-Latn-ME"/>
        </w:rPr>
        <w:t xml:space="preserve">  </w:t>
      </w:r>
      <w:r w:rsidR="006E71DE">
        <w:rPr>
          <w:sz w:val="24"/>
          <w:szCs w:val="24"/>
        </w:rPr>
        <w:t>se</w:t>
      </w:r>
      <w:proofErr w:type="gramEnd"/>
      <w:r w:rsidR="006E71DE" w:rsidRPr="00A42DF7">
        <w:rPr>
          <w:sz w:val="24"/>
          <w:szCs w:val="24"/>
          <w:lang w:val="sr-Latn-ME"/>
        </w:rPr>
        <w:t xml:space="preserve"> </w:t>
      </w:r>
      <w:proofErr w:type="spellStart"/>
      <w:r w:rsidR="006E71DE">
        <w:rPr>
          <w:sz w:val="24"/>
          <w:szCs w:val="24"/>
        </w:rPr>
        <w:t>odnose</w:t>
      </w:r>
      <w:proofErr w:type="spellEnd"/>
      <w:r w:rsidR="006E71DE" w:rsidRPr="00A42DF7">
        <w:rPr>
          <w:sz w:val="24"/>
          <w:szCs w:val="24"/>
          <w:lang w:val="sr-Latn-ME"/>
        </w:rPr>
        <w:t xml:space="preserve"> </w:t>
      </w:r>
      <w:proofErr w:type="spellStart"/>
      <w:r w:rsidR="006E71DE">
        <w:rPr>
          <w:sz w:val="24"/>
          <w:szCs w:val="24"/>
        </w:rPr>
        <w:t>na</w:t>
      </w:r>
      <w:proofErr w:type="spellEnd"/>
      <w:r w:rsidR="006E71DE" w:rsidRPr="00A42DF7">
        <w:rPr>
          <w:sz w:val="24"/>
          <w:szCs w:val="24"/>
          <w:lang w:val="sr-Latn-ME"/>
        </w:rPr>
        <w:t xml:space="preserve"> </w:t>
      </w:r>
      <w:proofErr w:type="spellStart"/>
      <w:r w:rsidRPr="007E71C8">
        <w:rPr>
          <w:sz w:val="24"/>
          <w:szCs w:val="24"/>
        </w:rPr>
        <w:t>podsticanje</w:t>
      </w:r>
      <w:proofErr w:type="spellEnd"/>
      <w:r w:rsidRPr="00A42DF7">
        <w:rPr>
          <w:sz w:val="24"/>
          <w:szCs w:val="24"/>
          <w:lang w:val="sr-Latn-ME"/>
        </w:rPr>
        <w:t xml:space="preserve"> </w:t>
      </w:r>
      <w:proofErr w:type="spellStart"/>
      <w:r w:rsidRPr="007E71C8">
        <w:rPr>
          <w:sz w:val="24"/>
          <w:szCs w:val="24"/>
        </w:rPr>
        <w:t>registracije</w:t>
      </w:r>
      <w:proofErr w:type="spellEnd"/>
      <w:r w:rsidRPr="00A42DF7">
        <w:rPr>
          <w:sz w:val="24"/>
          <w:szCs w:val="24"/>
          <w:lang w:val="sr-Latn-ME"/>
        </w:rPr>
        <w:t xml:space="preserve"> </w:t>
      </w:r>
      <w:proofErr w:type="spellStart"/>
      <w:r w:rsidRPr="007E71C8">
        <w:rPr>
          <w:sz w:val="24"/>
          <w:szCs w:val="24"/>
        </w:rPr>
        <w:t>neregistovanih</w:t>
      </w:r>
      <w:proofErr w:type="spellEnd"/>
      <w:r w:rsidRPr="00A42DF7">
        <w:rPr>
          <w:sz w:val="24"/>
          <w:szCs w:val="24"/>
          <w:lang w:val="sr-Latn-ME"/>
        </w:rPr>
        <w:t xml:space="preserve"> </w:t>
      </w:r>
      <w:proofErr w:type="spellStart"/>
      <w:r w:rsidRPr="007E71C8">
        <w:rPr>
          <w:sz w:val="24"/>
          <w:szCs w:val="24"/>
        </w:rPr>
        <w:t>biznisa</w:t>
      </w:r>
      <w:proofErr w:type="spellEnd"/>
      <w:r w:rsidRPr="00A42DF7">
        <w:rPr>
          <w:sz w:val="24"/>
          <w:szCs w:val="24"/>
          <w:lang w:val="sr-Latn-ME"/>
        </w:rPr>
        <w:t xml:space="preserve"> </w:t>
      </w:r>
      <w:proofErr w:type="spellStart"/>
      <w:r w:rsidRPr="007E71C8">
        <w:rPr>
          <w:sz w:val="24"/>
          <w:szCs w:val="24"/>
        </w:rPr>
        <w:t>i</w:t>
      </w:r>
      <w:proofErr w:type="spellEnd"/>
      <w:r w:rsidRPr="00A42DF7">
        <w:rPr>
          <w:sz w:val="24"/>
          <w:szCs w:val="24"/>
          <w:lang w:val="sr-Latn-ME"/>
        </w:rPr>
        <w:t xml:space="preserve"> </w:t>
      </w:r>
      <w:proofErr w:type="spellStart"/>
      <w:r w:rsidRPr="007E71C8">
        <w:rPr>
          <w:sz w:val="24"/>
          <w:szCs w:val="24"/>
        </w:rPr>
        <w:t>neformalno</w:t>
      </w:r>
      <w:proofErr w:type="spellEnd"/>
      <w:r w:rsidRPr="00A42DF7">
        <w:rPr>
          <w:sz w:val="24"/>
          <w:szCs w:val="24"/>
          <w:lang w:val="sr-Latn-ME"/>
        </w:rPr>
        <w:t xml:space="preserve"> </w:t>
      </w:r>
      <w:proofErr w:type="spellStart"/>
      <w:r w:rsidRPr="007E71C8">
        <w:rPr>
          <w:sz w:val="24"/>
          <w:szCs w:val="24"/>
        </w:rPr>
        <w:t>zaposlenih</w:t>
      </w:r>
      <w:proofErr w:type="spellEnd"/>
      <w:r w:rsidRPr="00A42DF7">
        <w:rPr>
          <w:sz w:val="24"/>
          <w:szCs w:val="24"/>
          <w:lang w:val="sr-Latn-ME"/>
        </w:rPr>
        <w:t>, š</w:t>
      </w:r>
      <w:r w:rsidRPr="007E71C8">
        <w:rPr>
          <w:sz w:val="24"/>
          <w:szCs w:val="24"/>
        </w:rPr>
        <w:t>to</w:t>
      </w:r>
      <w:r w:rsidRPr="00A42DF7">
        <w:rPr>
          <w:sz w:val="24"/>
          <w:szCs w:val="24"/>
          <w:lang w:val="sr-Latn-ME"/>
        </w:rPr>
        <w:t xml:space="preserve"> </w:t>
      </w:r>
      <w:proofErr w:type="spellStart"/>
      <w:r w:rsidRPr="007E71C8">
        <w:rPr>
          <w:sz w:val="24"/>
          <w:szCs w:val="24"/>
        </w:rPr>
        <w:t>podrazumijeva</w:t>
      </w:r>
      <w:proofErr w:type="spellEnd"/>
      <w:r w:rsidRPr="00A42DF7">
        <w:rPr>
          <w:sz w:val="24"/>
          <w:szCs w:val="24"/>
          <w:lang w:val="sr-Latn-ME"/>
        </w:rPr>
        <w:t xml:space="preserve"> </w:t>
      </w:r>
      <w:proofErr w:type="spellStart"/>
      <w:r w:rsidRPr="007E71C8">
        <w:rPr>
          <w:sz w:val="24"/>
          <w:szCs w:val="24"/>
        </w:rPr>
        <w:t>smanjenje</w:t>
      </w:r>
      <w:proofErr w:type="spellEnd"/>
      <w:r w:rsidRPr="00A42DF7">
        <w:rPr>
          <w:sz w:val="24"/>
          <w:szCs w:val="24"/>
          <w:lang w:val="sr-Latn-ME"/>
        </w:rPr>
        <w:t xml:space="preserve"> </w:t>
      </w:r>
      <w:proofErr w:type="spellStart"/>
      <w:r w:rsidRPr="007E71C8">
        <w:rPr>
          <w:sz w:val="24"/>
          <w:szCs w:val="24"/>
        </w:rPr>
        <w:t>nelojalne</w:t>
      </w:r>
      <w:proofErr w:type="spellEnd"/>
      <w:r w:rsidRPr="00A42DF7">
        <w:rPr>
          <w:sz w:val="24"/>
          <w:szCs w:val="24"/>
          <w:lang w:val="sr-Latn-ME"/>
        </w:rPr>
        <w:t xml:space="preserve"> </w:t>
      </w:r>
      <w:proofErr w:type="spellStart"/>
      <w:r w:rsidRPr="007E71C8">
        <w:rPr>
          <w:sz w:val="24"/>
          <w:szCs w:val="24"/>
        </w:rPr>
        <w:t>konkurencije</w:t>
      </w:r>
      <w:proofErr w:type="spellEnd"/>
      <w:r w:rsidRPr="00A42DF7">
        <w:rPr>
          <w:sz w:val="24"/>
          <w:szCs w:val="24"/>
          <w:lang w:val="sr-Latn-ME"/>
        </w:rPr>
        <w:t xml:space="preserve"> </w:t>
      </w:r>
      <w:proofErr w:type="spellStart"/>
      <w:r w:rsidRPr="007E71C8">
        <w:rPr>
          <w:sz w:val="24"/>
          <w:szCs w:val="24"/>
        </w:rPr>
        <w:t>i</w:t>
      </w:r>
      <w:proofErr w:type="spellEnd"/>
      <w:r w:rsidRPr="00A42DF7">
        <w:rPr>
          <w:sz w:val="24"/>
          <w:szCs w:val="24"/>
          <w:lang w:val="sr-Latn-ME"/>
        </w:rPr>
        <w:t xml:space="preserve"> </w:t>
      </w:r>
      <w:proofErr w:type="spellStart"/>
      <w:r w:rsidRPr="007E71C8">
        <w:rPr>
          <w:sz w:val="24"/>
          <w:szCs w:val="24"/>
        </w:rPr>
        <w:t>fer</w:t>
      </w:r>
      <w:proofErr w:type="spellEnd"/>
      <w:r w:rsidRPr="00A42DF7">
        <w:rPr>
          <w:sz w:val="24"/>
          <w:szCs w:val="24"/>
          <w:lang w:val="sr-Latn-ME"/>
        </w:rPr>
        <w:t xml:space="preserve"> </w:t>
      </w:r>
      <w:proofErr w:type="spellStart"/>
      <w:r w:rsidRPr="007E71C8">
        <w:rPr>
          <w:sz w:val="24"/>
          <w:szCs w:val="24"/>
        </w:rPr>
        <w:t>utakmicu</w:t>
      </w:r>
      <w:proofErr w:type="spellEnd"/>
      <w:r w:rsidRPr="00A42DF7">
        <w:rPr>
          <w:sz w:val="24"/>
          <w:szCs w:val="24"/>
          <w:lang w:val="sr-Latn-ME"/>
        </w:rPr>
        <w:t xml:space="preserve"> </w:t>
      </w:r>
      <w:r w:rsidRPr="007E71C8">
        <w:rPr>
          <w:sz w:val="24"/>
          <w:szCs w:val="24"/>
        </w:rPr>
        <w:t>me</w:t>
      </w:r>
      <w:r w:rsidRPr="00A42DF7">
        <w:rPr>
          <w:sz w:val="24"/>
          <w:szCs w:val="24"/>
          <w:lang w:val="sr-Latn-ME"/>
        </w:rPr>
        <w:t>đ</w:t>
      </w:r>
      <w:r w:rsidRPr="007E71C8">
        <w:rPr>
          <w:sz w:val="24"/>
          <w:szCs w:val="24"/>
        </w:rPr>
        <w:t>u</w:t>
      </w:r>
      <w:r w:rsidRPr="00A42DF7">
        <w:rPr>
          <w:sz w:val="24"/>
          <w:szCs w:val="24"/>
          <w:lang w:val="sr-Latn-ME"/>
        </w:rPr>
        <w:t xml:space="preserve"> </w:t>
      </w:r>
      <w:proofErr w:type="spellStart"/>
      <w:r w:rsidRPr="007E71C8">
        <w:rPr>
          <w:sz w:val="24"/>
          <w:szCs w:val="24"/>
        </w:rPr>
        <w:t>preduzetnicima</w:t>
      </w:r>
      <w:proofErr w:type="spellEnd"/>
      <w:r w:rsidRPr="00A42DF7">
        <w:rPr>
          <w:sz w:val="24"/>
          <w:szCs w:val="24"/>
          <w:lang w:val="sr-Latn-ME"/>
        </w:rPr>
        <w:t xml:space="preserve">. </w:t>
      </w:r>
      <w:proofErr w:type="spellStart"/>
      <w:r w:rsidRPr="007E71C8">
        <w:rPr>
          <w:sz w:val="24"/>
          <w:szCs w:val="24"/>
        </w:rPr>
        <w:t>Imaju</w:t>
      </w:r>
      <w:proofErr w:type="spellEnd"/>
      <w:r w:rsidRPr="00A42DF7">
        <w:rPr>
          <w:sz w:val="24"/>
          <w:szCs w:val="24"/>
          <w:lang w:val="sr-Latn-ME"/>
        </w:rPr>
        <w:t>ć</w:t>
      </w:r>
      <w:proofErr w:type="spellStart"/>
      <w:r w:rsidRPr="007E71C8">
        <w:rPr>
          <w:sz w:val="24"/>
          <w:szCs w:val="24"/>
        </w:rPr>
        <w:t>i</w:t>
      </w:r>
      <w:proofErr w:type="spellEnd"/>
      <w:r w:rsidRPr="00A42DF7">
        <w:rPr>
          <w:sz w:val="24"/>
          <w:szCs w:val="24"/>
          <w:lang w:val="sr-Latn-ME"/>
        </w:rPr>
        <w:t xml:space="preserve"> </w:t>
      </w:r>
      <w:r w:rsidRPr="007E71C8">
        <w:rPr>
          <w:sz w:val="24"/>
          <w:szCs w:val="24"/>
        </w:rPr>
        <w:t>u</w:t>
      </w:r>
      <w:r w:rsidRPr="00A42DF7">
        <w:rPr>
          <w:sz w:val="24"/>
          <w:szCs w:val="24"/>
          <w:lang w:val="sr-Latn-ME"/>
        </w:rPr>
        <w:t xml:space="preserve"> </w:t>
      </w:r>
      <w:proofErr w:type="spellStart"/>
      <w:r w:rsidRPr="007E71C8">
        <w:rPr>
          <w:sz w:val="24"/>
          <w:szCs w:val="24"/>
        </w:rPr>
        <w:t>vidu</w:t>
      </w:r>
      <w:proofErr w:type="spellEnd"/>
      <w:r w:rsidRPr="00A42DF7">
        <w:rPr>
          <w:sz w:val="24"/>
          <w:szCs w:val="24"/>
          <w:lang w:val="sr-Latn-ME"/>
        </w:rPr>
        <w:t xml:space="preserve"> </w:t>
      </w:r>
      <w:proofErr w:type="spellStart"/>
      <w:r w:rsidRPr="007E71C8">
        <w:rPr>
          <w:sz w:val="24"/>
          <w:szCs w:val="24"/>
        </w:rPr>
        <w:t>niz</w:t>
      </w:r>
      <w:proofErr w:type="spellEnd"/>
      <w:r w:rsidRPr="00A42DF7">
        <w:rPr>
          <w:sz w:val="24"/>
          <w:szCs w:val="24"/>
          <w:lang w:val="sr-Latn-ME"/>
        </w:rPr>
        <w:t xml:space="preserve"> </w:t>
      </w:r>
      <w:proofErr w:type="spellStart"/>
      <w:r w:rsidRPr="007E71C8">
        <w:rPr>
          <w:sz w:val="24"/>
          <w:szCs w:val="24"/>
        </w:rPr>
        <w:t>izazova</w:t>
      </w:r>
      <w:proofErr w:type="spellEnd"/>
      <w:r w:rsidRPr="00A42DF7">
        <w:rPr>
          <w:sz w:val="24"/>
          <w:szCs w:val="24"/>
          <w:lang w:val="sr-Latn-ME"/>
        </w:rPr>
        <w:t xml:space="preserve"> </w:t>
      </w:r>
      <w:proofErr w:type="spellStart"/>
      <w:r w:rsidRPr="007E71C8">
        <w:rPr>
          <w:sz w:val="24"/>
          <w:szCs w:val="24"/>
        </w:rPr>
        <w:t>koje</w:t>
      </w:r>
      <w:proofErr w:type="spellEnd"/>
      <w:r w:rsidRPr="00A42DF7">
        <w:rPr>
          <w:sz w:val="24"/>
          <w:szCs w:val="24"/>
          <w:lang w:val="sr-Latn-ME"/>
        </w:rPr>
        <w:t xml:space="preserve"> </w:t>
      </w:r>
      <w:proofErr w:type="spellStart"/>
      <w:r w:rsidRPr="007E71C8">
        <w:rPr>
          <w:sz w:val="24"/>
          <w:szCs w:val="24"/>
        </w:rPr>
        <w:t>uzroku</w:t>
      </w:r>
      <w:r w:rsidR="00AE30E9" w:rsidRPr="007E71C8">
        <w:rPr>
          <w:sz w:val="24"/>
          <w:szCs w:val="24"/>
        </w:rPr>
        <w:t>j</w:t>
      </w:r>
      <w:r w:rsidRPr="007E71C8">
        <w:rPr>
          <w:sz w:val="24"/>
          <w:szCs w:val="24"/>
        </w:rPr>
        <w:t>e</w:t>
      </w:r>
      <w:proofErr w:type="spellEnd"/>
      <w:r w:rsidRPr="00A42DF7">
        <w:rPr>
          <w:sz w:val="24"/>
          <w:szCs w:val="24"/>
          <w:lang w:val="sr-Latn-ME"/>
        </w:rPr>
        <w:t xml:space="preserve"> </w:t>
      </w:r>
      <w:proofErr w:type="spellStart"/>
      <w:r w:rsidRPr="007E71C8">
        <w:rPr>
          <w:sz w:val="24"/>
          <w:szCs w:val="24"/>
        </w:rPr>
        <w:t>nelojalna</w:t>
      </w:r>
      <w:proofErr w:type="spellEnd"/>
      <w:r w:rsidRPr="00A42DF7">
        <w:rPr>
          <w:sz w:val="24"/>
          <w:szCs w:val="24"/>
          <w:lang w:val="sr-Latn-ME"/>
        </w:rPr>
        <w:t xml:space="preserve"> </w:t>
      </w:r>
      <w:proofErr w:type="spellStart"/>
      <w:r w:rsidRPr="007E71C8">
        <w:rPr>
          <w:sz w:val="24"/>
          <w:szCs w:val="24"/>
        </w:rPr>
        <w:t>konkurencija</w:t>
      </w:r>
      <w:proofErr w:type="spellEnd"/>
      <w:r w:rsidRPr="00A42DF7">
        <w:rPr>
          <w:sz w:val="24"/>
          <w:szCs w:val="24"/>
          <w:lang w:val="sr-Latn-ME"/>
        </w:rPr>
        <w:t xml:space="preserve"> </w:t>
      </w:r>
      <w:r w:rsidRPr="007E71C8">
        <w:rPr>
          <w:sz w:val="24"/>
          <w:szCs w:val="24"/>
        </w:rPr>
        <w:t>u</w:t>
      </w:r>
      <w:r w:rsidRPr="00A42DF7">
        <w:rPr>
          <w:sz w:val="24"/>
          <w:szCs w:val="24"/>
          <w:lang w:val="sr-Latn-ME"/>
        </w:rPr>
        <w:t xml:space="preserve"> </w:t>
      </w:r>
      <w:proofErr w:type="spellStart"/>
      <w:r w:rsidRPr="007E71C8">
        <w:rPr>
          <w:sz w:val="24"/>
          <w:szCs w:val="24"/>
        </w:rPr>
        <w:t>razli</w:t>
      </w:r>
      <w:proofErr w:type="spellEnd"/>
      <w:r w:rsidRPr="00A42DF7">
        <w:rPr>
          <w:sz w:val="24"/>
          <w:szCs w:val="24"/>
          <w:lang w:val="sr-Latn-ME"/>
        </w:rPr>
        <w:t>č</w:t>
      </w:r>
      <w:proofErr w:type="spellStart"/>
      <w:r w:rsidRPr="007E71C8">
        <w:rPr>
          <w:sz w:val="24"/>
          <w:szCs w:val="24"/>
        </w:rPr>
        <w:t>itim</w:t>
      </w:r>
      <w:proofErr w:type="spellEnd"/>
      <w:r w:rsidRPr="00A42DF7">
        <w:rPr>
          <w:sz w:val="24"/>
          <w:szCs w:val="24"/>
          <w:lang w:val="sr-Latn-ME"/>
        </w:rPr>
        <w:t xml:space="preserve"> </w:t>
      </w:r>
      <w:proofErr w:type="spellStart"/>
      <w:r w:rsidRPr="007E71C8">
        <w:rPr>
          <w:sz w:val="24"/>
          <w:szCs w:val="24"/>
        </w:rPr>
        <w:t>sektorima</w:t>
      </w:r>
      <w:proofErr w:type="spellEnd"/>
      <w:r w:rsidRPr="00A42DF7">
        <w:rPr>
          <w:sz w:val="24"/>
          <w:szCs w:val="24"/>
          <w:lang w:val="sr-Latn-ME"/>
        </w:rPr>
        <w:t xml:space="preserve">, </w:t>
      </w:r>
      <w:proofErr w:type="spellStart"/>
      <w:r w:rsidRPr="007E71C8">
        <w:rPr>
          <w:sz w:val="24"/>
          <w:szCs w:val="24"/>
        </w:rPr>
        <w:t>realizacija</w:t>
      </w:r>
      <w:proofErr w:type="spellEnd"/>
      <w:r w:rsidRPr="00A42DF7">
        <w:rPr>
          <w:sz w:val="24"/>
          <w:szCs w:val="24"/>
          <w:lang w:val="sr-Latn-ME"/>
        </w:rPr>
        <w:t xml:space="preserve"> </w:t>
      </w:r>
      <w:proofErr w:type="spellStart"/>
      <w:r w:rsidRPr="007E71C8">
        <w:rPr>
          <w:sz w:val="24"/>
          <w:szCs w:val="24"/>
        </w:rPr>
        <w:t>ovog</w:t>
      </w:r>
      <w:proofErr w:type="spellEnd"/>
      <w:r w:rsidRPr="00A42DF7">
        <w:rPr>
          <w:sz w:val="24"/>
          <w:szCs w:val="24"/>
          <w:lang w:val="sr-Latn-ME"/>
        </w:rPr>
        <w:t xml:space="preserve"> </w:t>
      </w:r>
      <w:proofErr w:type="spellStart"/>
      <w:r w:rsidRPr="007E71C8">
        <w:rPr>
          <w:sz w:val="24"/>
          <w:szCs w:val="24"/>
        </w:rPr>
        <w:t>operati</w:t>
      </w:r>
      <w:r w:rsidR="00E85323">
        <w:rPr>
          <w:sz w:val="24"/>
          <w:szCs w:val="24"/>
        </w:rPr>
        <w:t>v</w:t>
      </w:r>
      <w:r w:rsidRPr="007E71C8">
        <w:rPr>
          <w:sz w:val="24"/>
          <w:szCs w:val="24"/>
        </w:rPr>
        <w:t>nog</w:t>
      </w:r>
      <w:proofErr w:type="spellEnd"/>
      <w:r w:rsidRPr="00A42DF7">
        <w:rPr>
          <w:sz w:val="24"/>
          <w:szCs w:val="24"/>
          <w:lang w:val="sr-Latn-ME"/>
        </w:rPr>
        <w:t xml:space="preserve"> </w:t>
      </w:r>
      <w:proofErr w:type="spellStart"/>
      <w:r w:rsidRPr="007E71C8">
        <w:rPr>
          <w:sz w:val="24"/>
          <w:szCs w:val="24"/>
        </w:rPr>
        <w:t>cilja</w:t>
      </w:r>
      <w:proofErr w:type="spellEnd"/>
      <w:r w:rsidRPr="00A42DF7">
        <w:rPr>
          <w:sz w:val="24"/>
          <w:szCs w:val="24"/>
          <w:lang w:val="sr-Latn-ME"/>
        </w:rPr>
        <w:t xml:space="preserve"> </w:t>
      </w:r>
      <w:proofErr w:type="spellStart"/>
      <w:r w:rsidRPr="007E71C8">
        <w:rPr>
          <w:sz w:val="24"/>
          <w:szCs w:val="24"/>
        </w:rPr>
        <w:t>uklju</w:t>
      </w:r>
      <w:proofErr w:type="spellEnd"/>
      <w:r w:rsidRPr="00A42DF7">
        <w:rPr>
          <w:sz w:val="24"/>
          <w:szCs w:val="24"/>
          <w:lang w:val="sr-Latn-ME"/>
        </w:rPr>
        <w:t>č</w:t>
      </w:r>
      <w:proofErr w:type="spellStart"/>
      <w:r w:rsidRPr="007E71C8">
        <w:rPr>
          <w:sz w:val="24"/>
          <w:szCs w:val="24"/>
        </w:rPr>
        <w:t>uje</w:t>
      </w:r>
      <w:proofErr w:type="spellEnd"/>
      <w:r w:rsidRPr="00A42DF7">
        <w:rPr>
          <w:sz w:val="24"/>
          <w:szCs w:val="24"/>
          <w:lang w:val="sr-Latn-ME"/>
        </w:rPr>
        <w:t xml:space="preserve"> </w:t>
      </w:r>
      <w:proofErr w:type="spellStart"/>
      <w:r w:rsidRPr="007E71C8">
        <w:rPr>
          <w:sz w:val="24"/>
          <w:szCs w:val="24"/>
        </w:rPr>
        <w:t>aktivnosti</w:t>
      </w:r>
      <w:proofErr w:type="spellEnd"/>
      <w:r w:rsidRPr="00A42DF7">
        <w:rPr>
          <w:sz w:val="24"/>
          <w:szCs w:val="24"/>
          <w:lang w:val="sr-Latn-ME"/>
        </w:rPr>
        <w:t xml:space="preserve"> </w:t>
      </w:r>
      <w:proofErr w:type="spellStart"/>
      <w:r w:rsidRPr="007E71C8">
        <w:rPr>
          <w:sz w:val="24"/>
          <w:szCs w:val="24"/>
        </w:rPr>
        <w:t>na</w:t>
      </w:r>
      <w:proofErr w:type="spellEnd"/>
      <w:r w:rsidRPr="00A42DF7">
        <w:rPr>
          <w:sz w:val="24"/>
          <w:szCs w:val="24"/>
          <w:lang w:val="sr-Latn-ME"/>
        </w:rPr>
        <w:t xml:space="preserve"> </w:t>
      </w:r>
      <w:proofErr w:type="spellStart"/>
      <w:r w:rsidRPr="007E71C8">
        <w:rPr>
          <w:sz w:val="24"/>
          <w:szCs w:val="24"/>
        </w:rPr>
        <w:t>sektorskom</w:t>
      </w:r>
      <w:proofErr w:type="spellEnd"/>
      <w:r w:rsidRPr="00A42DF7">
        <w:rPr>
          <w:sz w:val="24"/>
          <w:szCs w:val="24"/>
          <w:lang w:val="sr-Latn-ME"/>
        </w:rPr>
        <w:t xml:space="preserve"> </w:t>
      </w:r>
      <w:proofErr w:type="spellStart"/>
      <w:r w:rsidRPr="007E71C8">
        <w:rPr>
          <w:sz w:val="24"/>
          <w:szCs w:val="24"/>
        </w:rPr>
        <w:t>nivo</w:t>
      </w:r>
      <w:r w:rsidR="00B27C3F">
        <w:rPr>
          <w:sz w:val="24"/>
          <w:szCs w:val="24"/>
        </w:rPr>
        <w:t>u</w:t>
      </w:r>
      <w:proofErr w:type="spellEnd"/>
      <w:r w:rsidRPr="00A42DF7">
        <w:rPr>
          <w:sz w:val="24"/>
          <w:szCs w:val="24"/>
          <w:lang w:val="sr-Latn-ME"/>
        </w:rPr>
        <w:t xml:space="preserve">: </w:t>
      </w:r>
      <w:r w:rsidRPr="007E71C8">
        <w:rPr>
          <w:sz w:val="24"/>
          <w:szCs w:val="24"/>
        </w:rPr>
        <w:t>u</w:t>
      </w:r>
      <w:r w:rsidRPr="00A42DF7">
        <w:rPr>
          <w:sz w:val="24"/>
          <w:szCs w:val="24"/>
          <w:lang w:val="sr-Latn-ME"/>
        </w:rPr>
        <w:t xml:space="preserve"> </w:t>
      </w:r>
      <w:proofErr w:type="spellStart"/>
      <w:r w:rsidRPr="007E71C8">
        <w:rPr>
          <w:sz w:val="24"/>
          <w:szCs w:val="24"/>
        </w:rPr>
        <w:t>turizmu</w:t>
      </w:r>
      <w:proofErr w:type="spellEnd"/>
      <w:r w:rsidRPr="00A42DF7">
        <w:rPr>
          <w:sz w:val="24"/>
          <w:szCs w:val="24"/>
          <w:lang w:val="sr-Latn-ME"/>
        </w:rPr>
        <w:t>,</w:t>
      </w:r>
      <w:r w:rsidR="00AE30E9" w:rsidRPr="00A42DF7">
        <w:rPr>
          <w:sz w:val="24"/>
          <w:szCs w:val="24"/>
          <w:lang w:val="sr-Latn-ME"/>
        </w:rPr>
        <w:t xml:space="preserve"> </w:t>
      </w:r>
      <w:proofErr w:type="spellStart"/>
      <w:r w:rsidRPr="007E71C8">
        <w:rPr>
          <w:sz w:val="24"/>
          <w:szCs w:val="24"/>
        </w:rPr>
        <w:t>trgovini</w:t>
      </w:r>
      <w:proofErr w:type="spellEnd"/>
      <w:r w:rsidRPr="00A42DF7">
        <w:rPr>
          <w:sz w:val="24"/>
          <w:szCs w:val="24"/>
          <w:lang w:val="sr-Latn-ME"/>
        </w:rPr>
        <w:t xml:space="preserve">, </w:t>
      </w:r>
      <w:proofErr w:type="spellStart"/>
      <w:r w:rsidRPr="007E71C8">
        <w:rPr>
          <w:sz w:val="24"/>
          <w:szCs w:val="24"/>
        </w:rPr>
        <w:t>poljoprivredi</w:t>
      </w:r>
      <w:proofErr w:type="spellEnd"/>
      <w:r w:rsidRPr="00A42DF7">
        <w:rPr>
          <w:sz w:val="24"/>
          <w:szCs w:val="24"/>
          <w:lang w:val="sr-Latn-ME"/>
        </w:rPr>
        <w:t xml:space="preserve">, </w:t>
      </w:r>
      <w:proofErr w:type="spellStart"/>
      <w:r w:rsidRPr="007E71C8">
        <w:rPr>
          <w:sz w:val="24"/>
          <w:szCs w:val="24"/>
        </w:rPr>
        <w:t>drvopreradi</w:t>
      </w:r>
      <w:proofErr w:type="spellEnd"/>
      <w:r w:rsidRPr="00A42DF7">
        <w:rPr>
          <w:sz w:val="24"/>
          <w:szCs w:val="24"/>
          <w:lang w:val="sr-Latn-ME"/>
        </w:rPr>
        <w:t xml:space="preserve">, </w:t>
      </w:r>
      <w:proofErr w:type="spellStart"/>
      <w:r w:rsidRPr="007E71C8">
        <w:rPr>
          <w:sz w:val="24"/>
          <w:szCs w:val="24"/>
        </w:rPr>
        <w:t>gra</w:t>
      </w:r>
      <w:proofErr w:type="spellEnd"/>
      <w:r w:rsidRPr="00A42DF7">
        <w:rPr>
          <w:sz w:val="24"/>
          <w:szCs w:val="24"/>
          <w:lang w:val="sr-Latn-ME"/>
        </w:rPr>
        <w:t>đ</w:t>
      </w:r>
      <w:proofErr w:type="spellStart"/>
      <w:r w:rsidRPr="007E71C8">
        <w:rPr>
          <w:sz w:val="24"/>
          <w:szCs w:val="24"/>
        </w:rPr>
        <w:t>evinarstvu</w:t>
      </w:r>
      <w:proofErr w:type="spellEnd"/>
      <w:r w:rsidRPr="00A42DF7">
        <w:rPr>
          <w:sz w:val="24"/>
          <w:szCs w:val="24"/>
          <w:lang w:val="sr-Latn-ME"/>
        </w:rPr>
        <w:t xml:space="preserve">, </w:t>
      </w:r>
      <w:proofErr w:type="spellStart"/>
      <w:r w:rsidRPr="007E71C8">
        <w:rPr>
          <w:sz w:val="24"/>
          <w:szCs w:val="24"/>
        </w:rPr>
        <w:t>k</w:t>
      </w:r>
      <w:r w:rsidR="00AE30E9" w:rsidRPr="007E71C8">
        <w:rPr>
          <w:sz w:val="24"/>
          <w:szCs w:val="24"/>
        </w:rPr>
        <w:t>a</w:t>
      </w:r>
      <w:r w:rsidRPr="007E71C8">
        <w:rPr>
          <w:sz w:val="24"/>
          <w:szCs w:val="24"/>
        </w:rPr>
        <w:t>ko</w:t>
      </w:r>
      <w:proofErr w:type="spellEnd"/>
      <w:r w:rsidR="00AE30E9" w:rsidRPr="00A42DF7">
        <w:rPr>
          <w:sz w:val="24"/>
          <w:szCs w:val="24"/>
          <w:lang w:val="sr-Latn-ME"/>
        </w:rPr>
        <w:t xml:space="preserve"> </w:t>
      </w:r>
      <w:proofErr w:type="spellStart"/>
      <w:r w:rsidR="00AE30E9" w:rsidRPr="007E71C8">
        <w:rPr>
          <w:sz w:val="24"/>
          <w:szCs w:val="24"/>
        </w:rPr>
        <w:t>kroz</w:t>
      </w:r>
      <w:proofErr w:type="spellEnd"/>
      <w:r w:rsidR="00AE30E9" w:rsidRPr="00A42DF7">
        <w:rPr>
          <w:sz w:val="24"/>
          <w:szCs w:val="24"/>
          <w:lang w:val="sr-Latn-ME"/>
        </w:rPr>
        <w:t xml:space="preserve"> </w:t>
      </w:r>
      <w:proofErr w:type="spellStart"/>
      <w:r w:rsidR="00AE30E9" w:rsidRPr="007E71C8">
        <w:rPr>
          <w:sz w:val="24"/>
          <w:szCs w:val="24"/>
        </w:rPr>
        <w:t>izmjene</w:t>
      </w:r>
      <w:proofErr w:type="spellEnd"/>
      <w:r w:rsidR="00AE30E9" w:rsidRPr="00A42DF7">
        <w:rPr>
          <w:sz w:val="24"/>
          <w:szCs w:val="24"/>
          <w:lang w:val="sr-Latn-ME"/>
        </w:rPr>
        <w:t xml:space="preserve"> </w:t>
      </w:r>
      <w:proofErr w:type="spellStart"/>
      <w:r w:rsidR="00AE30E9" w:rsidRPr="007E71C8">
        <w:rPr>
          <w:sz w:val="24"/>
          <w:szCs w:val="24"/>
        </w:rPr>
        <w:t>zakonskih</w:t>
      </w:r>
      <w:proofErr w:type="spellEnd"/>
      <w:r w:rsidR="00AE30E9" w:rsidRPr="00A42DF7">
        <w:rPr>
          <w:sz w:val="24"/>
          <w:szCs w:val="24"/>
          <w:lang w:val="sr-Latn-ME"/>
        </w:rPr>
        <w:t xml:space="preserve"> </w:t>
      </w:r>
      <w:proofErr w:type="spellStart"/>
      <w:r w:rsidR="00AE30E9" w:rsidRPr="007E71C8">
        <w:rPr>
          <w:sz w:val="24"/>
          <w:szCs w:val="24"/>
        </w:rPr>
        <w:t>rje</w:t>
      </w:r>
      <w:proofErr w:type="spellEnd"/>
      <w:r w:rsidR="00AE30E9" w:rsidRPr="00A42DF7">
        <w:rPr>
          <w:sz w:val="24"/>
          <w:szCs w:val="24"/>
          <w:lang w:val="sr-Latn-ME"/>
        </w:rPr>
        <w:t>š</w:t>
      </w:r>
      <w:proofErr w:type="spellStart"/>
      <w:r w:rsidR="00AE30E9" w:rsidRPr="007E71C8">
        <w:rPr>
          <w:sz w:val="24"/>
          <w:szCs w:val="24"/>
        </w:rPr>
        <w:t>enja</w:t>
      </w:r>
      <w:proofErr w:type="spellEnd"/>
      <w:r w:rsidR="00AE30E9" w:rsidRPr="00A42DF7">
        <w:rPr>
          <w:sz w:val="24"/>
          <w:szCs w:val="24"/>
          <w:lang w:val="sr-Latn-ME"/>
        </w:rPr>
        <w:t xml:space="preserve">, </w:t>
      </w:r>
      <w:proofErr w:type="spellStart"/>
      <w:r w:rsidR="00AE30E9" w:rsidRPr="007E71C8">
        <w:rPr>
          <w:sz w:val="24"/>
          <w:szCs w:val="24"/>
        </w:rPr>
        <w:t>tako</w:t>
      </w:r>
      <w:proofErr w:type="spellEnd"/>
      <w:r w:rsidR="00AE30E9" w:rsidRPr="00A42DF7">
        <w:rPr>
          <w:sz w:val="24"/>
          <w:szCs w:val="24"/>
          <w:lang w:val="sr-Latn-ME"/>
        </w:rPr>
        <w:t xml:space="preserve"> </w:t>
      </w:r>
      <w:proofErr w:type="spellStart"/>
      <w:r w:rsidR="00E85323">
        <w:rPr>
          <w:sz w:val="24"/>
          <w:szCs w:val="24"/>
        </w:rPr>
        <w:t>i</w:t>
      </w:r>
      <w:proofErr w:type="spellEnd"/>
      <w:r w:rsidR="00AE30E9" w:rsidRPr="00A42DF7">
        <w:rPr>
          <w:sz w:val="24"/>
          <w:szCs w:val="24"/>
          <w:lang w:val="sr-Latn-ME"/>
        </w:rPr>
        <w:t xml:space="preserve"> </w:t>
      </w:r>
      <w:proofErr w:type="spellStart"/>
      <w:r w:rsidR="00AE30E9" w:rsidRPr="007E71C8">
        <w:rPr>
          <w:sz w:val="24"/>
          <w:szCs w:val="24"/>
        </w:rPr>
        <w:t>niz</w:t>
      </w:r>
      <w:proofErr w:type="spellEnd"/>
      <w:r w:rsidR="00AE30E9" w:rsidRPr="00A42DF7">
        <w:rPr>
          <w:sz w:val="24"/>
          <w:szCs w:val="24"/>
          <w:lang w:val="sr-Latn-ME"/>
        </w:rPr>
        <w:t xml:space="preserve"> </w:t>
      </w:r>
      <w:proofErr w:type="spellStart"/>
      <w:r w:rsidR="00AE30E9" w:rsidRPr="007E71C8">
        <w:rPr>
          <w:sz w:val="24"/>
          <w:szCs w:val="24"/>
        </w:rPr>
        <w:t>promotivnih</w:t>
      </w:r>
      <w:proofErr w:type="spellEnd"/>
      <w:r w:rsidR="00AE30E9" w:rsidRPr="00A42DF7">
        <w:rPr>
          <w:sz w:val="24"/>
          <w:szCs w:val="24"/>
          <w:lang w:val="sr-Latn-ME"/>
        </w:rPr>
        <w:t xml:space="preserve"> </w:t>
      </w:r>
      <w:proofErr w:type="spellStart"/>
      <w:r w:rsidR="00E85323">
        <w:rPr>
          <w:sz w:val="24"/>
          <w:szCs w:val="24"/>
        </w:rPr>
        <w:t>i</w:t>
      </w:r>
      <w:proofErr w:type="spellEnd"/>
      <w:r w:rsidR="00AE30E9" w:rsidRPr="00A42DF7">
        <w:rPr>
          <w:sz w:val="24"/>
          <w:szCs w:val="24"/>
          <w:lang w:val="sr-Latn-ME"/>
        </w:rPr>
        <w:t xml:space="preserve"> </w:t>
      </w:r>
      <w:proofErr w:type="spellStart"/>
      <w:r w:rsidR="00AE30E9" w:rsidRPr="007E71C8">
        <w:rPr>
          <w:sz w:val="24"/>
          <w:szCs w:val="24"/>
        </w:rPr>
        <w:t>edukativnih</w:t>
      </w:r>
      <w:proofErr w:type="spellEnd"/>
      <w:r w:rsidR="00AE30E9" w:rsidRPr="00A42DF7">
        <w:rPr>
          <w:sz w:val="24"/>
          <w:szCs w:val="24"/>
          <w:lang w:val="sr-Latn-ME"/>
        </w:rPr>
        <w:t xml:space="preserve"> </w:t>
      </w:r>
      <w:proofErr w:type="spellStart"/>
      <w:r w:rsidR="00AE30E9" w:rsidRPr="007E71C8">
        <w:rPr>
          <w:sz w:val="24"/>
          <w:szCs w:val="24"/>
        </w:rPr>
        <w:t>aktivnosti</w:t>
      </w:r>
      <w:proofErr w:type="spellEnd"/>
      <w:r w:rsidR="00AE30E9" w:rsidRPr="00A42DF7">
        <w:rPr>
          <w:sz w:val="24"/>
          <w:szCs w:val="24"/>
          <w:lang w:val="sr-Latn-ME"/>
        </w:rPr>
        <w:t xml:space="preserve">. </w:t>
      </w:r>
    </w:p>
    <w:p w14:paraId="7178D421" w14:textId="06147B74" w:rsidR="00033B0B" w:rsidRPr="00F0146E" w:rsidRDefault="005226B4" w:rsidP="001B34AD">
      <w:pPr>
        <w:jc w:val="both"/>
        <w:rPr>
          <w:sz w:val="24"/>
          <w:szCs w:val="24"/>
          <w:lang w:val="pl-PL"/>
        </w:rPr>
      </w:pPr>
      <w:r w:rsidRPr="00021CDC">
        <w:rPr>
          <w:sz w:val="24"/>
          <w:szCs w:val="24"/>
          <w:lang w:val="pl-PL"/>
        </w:rPr>
        <w:t>Stimulativne</w:t>
      </w:r>
      <w:r w:rsidRPr="007028EE">
        <w:rPr>
          <w:sz w:val="24"/>
          <w:szCs w:val="24"/>
          <w:lang w:val="sr-Latn-ME"/>
        </w:rPr>
        <w:t xml:space="preserve"> </w:t>
      </w:r>
      <w:r w:rsidR="0013035E">
        <w:rPr>
          <w:sz w:val="24"/>
          <w:szCs w:val="24"/>
          <w:lang w:val="sr-Latn-ME"/>
        </w:rPr>
        <w:t>i preventivne aktivnosti</w:t>
      </w:r>
      <w:r w:rsidRPr="007028EE">
        <w:rPr>
          <w:sz w:val="24"/>
          <w:szCs w:val="24"/>
          <w:lang w:val="sr-Latn-ME"/>
        </w:rPr>
        <w:t xml:space="preserve"> </w:t>
      </w:r>
      <w:r w:rsidRPr="00021CDC">
        <w:rPr>
          <w:sz w:val="24"/>
          <w:szCs w:val="24"/>
          <w:lang w:val="pl-PL"/>
        </w:rPr>
        <w:t>za</w:t>
      </w:r>
      <w:r w:rsidRPr="007028EE">
        <w:rPr>
          <w:sz w:val="24"/>
          <w:szCs w:val="24"/>
          <w:lang w:val="sr-Latn-ME"/>
        </w:rPr>
        <w:t xml:space="preserve"> </w:t>
      </w:r>
      <w:r w:rsidRPr="00021CDC">
        <w:rPr>
          <w:sz w:val="24"/>
          <w:szCs w:val="24"/>
          <w:lang w:val="pl-PL"/>
        </w:rPr>
        <w:t>suzbijanje</w:t>
      </w:r>
      <w:r w:rsidRPr="007028EE">
        <w:rPr>
          <w:sz w:val="24"/>
          <w:szCs w:val="24"/>
          <w:lang w:val="sr-Latn-ME"/>
        </w:rPr>
        <w:t xml:space="preserve"> </w:t>
      </w:r>
      <w:r w:rsidRPr="00021CDC">
        <w:rPr>
          <w:sz w:val="24"/>
          <w:szCs w:val="24"/>
          <w:lang w:val="pl-PL"/>
        </w:rPr>
        <w:t>neformalne</w:t>
      </w:r>
      <w:r w:rsidRPr="007028EE">
        <w:rPr>
          <w:sz w:val="24"/>
          <w:szCs w:val="24"/>
          <w:lang w:val="sr-Latn-ME"/>
        </w:rPr>
        <w:t xml:space="preserve"> </w:t>
      </w:r>
      <w:r w:rsidRPr="00021CDC">
        <w:rPr>
          <w:sz w:val="24"/>
          <w:szCs w:val="24"/>
          <w:lang w:val="pl-PL"/>
        </w:rPr>
        <w:t>ekonomije</w:t>
      </w:r>
      <w:r w:rsidRPr="007028EE">
        <w:rPr>
          <w:sz w:val="24"/>
          <w:szCs w:val="24"/>
          <w:lang w:val="sr-Latn-ME"/>
        </w:rPr>
        <w:t xml:space="preserve"> </w:t>
      </w:r>
      <w:r w:rsidRPr="00021CDC">
        <w:rPr>
          <w:sz w:val="24"/>
          <w:szCs w:val="24"/>
          <w:lang w:val="pl-PL"/>
        </w:rPr>
        <w:t>u</w:t>
      </w:r>
      <w:r w:rsidRPr="007028EE">
        <w:rPr>
          <w:sz w:val="24"/>
          <w:szCs w:val="24"/>
          <w:lang w:val="sr-Latn-ME"/>
        </w:rPr>
        <w:t xml:space="preserve"> </w:t>
      </w:r>
      <w:r w:rsidRPr="00021CDC">
        <w:rPr>
          <w:sz w:val="24"/>
          <w:szCs w:val="24"/>
          <w:lang w:val="pl-PL"/>
        </w:rPr>
        <w:t>turizmu</w:t>
      </w:r>
      <w:r w:rsidRPr="007028EE">
        <w:rPr>
          <w:sz w:val="24"/>
          <w:szCs w:val="24"/>
          <w:lang w:val="sr-Latn-ME"/>
        </w:rPr>
        <w:t xml:space="preserve"> </w:t>
      </w:r>
      <w:r w:rsidR="00E85323">
        <w:rPr>
          <w:sz w:val="24"/>
          <w:szCs w:val="24"/>
          <w:lang w:val="sr-Latn-ME"/>
        </w:rPr>
        <w:t>po</w:t>
      </w:r>
      <w:r w:rsidR="0018197B">
        <w:rPr>
          <w:sz w:val="24"/>
          <w:szCs w:val="24"/>
          <w:lang w:val="sr-Latn-ME"/>
        </w:rPr>
        <w:t>d</w:t>
      </w:r>
      <w:r w:rsidR="00E85323">
        <w:rPr>
          <w:sz w:val="24"/>
          <w:szCs w:val="24"/>
          <w:lang w:val="sr-Latn-ME"/>
        </w:rPr>
        <w:t xml:space="preserve">razumijevaće dalje </w:t>
      </w:r>
      <w:r w:rsidR="00E85323" w:rsidRPr="00E85323">
        <w:rPr>
          <w:sz w:val="24"/>
          <w:szCs w:val="24"/>
          <w:lang w:val="sr-Latn-ME"/>
        </w:rPr>
        <w:t>registracije pružanja usluga u domaćinstvu shodno Zakonu o turizmu i ugostiteljstvu i standardizacij</w:t>
      </w:r>
      <w:r w:rsidR="00B351C7">
        <w:rPr>
          <w:sz w:val="24"/>
          <w:szCs w:val="24"/>
          <w:lang w:val="sr-Latn-ME"/>
        </w:rPr>
        <w:t>u i pojednostavljivanje</w:t>
      </w:r>
      <w:r w:rsidR="00E85323" w:rsidRPr="00E85323">
        <w:rPr>
          <w:sz w:val="24"/>
          <w:szCs w:val="24"/>
          <w:lang w:val="sr-Latn-ME"/>
        </w:rPr>
        <w:t xml:space="preserve"> obrazaca za prijavu registracije turističke djelatnosti u domaćinstvu u svim opštinama</w:t>
      </w:r>
      <w:r w:rsidR="00E85323">
        <w:rPr>
          <w:sz w:val="24"/>
          <w:szCs w:val="24"/>
          <w:lang w:val="sr-Latn-ME"/>
        </w:rPr>
        <w:t>. Takođe će uključiti podršku formalizaciji poslovanja su</w:t>
      </w:r>
      <w:r w:rsidR="00576E2F">
        <w:rPr>
          <w:sz w:val="24"/>
          <w:szCs w:val="24"/>
          <w:lang w:val="sr-Latn-ME"/>
        </w:rPr>
        <w:t>b</w:t>
      </w:r>
      <w:r w:rsidR="00E85323">
        <w:rPr>
          <w:sz w:val="24"/>
          <w:szCs w:val="24"/>
          <w:lang w:val="sr-Latn-ME"/>
        </w:rPr>
        <w:t>jekata koji oglašavaju izdavanje smj</w:t>
      </w:r>
      <w:r w:rsidR="00576E2F">
        <w:rPr>
          <w:sz w:val="24"/>
          <w:szCs w:val="24"/>
          <w:lang w:val="sr-Latn-ME"/>
        </w:rPr>
        <w:t>e</w:t>
      </w:r>
      <w:r w:rsidR="00E85323">
        <w:rPr>
          <w:sz w:val="24"/>
          <w:szCs w:val="24"/>
          <w:lang w:val="sr-Latn-ME"/>
        </w:rPr>
        <w:t xml:space="preserve">štajnih kapaciteta, a isto ne prijavljuju. </w:t>
      </w:r>
      <w:r w:rsidR="00AE30E9" w:rsidRPr="00021CDC">
        <w:rPr>
          <w:sz w:val="24"/>
          <w:szCs w:val="24"/>
          <w:lang w:val="sr-Latn-ME"/>
        </w:rPr>
        <w:t xml:space="preserve"> </w:t>
      </w:r>
      <w:proofErr w:type="spellStart"/>
      <w:r w:rsidR="00423784" w:rsidRPr="007E71C8">
        <w:rPr>
          <w:sz w:val="24"/>
          <w:szCs w:val="24"/>
        </w:rPr>
        <w:t>Restriktivne</w:t>
      </w:r>
      <w:proofErr w:type="spellEnd"/>
      <w:r w:rsidR="00423784" w:rsidRPr="00021CDC">
        <w:rPr>
          <w:sz w:val="24"/>
          <w:szCs w:val="24"/>
          <w:lang w:val="sr-Latn-ME"/>
        </w:rPr>
        <w:t xml:space="preserve"> </w:t>
      </w:r>
      <w:proofErr w:type="spellStart"/>
      <w:r w:rsidR="00423784" w:rsidRPr="007E71C8">
        <w:rPr>
          <w:sz w:val="24"/>
          <w:szCs w:val="24"/>
        </w:rPr>
        <w:lastRenderedPageBreak/>
        <w:t>aktivnosti</w:t>
      </w:r>
      <w:proofErr w:type="spellEnd"/>
      <w:r w:rsidR="00423784" w:rsidRPr="00021CDC">
        <w:rPr>
          <w:sz w:val="24"/>
          <w:szCs w:val="24"/>
          <w:lang w:val="sr-Latn-ME"/>
        </w:rPr>
        <w:t xml:space="preserve"> </w:t>
      </w:r>
      <w:r w:rsidR="00423784" w:rsidRPr="007E71C8">
        <w:rPr>
          <w:sz w:val="24"/>
          <w:szCs w:val="24"/>
        </w:rPr>
        <w:t>u</w:t>
      </w:r>
      <w:r w:rsidR="00423784" w:rsidRPr="00021CDC">
        <w:rPr>
          <w:sz w:val="24"/>
          <w:szCs w:val="24"/>
          <w:lang w:val="sr-Latn-ME"/>
        </w:rPr>
        <w:t xml:space="preserve"> </w:t>
      </w:r>
      <w:proofErr w:type="spellStart"/>
      <w:r w:rsidR="00423784" w:rsidRPr="007E71C8">
        <w:rPr>
          <w:sz w:val="24"/>
          <w:szCs w:val="24"/>
        </w:rPr>
        <w:t>turizmu</w:t>
      </w:r>
      <w:proofErr w:type="spellEnd"/>
      <w:r w:rsidR="00423784" w:rsidRPr="00021CDC">
        <w:rPr>
          <w:sz w:val="24"/>
          <w:szCs w:val="24"/>
          <w:lang w:val="sr-Latn-ME"/>
        </w:rPr>
        <w:t xml:space="preserve"> </w:t>
      </w:r>
      <w:r w:rsidR="00423784" w:rsidRPr="007E71C8">
        <w:rPr>
          <w:sz w:val="24"/>
          <w:szCs w:val="24"/>
        </w:rPr>
        <w:t>u</w:t>
      </w:r>
      <w:r w:rsidR="00423784" w:rsidRPr="00021CDC">
        <w:rPr>
          <w:sz w:val="24"/>
          <w:szCs w:val="24"/>
          <w:lang w:val="sr-Latn-ME"/>
        </w:rPr>
        <w:t xml:space="preserve"> </w:t>
      </w:r>
      <w:proofErr w:type="spellStart"/>
      <w:r w:rsidR="00423784" w:rsidRPr="007E71C8">
        <w:rPr>
          <w:sz w:val="24"/>
          <w:szCs w:val="24"/>
        </w:rPr>
        <w:t>cilju</w:t>
      </w:r>
      <w:proofErr w:type="spellEnd"/>
      <w:r w:rsidR="00423784" w:rsidRPr="00021CDC">
        <w:rPr>
          <w:sz w:val="24"/>
          <w:szCs w:val="24"/>
          <w:lang w:val="sr-Latn-ME"/>
        </w:rPr>
        <w:t xml:space="preserve"> </w:t>
      </w:r>
      <w:proofErr w:type="spellStart"/>
      <w:r w:rsidR="00423784" w:rsidRPr="007E71C8">
        <w:rPr>
          <w:sz w:val="24"/>
          <w:szCs w:val="24"/>
        </w:rPr>
        <w:t>podr</w:t>
      </w:r>
      <w:proofErr w:type="spellEnd"/>
      <w:r w:rsidR="00423784" w:rsidRPr="00021CDC">
        <w:rPr>
          <w:sz w:val="24"/>
          <w:szCs w:val="24"/>
          <w:lang w:val="sr-Latn-ME"/>
        </w:rPr>
        <w:t>š</w:t>
      </w:r>
      <w:proofErr w:type="spellStart"/>
      <w:r w:rsidR="00423784" w:rsidRPr="007E71C8">
        <w:rPr>
          <w:sz w:val="24"/>
          <w:szCs w:val="24"/>
        </w:rPr>
        <w:t>ke</w:t>
      </w:r>
      <w:proofErr w:type="spellEnd"/>
      <w:r w:rsidR="00423784" w:rsidRPr="00021CDC">
        <w:rPr>
          <w:sz w:val="24"/>
          <w:szCs w:val="24"/>
          <w:lang w:val="sr-Latn-ME"/>
        </w:rPr>
        <w:t xml:space="preserve"> </w:t>
      </w:r>
      <w:proofErr w:type="spellStart"/>
      <w:r w:rsidR="00423784" w:rsidRPr="007E71C8">
        <w:rPr>
          <w:sz w:val="24"/>
          <w:szCs w:val="24"/>
        </w:rPr>
        <w:t>fer</w:t>
      </w:r>
      <w:proofErr w:type="spellEnd"/>
      <w:r w:rsidR="00423784" w:rsidRPr="00021CDC">
        <w:rPr>
          <w:sz w:val="24"/>
          <w:szCs w:val="24"/>
          <w:lang w:val="sr-Latn-ME"/>
        </w:rPr>
        <w:t xml:space="preserve"> </w:t>
      </w:r>
      <w:proofErr w:type="spellStart"/>
      <w:r w:rsidR="00423784" w:rsidRPr="007E71C8">
        <w:rPr>
          <w:sz w:val="24"/>
          <w:szCs w:val="24"/>
        </w:rPr>
        <w:t>preduzetni</w:t>
      </w:r>
      <w:proofErr w:type="spellEnd"/>
      <w:r w:rsidR="00423784" w:rsidRPr="00021CDC">
        <w:rPr>
          <w:sz w:val="24"/>
          <w:szCs w:val="24"/>
          <w:lang w:val="sr-Latn-ME"/>
        </w:rPr>
        <w:t>š</w:t>
      </w:r>
      <w:proofErr w:type="spellStart"/>
      <w:r w:rsidR="00423784" w:rsidRPr="007E71C8">
        <w:rPr>
          <w:sz w:val="24"/>
          <w:szCs w:val="24"/>
        </w:rPr>
        <w:t>tvu</w:t>
      </w:r>
      <w:proofErr w:type="spellEnd"/>
      <w:r w:rsidR="00423784" w:rsidRPr="00021CDC">
        <w:rPr>
          <w:sz w:val="24"/>
          <w:szCs w:val="24"/>
          <w:lang w:val="sr-Latn-ME"/>
        </w:rPr>
        <w:t xml:space="preserve"> </w:t>
      </w:r>
      <w:proofErr w:type="spellStart"/>
      <w:r w:rsidRPr="007E71C8">
        <w:rPr>
          <w:sz w:val="24"/>
          <w:szCs w:val="24"/>
        </w:rPr>
        <w:t>i</w:t>
      </w:r>
      <w:proofErr w:type="spellEnd"/>
      <w:r w:rsidR="00423784" w:rsidRPr="00021CDC">
        <w:rPr>
          <w:sz w:val="24"/>
          <w:szCs w:val="24"/>
          <w:lang w:val="sr-Latn-ME"/>
        </w:rPr>
        <w:t xml:space="preserve"> </w:t>
      </w:r>
      <w:proofErr w:type="spellStart"/>
      <w:r w:rsidR="00423784" w:rsidRPr="007E71C8">
        <w:rPr>
          <w:sz w:val="24"/>
          <w:szCs w:val="24"/>
        </w:rPr>
        <w:t>formalizaciji</w:t>
      </w:r>
      <w:proofErr w:type="spellEnd"/>
      <w:r w:rsidR="00423784" w:rsidRPr="00021CDC">
        <w:rPr>
          <w:sz w:val="24"/>
          <w:szCs w:val="24"/>
          <w:lang w:val="sr-Latn-ME"/>
        </w:rPr>
        <w:t xml:space="preserve"> </w:t>
      </w:r>
      <w:proofErr w:type="spellStart"/>
      <w:r w:rsidR="00423784" w:rsidRPr="007E71C8">
        <w:rPr>
          <w:sz w:val="24"/>
          <w:szCs w:val="24"/>
        </w:rPr>
        <w:t>poslovanja</w:t>
      </w:r>
      <w:proofErr w:type="spellEnd"/>
      <w:r w:rsidR="00423784" w:rsidRPr="00021CDC">
        <w:rPr>
          <w:sz w:val="24"/>
          <w:szCs w:val="24"/>
          <w:lang w:val="sr-Latn-ME"/>
        </w:rPr>
        <w:t xml:space="preserve">, </w:t>
      </w:r>
      <w:proofErr w:type="spellStart"/>
      <w:r w:rsidR="00AE30E9" w:rsidRPr="007E71C8">
        <w:rPr>
          <w:sz w:val="24"/>
          <w:szCs w:val="24"/>
        </w:rPr>
        <w:t>uklju</w:t>
      </w:r>
      <w:proofErr w:type="spellEnd"/>
      <w:r w:rsidR="00AE30E9" w:rsidRPr="00021CDC">
        <w:rPr>
          <w:sz w:val="24"/>
          <w:szCs w:val="24"/>
          <w:lang w:val="sr-Latn-ME"/>
        </w:rPr>
        <w:t>č</w:t>
      </w:r>
      <w:proofErr w:type="spellStart"/>
      <w:r w:rsidR="00AE30E9" w:rsidRPr="007E71C8">
        <w:rPr>
          <w:sz w:val="24"/>
          <w:szCs w:val="24"/>
        </w:rPr>
        <w:t>uju</w:t>
      </w:r>
      <w:proofErr w:type="spellEnd"/>
      <w:r w:rsidR="00AE30E9" w:rsidRPr="00021CDC">
        <w:rPr>
          <w:sz w:val="24"/>
          <w:szCs w:val="24"/>
          <w:lang w:val="sr-Latn-ME"/>
        </w:rPr>
        <w:t xml:space="preserve"> </w:t>
      </w:r>
      <w:proofErr w:type="spellStart"/>
      <w:r w:rsidR="00AE30E9" w:rsidRPr="007E71C8">
        <w:rPr>
          <w:sz w:val="24"/>
          <w:szCs w:val="24"/>
        </w:rPr>
        <w:t>neophodnost</w:t>
      </w:r>
      <w:proofErr w:type="spellEnd"/>
      <w:r w:rsidR="00AE30E9" w:rsidRPr="00021CDC">
        <w:rPr>
          <w:sz w:val="24"/>
          <w:szCs w:val="24"/>
          <w:lang w:val="sr-Latn-ME"/>
        </w:rPr>
        <w:t xml:space="preserve"> </w:t>
      </w:r>
      <w:proofErr w:type="spellStart"/>
      <w:r w:rsidR="00423784" w:rsidRPr="007E71C8">
        <w:rPr>
          <w:sz w:val="24"/>
          <w:szCs w:val="24"/>
        </w:rPr>
        <w:t>analiza</w:t>
      </w:r>
      <w:proofErr w:type="spellEnd"/>
      <w:r w:rsidR="00423784" w:rsidRPr="00021CDC">
        <w:rPr>
          <w:sz w:val="24"/>
          <w:szCs w:val="24"/>
          <w:lang w:val="sr-Latn-ME"/>
        </w:rPr>
        <w:t xml:space="preserve"> </w:t>
      </w:r>
      <w:proofErr w:type="spellStart"/>
      <w:r w:rsidR="00423784" w:rsidRPr="007E71C8">
        <w:rPr>
          <w:sz w:val="24"/>
          <w:szCs w:val="24"/>
        </w:rPr>
        <w:t>podataka</w:t>
      </w:r>
      <w:proofErr w:type="spellEnd"/>
      <w:r w:rsidR="00423784" w:rsidRPr="00021CDC">
        <w:rPr>
          <w:sz w:val="24"/>
          <w:szCs w:val="24"/>
          <w:lang w:val="sr-Latn-ME"/>
        </w:rPr>
        <w:t xml:space="preserve"> </w:t>
      </w:r>
      <w:proofErr w:type="spellStart"/>
      <w:r w:rsidR="00423784" w:rsidRPr="007E71C8">
        <w:rPr>
          <w:sz w:val="24"/>
          <w:szCs w:val="24"/>
        </w:rPr>
        <w:t>subjekata</w:t>
      </w:r>
      <w:proofErr w:type="spellEnd"/>
      <w:r w:rsidR="00423784" w:rsidRPr="00021CDC">
        <w:rPr>
          <w:sz w:val="24"/>
          <w:szCs w:val="24"/>
          <w:lang w:val="sr-Latn-ME"/>
        </w:rPr>
        <w:t xml:space="preserve"> </w:t>
      </w:r>
      <w:proofErr w:type="spellStart"/>
      <w:r w:rsidR="00423784" w:rsidRPr="007E71C8">
        <w:rPr>
          <w:sz w:val="24"/>
          <w:szCs w:val="24"/>
        </w:rPr>
        <w:t>koji</w:t>
      </w:r>
      <w:proofErr w:type="spellEnd"/>
      <w:r w:rsidR="00423784" w:rsidRPr="00021CDC">
        <w:rPr>
          <w:sz w:val="24"/>
          <w:szCs w:val="24"/>
          <w:lang w:val="sr-Latn-ME"/>
        </w:rPr>
        <w:t xml:space="preserve"> </w:t>
      </w:r>
      <w:proofErr w:type="spellStart"/>
      <w:r w:rsidR="00423784" w:rsidRPr="007E71C8">
        <w:rPr>
          <w:sz w:val="24"/>
          <w:szCs w:val="24"/>
        </w:rPr>
        <w:t>ogla</w:t>
      </w:r>
      <w:proofErr w:type="spellEnd"/>
      <w:r w:rsidR="00423784" w:rsidRPr="00021CDC">
        <w:rPr>
          <w:sz w:val="24"/>
          <w:szCs w:val="24"/>
          <w:lang w:val="sr-Latn-ME"/>
        </w:rPr>
        <w:t>š</w:t>
      </w:r>
      <w:proofErr w:type="spellStart"/>
      <w:r w:rsidR="00423784" w:rsidRPr="007E71C8">
        <w:rPr>
          <w:sz w:val="24"/>
          <w:szCs w:val="24"/>
        </w:rPr>
        <w:t>avaju</w:t>
      </w:r>
      <w:proofErr w:type="spellEnd"/>
      <w:r w:rsidR="00423784" w:rsidRPr="00021CDC">
        <w:rPr>
          <w:sz w:val="24"/>
          <w:szCs w:val="24"/>
          <w:lang w:val="sr-Latn-ME"/>
        </w:rPr>
        <w:t xml:space="preserve"> </w:t>
      </w:r>
      <w:proofErr w:type="spellStart"/>
      <w:r w:rsidR="00423784" w:rsidRPr="007E71C8">
        <w:rPr>
          <w:sz w:val="24"/>
          <w:szCs w:val="24"/>
        </w:rPr>
        <w:t>smje</w:t>
      </w:r>
      <w:proofErr w:type="spellEnd"/>
      <w:r w:rsidR="00423784" w:rsidRPr="00021CDC">
        <w:rPr>
          <w:sz w:val="24"/>
          <w:szCs w:val="24"/>
          <w:lang w:val="sr-Latn-ME"/>
        </w:rPr>
        <w:t>š</w:t>
      </w:r>
      <w:proofErr w:type="spellStart"/>
      <w:r w:rsidR="00423784" w:rsidRPr="007E71C8">
        <w:rPr>
          <w:sz w:val="24"/>
          <w:szCs w:val="24"/>
        </w:rPr>
        <w:t>tajne</w:t>
      </w:r>
      <w:proofErr w:type="spellEnd"/>
      <w:r w:rsidR="00423784" w:rsidRPr="00021CDC">
        <w:rPr>
          <w:sz w:val="24"/>
          <w:szCs w:val="24"/>
          <w:lang w:val="sr-Latn-ME"/>
        </w:rPr>
        <w:t xml:space="preserve"> </w:t>
      </w:r>
      <w:proofErr w:type="spellStart"/>
      <w:r w:rsidR="00423784" w:rsidRPr="007E71C8">
        <w:rPr>
          <w:sz w:val="24"/>
          <w:szCs w:val="24"/>
        </w:rPr>
        <w:t>kapacitete</w:t>
      </w:r>
      <w:proofErr w:type="spellEnd"/>
      <w:r w:rsidR="00423784" w:rsidRPr="00021CDC">
        <w:rPr>
          <w:sz w:val="24"/>
          <w:szCs w:val="24"/>
          <w:lang w:val="sr-Latn-ME"/>
        </w:rPr>
        <w:t xml:space="preserve"> </w:t>
      </w:r>
      <w:proofErr w:type="spellStart"/>
      <w:r w:rsidR="00423784" w:rsidRPr="007E71C8">
        <w:rPr>
          <w:sz w:val="24"/>
          <w:szCs w:val="24"/>
        </w:rPr>
        <w:t>na</w:t>
      </w:r>
      <w:proofErr w:type="spellEnd"/>
      <w:r w:rsidR="00423784" w:rsidRPr="00021CDC">
        <w:rPr>
          <w:sz w:val="24"/>
          <w:szCs w:val="24"/>
          <w:lang w:val="sr-Latn-ME"/>
        </w:rPr>
        <w:t xml:space="preserve"> </w:t>
      </w:r>
      <w:r w:rsidR="00423784" w:rsidRPr="007E71C8">
        <w:rPr>
          <w:sz w:val="24"/>
          <w:szCs w:val="24"/>
        </w:rPr>
        <w:t>internet</w:t>
      </w:r>
      <w:r w:rsidR="00423784" w:rsidRPr="00021CDC">
        <w:rPr>
          <w:sz w:val="24"/>
          <w:szCs w:val="24"/>
          <w:lang w:val="sr-Latn-ME"/>
        </w:rPr>
        <w:t xml:space="preserve"> </w:t>
      </w:r>
      <w:proofErr w:type="spellStart"/>
      <w:r w:rsidR="00423784" w:rsidRPr="007E71C8">
        <w:rPr>
          <w:sz w:val="24"/>
          <w:szCs w:val="24"/>
        </w:rPr>
        <w:t>platformama</w:t>
      </w:r>
      <w:proofErr w:type="spellEnd"/>
      <w:r w:rsidR="00423784" w:rsidRPr="00021CDC">
        <w:rPr>
          <w:sz w:val="24"/>
          <w:szCs w:val="24"/>
          <w:lang w:val="sr-Latn-ME"/>
        </w:rPr>
        <w:t xml:space="preserve"> (</w:t>
      </w:r>
      <w:r w:rsidR="00423784" w:rsidRPr="007E71C8">
        <w:rPr>
          <w:sz w:val="24"/>
          <w:szCs w:val="24"/>
        </w:rPr>
        <w:t>Booking</w:t>
      </w:r>
      <w:r w:rsidR="00423784" w:rsidRPr="00021CDC">
        <w:rPr>
          <w:sz w:val="24"/>
          <w:szCs w:val="24"/>
          <w:lang w:val="sr-Latn-ME"/>
        </w:rPr>
        <w:t xml:space="preserve">, </w:t>
      </w:r>
      <w:r w:rsidR="00423784" w:rsidRPr="007E71C8">
        <w:rPr>
          <w:sz w:val="24"/>
          <w:szCs w:val="24"/>
        </w:rPr>
        <w:t>Airbnb</w:t>
      </w:r>
      <w:r w:rsidR="00423784" w:rsidRPr="00021CDC">
        <w:rPr>
          <w:sz w:val="24"/>
          <w:szCs w:val="24"/>
          <w:lang w:val="sr-Latn-ME"/>
        </w:rPr>
        <w:t xml:space="preserve"> </w:t>
      </w:r>
      <w:proofErr w:type="spellStart"/>
      <w:r w:rsidR="00423784" w:rsidRPr="007E71C8">
        <w:rPr>
          <w:sz w:val="24"/>
          <w:szCs w:val="24"/>
        </w:rPr>
        <w:t>i</w:t>
      </w:r>
      <w:proofErr w:type="spellEnd"/>
      <w:r w:rsidR="00423784" w:rsidRPr="00021CDC">
        <w:rPr>
          <w:sz w:val="24"/>
          <w:szCs w:val="24"/>
          <w:lang w:val="sr-Latn-ME"/>
        </w:rPr>
        <w:t xml:space="preserve"> </w:t>
      </w:r>
      <w:proofErr w:type="spellStart"/>
      <w:r w:rsidR="00423784" w:rsidRPr="007E71C8">
        <w:rPr>
          <w:sz w:val="24"/>
          <w:szCs w:val="24"/>
        </w:rPr>
        <w:t>sl</w:t>
      </w:r>
      <w:proofErr w:type="spellEnd"/>
      <w:r w:rsidR="00423784" w:rsidRPr="00021CDC">
        <w:rPr>
          <w:sz w:val="24"/>
          <w:szCs w:val="24"/>
          <w:lang w:val="sr-Latn-ME"/>
        </w:rPr>
        <w:t xml:space="preserve">.) </w:t>
      </w:r>
      <w:proofErr w:type="spellStart"/>
      <w:r w:rsidR="00423784" w:rsidRPr="007E71C8">
        <w:rPr>
          <w:sz w:val="24"/>
          <w:szCs w:val="24"/>
        </w:rPr>
        <w:t>i</w:t>
      </w:r>
      <w:proofErr w:type="spellEnd"/>
      <w:r w:rsidR="00423784" w:rsidRPr="00021CDC">
        <w:rPr>
          <w:sz w:val="24"/>
          <w:szCs w:val="24"/>
          <w:lang w:val="sr-Latn-ME"/>
        </w:rPr>
        <w:t xml:space="preserve"> </w:t>
      </w:r>
      <w:proofErr w:type="spellStart"/>
      <w:r w:rsidR="00423784" w:rsidRPr="007E71C8">
        <w:rPr>
          <w:sz w:val="24"/>
          <w:szCs w:val="24"/>
        </w:rPr>
        <w:t>subjekata</w:t>
      </w:r>
      <w:proofErr w:type="spellEnd"/>
      <w:r w:rsidR="00423784" w:rsidRPr="00021CDC">
        <w:rPr>
          <w:sz w:val="24"/>
          <w:szCs w:val="24"/>
          <w:lang w:val="sr-Latn-ME"/>
        </w:rPr>
        <w:t xml:space="preserve"> </w:t>
      </w:r>
      <w:proofErr w:type="spellStart"/>
      <w:r w:rsidR="00423784" w:rsidRPr="007E71C8">
        <w:rPr>
          <w:sz w:val="24"/>
          <w:szCs w:val="24"/>
        </w:rPr>
        <w:t>prijavljenih</w:t>
      </w:r>
      <w:proofErr w:type="spellEnd"/>
      <w:r w:rsidR="00423784" w:rsidRPr="00021CDC">
        <w:rPr>
          <w:sz w:val="24"/>
          <w:szCs w:val="24"/>
          <w:lang w:val="sr-Latn-ME"/>
        </w:rPr>
        <w:t xml:space="preserve"> </w:t>
      </w:r>
      <w:r w:rsidR="00423784" w:rsidRPr="007E71C8">
        <w:rPr>
          <w:sz w:val="24"/>
          <w:szCs w:val="24"/>
        </w:rPr>
        <w:t>u</w:t>
      </w:r>
      <w:r w:rsidR="00423784" w:rsidRPr="00021CDC">
        <w:rPr>
          <w:sz w:val="24"/>
          <w:szCs w:val="24"/>
          <w:lang w:val="sr-Latn-ME"/>
        </w:rPr>
        <w:t xml:space="preserve"> </w:t>
      </w:r>
      <w:proofErr w:type="spellStart"/>
      <w:r w:rsidR="00423784" w:rsidRPr="007E71C8">
        <w:rPr>
          <w:sz w:val="24"/>
          <w:szCs w:val="24"/>
        </w:rPr>
        <w:t>Centralnom</w:t>
      </w:r>
      <w:proofErr w:type="spellEnd"/>
      <w:r w:rsidR="00423784" w:rsidRPr="00021CDC">
        <w:rPr>
          <w:sz w:val="24"/>
          <w:szCs w:val="24"/>
          <w:lang w:val="sr-Latn-ME"/>
        </w:rPr>
        <w:t xml:space="preserve"> </w:t>
      </w:r>
      <w:proofErr w:type="spellStart"/>
      <w:r w:rsidR="00423784" w:rsidRPr="007E71C8">
        <w:rPr>
          <w:sz w:val="24"/>
          <w:szCs w:val="24"/>
        </w:rPr>
        <w:t>turisti</w:t>
      </w:r>
      <w:proofErr w:type="spellEnd"/>
      <w:r w:rsidR="00423784" w:rsidRPr="00021CDC">
        <w:rPr>
          <w:sz w:val="24"/>
          <w:szCs w:val="24"/>
          <w:lang w:val="sr-Latn-ME"/>
        </w:rPr>
        <w:t>č</w:t>
      </w:r>
      <w:proofErr w:type="spellStart"/>
      <w:r w:rsidR="00423784" w:rsidRPr="007E71C8">
        <w:rPr>
          <w:sz w:val="24"/>
          <w:szCs w:val="24"/>
        </w:rPr>
        <w:t>kom</w:t>
      </w:r>
      <w:proofErr w:type="spellEnd"/>
      <w:r w:rsidR="00423784" w:rsidRPr="00021CDC">
        <w:rPr>
          <w:sz w:val="24"/>
          <w:szCs w:val="24"/>
          <w:lang w:val="sr-Latn-ME"/>
        </w:rPr>
        <w:t xml:space="preserve"> </w:t>
      </w:r>
      <w:proofErr w:type="spellStart"/>
      <w:r w:rsidR="00423784" w:rsidRPr="007E71C8">
        <w:rPr>
          <w:sz w:val="24"/>
          <w:szCs w:val="24"/>
        </w:rPr>
        <w:t>registru</w:t>
      </w:r>
      <w:proofErr w:type="spellEnd"/>
      <w:r w:rsidR="00423784" w:rsidRPr="00021CDC">
        <w:rPr>
          <w:sz w:val="24"/>
          <w:szCs w:val="24"/>
          <w:lang w:val="sr-Latn-ME"/>
        </w:rPr>
        <w:t xml:space="preserve"> </w:t>
      </w:r>
      <w:proofErr w:type="spellStart"/>
      <w:r w:rsidR="00423784" w:rsidRPr="007E71C8">
        <w:rPr>
          <w:sz w:val="24"/>
          <w:szCs w:val="24"/>
        </w:rPr>
        <w:t>kako</w:t>
      </w:r>
      <w:proofErr w:type="spellEnd"/>
      <w:r w:rsidR="00423784" w:rsidRPr="00021CDC">
        <w:rPr>
          <w:sz w:val="24"/>
          <w:szCs w:val="24"/>
          <w:lang w:val="sr-Latn-ME"/>
        </w:rPr>
        <w:t xml:space="preserve"> </w:t>
      </w:r>
      <w:r w:rsidR="00423784" w:rsidRPr="007E71C8">
        <w:rPr>
          <w:sz w:val="24"/>
          <w:szCs w:val="24"/>
        </w:rPr>
        <w:t>bi</w:t>
      </w:r>
      <w:r w:rsidR="00423784" w:rsidRPr="00021CDC">
        <w:rPr>
          <w:sz w:val="24"/>
          <w:szCs w:val="24"/>
          <w:lang w:val="sr-Latn-ME"/>
        </w:rPr>
        <w:t xml:space="preserve"> </w:t>
      </w:r>
      <w:r w:rsidR="00423784" w:rsidRPr="007E71C8">
        <w:rPr>
          <w:sz w:val="24"/>
          <w:szCs w:val="24"/>
        </w:rPr>
        <w:t>se</w:t>
      </w:r>
      <w:r w:rsidR="00423784" w:rsidRPr="00021CDC">
        <w:rPr>
          <w:sz w:val="24"/>
          <w:szCs w:val="24"/>
          <w:lang w:val="sr-Latn-ME"/>
        </w:rPr>
        <w:t xml:space="preserve"> </w:t>
      </w:r>
      <w:proofErr w:type="spellStart"/>
      <w:r w:rsidR="00423784" w:rsidRPr="007E71C8">
        <w:rPr>
          <w:sz w:val="24"/>
          <w:szCs w:val="24"/>
        </w:rPr>
        <w:t>utvrdilo</w:t>
      </w:r>
      <w:proofErr w:type="spellEnd"/>
      <w:r w:rsidR="00423784" w:rsidRPr="00021CDC">
        <w:rPr>
          <w:sz w:val="24"/>
          <w:szCs w:val="24"/>
          <w:lang w:val="sr-Latn-ME"/>
        </w:rPr>
        <w:t xml:space="preserve"> </w:t>
      </w:r>
      <w:r w:rsidR="00423784" w:rsidRPr="007E71C8">
        <w:rPr>
          <w:sz w:val="24"/>
          <w:szCs w:val="24"/>
        </w:rPr>
        <w:t>da</w:t>
      </w:r>
      <w:r w:rsidR="00423784" w:rsidRPr="00021CDC">
        <w:rPr>
          <w:sz w:val="24"/>
          <w:szCs w:val="24"/>
          <w:lang w:val="sr-Latn-ME"/>
        </w:rPr>
        <w:t xml:space="preserve"> </w:t>
      </w:r>
      <w:r w:rsidR="00423784" w:rsidRPr="007E71C8">
        <w:rPr>
          <w:sz w:val="24"/>
          <w:szCs w:val="24"/>
        </w:rPr>
        <w:t>li</w:t>
      </w:r>
      <w:r w:rsidR="00423784" w:rsidRPr="00021CDC">
        <w:rPr>
          <w:sz w:val="24"/>
          <w:szCs w:val="24"/>
          <w:lang w:val="sr-Latn-ME"/>
        </w:rPr>
        <w:t xml:space="preserve"> </w:t>
      </w:r>
      <w:proofErr w:type="spellStart"/>
      <w:r w:rsidR="00423784" w:rsidRPr="007E71C8">
        <w:rPr>
          <w:sz w:val="24"/>
          <w:szCs w:val="24"/>
        </w:rPr>
        <w:t>su</w:t>
      </w:r>
      <w:proofErr w:type="spellEnd"/>
      <w:r w:rsidR="00423784" w:rsidRPr="00021CDC">
        <w:rPr>
          <w:sz w:val="24"/>
          <w:szCs w:val="24"/>
          <w:lang w:val="sr-Latn-ME"/>
        </w:rPr>
        <w:t xml:space="preserve"> </w:t>
      </w:r>
      <w:proofErr w:type="spellStart"/>
      <w:r w:rsidR="00423784" w:rsidRPr="007E71C8">
        <w:rPr>
          <w:sz w:val="24"/>
          <w:szCs w:val="24"/>
        </w:rPr>
        <w:t>navedeni</w:t>
      </w:r>
      <w:proofErr w:type="spellEnd"/>
      <w:r w:rsidR="00423784" w:rsidRPr="00021CDC">
        <w:rPr>
          <w:sz w:val="24"/>
          <w:szCs w:val="24"/>
          <w:lang w:val="sr-Latn-ME"/>
        </w:rPr>
        <w:t xml:space="preserve"> </w:t>
      </w:r>
      <w:proofErr w:type="spellStart"/>
      <w:r w:rsidR="00423784" w:rsidRPr="007E71C8">
        <w:rPr>
          <w:sz w:val="24"/>
          <w:szCs w:val="24"/>
        </w:rPr>
        <w:t>privredni</w:t>
      </w:r>
      <w:proofErr w:type="spellEnd"/>
      <w:r w:rsidR="00423784" w:rsidRPr="00021CDC">
        <w:rPr>
          <w:sz w:val="24"/>
          <w:szCs w:val="24"/>
          <w:lang w:val="sr-Latn-ME"/>
        </w:rPr>
        <w:t xml:space="preserve"> </w:t>
      </w:r>
      <w:proofErr w:type="spellStart"/>
      <w:r w:rsidR="00423784" w:rsidRPr="007E71C8">
        <w:rPr>
          <w:sz w:val="24"/>
          <w:szCs w:val="24"/>
        </w:rPr>
        <w:t>subjekti</w:t>
      </w:r>
      <w:proofErr w:type="spellEnd"/>
      <w:r w:rsidR="00423784" w:rsidRPr="00021CDC">
        <w:rPr>
          <w:sz w:val="24"/>
          <w:szCs w:val="24"/>
          <w:lang w:val="sr-Latn-ME"/>
        </w:rPr>
        <w:t xml:space="preserve"> </w:t>
      </w:r>
      <w:proofErr w:type="spellStart"/>
      <w:r w:rsidR="00423784" w:rsidRPr="007E71C8">
        <w:rPr>
          <w:sz w:val="24"/>
          <w:szCs w:val="24"/>
        </w:rPr>
        <w:t>prijavljeni</w:t>
      </w:r>
      <w:proofErr w:type="spellEnd"/>
      <w:r w:rsidR="00FC0A1E">
        <w:rPr>
          <w:sz w:val="24"/>
          <w:szCs w:val="24"/>
        </w:rPr>
        <w:t xml:space="preserve">, </w:t>
      </w:r>
      <w:proofErr w:type="spellStart"/>
      <w:r w:rsidR="00FC0A1E">
        <w:rPr>
          <w:sz w:val="24"/>
          <w:szCs w:val="24"/>
        </w:rPr>
        <w:t>kao</w:t>
      </w:r>
      <w:proofErr w:type="spellEnd"/>
      <w:r w:rsidR="00FC0A1E">
        <w:rPr>
          <w:sz w:val="24"/>
          <w:szCs w:val="24"/>
        </w:rPr>
        <w:t xml:space="preserve"> </w:t>
      </w:r>
      <w:proofErr w:type="spellStart"/>
      <w:r w:rsidR="00FC0A1E">
        <w:rPr>
          <w:sz w:val="24"/>
          <w:szCs w:val="24"/>
        </w:rPr>
        <w:t>i</w:t>
      </w:r>
      <w:proofErr w:type="spellEnd"/>
      <w:r w:rsidR="00FC0A1E">
        <w:rPr>
          <w:sz w:val="24"/>
          <w:szCs w:val="24"/>
        </w:rPr>
        <w:t xml:space="preserve"> </w:t>
      </w:r>
      <w:proofErr w:type="spellStart"/>
      <w:r w:rsidR="00FC0A1E">
        <w:rPr>
          <w:sz w:val="24"/>
          <w:szCs w:val="24"/>
        </w:rPr>
        <w:t>pojačani</w:t>
      </w:r>
      <w:proofErr w:type="spellEnd"/>
      <w:r w:rsidR="00FC0A1E">
        <w:rPr>
          <w:sz w:val="24"/>
          <w:szCs w:val="24"/>
        </w:rPr>
        <w:t xml:space="preserve"> </w:t>
      </w:r>
      <w:proofErr w:type="spellStart"/>
      <w:r w:rsidR="00FC0A1E">
        <w:rPr>
          <w:sz w:val="24"/>
          <w:szCs w:val="24"/>
        </w:rPr>
        <w:t>nadzor</w:t>
      </w:r>
      <w:proofErr w:type="spellEnd"/>
      <w:r w:rsidR="00FC0A1E">
        <w:rPr>
          <w:sz w:val="24"/>
          <w:szCs w:val="24"/>
        </w:rPr>
        <w:t xml:space="preserve"> </w:t>
      </w:r>
      <w:proofErr w:type="spellStart"/>
      <w:r w:rsidR="00FC0A1E">
        <w:rPr>
          <w:sz w:val="24"/>
          <w:szCs w:val="24"/>
        </w:rPr>
        <w:t>nad</w:t>
      </w:r>
      <w:proofErr w:type="spellEnd"/>
      <w:r w:rsidR="00FC0A1E">
        <w:rPr>
          <w:sz w:val="24"/>
          <w:szCs w:val="24"/>
        </w:rPr>
        <w:t xml:space="preserve"> </w:t>
      </w:r>
      <w:proofErr w:type="spellStart"/>
      <w:r w:rsidR="00FC0A1E">
        <w:rPr>
          <w:sz w:val="24"/>
          <w:szCs w:val="24"/>
        </w:rPr>
        <w:t>radom</w:t>
      </w:r>
      <w:proofErr w:type="spellEnd"/>
      <w:r w:rsidR="00FC0A1E">
        <w:rPr>
          <w:sz w:val="24"/>
          <w:szCs w:val="24"/>
        </w:rPr>
        <w:t xml:space="preserve"> </w:t>
      </w:r>
      <w:proofErr w:type="spellStart"/>
      <w:r w:rsidR="00FC0A1E">
        <w:rPr>
          <w:sz w:val="24"/>
          <w:szCs w:val="24"/>
        </w:rPr>
        <w:t>turističkih</w:t>
      </w:r>
      <w:proofErr w:type="spellEnd"/>
      <w:r w:rsidR="00FC0A1E">
        <w:rPr>
          <w:sz w:val="24"/>
          <w:szCs w:val="24"/>
        </w:rPr>
        <w:t xml:space="preserve"> </w:t>
      </w:r>
      <w:proofErr w:type="spellStart"/>
      <w:r w:rsidR="00FC0A1E">
        <w:rPr>
          <w:sz w:val="24"/>
          <w:szCs w:val="24"/>
        </w:rPr>
        <w:t>vodiča</w:t>
      </w:r>
      <w:proofErr w:type="spellEnd"/>
      <w:r w:rsidR="00423784" w:rsidRPr="00021CDC">
        <w:rPr>
          <w:sz w:val="24"/>
          <w:szCs w:val="24"/>
          <w:lang w:val="sr-Latn-ME"/>
        </w:rPr>
        <w:t xml:space="preserve">. </w:t>
      </w:r>
      <w:proofErr w:type="spellStart"/>
      <w:r w:rsidR="00423784" w:rsidRPr="007E71C8">
        <w:rPr>
          <w:sz w:val="24"/>
          <w:szCs w:val="24"/>
        </w:rPr>
        <w:t>Tako</w:t>
      </w:r>
      <w:proofErr w:type="spellEnd"/>
      <w:r w:rsidR="00423784" w:rsidRPr="00021CDC">
        <w:rPr>
          <w:sz w:val="24"/>
          <w:szCs w:val="24"/>
          <w:lang w:val="sr-Latn-ME"/>
        </w:rPr>
        <w:t>đ</w:t>
      </w:r>
      <w:r w:rsidR="00423784" w:rsidRPr="007E71C8">
        <w:rPr>
          <w:sz w:val="24"/>
          <w:szCs w:val="24"/>
        </w:rPr>
        <w:t>e</w:t>
      </w:r>
      <w:r w:rsidRPr="00021CDC">
        <w:rPr>
          <w:sz w:val="24"/>
          <w:szCs w:val="24"/>
          <w:lang w:val="sr-Latn-ME"/>
        </w:rPr>
        <w:t xml:space="preserve"> </w:t>
      </w:r>
      <w:r w:rsidR="00423784" w:rsidRPr="007E71C8">
        <w:rPr>
          <w:sz w:val="24"/>
          <w:szCs w:val="24"/>
        </w:rPr>
        <w:t>je</w:t>
      </w:r>
      <w:r w:rsidR="00423784" w:rsidRPr="00021CDC">
        <w:rPr>
          <w:sz w:val="24"/>
          <w:szCs w:val="24"/>
          <w:lang w:val="sr-Latn-ME"/>
        </w:rPr>
        <w:t xml:space="preserve"> </w:t>
      </w:r>
      <w:proofErr w:type="spellStart"/>
      <w:r w:rsidR="00423784" w:rsidRPr="007E71C8">
        <w:rPr>
          <w:sz w:val="24"/>
          <w:szCs w:val="24"/>
        </w:rPr>
        <w:t>potrebno</w:t>
      </w:r>
      <w:proofErr w:type="spellEnd"/>
      <w:r w:rsidR="00423784" w:rsidRPr="00021CDC">
        <w:rPr>
          <w:sz w:val="24"/>
          <w:szCs w:val="24"/>
          <w:lang w:val="sr-Latn-ME"/>
        </w:rPr>
        <w:t xml:space="preserve"> </w:t>
      </w:r>
      <w:proofErr w:type="spellStart"/>
      <w:r w:rsidR="00423784" w:rsidRPr="007E71C8">
        <w:rPr>
          <w:sz w:val="24"/>
          <w:szCs w:val="24"/>
        </w:rPr>
        <w:t>sprovoditi</w:t>
      </w:r>
      <w:proofErr w:type="spellEnd"/>
      <w:r w:rsidR="00423784" w:rsidRPr="00021CDC">
        <w:rPr>
          <w:sz w:val="24"/>
          <w:szCs w:val="24"/>
          <w:lang w:val="sr-Latn-ME"/>
        </w:rPr>
        <w:t xml:space="preserve"> </w:t>
      </w:r>
      <w:proofErr w:type="spellStart"/>
      <w:r w:rsidR="00423784" w:rsidRPr="007E71C8">
        <w:rPr>
          <w:sz w:val="24"/>
          <w:szCs w:val="24"/>
        </w:rPr>
        <w:t>i</w:t>
      </w:r>
      <w:proofErr w:type="spellEnd"/>
      <w:r w:rsidR="00423784" w:rsidRPr="00021CDC">
        <w:rPr>
          <w:sz w:val="24"/>
          <w:szCs w:val="24"/>
          <w:lang w:val="sr-Latn-ME"/>
        </w:rPr>
        <w:t xml:space="preserve"> </w:t>
      </w:r>
      <w:proofErr w:type="spellStart"/>
      <w:r w:rsidR="00C02416">
        <w:rPr>
          <w:sz w:val="24"/>
          <w:szCs w:val="24"/>
        </w:rPr>
        <w:t>k</w:t>
      </w:r>
      <w:r w:rsidR="00423784" w:rsidRPr="007E71C8">
        <w:rPr>
          <w:sz w:val="24"/>
          <w:szCs w:val="24"/>
        </w:rPr>
        <w:t>ontrolu</w:t>
      </w:r>
      <w:proofErr w:type="spellEnd"/>
      <w:r w:rsidR="00423784" w:rsidRPr="00021CDC">
        <w:rPr>
          <w:sz w:val="24"/>
          <w:szCs w:val="24"/>
          <w:lang w:val="sr-Latn-ME"/>
        </w:rPr>
        <w:t xml:space="preserve"> </w:t>
      </w:r>
      <w:proofErr w:type="spellStart"/>
      <w:r w:rsidR="00423784" w:rsidRPr="007E71C8">
        <w:rPr>
          <w:sz w:val="24"/>
          <w:szCs w:val="24"/>
        </w:rPr>
        <w:t>transakcija</w:t>
      </w:r>
      <w:proofErr w:type="spellEnd"/>
      <w:r w:rsidR="00423784" w:rsidRPr="00021CDC">
        <w:rPr>
          <w:sz w:val="24"/>
          <w:szCs w:val="24"/>
          <w:lang w:val="sr-Latn-ME"/>
        </w:rPr>
        <w:t xml:space="preserve"> </w:t>
      </w:r>
      <w:proofErr w:type="spellStart"/>
      <w:r w:rsidR="00423784" w:rsidRPr="007E71C8">
        <w:rPr>
          <w:sz w:val="24"/>
          <w:szCs w:val="24"/>
        </w:rPr>
        <w:t>kod</w:t>
      </w:r>
      <w:proofErr w:type="spellEnd"/>
      <w:r w:rsidR="00423784" w:rsidRPr="00021CDC">
        <w:rPr>
          <w:sz w:val="24"/>
          <w:szCs w:val="24"/>
          <w:lang w:val="sr-Latn-ME"/>
        </w:rPr>
        <w:t xml:space="preserve"> </w:t>
      </w:r>
      <w:proofErr w:type="spellStart"/>
      <w:r w:rsidR="00423784" w:rsidRPr="007E71C8">
        <w:rPr>
          <w:sz w:val="24"/>
          <w:szCs w:val="24"/>
        </w:rPr>
        <w:t>poslovnih</w:t>
      </w:r>
      <w:proofErr w:type="spellEnd"/>
      <w:r w:rsidR="00423784" w:rsidRPr="00021CDC">
        <w:rPr>
          <w:sz w:val="24"/>
          <w:szCs w:val="24"/>
          <w:lang w:val="sr-Latn-ME"/>
        </w:rPr>
        <w:t xml:space="preserve"> </w:t>
      </w:r>
      <w:proofErr w:type="spellStart"/>
      <w:r w:rsidR="00423784" w:rsidRPr="007E71C8">
        <w:rPr>
          <w:sz w:val="24"/>
          <w:szCs w:val="24"/>
        </w:rPr>
        <w:t>banaka</w:t>
      </w:r>
      <w:proofErr w:type="spellEnd"/>
      <w:r w:rsidR="00423784" w:rsidRPr="00021CDC">
        <w:rPr>
          <w:sz w:val="24"/>
          <w:szCs w:val="24"/>
          <w:lang w:val="sr-Latn-ME"/>
        </w:rPr>
        <w:t xml:space="preserve"> </w:t>
      </w:r>
      <w:r w:rsidR="00423784" w:rsidRPr="007E71C8">
        <w:rPr>
          <w:sz w:val="24"/>
          <w:szCs w:val="24"/>
        </w:rPr>
        <w:t>u</w:t>
      </w:r>
      <w:r w:rsidR="00423784" w:rsidRPr="00021CDC">
        <w:rPr>
          <w:sz w:val="24"/>
          <w:szCs w:val="24"/>
          <w:lang w:val="sr-Latn-ME"/>
        </w:rPr>
        <w:t xml:space="preserve"> </w:t>
      </w:r>
      <w:proofErr w:type="spellStart"/>
      <w:r w:rsidR="00423784" w:rsidRPr="007E71C8">
        <w:rPr>
          <w:sz w:val="24"/>
          <w:szCs w:val="24"/>
        </w:rPr>
        <w:t>vezi</w:t>
      </w:r>
      <w:proofErr w:type="spellEnd"/>
      <w:r w:rsidR="00423784" w:rsidRPr="00021CDC">
        <w:rPr>
          <w:sz w:val="24"/>
          <w:szCs w:val="24"/>
          <w:lang w:val="sr-Latn-ME"/>
        </w:rPr>
        <w:t xml:space="preserve"> </w:t>
      </w:r>
      <w:proofErr w:type="spellStart"/>
      <w:r w:rsidR="00423784" w:rsidRPr="007E71C8">
        <w:rPr>
          <w:sz w:val="24"/>
          <w:szCs w:val="24"/>
        </w:rPr>
        <w:t>sa</w:t>
      </w:r>
      <w:proofErr w:type="spellEnd"/>
      <w:r w:rsidR="00423784" w:rsidRPr="00021CDC">
        <w:rPr>
          <w:sz w:val="24"/>
          <w:szCs w:val="24"/>
          <w:lang w:val="sr-Latn-ME"/>
        </w:rPr>
        <w:t xml:space="preserve"> </w:t>
      </w:r>
      <w:proofErr w:type="spellStart"/>
      <w:r w:rsidR="00423784" w:rsidRPr="007E71C8">
        <w:rPr>
          <w:sz w:val="24"/>
          <w:szCs w:val="24"/>
        </w:rPr>
        <w:t>izdavanjem</w:t>
      </w:r>
      <w:proofErr w:type="spellEnd"/>
      <w:r w:rsidR="00423784" w:rsidRPr="00021CDC">
        <w:rPr>
          <w:sz w:val="24"/>
          <w:szCs w:val="24"/>
          <w:lang w:val="sr-Latn-ME"/>
        </w:rPr>
        <w:t xml:space="preserve"> </w:t>
      </w:r>
      <w:proofErr w:type="spellStart"/>
      <w:r w:rsidR="00423784" w:rsidRPr="007E71C8">
        <w:rPr>
          <w:sz w:val="24"/>
          <w:szCs w:val="24"/>
        </w:rPr>
        <w:t>smje</w:t>
      </w:r>
      <w:proofErr w:type="spellEnd"/>
      <w:r w:rsidR="00423784" w:rsidRPr="00021CDC">
        <w:rPr>
          <w:sz w:val="24"/>
          <w:szCs w:val="24"/>
          <w:lang w:val="sr-Latn-ME"/>
        </w:rPr>
        <w:t>š</w:t>
      </w:r>
      <w:proofErr w:type="spellStart"/>
      <w:r w:rsidR="00423784" w:rsidRPr="007E71C8">
        <w:rPr>
          <w:sz w:val="24"/>
          <w:szCs w:val="24"/>
        </w:rPr>
        <w:t>taja</w:t>
      </w:r>
      <w:proofErr w:type="spellEnd"/>
      <w:r w:rsidR="00423784" w:rsidRPr="00021CDC">
        <w:rPr>
          <w:sz w:val="24"/>
          <w:szCs w:val="24"/>
          <w:lang w:val="sr-Latn-ME"/>
        </w:rPr>
        <w:t xml:space="preserve"> </w:t>
      </w:r>
      <w:proofErr w:type="spellStart"/>
      <w:r w:rsidR="00423784" w:rsidRPr="007E71C8">
        <w:rPr>
          <w:sz w:val="24"/>
          <w:szCs w:val="24"/>
        </w:rPr>
        <w:t>putem</w:t>
      </w:r>
      <w:proofErr w:type="spellEnd"/>
      <w:r w:rsidR="00423784" w:rsidRPr="00021CDC">
        <w:rPr>
          <w:sz w:val="24"/>
          <w:szCs w:val="24"/>
          <w:lang w:val="sr-Latn-ME"/>
        </w:rPr>
        <w:t xml:space="preserve"> </w:t>
      </w:r>
      <w:proofErr w:type="spellStart"/>
      <w:r w:rsidR="00423784" w:rsidRPr="007E71C8">
        <w:rPr>
          <w:sz w:val="24"/>
          <w:szCs w:val="24"/>
        </w:rPr>
        <w:t>platformi</w:t>
      </w:r>
      <w:proofErr w:type="spellEnd"/>
      <w:r w:rsidR="00423784" w:rsidRPr="00021CDC">
        <w:rPr>
          <w:sz w:val="24"/>
          <w:szCs w:val="24"/>
          <w:lang w:val="sr-Latn-ME"/>
        </w:rPr>
        <w:t xml:space="preserve"> </w:t>
      </w:r>
      <w:r w:rsidR="00423784" w:rsidRPr="007E71C8">
        <w:rPr>
          <w:sz w:val="24"/>
          <w:szCs w:val="24"/>
        </w:rPr>
        <w:t>za</w:t>
      </w:r>
      <w:r w:rsidR="00423784" w:rsidRPr="00021CDC">
        <w:rPr>
          <w:sz w:val="24"/>
          <w:szCs w:val="24"/>
          <w:lang w:val="sr-Latn-ME"/>
        </w:rPr>
        <w:t xml:space="preserve"> </w:t>
      </w:r>
      <w:proofErr w:type="spellStart"/>
      <w:r w:rsidR="00423784" w:rsidRPr="007E71C8">
        <w:rPr>
          <w:sz w:val="24"/>
          <w:szCs w:val="24"/>
        </w:rPr>
        <w:t>posredovanje</w:t>
      </w:r>
      <w:proofErr w:type="spellEnd"/>
      <w:r w:rsidR="00423784" w:rsidRPr="00021CDC">
        <w:rPr>
          <w:sz w:val="24"/>
          <w:szCs w:val="24"/>
          <w:lang w:val="sr-Latn-ME"/>
        </w:rPr>
        <w:t xml:space="preserve"> </w:t>
      </w:r>
      <w:r w:rsidR="00423784" w:rsidRPr="007E71C8">
        <w:rPr>
          <w:sz w:val="24"/>
          <w:szCs w:val="24"/>
        </w:rPr>
        <w:t>u</w:t>
      </w:r>
      <w:r w:rsidR="00423784" w:rsidRPr="00021CDC">
        <w:rPr>
          <w:sz w:val="24"/>
          <w:szCs w:val="24"/>
          <w:lang w:val="sr-Latn-ME"/>
        </w:rPr>
        <w:t xml:space="preserve"> </w:t>
      </w:r>
      <w:proofErr w:type="spellStart"/>
      <w:r w:rsidR="00423784" w:rsidRPr="007E71C8">
        <w:rPr>
          <w:sz w:val="24"/>
          <w:szCs w:val="24"/>
        </w:rPr>
        <w:t>izdavanju</w:t>
      </w:r>
      <w:proofErr w:type="spellEnd"/>
      <w:r w:rsidR="00423784" w:rsidRPr="00021CDC">
        <w:rPr>
          <w:sz w:val="24"/>
          <w:szCs w:val="24"/>
          <w:lang w:val="sr-Latn-ME"/>
        </w:rPr>
        <w:t xml:space="preserve"> </w:t>
      </w:r>
      <w:proofErr w:type="spellStart"/>
      <w:r w:rsidR="00423784" w:rsidRPr="007E71C8">
        <w:rPr>
          <w:sz w:val="24"/>
          <w:szCs w:val="24"/>
        </w:rPr>
        <w:t>smje</w:t>
      </w:r>
      <w:proofErr w:type="spellEnd"/>
      <w:r w:rsidR="00423784" w:rsidRPr="00021CDC">
        <w:rPr>
          <w:sz w:val="24"/>
          <w:szCs w:val="24"/>
          <w:lang w:val="sr-Latn-ME"/>
        </w:rPr>
        <w:t>š</w:t>
      </w:r>
      <w:proofErr w:type="spellStart"/>
      <w:r w:rsidR="00423784" w:rsidRPr="007E71C8">
        <w:rPr>
          <w:sz w:val="24"/>
          <w:szCs w:val="24"/>
        </w:rPr>
        <w:t>tajnih</w:t>
      </w:r>
      <w:proofErr w:type="spellEnd"/>
      <w:r w:rsidR="00423784" w:rsidRPr="00021CDC">
        <w:rPr>
          <w:sz w:val="24"/>
          <w:szCs w:val="24"/>
          <w:lang w:val="sr-Latn-ME"/>
        </w:rPr>
        <w:t xml:space="preserve"> </w:t>
      </w:r>
      <w:proofErr w:type="spellStart"/>
      <w:r w:rsidR="00423784" w:rsidRPr="007E71C8">
        <w:rPr>
          <w:sz w:val="24"/>
          <w:szCs w:val="24"/>
        </w:rPr>
        <w:t>kapaciteta</w:t>
      </w:r>
      <w:proofErr w:type="spellEnd"/>
      <w:r w:rsidR="00423784" w:rsidRPr="00021CDC">
        <w:rPr>
          <w:sz w:val="24"/>
          <w:szCs w:val="24"/>
          <w:lang w:val="sr-Latn-ME"/>
        </w:rPr>
        <w:t xml:space="preserve">. </w:t>
      </w:r>
      <w:r w:rsidR="00423784" w:rsidRPr="00021CDC">
        <w:rPr>
          <w:sz w:val="24"/>
          <w:szCs w:val="24"/>
          <w:lang w:val="pl-PL"/>
        </w:rPr>
        <w:t>Pored na</w:t>
      </w:r>
      <w:r w:rsidR="001B34AD" w:rsidRPr="00021CDC">
        <w:rPr>
          <w:sz w:val="24"/>
          <w:szCs w:val="24"/>
          <w:lang w:val="pl-PL"/>
        </w:rPr>
        <w:t>vedenog</w:t>
      </w:r>
      <w:r w:rsidR="00423784" w:rsidRPr="00021CDC">
        <w:rPr>
          <w:sz w:val="24"/>
          <w:szCs w:val="24"/>
          <w:lang w:val="pl-PL"/>
        </w:rPr>
        <w:t xml:space="preserve">, potrebno je izraditi sofver za elektronsku prijavu </w:t>
      </w:r>
      <w:r w:rsidRPr="00021CDC">
        <w:rPr>
          <w:sz w:val="24"/>
          <w:szCs w:val="24"/>
          <w:lang w:val="pl-PL"/>
        </w:rPr>
        <w:t>i</w:t>
      </w:r>
      <w:r w:rsidR="00423784" w:rsidRPr="00021CDC">
        <w:rPr>
          <w:sz w:val="24"/>
          <w:szCs w:val="24"/>
          <w:lang w:val="pl-PL"/>
        </w:rPr>
        <w:t xml:space="preserve"> odjavu turista, radi sveobuhvatn</w:t>
      </w:r>
      <w:r w:rsidRPr="00021CDC">
        <w:rPr>
          <w:sz w:val="24"/>
          <w:szCs w:val="24"/>
          <w:lang w:val="pl-PL"/>
        </w:rPr>
        <w:t>ijeg</w:t>
      </w:r>
      <w:r w:rsidR="00423784" w:rsidRPr="00021CDC">
        <w:rPr>
          <w:sz w:val="24"/>
          <w:szCs w:val="24"/>
          <w:lang w:val="pl-PL"/>
        </w:rPr>
        <w:t xml:space="preserve"> nadzor</w:t>
      </w:r>
      <w:r w:rsidRPr="00021CDC">
        <w:rPr>
          <w:sz w:val="24"/>
          <w:szCs w:val="24"/>
          <w:lang w:val="pl-PL"/>
        </w:rPr>
        <w:t xml:space="preserve">a i </w:t>
      </w:r>
      <w:r w:rsidR="00423784" w:rsidRPr="00021CDC">
        <w:rPr>
          <w:sz w:val="24"/>
          <w:szCs w:val="24"/>
          <w:lang w:val="pl-PL"/>
        </w:rPr>
        <w:t xml:space="preserve">registracije turista. </w:t>
      </w:r>
      <w:r w:rsidRPr="00021CDC">
        <w:rPr>
          <w:sz w:val="24"/>
          <w:szCs w:val="24"/>
          <w:lang w:val="pl-PL"/>
        </w:rPr>
        <w:t>Sprovođenje</w:t>
      </w:r>
      <w:r w:rsidR="00423784" w:rsidRPr="00021CDC">
        <w:rPr>
          <w:sz w:val="24"/>
          <w:szCs w:val="24"/>
          <w:lang w:val="pl-PL"/>
        </w:rPr>
        <w:t xml:space="preserve"> nadzora i kontrole u oblasti izdavanja smještajnih kapaciteta će iziskivati i unapređenje i usklađivanje zakonodavnog okvira. Za navedeno je potrebno izvršiti izm</w:t>
      </w:r>
      <w:r w:rsidRPr="00021CDC">
        <w:rPr>
          <w:sz w:val="24"/>
          <w:szCs w:val="24"/>
          <w:lang w:val="pl-PL"/>
        </w:rPr>
        <w:t>je</w:t>
      </w:r>
      <w:r w:rsidR="00423784" w:rsidRPr="00021CDC">
        <w:rPr>
          <w:sz w:val="24"/>
          <w:szCs w:val="24"/>
          <w:lang w:val="pl-PL"/>
        </w:rPr>
        <w:t>ne zakonskog okvira.</w:t>
      </w:r>
      <w:r w:rsidR="00576E2F" w:rsidRPr="00021CDC">
        <w:rPr>
          <w:lang w:val="pl-PL"/>
        </w:rPr>
        <w:t xml:space="preserve"> </w:t>
      </w:r>
      <w:r w:rsidR="00576E2F" w:rsidRPr="00F0146E">
        <w:rPr>
          <w:sz w:val="24"/>
          <w:szCs w:val="24"/>
          <w:lang w:val="pl-PL"/>
        </w:rPr>
        <w:t>Slične m</w:t>
      </w:r>
      <w:r w:rsidR="000520CA" w:rsidRPr="00F0146E">
        <w:rPr>
          <w:sz w:val="24"/>
          <w:szCs w:val="24"/>
          <w:lang w:val="pl-PL"/>
        </w:rPr>
        <w:t>jere</w:t>
      </w:r>
      <w:r w:rsidR="00576E2F" w:rsidRPr="00F0146E">
        <w:rPr>
          <w:sz w:val="24"/>
          <w:szCs w:val="24"/>
          <w:lang w:val="pl-PL"/>
        </w:rPr>
        <w:t xml:space="preserve"> je potrebno sprovesti za pružanje usluga turističkih agencija, turističkog vodiča, pratioca ili animatora, izdavanje plažnog mobilijara, ski opreme, usluge raftinga, avanturističke usluge, kao i pružanje turističkih usluga u nautičkom, seoskom, zdravstvenom i sportskom turizmu</w:t>
      </w:r>
      <w:r w:rsidR="00033B0B" w:rsidRPr="00F0146E">
        <w:rPr>
          <w:sz w:val="24"/>
          <w:szCs w:val="24"/>
          <w:lang w:val="pl-PL"/>
        </w:rPr>
        <w:t>.</w:t>
      </w:r>
    </w:p>
    <w:p w14:paraId="61E1B887" w14:textId="24B5D857" w:rsidR="00033B0B" w:rsidRPr="00021CDC" w:rsidRDefault="00E85323" w:rsidP="00033B0B">
      <w:pPr>
        <w:jc w:val="both"/>
        <w:rPr>
          <w:sz w:val="24"/>
          <w:szCs w:val="24"/>
          <w:lang w:val="sr-Latn-ME"/>
        </w:rPr>
      </w:pPr>
      <w:r w:rsidRPr="00021CDC">
        <w:rPr>
          <w:sz w:val="24"/>
          <w:szCs w:val="24"/>
          <w:lang w:val="pl-PL"/>
        </w:rPr>
        <w:t xml:space="preserve">U sektoru trgovine, </w:t>
      </w:r>
      <w:r w:rsidR="00576E2F" w:rsidRPr="00021CDC">
        <w:rPr>
          <w:sz w:val="24"/>
          <w:szCs w:val="24"/>
          <w:lang w:val="pl-PL"/>
        </w:rPr>
        <w:t xml:space="preserve">neophodno je prvenstveno realizovati restriktivne </w:t>
      </w:r>
      <w:r w:rsidR="00FC0A1E">
        <w:rPr>
          <w:sz w:val="24"/>
          <w:szCs w:val="24"/>
          <w:lang w:val="pl-PL"/>
        </w:rPr>
        <w:t>aktivnosti</w:t>
      </w:r>
      <w:r w:rsidR="00F0146E">
        <w:rPr>
          <w:sz w:val="24"/>
          <w:szCs w:val="24"/>
          <w:lang w:val="pl-PL"/>
        </w:rPr>
        <w:t xml:space="preserve">, odnosno </w:t>
      </w:r>
      <w:r w:rsidR="00FC0A1E">
        <w:rPr>
          <w:sz w:val="24"/>
          <w:szCs w:val="24"/>
          <w:lang w:val="pl-PL"/>
        </w:rPr>
        <w:t xml:space="preserve">aktivnosti </w:t>
      </w:r>
      <w:r w:rsidR="00F0146E">
        <w:rPr>
          <w:sz w:val="24"/>
          <w:szCs w:val="24"/>
          <w:lang w:val="pl-PL"/>
        </w:rPr>
        <w:t>odvraćanja</w:t>
      </w:r>
      <w:r w:rsidR="00576E2F" w:rsidRPr="00021CDC">
        <w:rPr>
          <w:sz w:val="24"/>
          <w:szCs w:val="24"/>
          <w:lang w:val="pl-PL"/>
        </w:rPr>
        <w:t xml:space="preserve"> kada je u pitanju trgovina akciznim robama, naročito online trgovina duvanskim proizvodima, kroz izmjene zakonske regulative</w:t>
      </w:r>
      <w:r w:rsidR="00A15351" w:rsidRPr="00021CDC">
        <w:rPr>
          <w:sz w:val="24"/>
          <w:szCs w:val="24"/>
          <w:lang w:val="pl-PL"/>
        </w:rPr>
        <w:t xml:space="preserve">, kao </w:t>
      </w:r>
      <w:r w:rsidR="00F73A5C" w:rsidRPr="00021CDC">
        <w:rPr>
          <w:sz w:val="24"/>
          <w:szCs w:val="24"/>
          <w:lang w:val="pl-PL"/>
        </w:rPr>
        <w:t>i</w:t>
      </w:r>
      <w:r w:rsidR="00A15351" w:rsidRPr="00021CDC">
        <w:rPr>
          <w:sz w:val="24"/>
          <w:szCs w:val="24"/>
          <w:lang w:val="pl-PL"/>
        </w:rPr>
        <w:t xml:space="preserve"> izmjene </w:t>
      </w:r>
      <w:r w:rsidR="00FC0A1E">
        <w:rPr>
          <w:sz w:val="24"/>
          <w:szCs w:val="24"/>
          <w:lang w:val="pl-PL"/>
        </w:rPr>
        <w:t>zakona</w:t>
      </w:r>
      <w:r w:rsidR="00A15351" w:rsidRPr="00033B0B">
        <w:rPr>
          <w:sz w:val="24"/>
          <w:szCs w:val="24"/>
          <w:lang w:val="sr-Latn-ME"/>
        </w:rPr>
        <w:t xml:space="preserve"> radi sprječavanja </w:t>
      </w:r>
      <w:r w:rsidR="00FC0A1E">
        <w:rPr>
          <w:sz w:val="24"/>
          <w:szCs w:val="24"/>
          <w:lang w:val="sr-Latn-ME"/>
        </w:rPr>
        <w:t>reklamiranja alkoholnih proizvoda koje su proizveli neregistrovani</w:t>
      </w:r>
      <w:r w:rsidR="00A15351" w:rsidRPr="00033B0B">
        <w:rPr>
          <w:sz w:val="24"/>
          <w:szCs w:val="24"/>
          <w:lang w:val="sr-Latn-ME"/>
        </w:rPr>
        <w:t xml:space="preserve"> proizvođač</w:t>
      </w:r>
      <w:r w:rsidR="00FC0A1E">
        <w:rPr>
          <w:sz w:val="24"/>
          <w:szCs w:val="24"/>
          <w:lang w:val="sr-Latn-ME"/>
        </w:rPr>
        <w:t>i</w:t>
      </w:r>
      <w:r w:rsidR="00A15351" w:rsidRPr="00033B0B">
        <w:rPr>
          <w:sz w:val="24"/>
          <w:szCs w:val="24"/>
          <w:lang w:val="sr-Latn-ME"/>
        </w:rPr>
        <w:t xml:space="preserve"> ili uvozni</w:t>
      </w:r>
      <w:r w:rsidR="00FC0A1E">
        <w:rPr>
          <w:sz w:val="24"/>
          <w:szCs w:val="24"/>
          <w:lang w:val="sr-Latn-ME"/>
        </w:rPr>
        <w:t>ci</w:t>
      </w:r>
      <w:r w:rsidR="00A15351" w:rsidRPr="00033B0B">
        <w:rPr>
          <w:sz w:val="24"/>
          <w:szCs w:val="24"/>
          <w:lang w:val="sr-Latn-ME"/>
        </w:rPr>
        <w:t>.</w:t>
      </w:r>
      <w:r w:rsidR="00033B0B" w:rsidRPr="00033B0B">
        <w:rPr>
          <w:sz w:val="24"/>
          <w:szCs w:val="24"/>
          <w:lang w:val="sr-Latn-ME"/>
        </w:rPr>
        <w:t xml:space="preserve"> Dodatno, </w:t>
      </w:r>
      <w:r w:rsidR="00FC0A1E">
        <w:rPr>
          <w:sz w:val="24"/>
          <w:szCs w:val="24"/>
          <w:lang w:val="sr-Latn-ME"/>
        </w:rPr>
        <w:t xml:space="preserve">i </w:t>
      </w:r>
      <w:r w:rsidR="00033B0B" w:rsidRPr="00033B0B">
        <w:rPr>
          <w:sz w:val="24"/>
          <w:szCs w:val="24"/>
          <w:lang w:val="sr-Latn-ME"/>
        </w:rPr>
        <w:t xml:space="preserve">aktivnosti na sprječavanju nelegalne trgovine ili neprijavljivanja vanprijačne trgovine poljoprivrednim proizvodima, kao i trgovine u neprijavljenim privremenim objektima. </w:t>
      </w:r>
    </w:p>
    <w:p w14:paraId="18A80FFC" w14:textId="4B75D82A" w:rsidR="00E85323" w:rsidRPr="00021CDC" w:rsidRDefault="00033B0B" w:rsidP="001B34AD">
      <w:pPr>
        <w:jc w:val="both"/>
        <w:rPr>
          <w:sz w:val="24"/>
          <w:szCs w:val="24"/>
          <w:lang w:val="sr-Latn-ME"/>
        </w:rPr>
      </w:pPr>
      <w:r>
        <w:rPr>
          <w:sz w:val="24"/>
          <w:szCs w:val="24"/>
        </w:rPr>
        <w:t>U</w:t>
      </w:r>
      <w:r w:rsidRPr="00021CDC">
        <w:rPr>
          <w:sz w:val="24"/>
          <w:szCs w:val="24"/>
          <w:lang w:val="sr-Latn-ME"/>
        </w:rPr>
        <w:t xml:space="preserve"> </w:t>
      </w:r>
      <w:proofErr w:type="spellStart"/>
      <w:r>
        <w:rPr>
          <w:sz w:val="24"/>
          <w:szCs w:val="24"/>
        </w:rPr>
        <w:t>obl</w:t>
      </w:r>
      <w:r w:rsidR="008070D9">
        <w:rPr>
          <w:sz w:val="24"/>
          <w:szCs w:val="24"/>
        </w:rPr>
        <w:t>a</w:t>
      </w:r>
      <w:r>
        <w:rPr>
          <w:sz w:val="24"/>
          <w:szCs w:val="24"/>
        </w:rPr>
        <w:t>sti</w:t>
      </w:r>
      <w:proofErr w:type="spellEnd"/>
      <w:r w:rsidRPr="00021CDC">
        <w:rPr>
          <w:sz w:val="24"/>
          <w:szCs w:val="24"/>
          <w:lang w:val="sr-Latn-ME"/>
        </w:rPr>
        <w:t xml:space="preserve"> </w:t>
      </w:r>
      <w:proofErr w:type="spellStart"/>
      <w:r>
        <w:rPr>
          <w:sz w:val="24"/>
          <w:szCs w:val="24"/>
        </w:rPr>
        <w:t>saobra</w:t>
      </w:r>
      <w:proofErr w:type="spellEnd"/>
      <w:r w:rsidRPr="00021CDC">
        <w:rPr>
          <w:sz w:val="24"/>
          <w:szCs w:val="24"/>
          <w:lang w:val="sr-Latn-ME"/>
        </w:rPr>
        <w:t>ć</w:t>
      </w:r>
      <w:proofErr w:type="spellStart"/>
      <w:r>
        <w:rPr>
          <w:sz w:val="24"/>
          <w:szCs w:val="24"/>
        </w:rPr>
        <w:t>aja</w:t>
      </w:r>
      <w:proofErr w:type="spellEnd"/>
      <w:r w:rsidRPr="00021CDC">
        <w:rPr>
          <w:sz w:val="24"/>
          <w:szCs w:val="24"/>
          <w:lang w:val="sr-Latn-ME"/>
        </w:rPr>
        <w:t xml:space="preserve"> ć</w:t>
      </w:r>
      <w:r>
        <w:rPr>
          <w:sz w:val="24"/>
          <w:szCs w:val="24"/>
        </w:rPr>
        <w:t>e</w:t>
      </w:r>
      <w:r w:rsidRPr="00021CDC">
        <w:rPr>
          <w:sz w:val="24"/>
          <w:szCs w:val="24"/>
          <w:lang w:val="sr-Latn-ME"/>
        </w:rPr>
        <w:t xml:space="preserve"> </w:t>
      </w:r>
      <w:r>
        <w:rPr>
          <w:sz w:val="24"/>
          <w:szCs w:val="24"/>
        </w:rPr>
        <w:t>se</w:t>
      </w:r>
      <w:r w:rsidRPr="00021CDC">
        <w:rPr>
          <w:sz w:val="24"/>
          <w:szCs w:val="24"/>
          <w:lang w:val="sr-Latn-ME"/>
        </w:rPr>
        <w:t xml:space="preserve"> </w:t>
      </w:r>
      <w:proofErr w:type="spellStart"/>
      <w:r w:rsidR="008070D9">
        <w:rPr>
          <w:sz w:val="24"/>
          <w:szCs w:val="24"/>
        </w:rPr>
        <w:t>kombinovati</w:t>
      </w:r>
      <w:proofErr w:type="spellEnd"/>
      <w:r w:rsidR="008070D9" w:rsidRPr="00021CDC">
        <w:rPr>
          <w:sz w:val="24"/>
          <w:szCs w:val="24"/>
          <w:lang w:val="sr-Latn-ME"/>
        </w:rPr>
        <w:t xml:space="preserve"> </w:t>
      </w:r>
      <w:proofErr w:type="spellStart"/>
      <w:r w:rsidR="008070D9">
        <w:rPr>
          <w:sz w:val="24"/>
          <w:szCs w:val="24"/>
        </w:rPr>
        <w:t>stimulativne</w:t>
      </w:r>
      <w:proofErr w:type="spellEnd"/>
      <w:r w:rsidR="008070D9" w:rsidRPr="00021CDC">
        <w:rPr>
          <w:sz w:val="24"/>
          <w:szCs w:val="24"/>
          <w:lang w:val="sr-Latn-ME"/>
        </w:rPr>
        <w:t xml:space="preserve"> </w:t>
      </w:r>
      <w:proofErr w:type="spellStart"/>
      <w:r w:rsidR="008070D9">
        <w:rPr>
          <w:sz w:val="24"/>
          <w:szCs w:val="24"/>
        </w:rPr>
        <w:t>i</w:t>
      </w:r>
      <w:proofErr w:type="spellEnd"/>
      <w:r w:rsidR="008070D9" w:rsidRPr="00021CDC">
        <w:rPr>
          <w:sz w:val="24"/>
          <w:szCs w:val="24"/>
          <w:lang w:val="sr-Latn-ME"/>
        </w:rPr>
        <w:t xml:space="preserve"> </w:t>
      </w:r>
      <w:proofErr w:type="spellStart"/>
      <w:r w:rsidR="008070D9">
        <w:rPr>
          <w:sz w:val="24"/>
          <w:szCs w:val="24"/>
        </w:rPr>
        <w:t>restriktivne</w:t>
      </w:r>
      <w:proofErr w:type="spellEnd"/>
      <w:r w:rsidR="008070D9" w:rsidRPr="00021CDC">
        <w:rPr>
          <w:sz w:val="24"/>
          <w:szCs w:val="24"/>
          <w:lang w:val="sr-Latn-ME"/>
        </w:rPr>
        <w:t xml:space="preserve"> </w:t>
      </w:r>
      <w:proofErr w:type="spellStart"/>
      <w:r w:rsidR="008070D9">
        <w:rPr>
          <w:sz w:val="24"/>
          <w:szCs w:val="24"/>
        </w:rPr>
        <w:t>mjere</w:t>
      </w:r>
      <w:proofErr w:type="spellEnd"/>
      <w:r w:rsidR="008070D9" w:rsidRPr="00021CDC">
        <w:rPr>
          <w:sz w:val="24"/>
          <w:szCs w:val="24"/>
          <w:lang w:val="sr-Latn-ME"/>
        </w:rPr>
        <w:t xml:space="preserve"> </w:t>
      </w:r>
      <w:r w:rsidR="00F0146E">
        <w:rPr>
          <w:sz w:val="24"/>
          <w:szCs w:val="24"/>
          <w:lang w:val="sr-Latn-ME"/>
        </w:rPr>
        <w:t xml:space="preserve">odnosno mjere odvraćanja </w:t>
      </w:r>
      <w:proofErr w:type="spellStart"/>
      <w:r w:rsidR="008070D9">
        <w:rPr>
          <w:sz w:val="24"/>
          <w:szCs w:val="24"/>
        </w:rPr>
        <w:t>na</w:t>
      </w:r>
      <w:proofErr w:type="spellEnd"/>
      <w:r w:rsidR="008070D9" w:rsidRPr="00021CDC">
        <w:rPr>
          <w:sz w:val="24"/>
          <w:szCs w:val="24"/>
          <w:lang w:val="sr-Latn-ME"/>
        </w:rPr>
        <w:t xml:space="preserve"> </w:t>
      </w:r>
      <w:proofErr w:type="spellStart"/>
      <w:r w:rsidR="008070D9">
        <w:rPr>
          <w:sz w:val="24"/>
          <w:szCs w:val="24"/>
        </w:rPr>
        <w:t>nivou</w:t>
      </w:r>
      <w:proofErr w:type="spellEnd"/>
      <w:r w:rsidR="008070D9" w:rsidRPr="00021CDC">
        <w:rPr>
          <w:sz w:val="24"/>
          <w:szCs w:val="24"/>
          <w:lang w:val="sr-Latn-ME"/>
        </w:rPr>
        <w:t xml:space="preserve"> </w:t>
      </w:r>
      <w:proofErr w:type="spellStart"/>
      <w:r w:rsidR="008070D9">
        <w:rPr>
          <w:sz w:val="24"/>
          <w:szCs w:val="24"/>
        </w:rPr>
        <w:t>jedinica</w:t>
      </w:r>
      <w:proofErr w:type="spellEnd"/>
      <w:r w:rsidR="008070D9" w:rsidRPr="00021CDC">
        <w:rPr>
          <w:sz w:val="24"/>
          <w:szCs w:val="24"/>
          <w:lang w:val="sr-Latn-ME"/>
        </w:rPr>
        <w:t xml:space="preserve"> </w:t>
      </w:r>
      <w:proofErr w:type="spellStart"/>
      <w:r w:rsidR="008070D9">
        <w:rPr>
          <w:sz w:val="24"/>
          <w:szCs w:val="24"/>
        </w:rPr>
        <w:t>lokalne</w:t>
      </w:r>
      <w:proofErr w:type="spellEnd"/>
      <w:r w:rsidR="008070D9" w:rsidRPr="00021CDC">
        <w:rPr>
          <w:sz w:val="24"/>
          <w:szCs w:val="24"/>
          <w:lang w:val="sr-Latn-ME"/>
        </w:rPr>
        <w:t xml:space="preserve"> </w:t>
      </w:r>
      <w:proofErr w:type="spellStart"/>
      <w:r w:rsidR="008070D9">
        <w:rPr>
          <w:sz w:val="24"/>
          <w:szCs w:val="24"/>
        </w:rPr>
        <w:t>samouprave</w:t>
      </w:r>
      <w:proofErr w:type="spellEnd"/>
      <w:r w:rsidR="008070D9" w:rsidRPr="00021CDC">
        <w:rPr>
          <w:sz w:val="24"/>
          <w:szCs w:val="24"/>
          <w:lang w:val="sr-Latn-ME"/>
        </w:rPr>
        <w:t xml:space="preserve"> </w:t>
      </w:r>
      <w:r w:rsidR="008070D9">
        <w:rPr>
          <w:sz w:val="24"/>
          <w:szCs w:val="24"/>
        </w:rPr>
        <w:t>u</w:t>
      </w:r>
      <w:r w:rsidR="008070D9" w:rsidRPr="00021CDC">
        <w:rPr>
          <w:sz w:val="24"/>
          <w:szCs w:val="24"/>
          <w:lang w:val="sr-Latn-ME"/>
        </w:rPr>
        <w:t xml:space="preserve"> </w:t>
      </w:r>
      <w:proofErr w:type="spellStart"/>
      <w:r w:rsidR="008070D9">
        <w:rPr>
          <w:sz w:val="24"/>
          <w:szCs w:val="24"/>
        </w:rPr>
        <w:t>cilju</w:t>
      </w:r>
      <w:proofErr w:type="spellEnd"/>
      <w:r w:rsidR="008070D9" w:rsidRPr="00021CDC">
        <w:rPr>
          <w:sz w:val="24"/>
          <w:szCs w:val="24"/>
          <w:lang w:val="sr-Latn-ME"/>
        </w:rPr>
        <w:t xml:space="preserve"> </w:t>
      </w:r>
      <w:proofErr w:type="spellStart"/>
      <w:r w:rsidR="008070D9">
        <w:rPr>
          <w:sz w:val="24"/>
          <w:szCs w:val="24"/>
        </w:rPr>
        <w:t>potpunog</w:t>
      </w:r>
      <w:proofErr w:type="spellEnd"/>
      <w:r w:rsidR="008070D9" w:rsidRPr="00021CDC">
        <w:rPr>
          <w:sz w:val="24"/>
          <w:szCs w:val="24"/>
          <w:lang w:val="sr-Latn-ME"/>
        </w:rPr>
        <w:t xml:space="preserve"> </w:t>
      </w:r>
      <w:proofErr w:type="spellStart"/>
      <w:r w:rsidR="008070D9">
        <w:rPr>
          <w:sz w:val="24"/>
          <w:szCs w:val="24"/>
        </w:rPr>
        <w:t>elminisanja</w:t>
      </w:r>
      <w:proofErr w:type="spellEnd"/>
      <w:r w:rsidR="008070D9" w:rsidRPr="00021CDC">
        <w:rPr>
          <w:sz w:val="24"/>
          <w:szCs w:val="24"/>
          <w:lang w:val="sr-Latn-ME"/>
        </w:rPr>
        <w:t xml:space="preserve"> </w:t>
      </w:r>
      <w:proofErr w:type="spellStart"/>
      <w:r w:rsidR="008070D9">
        <w:rPr>
          <w:sz w:val="24"/>
          <w:szCs w:val="24"/>
        </w:rPr>
        <w:t>neformalne</w:t>
      </w:r>
      <w:proofErr w:type="spellEnd"/>
      <w:r w:rsidR="008070D9" w:rsidRPr="00021CDC">
        <w:rPr>
          <w:sz w:val="24"/>
          <w:szCs w:val="24"/>
          <w:lang w:val="sr-Latn-ME"/>
        </w:rPr>
        <w:t xml:space="preserve"> </w:t>
      </w:r>
      <w:proofErr w:type="spellStart"/>
      <w:r w:rsidR="008070D9">
        <w:rPr>
          <w:sz w:val="24"/>
          <w:szCs w:val="24"/>
        </w:rPr>
        <w:t>ekonomije</w:t>
      </w:r>
      <w:proofErr w:type="spellEnd"/>
      <w:r w:rsidR="008070D9" w:rsidRPr="00021CDC">
        <w:rPr>
          <w:sz w:val="24"/>
          <w:szCs w:val="24"/>
          <w:lang w:val="sr-Latn-ME"/>
        </w:rPr>
        <w:t xml:space="preserve"> </w:t>
      </w:r>
      <w:proofErr w:type="spellStart"/>
      <w:r w:rsidR="008070D9">
        <w:rPr>
          <w:sz w:val="24"/>
          <w:szCs w:val="24"/>
        </w:rPr>
        <w:t>kod</w:t>
      </w:r>
      <w:proofErr w:type="spellEnd"/>
      <w:r w:rsidR="008070D9" w:rsidRPr="00021CDC">
        <w:rPr>
          <w:sz w:val="24"/>
          <w:szCs w:val="24"/>
          <w:lang w:val="sr-Latn-ME"/>
        </w:rPr>
        <w:t xml:space="preserve"> </w:t>
      </w:r>
      <w:proofErr w:type="spellStart"/>
      <w:r w:rsidR="008070D9">
        <w:rPr>
          <w:sz w:val="24"/>
          <w:szCs w:val="24"/>
        </w:rPr>
        <w:t>taksi</w:t>
      </w:r>
      <w:proofErr w:type="spellEnd"/>
      <w:r w:rsidR="008070D9" w:rsidRPr="00021CDC">
        <w:rPr>
          <w:sz w:val="24"/>
          <w:szCs w:val="24"/>
          <w:lang w:val="sr-Latn-ME"/>
        </w:rPr>
        <w:t xml:space="preserve"> </w:t>
      </w:r>
      <w:proofErr w:type="spellStart"/>
      <w:r w:rsidR="008070D9">
        <w:rPr>
          <w:sz w:val="24"/>
          <w:szCs w:val="24"/>
        </w:rPr>
        <w:t>prevoza</w:t>
      </w:r>
      <w:proofErr w:type="spellEnd"/>
      <w:r w:rsidR="008070D9" w:rsidRPr="00021CDC">
        <w:rPr>
          <w:sz w:val="24"/>
          <w:szCs w:val="24"/>
          <w:lang w:val="sr-Latn-ME"/>
        </w:rPr>
        <w:t xml:space="preserve">, </w:t>
      </w:r>
      <w:r w:rsidR="008070D9">
        <w:rPr>
          <w:sz w:val="24"/>
          <w:szCs w:val="24"/>
        </w:rPr>
        <w:t>a</w:t>
      </w:r>
      <w:r w:rsidR="008070D9" w:rsidRPr="00021CDC">
        <w:rPr>
          <w:sz w:val="24"/>
          <w:szCs w:val="24"/>
          <w:lang w:val="sr-Latn-ME"/>
        </w:rPr>
        <w:t xml:space="preserve"> </w:t>
      </w:r>
      <w:proofErr w:type="spellStart"/>
      <w:r w:rsidR="008070D9">
        <w:rPr>
          <w:sz w:val="24"/>
          <w:szCs w:val="24"/>
        </w:rPr>
        <w:t>jedna</w:t>
      </w:r>
      <w:proofErr w:type="spellEnd"/>
      <w:r w:rsidR="008070D9" w:rsidRPr="00021CDC">
        <w:rPr>
          <w:sz w:val="24"/>
          <w:szCs w:val="24"/>
          <w:lang w:val="sr-Latn-ME"/>
        </w:rPr>
        <w:t xml:space="preserve"> </w:t>
      </w:r>
      <w:r w:rsidR="008070D9">
        <w:rPr>
          <w:sz w:val="24"/>
          <w:szCs w:val="24"/>
        </w:rPr>
        <w:t>od</w:t>
      </w:r>
      <w:r w:rsidR="008070D9" w:rsidRPr="00021CDC">
        <w:rPr>
          <w:sz w:val="24"/>
          <w:szCs w:val="24"/>
          <w:lang w:val="sr-Latn-ME"/>
        </w:rPr>
        <w:t xml:space="preserve"> </w:t>
      </w:r>
      <w:proofErr w:type="spellStart"/>
      <w:r w:rsidR="008070D9">
        <w:rPr>
          <w:sz w:val="24"/>
          <w:szCs w:val="24"/>
        </w:rPr>
        <w:t>aktivnosti</w:t>
      </w:r>
      <w:proofErr w:type="spellEnd"/>
      <w:r w:rsidR="008070D9" w:rsidRPr="00021CDC">
        <w:rPr>
          <w:sz w:val="24"/>
          <w:szCs w:val="24"/>
          <w:lang w:val="sr-Latn-ME"/>
        </w:rPr>
        <w:t xml:space="preserve"> ć</w:t>
      </w:r>
      <w:r w:rsidR="008070D9">
        <w:rPr>
          <w:sz w:val="24"/>
          <w:szCs w:val="24"/>
        </w:rPr>
        <w:t>e</w:t>
      </w:r>
      <w:r w:rsidR="008070D9" w:rsidRPr="00021CDC">
        <w:rPr>
          <w:sz w:val="24"/>
          <w:szCs w:val="24"/>
          <w:lang w:val="sr-Latn-ME"/>
        </w:rPr>
        <w:t xml:space="preserve"> </w:t>
      </w:r>
      <w:r w:rsidR="008070D9">
        <w:rPr>
          <w:sz w:val="24"/>
          <w:szCs w:val="24"/>
        </w:rPr>
        <w:t>se</w:t>
      </w:r>
      <w:r w:rsidR="008070D9" w:rsidRPr="00021CDC">
        <w:rPr>
          <w:sz w:val="24"/>
          <w:szCs w:val="24"/>
          <w:lang w:val="sr-Latn-ME"/>
        </w:rPr>
        <w:t xml:space="preserve"> </w:t>
      </w:r>
      <w:proofErr w:type="spellStart"/>
      <w:r w:rsidR="008070D9">
        <w:rPr>
          <w:sz w:val="24"/>
          <w:szCs w:val="24"/>
        </w:rPr>
        <w:t>odnositi</w:t>
      </w:r>
      <w:proofErr w:type="spellEnd"/>
      <w:r w:rsidR="008070D9" w:rsidRPr="00021CDC">
        <w:rPr>
          <w:sz w:val="24"/>
          <w:szCs w:val="24"/>
          <w:lang w:val="sr-Latn-ME"/>
        </w:rPr>
        <w:t xml:space="preserve"> </w:t>
      </w:r>
      <w:proofErr w:type="spellStart"/>
      <w:r w:rsidR="008070D9">
        <w:rPr>
          <w:sz w:val="24"/>
          <w:szCs w:val="24"/>
        </w:rPr>
        <w:t>na</w:t>
      </w:r>
      <w:proofErr w:type="spellEnd"/>
      <w:r w:rsidR="008070D9" w:rsidRPr="00021CDC">
        <w:rPr>
          <w:sz w:val="24"/>
          <w:szCs w:val="24"/>
          <w:lang w:val="sr-Latn-ME"/>
        </w:rPr>
        <w:t xml:space="preserve"> </w:t>
      </w:r>
      <w:proofErr w:type="spellStart"/>
      <w:r w:rsidR="008070D9">
        <w:rPr>
          <w:sz w:val="24"/>
          <w:szCs w:val="24"/>
        </w:rPr>
        <w:t>uvo</w:t>
      </w:r>
      <w:proofErr w:type="spellEnd"/>
      <w:r w:rsidR="008070D9" w:rsidRPr="00021CDC">
        <w:rPr>
          <w:sz w:val="24"/>
          <w:szCs w:val="24"/>
          <w:lang w:val="sr-Latn-ME"/>
        </w:rPr>
        <w:t>đ</w:t>
      </w:r>
      <w:proofErr w:type="spellStart"/>
      <w:r w:rsidR="008070D9">
        <w:rPr>
          <w:sz w:val="24"/>
          <w:szCs w:val="24"/>
        </w:rPr>
        <w:t>enjem</w:t>
      </w:r>
      <w:proofErr w:type="spellEnd"/>
      <w:r w:rsidR="008070D9" w:rsidRPr="00021CDC">
        <w:rPr>
          <w:sz w:val="24"/>
          <w:szCs w:val="24"/>
          <w:lang w:val="sr-Latn-ME"/>
        </w:rPr>
        <w:t xml:space="preserve"> </w:t>
      </w:r>
      <w:proofErr w:type="spellStart"/>
      <w:r w:rsidR="008070D9">
        <w:rPr>
          <w:sz w:val="24"/>
          <w:szCs w:val="24"/>
        </w:rPr>
        <w:t>platnih</w:t>
      </w:r>
      <w:proofErr w:type="spellEnd"/>
      <w:r w:rsidR="008070D9" w:rsidRPr="00021CDC">
        <w:rPr>
          <w:sz w:val="24"/>
          <w:szCs w:val="24"/>
          <w:lang w:val="sr-Latn-ME"/>
        </w:rPr>
        <w:t xml:space="preserve"> </w:t>
      </w:r>
      <w:proofErr w:type="spellStart"/>
      <w:r w:rsidR="008070D9">
        <w:rPr>
          <w:sz w:val="24"/>
          <w:szCs w:val="24"/>
        </w:rPr>
        <w:t>terminala</w:t>
      </w:r>
      <w:proofErr w:type="spellEnd"/>
      <w:r w:rsidR="008070D9" w:rsidRPr="00021CDC">
        <w:rPr>
          <w:sz w:val="24"/>
          <w:szCs w:val="24"/>
          <w:lang w:val="sr-Latn-ME"/>
        </w:rPr>
        <w:t xml:space="preserve">, </w:t>
      </w:r>
      <w:proofErr w:type="spellStart"/>
      <w:r w:rsidR="008070D9">
        <w:rPr>
          <w:sz w:val="24"/>
          <w:szCs w:val="24"/>
        </w:rPr>
        <w:t>kao</w:t>
      </w:r>
      <w:proofErr w:type="spellEnd"/>
      <w:r w:rsidR="008070D9" w:rsidRPr="00021CDC">
        <w:rPr>
          <w:sz w:val="24"/>
          <w:szCs w:val="24"/>
          <w:lang w:val="sr-Latn-ME"/>
        </w:rPr>
        <w:t xml:space="preserve"> </w:t>
      </w:r>
      <w:proofErr w:type="spellStart"/>
      <w:r w:rsidR="008070D9">
        <w:rPr>
          <w:sz w:val="24"/>
          <w:szCs w:val="24"/>
        </w:rPr>
        <w:t>i</w:t>
      </w:r>
      <w:proofErr w:type="spellEnd"/>
      <w:r w:rsidR="008070D9" w:rsidRPr="00021CDC">
        <w:rPr>
          <w:sz w:val="24"/>
          <w:szCs w:val="24"/>
          <w:lang w:val="sr-Latn-ME"/>
        </w:rPr>
        <w:t xml:space="preserve"> </w:t>
      </w:r>
      <w:proofErr w:type="spellStart"/>
      <w:r w:rsidR="008070D9">
        <w:rPr>
          <w:sz w:val="24"/>
          <w:szCs w:val="24"/>
        </w:rPr>
        <w:t>kod</w:t>
      </w:r>
      <w:proofErr w:type="spellEnd"/>
      <w:r w:rsidR="008070D9" w:rsidRPr="00021CDC">
        <w:rPr>
          <w:sz w:val="24"/>
          <w:szCs w:val="24"/>
          <w:lang w:val="sr-Latn-ME"/>
        </w:rPr>
        <w:t xml:space="preserve"> </w:t>
      </w:r>
      <w:r w:rsidR="008070D9">
        <w:rPr>
          <w:sz w:val="24"/>
          <w:szCs w:val="24"/>
        </w:rPr>
        <w:t>parking</w:t>
      </w:r>
      <w:r w:rsidR="008070D9" w:rsidRPr="00021CDC">
        <w:rPr>
          <w:sz w:val="24"/>
          <w:szCs w:val="24"/>
          <w:lang w:val="sr-Latn-ME"/>
        </w:rPr>
        <w:t xml:space="preserve"> </w:t>
      </w:r>
      <w:proofErr w:type="spellStart"/>
      <w:r w:rsidR="008070D9">
        <w:rPr>
          <w:sz w:val="24"/>
          <w:szCs w:val="24"/>
        </w:rPr>
        <w:t>servisa</w:t>
      </w:r>
      <w:proofErr w:type="spellEnd"/>
      <w:r w:rsidR="008070D9" w:rsidRPr="00021CDC">
        <w:rPr>
          <w:sz w:val="24"/>
          <w:szCs w:val="24"/>
          <w:lang w:val="sr-Latn-ME"/>
        </w:rPr>
        <w:t>.</w:t>
      </w:r>
    </w:p>
    <w:p w14:paraId="2875089B" w14:textId="0E9295BB" w:rsidR="00E85323" w:rsidRPr="00021CDC" w:rsidRDefault="008070D9" w:rsidP="001B34AD">
      <w:pPr>
        <w:jc w:val="both"/>
        <w:rPr>
          <w:sz w:val="24"/>
          <w:szCs w:val="24"/>
          <w:lang w:val="sr-Latn-ME"/>
        </w:rPr>
      </w:pPr>
      <w:r>
        <w:rPr>
          <w:sz w:val="24"/>
          <w:szCs w:val="24"/>
        </w:rPr>
        <w:t>U</w:t>
      </w:r>
      <w:r w:rsidRPr="00021CDC">
        <w:rPr>
          <w:sz w:val="24"/>
          <w:szCs w:val="24"/>
          <w:lang w:val="sr-Latn-ME"/>
        </w:rPr>
        <w:t xml:space="preserve"> </w:t>
      </w:r>
      <w:proofErr w:type="spellStart"/>
      <w:r>
        <w:rPr>
          <w:sz w:val="24"/>
          <w:szCs w:val="24"/>
        </w:rPr>
        <w:t>sektoru</w:t>
      </w:r>
      <w:proofErr w:type="spellEnd"/>
      <w:r w:rsidRPr="00021CDC">
        <w:rPr>
          <w:sz w:val="24"/>
          <w:szCs w:val="24"/>
          <w:lang w:val="sr-Latn-ME"/>
        </w:rPr>
        <w:t xml:space="preserve"> </w:t>
      </w:r>
      <w:proofErr w:type="spellStart"/>
      <w:r>
        <w:rPr>
          <w:sz w:val="24"/>
          <w:szCs w:val="24"/>
        </w:rPr>
        <w:t>gra</w:t>
      </w:r>
      <w:proofErr w:type="spellEnd"/>
      <w:r w:rsidRPr="00021CDC">
        <w:rPr>
          <w:sz w:val="24"/>
          <w:szCs w:val="24"/>
          <w:lang w:val="sr-Latn-ME"/>
        </w:rPr>
        <w:t>đ</w:t>
      </w:r>
      <w:proofErr w:type="spellStart"/>
      <w:r>
        <w:rPr>
          <w:sz w:val="24"/>
          <w:szCs w:val="24"/>
        </w:rPr>
        <w:t>evinarstva</w:t>
      </w:r>
      <w:proofErr w:type="spellEnd"/>
      <w:r w:rsidRPr="00021CDC">
        <w:rPr>
          <w:sz w:val="24"/>
          <w:szCs w:val="24"/>
          <w:lang w:val="sr-Latn-ME"/>
        </w:rPr>
        <w:t xml:space="preserve"> ć</w:t>
      </w:r>
      <w:r>
        <w:rPr>
          <w:sz w:val="24"/>
          <w:szCs w:val="24"/>
        </w:rPr>
        <w:t>e</w:t>
      </w:r>
      <w:r w:rsidRPr="00021CDC">
        <w:rPr>
          <w:sz w:val="24"/>
          <w:szCs w:val="24"/>
          <w:lang w:val="sr-Latn-ME"/>
        </w:rPr>
        <w:t xml:space="preserve"> </w:t>
      </w:r>
      <w:r>
        <w:rPr>
          <w:sz w:val="24"/>
          <w:szCs w:val="24"/>
        </w:rPr>
        <w:t>se</w:t>
      </w:r>
      <w:r w:rsidRPr="00021CDC">
        <w:rPr>
          <w:sz w:val="24"/>
          <w:szCs w:val="24"/>
          <w:lang w:val="sr-Latn-ME"/>
        </w:rPr>
        <w:t xml:space="preserve"> </w:t>
      </w:r>
      <w:proofErr w:type="spellStart"/>
      <w:r>
        <w:rPr>
          <w:sz w:val="24"/>
          <w:szCs w:val="24"/>
        </w:rPr>
        <w:t>kom</w:t>
      </w:r>
      <w:r w:rsidR="0018197B">
        <w:rPr>
          <w:sz w:val="24"/>
          <w:szCs w:val="24"/>
        </w:rPr>
        <w:t>b</w:t>
      </w:r>
      <w:r>
        <w:rPr>
          <w:sz w:val="24"/>
          <w:szCs w:val="24"/>
        </w:rPr>
        <w:t>inovati</w:t>
      </w:r>
      <w:proofErr w:type="spellEnd"/>
      <w:r w:rsidRPr="00021CDC">
        <w:rPr>
          <w:sz w:val="24"/>
          <w:szCs w:val="24"/>
          <w:lang w:val="sr-Latn-ME"/>
        </w:rPr>
        <w:t xml:space="preserve"> </w:t>
      </w:r>
      <w:proofErr w:type="spellStart"/>
      <w:r>
        <w:rPr>
          <w:sz w:val="24"/>
          <w:szCs w:val="24"/>
        </w:rPr>
        <w:t>mjere</w:t>
      </w:r>
      <w:proofErr w:type="spellEnd"/>
      <w:r w:rsidRPr="00021CDC">
        <w:rPr>
          <w:sz w:val="24"/>
          <w:szCs w:val="24"/>
          <w:lang w:val="sr-Latn-ME"/>
        </w:rPr>
        <w:t xml:space="preserve"> </w:t>
      </w:r>
      <w:r>
        <w:rPr>
          <w:sz w:val="24"/>
          <w:szCs w:val="24"/>
        </w:rPr>
        <w:t>za</w:t>
      </w:r>
      <w:r w:rsidRPr="00021CDC">
        <w:rPr>
          <w:sz w:val="24"/>
          <w:szCs w:val="24"/>
          <w:lang w:val="sr-Latn-ME"/>
        </w:rPr>
        <w:t xml:space="preserve"> </w:t>
      </w:r>
      <w:proofErr w:type="spellStart"/>
      <w:r>
        <w:rPr>
          <w:sz w:val="24"/>
          <w:szCs w:val="24"/>
        </w:rPr>
        <w:t>dalje</w:t>
      </w:r>
      <w:proofErr w:type="spellEnd"/>
      <w:r w:rsidRPr="00021CDC">
        <w:rPr>
          <w:sz w:val="24"/>
          <w:szCs w:val="24"/>
          <w:lang w:val="sr-Latn-ME"/>
        </w:rPr>
        <w:t xml:space="preserve"> </w:t>
      </w:r>
      <w:proofErr w:type="spellStart"/>
      <w:r>
        <w:rPr>
          <w:sz w:val="24"/>
          <w:szCs w:val="24"/>
        </w:rPr>
        <w:t>suz</w:t>
      </w:r>
      <w:r w:rsidR="00E67D76">
        <w:rPr>
          <w:sz w:val="24"/>
          <w:szCs w:val="24"/>
        </w:rPr>
        <w:t>b</w:t>
      </w:r>
      <w:r>
        <w:rPr>
          <w:sz w:val="24"/>
          <w:szCs w:val="24"/>
        </w:rPr>
        <w:t>ijanje</w:t>
      </w:r>
      <w:proofErr w:type="spellEnd"/>
      <w:r w:rsidRPr="00021CDC">
        <w:rPr>
          <w:sz w:val="24"/>
          <w:szCs w:val="24"/>
          <w:lang w:val="sr-Latn-ME"/>
        </w:rPr>
        <w:t xml:space="preserve"> </w:t>
      </w:r>
      <w:proofErr w:type="spellStart"/>
      <w:r>
        <w:rPr>
          <w:sz w:val="24"/>
          <w:szCs w:val="24"/>
        </w:rPr>
        <w:t>ne</w:t>
      </w:r>
      <w:r w:rsidR="00E67D76">
        <w:rPr>
          <w:sz w:val="24"/>
          <w:szCs w:val="24"/>
        </w:rPr>
        <w:t>l</w:t>
      </w:r>
      <w:r>
        <w:rPr>
          <w:sz w:val="24"/>
          <w:szCs w:val="24"/>
        </w:rPr>
        <w:t>egalne</w:t>
      </w:r>
      <w:proofErr w:type="spellEnd"/>
      <w:r w:rsidRPr="00021CDC">
        <w:rPr>
          <w:sz w:val="24"/>
          <w:szCs w:val="24"/>
          <w:lang w:val="sr-Latn-ME"/>
        </w:rPr>
        <w:t xml:space="preserve"> </w:t>
      </w:r>
      <w:proofErr w:type="spellStart"/>
      <w:r>
        <w:rPr>
          <w:sz w:val="24"/>
          <w:szCs w:val="24"/>
        </w:rPr>
        <w:t>gradnje</w:t>
      </w:r>
      <w:proofErr w:type="spellEnd"/>
      <w:r w:rsidRPr="00021CDC">
        <w:rPr>
          <w:sz w:val="24"/>
          <w:szCs w:val="24"/>
          <w:lang w:val="sr-Latn-ME"/>
        </w:rPr>
        <w:t xml:space="preserve">, </w:t>
      </w:r>
      <w:r w:rsidR="00F0146E">
        <w:rPr>
          <w:sz w:val="24"/>
          <w:szCs w:val="24"/>
          <w:lang w:val="sr-Latn-ME"/>
        </w:rPr>
        <w:t>i</w:t>
      </w:r>
      <w:r w:rsidRPr="00021CDC">
        <w:rPr>
          <w:sz w:val="24"/>
          <w:szCs w:val="24"/>
          <w:lang w:val="sr-Latn-ME"/>
        </w:rPr>
        <w:t xml:space="preserve"> </w:t>
      </w:r>
      <w:proofErr w:type="spellStart"/>
      <w:r>
        <w:rPr>
          <w:sz w:val="24"/>
          <w:szCs w:val="24"/>
        </w:rPr>
        <w:t>iz</w:t>
      </w:r>
      <w:r w:rsidR="00E67D76">
        <w:rPr>
          <w:sz w:val="24"/>
          <w:szCs w:val="24"/>
        </w:rPr>
        <w:t>v</w:t>
      </w:r>
      <w:r>
        <w:rPr>
          <w:sz w:val="24"/>
          <w:szCs w:val="24"/>
        </w:rPr>
        <w:t>r</w:t>
      </w:r>
      <w:proofErr w:type="spellEnd"/>
      <w:r w:rsidRPr="00021CDC">
        <w:rPr>
          <w:sz w:val="24"/>
          <w:szCs w:val="24"/>
          <w:lang w:val="sr-Latn-ME"/>
        </w:rPr>
        <w:t>š</w:t>
      </w:r>
      <w:proofErr w:type="spellStart"/>
      <w:r>
        <w:rPr>
          <w:sz w:val="24"/>
          <w:szCs w:val="24"/>
        </w:rPr>
        <w:t>iti</w:t>
      </w:r>
      <w:proofErr w:type="spellEnd"/>
      <w:r w:rsidRPr="00021CDC">
        <w:rPr>
          <w:sz w:val="24"/>
          <w:szCs w:val="24"/>
          <w:lang w:val="sr-Latn-ME"/>
        </w:rPr>
        <w:t xml:space="preserve"> </w:t>
      </w:r>
      <w:proofErr w:type="spellStart"/>
      <w:r>
        <w:rPr>
          <w:sz w:val="24"/>
          <w:szCs w:val="24"/>
        </w:rPr>
        <w:t>izmjena</w:t>
      </w:r>
      <w:proofErr w:type="spellEnd"/>
      <w:r w:rsidRPr="00021CDC">
        <w:rPr>
          <w:sz w:val="24"/>
          <w:szCs w:val="24"/>
          <w:lang w:val="sr-Latn-ME"/>
        </w:rPr>
        <w:t xml:space="preserve"> </w:t>
      </w:r>
      <w:proofErr w:type="spellStart"/>
      <w:r>
        <w:rPr>
          <w:sz w:val="24"/>
          <w:szCs w:val="24"/>
        </w:rPr>
        <w:t>zakonske</w:t>
      </w:r>
      <w:proofErr w:type="spellEnd"/>
      <w:r w:rsidRPr="00021CDC">
        <w:rPr>
          <w:sz w:val="24"/>
          <w:szCs w:val="24"/>
          <w:lang w:val="sr-Latn-ME"/>
        </w:rPr>
        <w:t xml:space="preserve"> </w:t>
      </w:r>
      <w:r>
        <w:rPr>
          <w:sz w:val="24"/>
          <w:szCs w:val="24"/>
        </w:rPr>
        <w:t>regulative</w:t>
      </w:r>
      <w:r w:rsidRPr="00021CDC">
        <w:rPr>
          <w:sz w:val="24"/>
          <w:szCs w:val="24"/>
          <w:lang w:val="sr-Latn-ME"/>
        </w:rPr>
        <w:t xml:space="preserve"> </w:t>
      </w:r>
      <w:r>
        <w:rPr>
          <w:sz w:val="24"/>
          <w:szCs w:val="24"/>
        </w:rPr>
        <w:t>za</w:t>
      </w:r>
      <w:r w:rsidRPr="00021CDC">
        <w:rPr>
          <w:sz w:val="24"/>
          <w:szCs w:val="24"/>
          <w:lang w:val="sr-Latn-ME"/>
        </w:rPr>
        <w:t xml:space="preserve"> </w:t>
      </w:r>
      <w:proofErr w:type="spellStart"/>
      <w:r>
        <w:rPr>
          <w:sz w:val="24"/>
          <w:szCs w:val="24"/>
        </w:rPr>
        <w:t>ubrzaniju</w:t>
      </w:r>
      <w:proofErr w:type="spellEnd"/>
      <w:r w:rsidRPr="00021CDC">
        <w:rPr>
          <w:sz w:val="24"/>
          <w:szCs w:val="24"/>
          <w:lang w:val="sr-Latn-ME"/>
        </w:rPr>
        <w:t xml:space="preserve"> </w:t>
      </w:r>
      <w:proofErr w:type="spellStart"/>
      <w:r>
        <w:rPr>
          <w:sz w:val="24"/>
          <w:szCs w:val="24"/>
        </w:rPr>
        <w:t>legalizaciju</w:t>
      </w:r>
      <w:proofErr w:type="spellEnd"/>
      <w:r w:rsidRPr="00021CDC">
        <w:rPr>
          <w:sz w:val="24"/>
          <w:szCs w:val="24"/>
          <w:lang w:val="sr-Latn-ME"/>
        </w:rPr>
        <w:t xml:space="preserve"> </w:t>
      </w:r>
      <w:proofErr w:type="spellStart"/>
      <w:r>
        <w:rPr>
          <w:sz w:val="24"/>
          <w:szCs w:val="24"/>
        </w:rPr>
        <w:t>nelegalnih</w:t>
      </w:r>
      <w:proofErr w:type="spellEnd"/>
      <w:r w:rsidRPr="00021CDC">
        <w:rPr>
          <w:sz w:val="24"/>
          <w:szCs w:val="24"/>
          <w:lang w:val="sr-Latn-ME"/>
        </w:rPr>
        <w:t xml:space="preserve"> </w:t>
      </w:r>
      <w:proofErr w:type="spellStart"/>
      <w:r>
        <w:rPr>
          <w:sz w:val="24"/>
          <w:szCs w:val="24"/>
        </w:rPr>
        <w:t>objekata</w:t>
      </w:r>
      <w:proofErr w:type="spellEnd"/>
      <w:r w:rsidR="00F0146E" w:rsidRPr="0013035E">
        <w:rPr>
          <w:sz w:val="24"/>
          <w:szCs w:val="24"/>
          <w:lang w:val="sr-Latn-ME"/>
        </w:rPr>
        <w:t>.</w:t>
      </w:r>
    </w:p>
    <w:p w14:paraId="34A63561" w14:textId="52D449F6" w:rsidR="00C30C31" w:rsidRDefault="004251E9" w:rsidP="001B34AD">
      <w:pPr>
        <w:jc w:val="both"/>
        <w:rPr>
          <w:sz w:val="24"/>
          <w:szCs w:val="24"/>
          <w:lang w:val="sr-Latn-ME"/>
        </w:rPr>
      </w:pPr>
      <w:r w:rsidRPr="004251E9">
        <w:rPr>
          <w:sz w:val="24"/>
          <w:szCs w:val="24"/>
        </w:rPr>
        <w:t>U</w:t>
      </w:r>
      <w:r w:rsidRPr="004251E9">
        <w:rPr>
          <w:sz w:val="24"/>
          <w:szCs w:val="24"/>
          <w:lang w:val="sr-Latn-ME"/>
        </w:rPr>
        <w:t xml:space="preserve"> </w:t>
      </w:r>
      <w:proofErr w:type="spellStart"/>
      <w:r w:rsidRPr="004251E9">
        <w:rPr>
          <w:sz w:val="24"/>
          <w:szCs w:val="24"/>
        </w:rPr>
        <w:t>poljoprivredi</w:t>
      </w:r>
      <w:proofErr w:type="spellEnd"/>
      <w:r w:rsidRPr="004251E9">
        <w:rPr>
          <w:sz w:val="24"/>
          <w:szCs w:val="24"/>
          <w:lang w:val="sr-Latn-ME"/>
        </w:rPr>
        <w:t xml:space="preserve"> </w:t>
      </w:r>
      <w:r w:rsidRPr="004251E9">
        <w:rPr>
          <w:sz w:val="24"/>
          <w:szCs w:val="24"/>
        </w:rPr>
        <w:t>je</w:t>
      </w:r>
      <w:r w:rsidRPr="004251E9">
        <w:rPr>
          <w:sz w:val="24"/>
          <w:szCs w:val="24"/>
          <w:lang w:val="sr-Latn-ME"/>
        </w:rPr>
        <w:t xml:space="preserve"> </w:t>
      </w:r>
      <w:proofErr w:type="spellStart"/>
      <w:r w:rsidRPr="004251E9">
        <w:rPr>
          <w:sz w:val="24"/>
          <w:szCs w:val="24"/>
        </w:rPr>
        <w:t>neophodno</w:t>
      </w:r>
      <w:proofErr w:type="spellEnd"/>
      <w:r w:rsidRPr="004251E9">
        <w:rPr>
          <w:sz w:val="24"/>
          <w:szCs w:val="24"/>
          <w:lang w:val="sr-Latn-ME"/>
        </w:rPr>
        <w:t xml:space="preserve"> </w:t>
      </w:r>
      <w:proofErr w:type="spellStart"/>
      <w:r w:rsidRPr="004251E9">
        <w:rPr>
          <w:sz w:val="24"/>
          <w:szCs w:val="24"/>
        </w:rPr>
        <w:t>prilagoditi</w:t>
      </w:r>
      <w:proofErr w:type="spellEnd"/>
      <w:r w:rsidRPr="004251E9">
        <w:rPr>
          <w:sz w:val="24"/>
          <w:szCs w:val="24"/>
          <w:lang w:val="sr-Latn-ME"/>
        </w:rPr>
        <w:t xml:space="preserve"> </w:t>
      </w:r>
      <w:proofErr w:type="spellStart"/>
      <w:r w:rsidRPr="004251E9">
        <w:rPr>
          <w:sz w:val="24"/>
          <w:szCs w:val="24"/>
        </w:rPr>
        <w:t>zakonsku</w:t>
      </w:r>
      <w:proofErr w:type="spellEnd"/>
      <w:r w:rsidRPr="004251E9">
        <w:rPr>
          <w:sz w:val="24"/>
          <w:szCs w:val="24"/>
          <w:lang w:val="sr-Latn-ME"/>
        </w:rPr>
        <w:t xml:space="preserve"> </w:t>
      </w:r>
      <w:r w:rsidRPr="004251E9">
        <w:rPr>
          <w:sz w:val="24"/>
          <w:szCs w:val="24"/>
        </w:rPr>
        <w:t>regulative</w:t>
      </w:r>
      <w:r w:rsidRPr="004251E9">
        <w:rPr>
          <w:sz w:val="24"/>
          <w:szCs w:val="24"/>
          <w:lang w:val="sr-Latn-ME"/>
        </w:rPr>
        <w:t xml:space="preserve"> </w:t>
      </w:r>
      <w:proofErr w:type="spellStart"/>
      <w:r w:rsidRPr="004251E9">
        <w:rPr>
          <w:sz w:val="24"/>
          <w:szCs w:val="24"/>
        </w:rPr>
        <w:t>koja</w:t>
      </w:r>
      <w:proofErr w:type="spellEnd"/>
      <w:r w:rsidRPr="004251E9">
        <w:rPr>
          <w:sz w:val="24"/>
          <w:szCs w:val="24"/>
          <w:lang w:val="sr-Latn-ME"/>
        </w:rPr>
        <w:t xml:space="preserve"> ć</w:t>
      </w:r>
      <w:r w:rsidRPr="004251E9">
        <w:rPr>
          <w:sz w:val="24"/>
          <w:szCs w:val="24"/>
        </w:rPr>
        <w:t>e</w:t>
      </w:r>
      <w:r w:rsidRPr="004251E9">
        <w:rPr>
          <w:sz w:val="24"/>
          <w:szCs w:val="24"/>
          <w:lang w:val="sr-Latn-ME"/>
        </w:rPr>
        <w:t xml:space="preserve"> </w:t>
      </w:r>
      <w:proofErr w:type="spellStart"/>
      <w:r w:rsidRPr="004251E9">
        <w:rPr>
          <w:sz w:val="24"/>
          <w:szCs w:val="24"/>
        </w:rPr>
        <w:t>omogu</w:t>
      </w:r>
      <w:proofErr w:type="spellEnd"/>
      <w:r w:rsidRPr="004251E9">
        <w:rPr>
          <w:sz w:val="24"/>
          <w:szCs w:val="24"/>
          <w:lang w:val="sr-Latn-ME"/>
        </w:rPr>
        <w:t>ć</w:t>
      </w:r>
      <w:proofErr w:type="spellStart"/>
      <w:r w:rsidRPr="004251E9">
        <w:rPr>
          <w:sz w:val="24"/>
          <w:szCs w:val="24"/>
        </w:rPr>
        <w:t>iti</w:t>
      </w:r>
      <w:proofErr w:type="spellEnd"/>
      <w:r w:rsidRPr="004251E9">
        <w:rPr>
          <w:sz w:val="24"/>
          <w:szCs w:val="24"/>
          <w:lang w:val="sr-Latn-ME"/>
        </w:rPr>
        <w:t xml:space="preserve"> </w:t>
      </w:r>
      <w:proofErr w:type="spellStart"/>
      <w:r w:rsidRPr="004251E9">
        <w:rPr>
          <w:sz w:val="24"/>
          <w:szCs w:val="24"/>
        </w:rPr>
        <w:t>prijavljivanje</w:t>
      </w:r>
      <w:proofErr w:type="spellEnd"/>
      <w:r w:rsidRPr="004251E9">
        <w:rPr>
          <w:sz w:val="24"/>
          <w:szCs w:val="24"/>
          <w:lang w:val="sr-Latn-ME"/>
        </w:rPr>
        <w:t xml:space="preserve"> </w:t>
      </w:r>
      <w:proofErr w:type="spellStart"/>
      <w:r w:rsidRPr="004251E9">
        <w:rPr>
          <w:sz w:val="24"/>
          <w:szCs w:val="24"/>
        </w:rPr>
        <w:t>i</w:t>
      </w:r>
      <w:proofErr w:type="spellEnd"/>
      <w:r w:rsidRPr="004251E9">
        <w:rPr>
          <w:sz w:val="24"/>
          <w:szCs w:val="24"/>
          <w:lang w:val="sr-Latn-ME"/>
        </w:rPr>
        <w:t xml:space="preserve"> </w:t>
      </w:r>
      <w:proofErr w:type="spellStart"/>
      <w:r w:rsidRPr="004251E9">
        <w:rPr>
          <w:sz w:val="24"/>
          <w:szCs w:val="24"/>
        </w:rPr>
        <w:t>ispunjenje</w:t>
      </w:r>
      <w:proofErr w:type="spellEnd"/>
      <w:r w:rsidRPr="004251E9">
        <w:rPr>
          <w:sz w:val="24"/>
          <w:szCs w:val="24"/>
          <w:lang w:val="sr-Latn-ME"/>
        </w:rPr>
        <w:t xml:space="preserve"> </w:t>
      </w:r>
      <w:proofErr w:type="spellStart"/>
      <w:r w:rsidRPr="004251E9">
        <w:rPr>
          <w:sz w:val="24"/>
          <w:szCs w:val="24"/>
        </w:rPr>
        <w:t>standarda</w:t>
      </w:r>
      <w:proofErr w:type="spellEnd"/>
      <w:r w:rsidRPr="004251E9">
        <w:rPr>
          <w:sz w:val="24"/>
          <w:szCs w:val="24"/>
          <w:lang w:val="sr-Latn-ME"/>
        </w:rPr>
        <w:t xml:space="preserve"> </w:t>
      </w:r>
      <w:r w:rsidRPr="004251E9">
        <w:rPr>
          <w:sz w:val="24"/>
          <w:szCs w:val="24"/>
        </w:rPr>
        <w:t>u</w:t>
      </w:r>
      <w:r w:rsidRPr="004251E9">
        <w:rPr>
          <w:sz w:val="24"/>
          <w:szCs w:val="24"/>
          <w:lang w:val="sr-Latn-ME"/>
        </w:rPr>
        <w:t xml:space="preserve"> </w:t>
      </w:r>
      <w:proofErr w:type="spellStart"/>
      <w:r w:rsidRPr="004251E9">
        <w:rPr>
          <w:sz w:val="24"/>
          <w:szCs w:val="24"/>
        </w:rPr>
        <w:t>prodaji</w:t>
      </w:r>
      <w:proofErr w:type="spellEnd"/>
      <w:r w:rsidRPr="004251E9">
        <w:rPr>
          <w:sz w:val="24"/>
          <w:szCs w:val="24"/>
          <w:lang w:val="sr-Latn-ME"/>
        </w:rPr>
        <w:t xml:space="preserve"> </w:t>
      </w:r>
      <w:proofErr w:type="spellStart"/>
      <w:r w:rsidRPr="004251E9">
        <w:rPr>
          <w:sz w:val="24"/>
          <w:szCs w:val="24"/>
        </w:rPr>
        <w:t>proizvoda</w:t>
      </w:r>
      <w:proofErr w:type="spellEnd"/>
      <w:r w:rsidRPr="004251E9">
        <w:rPr>
          <w:sz w:val="24"/>
          <w:szCs w:val="24"/>
          <w:lang w:val="sr-Latn-ME"/>
        </w:rPr>
        <w:t xml:space="preserve"> </w:t>
      </w:r>
      <w:proofErr w:type="spellStart"/>
      <w:r w:rsidRPr="004251E9">
        <w:rPr>
          <w:sz w:val="24"/>
          <w:szCs w:val="24"/>
        </w:rPr>
        <w:t>sa</w:t>
      </w:r>
      <w:proofErr w:type="spellEnd"/>
      <w:r w:rsidRPr="004251E9">
        <w:rPr>
          <w:sz w:val="24"/>
          <w:szCs w:val="24"/>
          <w:lang w:val="sr-Latn-ME"/>
        </w:rPr>
        <w:t xml:space="preserve"> </w:t>
      </w:r>
      <w:r w:rsidR="00442888">
        <w:rPr>
          <w:sz w:val="24"/>
          <w:szCs w:val="24"/>
          <w:lang w:val="sr-Latn-ME"/>
        </w:rPr>
        <w:t>„</w:t>
      </w:r>
      <w:proofErr w:type="spellStart"/>
      <w:r w:rsidRPr="004251E9">
        <w:rPr>
          <w:sz w:val="24"/>
          <w:szCs w:val="24"/>
        </w:rPr>
        <w:t>ku</w:t>
      </w:r>
      <w:proofErr w:type="spellEnd"/>
      <w:r w:rsidRPr="004251E9">
        <w:rPr>
          <w:sz w:val="24"/>
          <w:szCs w:val="24"/>
          <w:lang w:val="sr-Latn-ME"/>
        </w:rPr>
        <w:t>ć</w:t>
      </w:r>
      <w:proofErr w:type="spellStart"/>
      <w:r w:rsidRPr="004251E9">
        <w:rPr>
          <w:sz w:val="24"/>
          <w:szCs w:val="24"/>
        </w:rPr>
        <w:t>nog</w:t>
      </w:r>
      <w:proofErr w:type="spellEnd"/>
      <w:r w:rsidRPr="004251E9">
        <w:rPr>
          <w:sz w:val="24"/>
          <w:szCs w:val="24"/>
          <w:lang w:val="sr-Latn-ME"/>
        </w:rPr>
        <w:t xml:space="preserve"> </w:t>
      </w:r>
      <w:proofErr w:type="spellStart"/>
      <w:r w:rsidRPr="004251E9">
        <w:rPr>
          <w:sz w:val="24"/>
          <w:szCs w:val="24"/>
        </w:rPr>
        <w:t>praga</w:t>
      </w:r>
      <w:proofErr w:type="spellEnd"/>
      <w:r w:rsidR="00442888" w:rsidRPr="0013035E">
        <w:rPr>
          <w:sz w:val="24"/>
          <w:szCs w:val="24"/>
          <w:lang w:val="sr-Latn-ME"/>
        </w:rPr>
        <w:t>”</w:t>
      </w:r>
      <w:r w:rsidRPr="004251E9">
        <w:rPr>
          <w:sz w:val="24"/>
          <w:szCs w:val="24"/>
          <w:lang w:val="sr-Latn-ME"/>
        </w:rPr>
        <w:t xml:space="preserve">, </w:t>
      </w:r>
      <w:proofErr w:type="spellStart"/>
      <w:r w:rsidRPr="004251E9">
        <w:rPr>
          <w:sz w:val="24"/>
          <w:szCs w:val="24"/>
        </w:rPr>
        <w:t>dok</w:t>
      </w:r>
      <w:proofErr w:type="spellEnd"/>
      <w:r w:rsidRPr="004251E9">
        <w:rPr>
          <w:sz w:val="24"/>
          <w:szCs w:val="24"/>
          <w:lang w:val="sr-Latn-ME"/>
        </w:rPr>
        <w:t xml:space="preserve"> </w:t>
      </w:r>
      <w:r w:rsidRPr="004251E9">
        <w:rPr>
          <w:sz w:val="24"/>
          <w:szCs w:val="24"/>
        </w:rPr>
        <w:t>je</w:t>
      </w:r>
      <w:r w:rsidRPr="004251E9">
        <w:rPr>
          <w:sz w:val="24"/>
          <w:szCs w:val="24"/>
          <w:lang w:val="sr-Latn-ME"/>
        </w:rPr>
        <w:t xml:space="preserve"> </w:t>
      </w:r>
      <w:r w:rsidRPr="004251E9">
        <w:rPr>
          <w:sz w:val="24"/>
          <w:szCs w:val="24"/>
        </w:rPr>
        <w:t>u</w:t>
      </w:r>
      <w:r w:rsidRPr="004251E9">
        <w:rPr>
          <w:sz w:val="24"/>
          <w:szCs w:val="24"/>
          <w:lang w:val="sr-Latn-ME"/>
        </w:rPr>
        <w:t xml:space="preserve"> š</w:t>
      </w:r>
      <w:proofErr w:type="spellStart"/>
      <w:r w:rsidRPr="004251E9">
        <w:rPr>
          <w:sz w:val="24"/>
          <w:szCs w:val="24"/>
        </w:rPr>
        <w:t>umarstvu</w:t>
      </w:r>
      <w:proofErr w:type="spellEnd"/>
      <w:r w:rsidRPr="004251E9">
        <w:rPr>
          <w:sz w:val="24"/>
          <w:szCs w:val="24"/>
          <w:lang w:val="sr-Latn-ME"/>
        </w:rPr>
        <w:t xml:space="preserve"> </w:t>
      </w:r>
      <w:proofErr w:type="spellStart"/>
      <w:r w:rsidRPr="004251E9">
        <w:rPr>
          <w:sz w:val="24"/>
          <w:szCs w:val="24"/>
        </w:rPr>
        <w:t>neophodno</w:t>
      </w:r>
      <w:proofErr w:type="spellEnd"/>
      <w:r w:rsidRPr="004251E9">
        <w:rPr>
          <w:sz w:val="24"/>
          <w:szCs w:val="24"/>
          <w:lang w:val="sr-Latn-ME"/>
        </w:rPr>
        <w:t xml:space="preserve"> sprovesti reformu</w:t>
      </w:r>
      <w:r w:rsidRPr="00686BAF">
        <w:rPr>
          <w:sz w:val="24"/>
          <w:szCs w:val="24"/>
          <w:lang w:val="sr-Latn-ME"/>
        </w:rPr>
        <w:t xml:space="preserve"> </w:t>
      </w:r>
      <w:proofErr w:type="spellStart"/>
      <w:r w:rsidRPr="004251E9">
        <w:rPr>
          <w:sz w:val="24"/>
          <w:szCs w:val="24"/>
        </w:rPr>
        <w:t>kojom</w:t>
      </w:r>
      <w:proofErr w:type="spellEnd"/>
      <w:r w:rsidRPr="005D1D51">
        <w:rPr>
          <w:sz w:val="24"/>
          <w:szCs w:val="24"/>
          <w:lang w:val="sr-Latn-ME"/>
        </w:rPr>
        <w:t xml:space="preserve"> ć</w:t>
      </w:r>
      <w:r w:rsidRPr="004251E9">
        <w:rPr>
          <w:sz w:val="24"/>
          <w:szCs w:val="24"/>
        </w:rPr>
        <w:t>e</w:t>
      </w:r>
      <w:r w:rsidRPr="0013035E">
        <w:rPr>
          <w:sz w:val="24"/>
          <w:szCs w:val="24"/>
          <w:lang w:val="sr-Latn-ME"/>
        </w:rPr>
        <w:t xml:space="preserve"> </w:t>
      </w:r>
      <w:r w:rsidRPr="004251E9">
        <w:rPr>
          <w:sz w:val="24"/>
          <w:szCs w:val="24"/>
        </w:rPr>
        <w:t>se</w:t>
      </w:r>
      <w:r w:rsidRPr="0013035E">
        <w:rPr>
          <w:sz w:val="24"/>
          <w:szCs w:val="24"/>
          <w:lang w:val="sr-Latn-ME"/>
        </w:rPr>
        <w:t xml:space="preserve"> </w:t>
      </w:r>
      <w:proofErr w:type="spellStart"/>
      <w:r w:rsidRPr="004251E9">
        <w:rPr>
          <w:sz w:val="24"/>
          <w:szCs w:val="24"/>
        </w:rPr>
        <w:t>napustiti</w:t>
      </w:r>
      <w:proofErr w:type="spellEnd"/>
      <w:r w:rsidRPr="0013035E">
        <w:rPr>
          <w:sz w:val="24"/>
          <w:szCs w:val="24"/>
          <w:lang w:val="sr-Latn-ME"/>
        </w:rPr>
        <w:t xml:space="preserve"> </w:t>
      </w:r>
      <w:proofErr w:type="spellStart"/>
      <w:r w:rsidRPr="004251E9">
        <w:rPr>
          <w:sz w:val="24"/>
          <w:szCs w:val="24"/>
        </w:rPr>
        <w:t>koncept</w:t>
      </w:r>
      <w:proofErr w:type="spellEnd"/>
      <w:r w:rsidRPr="0013035E">
        <w:rPr>
          <w:sz w:val="24"/>
          <w:szCs w:val="24"/>
          <w:lang w:val="sr-Latn-ME"/>
        </w:rPr>
        <w:t xml:space="preserve"> </w:t>
      </w:r>
      <w:proofErr w:type="spellStart"/>
      <w:r w:rsidRPr="004251E9">
        <w:rPr>
          <w:sz w:val="24"/>
          <w:szCs w:val="24"/>
        </w:rPr>
        <w:t>prodaje</w:t>
      </w:r>
      <w:proofErr w:type="spellEnd"/>
      <w:r w:rsidRPr="00686BAF">
        <w:rPr>
          <w:sz w:val="24"/>
          <w:szCs w:val="24"/>
          <w:lang w:val="sr-Latn-ME"/>
        </w:rPr>
        <w:t xml:space="preserve"> </w:t>
      </w:r>
      <w:proofErr w:type="spellStart"/>
      <w:r w:rsidRPr="004251E9">
        <w:rPr>
          <w:sz w:val="24"/>
          <w:szCs w:val="24"/>
        </w:rPr>
        <w:t>drveta</w:t>
      </w:r>
      <w:proofErr w:type="spellEnd"/>
      <w:r w:rsidRPr="0013035E">
        <w:rPr>
          <w:sz w:val="24"/>
          <w:szCs w:val="24"/>
          <w:lang w:val="sr-Latn-ME"/>
        </w:rPr>
        <w:t xml:space="preserve"> </w:t>
      </w:r>
      <w:r w:rsidRPr="004251E9">
        <w:rPr>
          <w:sz w:val="24"/>
          <w:szCs w:val="24"/>
        </w:rPr>
        <w:t>u</w:t>
      </w:r>
      <w:r w:rsidRPr="00686BAF">
        <w:rPr>
          <w:sz w:val="24"/>
          <w:szCs w:val="24"/>
          <w:lang w:val="sr-Latn-ME"/>
        </w:rPr>
        <w:t xml:space="preserve"> </w:t>
      </w:r>
      <w:proofErr w:type="spellStart"/>
      <w:r w:rsidRPr="004251E9">
        <w:rPr>
          <w:sz w:val="24"/>
          <w:szCs w:val="24"/>
        </w:rPr>
        <w:t>dube</w:t>
      </w:r>
      <w:proofErr w:type="spellEnd"/>
      <w:r w:rsidRPr="005D1D51">
        <w:rPr>
          <w:sz w:val="24"/>
          <w:szCs w:val="24"/>
          <w:lang w:val="sr-Latn-ME"/>
        </w:rPr>
        <w:t>ć</w:t>
      </w:r>
      <w:proofErr w:type="spellStart"/>
      <w:r w:rsidRPr="004251E9">
        <w:rPr>
          <w:sz w:val="24"/>
          <w:szCs w:val="24"/>
        </w:rPr>
        <w:t>em</w:t>
      </w:r>
      <w:proofErr w:type="spellEnd"/>
      <w:r w:rsidRPr="0013035E">
        <w:rPr>
          <w:sz w:val="24"/>
          <w:szCs w:val="24"/>
          <w:lang w:val="sr-Latn-ME"/>
        </w:rPr>
        <w:t xml:space="preserve"> </w:t>
      </w:r>
      <w:proofErr w:type="spellStart"/>
      <w:r w:rsidRPr="004251E9">
        <w:rPr>
          <w:sz w:val="24"/>
          <w:szCs w:val="24"/>
        </w:rPr>
        <w:t>stanju</w:t>
      </w:r>
      <w:proofErr w:type="spellEnd"/>
      <w:r w:rsidRPr="005D1D51">
        <w:rPr>
          <w:sz w:val="24"/>
          <w:szCs w:val="24"/>
          <w:lang w:val="sr-Latn-ME"/>
        </w:rPr>
        <w:t xml:space="preserve"> </w:t>
      </w:r>
      <w:proofErr w:type="spellStart"/>
      <w:r w:rsidRPr="004251E9">
        <w:rPr>
          <w:sz w:val="24"/>
          <w:szCs w:val="24"/>
        </w:rPr>
        <w:t>uz</w:t>
      </w:r>
      <w:proofErr w:type="spellEnd"/>
      <w:r w:rsidRPr="0013035E">
        <w:rPr>
          <w:sz w:val="24"/>
          <w:szCs w:val="24"/>
          <w:lang w:val="sr-Latn-ME"/>
        </w:rPr>
        <w:t xml:space="preserve"> </w:t>
      </w:r>
      <w:proofErr w:type="spellStart"/>
      <w:r w:rsidRPr="004251E9">
        <w:rPr>
          <w:sz w:val="24"/>
          <w:szCs w:val="24"/>
        </w:rPr>
        <w:t>naknadu</w:t>
      </w:r>
      <w:proofErr w:type="spellEnd"/>
      <w:r w:rsidRPr="0013035E">
        <w:rPr>
          <w:sz w:val="24"/>
          <w:szCs w:val="24"/>
          <w:lang w:val="sr-Latn-ME"/>
        </w:rPr>
        <w:t xml:space="preserve">, </w:t>
      </w:r>
      <w:proofErr w:type="spellStart"/>
      <w:r w:rsidRPr="004251E9">
        <w:rPr>
          <w:sz w:val="24"/>
          <w:szCs w:val="24"/>
        </w:rPr>
        <w:t>uvesti</w:t>
      </w:r>
      <w:proofErr w:type="spellEnd"/>
      <w:r w:rsidRPr="0013035E">
        <w:rPr>
          <w:sz w:val="24"/>
          <w:szCs w:val="24"/>
          <w:lang w:val="sr-Latn-ME"/>
        </w:rPr>
        <w:t xml:space="preserve"> </w:t>
      </w:r>
      <w:proofErr w:type="spellStart"/>
      <w:r w:rsidRPr="004251E9">
        <w:rPr>
          <w:sz w:val="24"/>
          <w:szCs w:val="24"/>
        </w:rPr>
        <w:t>koncept</w:t>
      </w:r>
      <w:proofErr w:type="spellEnd"/>
      <w:r w:rsidRPr="0013035E">
        <w:rPr>
          <w:sz w:val="24"/>
          <w:szCs w:val="24"/>
          <w:lang w:val="sr-Latn-ME"/>
        </w:rPr>
        <w:t xml:space="preserve"> </w:t>
      </w:r>
      <w:proofErr w:type="spellStart"/>
      <w:r w:rsidRPr="004251E9">
        <w:rPr>
          <w:sz w:val="24"/>
          <w:szCs w:val="24"/>
        </w:rPr>
        <w:t>prodaje</w:t>
      </w:r>
      <w:proofErr w:type="spellEnd"/>
      <w:r w:rsidRPr="0013035E">
        <w:rPr>
          <w:sz w:val="24"/>
          <w:szCs w:val="24"/>
          <w:lang w:val="sr-Latn-ME"/>
        </w:rPr>
        <w:t xml:space="preserve"> </w:t>
      </w:r>
      <w:proofErr w:type="spellStart"/>
      <w:r w:rsidRPr="004251E9">
        <w:rPr>
          <w:sz w:val="24"/>
          <w:szCs w:val="24"/>
        </w:rPr>
        <w:t>drvnih</w:t>
      </w:r>
      <w:proofErr w:type="spellEnd"/>
      <w:r w:rsidRPr="0013035E">
        <w:rPr>
          <w:sz w:val="24"/>
          <w:szCs w:val="24"/>
          <w:lang w:val="sr-Latn-ME"/>
        </w:rPr>
        <w:t xml:space="preserve"> </w:t>
      </w:r>
      <w:proofErr w:type="spellStart"/>
      <w:r w:rsidRPr="004251E9">
        <w:rPr>
          <w:sz w:val="24"/>
          <w:szCs w:val="24"/>
        </w:rPr>
        <w:t>sortimenata</w:t>
      </w:r>
      <w:proofErr w:type="spellEnd"/>
      <w:r w:rsidRPr="0013035E">
        <w:rPr>
          <w:sz w:val="24"/>
          <w:szCs w:val="24"/>
          <w:lang w:val="sr-Latn-ME"/>
        </w:rPr>
        <w:t xml:space="preserve"> </w:t>
      </w:r>
      <w:r w:rsidRPr="004251E9">
        <w:rPr>
          <w:sz w:val="24"/>
          <w:szCs w:val="24"/>
        </w:rPr>
        <w:t>u</w:t>
      </w:r>
      <w:r w:rsidRPr="0013035E">
        <w:rPr>
          <w:sz w:val="24"/>
          <w:szCs w:val="24"/>
          <w:lang w:val="sr-Latn-ME"/>
        </w:rPr>
        <w:t xml:space="preserve"> </w:t>
      </w:r>
      <w:proofErr w:type="spellStart"/>
      <w:r w:rsidRPr="004251E9">
        <w:rPr>
          <w:sz w:val="24"/>
          <w:szCs w:val="24"/>
        </w:rPr>
        <w:t>organizaciji</w:t>
      </w:r>
      <w:proofErr w:type="spellEnd"/>
      <w:r w:rsidRPr="0013035E">
        <w:rPr>
          <w:sz w:val="24"/>
          <w:szCs w:val="24"/>
          <w:lang w:val="sr-Latn-ME"/>
        </w:rPr>
        <w:t xml:space="preserve"> </w:t>
      </w:r>
      <w:proofErr w:type="spellStart"/>
      <w:r w:rsidRPr="004251E9">
        <w:rPr>
          <w:sz w:val="24"/>
          <w:szCs w:val="24"/>
        </w:rPr>
        <w:t>dr</w:t>
      </w:r>
      <w:proofErr w:type="spellEnd"/>
      <w:r w:rsidRPr="0013035E">
        <w:rPr>
          <w:sz w:val="24"/>
          <w:szCs w:val="24"/>
          <w:lang w:val="sr-Latn-ME"/>
        </w:rPr>
        <w:t>ž</w:t>
      </w:r>
      <w:proofErr w:type="spellStart"/>
      <w:r w:rsidRPr="004251E9">
        <w:rPr>
          <w:sz w:val="24"/>
          <w:szCs w:val="24"/>
        </w:rPr>
        <w:t>avnog</w:t>
      </w:r>
      <w:proofErr w:type="spellEnd"/>
      <w:r w:rsidRPr="0013035E">
        <w:rPr>
          <w:sz w:val="24"/>
          <w:szCs w:val="24"/>
          <w:lang w:val="sr-Latn-ME"/>
        </w:rPr>
        <w:t xml:space="preserve"> </w:t>
      </w:r>
      <w:proofErr w:type="spellStart"/>
      <w:r w:rsidRPr="004251E9">
        <w:rPr>
          <w:sz w:val="24"/>
          <w:szCs w:val="24"/>
        </w:rPr>
        <w:t>preduze</w:t>
      </w:r>
      <w:proofErr w:type="spellEnd"/>
      <w:r w:rsidRPr="0013035E">
        <w:rPr>
          <w:sz w:val="24"/>
          <w:szCs w:val="24"/>
          <w:lang w:val="sr-Latn-ME"/>
        </w:rPr>
        <w:t>ć</w:t>
      </w:r>
      <w:r w:rsidRPr="004251E9">
        <w:rPr>
          <w:sz w:val="24"/>
          <w:szCs w:val="24"/>
        </w:rPr>
        <w:t>a</w:t>
      </w:r>
      <w:r w:rsidRPr="0013035E">
        <w:rPr>
          <w:sz w:val="24"/>
          <w:szCs w:val="24"/>
          <w:lang w:val="sr-Latn-ME"/>
        </w:rPr>
        <w:t xml:space="preserve">, </w:t>
      </w:r>
      <w:proofErr w:type="spellStart"/>
      <w:r w:rsidRPr="004251E9">
        <w:rPr>
          <w:sz w:val="24"/>
          <w:szCs w:val="24"/>
        </w:rPr>
        <w:t>koje</w:t>
      </w:r>
      <w:proofErr w:type="spellEnd"/>
      <w:r w:rsidRPr="0013035E">
        <w:rPr>
          <w:sz w:val="24"/>
          <w:szCs w:val="24"/>
          <w:lang w:val="sr-Latn-ME"/>
        </w:rPr>
        <w:t xml:space="preserve"> ć</w:t>
      </w:r>
      <w:r w:rsidRPr="004251E9">
        <w:rPr>
          <w:sz w:val="24"/>
          <w:szCs w:val="24"/>
        </w:rPr>
        <w:t>e</w:t>
      </w:r>
      <w:r w:rsidRPr="0013035E">
        <w:rPr>
          <w:sz w:val="24"/>
          <w:szCs w:val="24"/>
          <w:lang w:val="sr-Latn-ME"/>
        </w:rPr>
        <w:t xml:space="preserve"> </w:t>
      </w:r>
      <w:proofErr w:type="spellStart"/>
      <w:r w:rsidRPr="004251E9">
        <w:rPr>
          <w:sz w:val="24"/>
          <w:szCs w:val="24"/>
        </w:rPr>
        <w:t>biti</w:t>
      </w:r>
      <w:proofErr w:type="spellEnd"/>
      <w:r w:rsidRPr="0013035E">
        <w:rPr>
          <w:sz w:val="24"/>
          <w:szCs w:val="24"/>
          <w:lang w:val="sr-Latn-ME"/>
        </w:rPr>
        <w:t xml:space="preserve"> </w:t>
      </w:r>
      <w:proofErr w:type="spellStart"/>
      <w:r w:rsidRPr="004251E9">
        <w:rPr>
          <w:sz w:val="24"/>
          <w:szCs w:val="24"/>
        </w:rPr>
        <w:t>poreski</w:t>
      </w:r>
      <w:proofErr w:type="spellEnd"/>
      <w:r w:rsidRPr="0013035E">
        <w:rPr>
          <w:sz w:val="24"/>
          <w:szCs w:val="24"/>
          <w:lang w:val="sr-Latn-ME"/>
        </w:rPr>
        <w:t xml:space="preserve"> </w:t>
      </w:r>
      <w:proofErr w:type="spellStart"/>
      <w:r w:rsidRPr="004251E9">
        <w:rPr>
          <w:sz w:val="24"/>
          <w:szCs w:val="24"/>
        </w:rPr>
        <w:t>obveznik</w:t>
      </w:r>
      <w:proofErr w:type="spellEnd"/>
      <w:r w:rsidRPr="0013035E">
        <w:rPr>
          <w:sz w:val="24"/>
          <w:szCs w:val="24"/>
          <w:lang w:val="sr-Latn-ME"/>
        </w:rPr>
        <w:t xml:space="preserve">. </w:t>
      </w:r>
      <w:proofErr w:type="spellStart"/>
      <w:r w:rsidRPr="004251E9">
        <w:rPr>
          <w:sz w:val="24"/>
          <w:szCs w:val="24"/>
        </w:rPr>
        <w:t>Osnivanje</w:t>
      </w:r>
      <w:proofErr w:type="spellEnd"/>
      <w:r w:rsidRPr="0013035E">
        <w:rPr>
          <w:sz w:val="24"/>
          <w:szCs w:val="24"/>
          <w:lang w:val="sr-Latn-ME"/>
        </w:rPr>
        <w:t xml:space="preserve"> </w:t>
      </w:r>
      <w:proofErr w:type="spellStart"/>
      <w:r w:rsidRPr="004251E9">
        <w:rPr>
          <w:sz w:val="24"/>
          <w:szCs w:val="24"/>
        </w:rPr>
        <w:t>dr</w:t>
      </w:r>
      <w:proofErr w:type="spellEnd"/>
      <w:r w:rsidRPr="0013035E">
        <w:rPr>
          <w:sz w:val="24"/>
          <w:szCs w:val="24"/>
          <w:lang w:val="sr-Latn-ME"/>
        </w:rPr>
        <w:t>ž</w:t>
      </w:r>
      <w:proofErr w:type="spellStart"/>
      <w:r w:rsidRPr="004251E9">
        <w:rPr>
          <w:sz w:val="24"/>
          <w:szCs w:val="24"/>
        </w:rPr>
        <w:t>avnog</w:t>
      </w:r>
      <w:proofErr w:type="spellEnd"/>
      <w:r w:rsidRPr="0013035E">
        <w:rPr>
          <w:sz w:val="24"/>
          <w:szCs w:val="24"/>
          <w:lang w:val="sr-Latn-ME"/>
        </w:rPr>
        <w:t xml:space="preserve"> </w:t>
      </w:r>
      <w:proofErr w:type="spellStart"/>
      <w:r w:rsidRPr="004251E9">
        <w:rPr>
          <w:sz w:val="24"/>
          <w:szCs w:val="24"/>
        </w:rPr>
        <w:t>preduze</w:t>
      </w:r>
      <w:proofErr w:type="spellEnd"/>
      <w:r w:rsidRPr="0013035E">
        <w:rPr>
          <w:sz w:val="24"/>
          <w:szCs w:val="24"/>
          <w:lang w:val="sr-Latn-ME"/>
        </w:rPr>
        <w:t>ć</w:t>
      </w:r>
      <w:r w:rsidRPr="004251E9">
        <w:rPr>
          <w:sz w:val="24"/>
          <w:szCs w:val="24"/>
        </w:rPr>
        <w:t>a</w:t>
      </w:r>
      <w:r w:rsidRPr="0013035E">
        <w:rPr>
          <w:sz w:val="24"/>
          <w:szCs w:val="24"/>
          <w:lang w:val="sr-Latn-ME"/>
        </w:rPr>
        <w:t xml:space="preserve"> </w:t>
      </w:r>
      <w:r w:rsidRPr="004251E9">
        <w:rPr>
          <w:sz w:val="24"/>
          <w:szCs w:val="24"/>
        </w:rPr>
        <w:t>za</w:t>
      </w:r>
      <w:r w:rsidRPr="0013035E">
        <w:rPr>
          <w:sz w:val="24"/>
          <w:szCs w:val="24"/>
          <w:lang w:val="sr-Latn-ME"/>
        </w:rPr>
        <w:t xml:space="preserve"> </w:t>
      </w:r>
      <w:proofErr w:type="spellStart"/>
      <w:r w:rsidRPr="004251E9">
        <w:rPr>
          <w:sz w:val="24"/>
          <w:szCs w:val="24"/>
        </w:rPr>
        <w:t>gazdovanje</w:t>
      </w:r>
      <w:proofErr w:type="spellEnd"/>
      <w:r w:rsidRPr="0013035E">
        <w:rPr>
          <w:sz w:val="24"/>
          <w:szCs w:val="24"/>
          <w:lang w:val="sr-Latn-ME"/>
        </w:rPr>
        <w:t xml:space="preserve"> š</w:t>
      </w:r>
      <w:proofErr w:type="spellStart"/>
      <w:r w:rsidRPr="004251E9">
        <w:rPr>
          <w:sz w:val="24"/>
          <w:szCs w:val="24"/>
        </w:rPr>
        <w:t>umama</w:t>
      </w:r>
      <w:proofErr w:type="spellEnd"/>
      <w:r w:rsidRPr="0013035E">
        <w:rPr>
          <w:sz w:val="24"/>
          <w:szCs w:val="24"/>
          <w:lang w:val="sr-Latn-ME"/>
        </w:rPr>
        <w:t xml:space="preserve"> </w:t>
      </w:r>
      <w:r w:rsidRPr="004251E9">
        <w:rPr>
          <w:sz w:val="24"/>
          <w:szCs w:val="24"/>
        </w:rPr>
        <w:t>se</w:t>
      </w:r>
      <w:r w:rsidRPr="0013035E">
        <w:rPr>
          <w:sz w:val="24"/>
          <w:szCs w:val="24"/>
          <w:lang w:val="sr-Latn-ME"/>
        </w:rPr>
        <w:t xml:space="preserve"> </w:t>
      </w:r>
      <w:proofErr w:type="spellStart"/>
      <w:r w:rsidRPr="004251E9">
        <w:rPr>
          <w:sz w:val="24"/>
          <w:szCs w:val="24"/>
        </w:rPr>
        <w:t>omogu</w:t>
      </w:r>
      <w:proofErr w:type="spellEnd"/>
      <w:r w:rsidRPr="0013035E">
        <w:rPr>
          <w:sz w:val="24"/>
          <w:szCs w:val="24"/>
          <w:lang w:val="sr-Latn-ME"/>
        </w:rPr>
        <w:t>ć</w:t>
      </w:r>
      <w:proofErr w:type="spellStart"/>
      <w:r w:rsidRPr="004251E9">
        <w:rPr>
          <w:sz w:val="24"/>
          <w:szCs w:val="24"/>
        </w:rPr>
        <w:t>iti</w:t>
      </w:r>
      <w:proofErr w:type="spellEnd"/>
      <w:r w:rsidRPr="0013035E">
        <w:rPr>
          <w:sz w:val="24"/>
          <w:szCs w:val="24"/>
          <w:lang w:val="sr-Latn-ME"/>
        </w:rPr>
        <w:t xml:space="preserve"> </w:t>
      </w:r>
      <w:proofErr w:type="spellStart"/>
      <w:r w:rsidRPr="004251E9">
        <w:rPr>
          <w:sz w:val="24"/>
          <w:szCs w:val="24"/>
        </w:rPr>
        <w:t>uvo</w:t>
      </w:r>
      <w:proofErr w:type="spellEnd"/>
      <w:r w:rsidRPr="004251E9">
        <w:rPr>
          <w:sz w:val="24"/>
          <w:szCs w:val="24"/>
          <w:lang w:val="sr-Latn-ME"/>
        </w:rPr>
        <w:t>đ</w:t>
      </w:r>
      <w:proofErr w:type="spellStart"/>
      <w:r w:rsidRPr="004251E9">
        <w:rPr>
          <w:sz w:val="24"/>
          <w:szCs w:val="24"/>
        </w:rPr>
        <w:t>enje</w:t>
      </w:r>
      <w:proofErr w:type="spellEnd"/>
      <w:r w:rsidRPr="004251E9">
        <w:rPr>
          <w:sz w:val="24"/>
          <w:szCs w:val="24"/>
          <w:lang w:val="sr-Latn-ME"/>
        </w:rPr>
        <w:t xml:space="preserve"> </w:t>
      </w:r>
      <w:r w:rsidRPr="004251E9">
        <w:rPr>
          <w:sz w:val="24"/>
          <w:szCs w:val="24"/>
        </w:rPr>
        <w:t>FSC</w:t>
      </w:r>
      <w:r w:rsidRPr="004251E9">
        <w:rPr>
          <w:sz w:val="24"/>
          <w:szCs w:val="24"/>
          <w:lang w:val="sr-Latn-ME"/>
        </w:rPr>
        <w:t xml:space="preserve"> </w:t>
      </w:r>
      <w:proofErr w:type="spellStart"/>
      <w:r w:rsidRPr="004251E9">
        <w:rPr>
          <w:sz w:val="24"/>
          <w:szCs w:val="24"/>
        </w:rPr>
        <w:t>standarda</w:t>
      </w:r>
      <w:proofErr w:type="spellEnd"/>
      <w:r w:rsidRPr="004251E9">
        <w:rPr>
          <w:sz w:val="24"/>
          <w:szCs w:val="24"/>
          <w:lang w:val="sr-Latn-ME"/>
        </w:rPr>
        <w:t xml:space="preserve"> </w:t>
      </w:r>
      <w:proofErr w:type="spellStart"/>
      <w:r w:rsidRPr="004251E9">
        <w:rPr>
          <w:sz w:val="24"/>
          <w:szCs w:val="24"/>
        </w:rPr>
        <w:t>i</w:t>
      </w:r>
      <w:proofErr w:type="spellEnd"/>
      <w:r w:rsidRPr="004251E9">
        <w:rPr>
          <w:sz w:val="24"/>
          <w:szCs w:val="24"/>
          <w:lang w:val="sr-Latn-ME"/>
        </w:rPr>
        <w:t xml:space="preserve"> </w:t>
      </w:r>
      <w:proofErr w:type="spellStart"/>
      <w:r w:rsidRPr="004251E9">
        <w:rPr>
          <w:sz w:val="24"/>
          <w:szCs w:val="24"/>
        </w:rPr>
        <w:t>unaprijediti</w:t>
      </w:r>
      <w:proofErr w:type="spellEnd"/>
      <w:r w:rsidRPr="004251E9">
        <w:rPr>
          <w:sz w:val="24"/>
          <w:szCs w:val="24"/>
          <w:lang w:val="sr-Latn-ME"/>
        </w:rPr>
        <w:t xml:space="preserve"> </w:t>
      </w:r>
      <w:proofErr w:type="spellStart"/>
      <w:r w:rsidRPr="004251E9">
        <w:rPr>
          <w:sz w:val="24"/>
          <w:szCs w:val="24"/>
        </w:rPr>
        <w:t>institucionalni</w:t>
      </w:r>
      <w:proofErr w:type="spellEnd"/>
      <w:r w:rsidRPr="004251E9">
        <w:rPr>
          <w:sz w:val="24"/>
          <w:szCs w:val="24"/>
          <w:lang w:val="sr-Latn-ME"/>
        </w:rPr>
        <w:t xml:space="preserve"> </w:t>
      </w:r>
      <w:proofErr w:type="spellStart"/>
      <w:r w:rsidRPr="004251E9">
        <w:rPr>
          <w:sz w:val="24"/>
          <w:szCs w:val="24"/>
        </w:rPr>
        <w:t>okvir</w:t>
      </w:r>
      <w:proofErr w:type="spellEnd"/>
      <w:r w:rsidRPr="004251E9">
        <w:rPr>
          <w:sz w:val="24"/>
          <w:szCs w:val="24"/>
          <w:lang w:val="sr-Latn-ME"/>
        </w:rPr>
        <w:t xml:space="preserve"> </w:t>
      </w:r>
      <w:r w:rsidRPr="004251E9">
        <w:rPr>
          <w:sz w:val="24"/>
          <w:szCs w:val="24"/>
        </w:rPr>
        <w:t>za</w:t>
      </w:r>
      <w:r w:rsidRPr="004251E9">
        <w:rPr>
          <w:sz w:val="24"/>
          <w:szCs w:val="24"/>
          <w:lang w:val="sr-Latn-ME"/>
        </w:rPr>
        <w:t xml:space="preserve"> </w:t>
      </w:r>
      <w:proofErr w:type="spellStart"/>
      <w:r w:rsidRPr="004251E9">
        <w:rPr>
          <w:sz w:val="24"/>
          <w:szCs w:val="24"/>
        </w:rPr>
        <w:t>pravilno</w:t>
      </w:r>
      <w:proofErr w:type="spellEnd"/>
      <w:r w:rsidRPr="004251E9">
        <w:rPr>
          <w:sz w:val="24"/>
          <w:szCs w:val="24"/>
          <w:lang w:val="sr-Latn-ME"/>
        </w:rPr>
        <w:t xml:space="preserve"> </w:t>
      </w:r>
      <w:proofErr w:type="spellStart"/>
      <w:r w:rsidRPr="004251E9">
        <w:rPr>
          <w:sz w:val="24"/>
          <w:szCs w:val="24"/>
        </w:rPr>
        <w:t>utvr</w:t>
      </w:r>
      <w:r w:rsidR="00442888">
        <w:rPr>
          <w:sz w:val="24"/>
          <w:szCs w:val="24"/>
        </w:rPr>
        <w:t>đ</w:t>
      </w:r>
      <w:r w:rsidRPr="004251E9">
        <w:rPr>
          <w:sz w:val="24"/>
          <w:szCs w:val="24"/>
        </w:rPr>
        <w:t>ivanje</w:t>
      </w:r>
      <w:proofErr w:type="spellEnd"/>
      <w:r w:rsidRPr="004251E9">
        <w:rPr>
          <w:sz w:val="24"/>
          <w:szCs w:val="24"/>
          <w:lang w:val="sr-Latn-ME"/>
        </w:rPr>
        <w:t xml:space="preserve"> </w:t>
      </w:r>
      <w:proofErr w:type="spellStart"/>
      <w:r w:rsidRPr="004251E9">
        <w:rPr>
          <w:sz w:val="24"/>
          <w:szCs w:val="24"/>
        </w:rPr>
        <w:t>osnovice</w:t>
      </w:r>
      <w:proofErr w:type="spellEnd"/>
      <w:r w:rsidRPr="004251E9">
        <w:rPr>
          <w:sz w:val="24"/>
          <w:szCs w:val="24"/>
          <w:lang w:val="sr-Latn-ME"/>
        </w:rPr>
        <w:t xml:space="preserve"> </w:t>
      </w:r>
      <w:proofErr w:type="spellStart"/>
      <w:r w:rsidRPr="004251E9">
        <w:rPr>
          <w:sz w:val="24"/>
          <w:szCs w:val="24"/>
        </w:rPr>
        <w:t>obra</w:t>
      </w:r>
      <w:proofErr w:type="spellEnd"/>
      <w:r w:rsidRPr="004251E9">
        <w:rPr>
          <w:sz w:val="24"/>
          <w:szCs w:val="24"/>
          <w:lang w:val="sr-Latn-ME"/>
        </w:rPr>
        <w:t>č</w:t>
      </w:r>
      <w:r w:rsidRPr="004251E9">
        <w:rPr>
          <w:sz w:val="24"/>
          <w:szCs w:val="24"/>
        </w:rPr>
        <w:t>una</w:t>
      </w:r>
      <w:r w:rsidRPr="004251E9">
        <w:rPr>
          <w:sz w:val="24"/>
          <w:szCs w:val="24"/>
          <w:lang w:val="sr-Latn-ME"/>
        </w:rPr>
        <w:t xml:space="preserve"> </w:t>
      </w:r>
      <w:r w:rsidRPr="004251E9">
        <w:rPr>
          <w:sz w:val="24"/>
          <w:szCs w:val="24"/>
        </w:rPr>
        <w:t>PDV</w:t>
      </w:r>
      <w:r w:rsidRPr="004251E9">
        <w:rPr>
          <w:sz w:val="24"/>
          <w:szCs w:val="24"/>
          <w:lang w:val="sr-Latn-ME"/>
        </w:rPr>
        <w:t>-</w:t>
      </w:r>
      <w:r w:rsidRPr="004251E9">
        <w:rPr>
          <w:sz w:val="24"/>
          <w:szCs w:val="24"/>
        </w:rPr>
        <w:t>a</w:t>
      </w:r>
      <w:r w:rsidRPr="004251E9">
        <w:rPr>
          <w:sz w:val="24"/>
          <w:szCs w:val="24"/>
          <w:lang w:val="sr-Latn-ME"/>
        </w:rPr>
        <w:t xml:space="preserve"> </w:t>
      </w:r>
      <w:proofErr w:type="spellStart"/>
      <w:r w:rsidRPr="004251E9">
        <w:rPr>
          <w:sz w:val="24"/>
          <w:szCs w:val="24"/>
        </w:rPr>
        <w:t>prilikom</w:t>
      </w:r>
      <w:proofErr w:type="spellEnd"/>
      <w:r w:rsidRPr="004251E9">
        <w:rPr>
          <w:sz w:val="24"/>
          <w:szCs w:val="24"/>
          <w:lang w:val="sr-Latn-ME"/>
        </w:rPr>
        <w:t xml:space="preserve"> </w:t>
      </w:r>
      <w:proofErr w:type="spellStart"/>
      <w:r w:rsidRPr="004251E9">
        <w:rPr>
          <w:sz w:val="24"/>
          <w:szCs w:val="24"/>
        </w:rPr>
        <w:t>prodaje</w:t>
      </w:r>
      <w:proofErr w:type="spellEnd"/>
      <w:r w:rsidRPr="004251E9">
        <w:rPr>
          <w:sz w:val="24"/>
          <w:szCs w:val="24"/>
          <w:lang w:val="sr-Latn-ME"/>
        </w:rPr>
        <w:t xml:space="preserve"> </w:t>
      </w:r>
      <w:proofErr w:type="spellStart"/>
      <w:r w:rsidRPr="004251E9">
        <w:rPr>
          <w:sz w:val="24"/>
          <w:szCs w:val="24"/>
        </w:rPr>
        <w:t>drvne</w:t>
      </w:r>
      <w:proofErr w:type="spellEnd"/>
      <w:r w:rsidRPr="004251E9">
        <w:rPr>
          <w:sz w:val="24"/>
          <w:szCs w:val="24"/>
          <w:lang w:val="sr-Latn-ME"/>
        </w:rPr>
        <w:t xml:space="preserve"> </w:t>
      </w:r>
      <w:proofErr w:type="spellStart"/>
      <w:r w:rsidRPr="004251E9">
        <w:rPr>
          <w:sz w:val="24"/>
          <w:szCs w:val="24"/>
        </w:rPr>
        <w:t>sirovine</w:t>
      </w:r>
      <w:proofErr w:type="spellEnd"/>
      <w:r w:rsidRPr="004251E9">
        <w:rPr>
          <w:sz w:val="24"/>
          <w:szCs w:val="24"/>
          <w:lang w:val="sr-Latn-ME"/>
        </w:rPr>
        <w:t xml:space="preserve">, </w:t>
      </w:r>
      <w:proofErr w:type="spellStart"/>
      <w:r w:rsidRPr="004251E9">
        <w:rPr>
          <w:sz w:val="24"/>
          <w:szCs w:val="24"/>
        </w:rPr>
        <w:t>odnosno</w:t>
      </w:r>
      <w:proofErr w:type="spellEnd"/>
      <w:r w:rsidRPr="004251E9">
        <w:rPr>
          <w:sz w:val="24"/>
          <w:szCs w:val="24"/>
          <w:lang w:val="sr-Latn-ME"/>
        </w:rPr>
        <w:t xml:space="preserve"> </w:t>
      </w:r>
      <w:proofErr w:type="spellStart"/>
      <w:r w:rsidRPr="004251E9">
        <w:rPr>
          <w:sz w:val="24"/>
          <w:szCs w:val="24"/>
        </w:rPr>
        <w:t>spre</w:t>
      </w:r>
      <w:proofErr w:type="spellEnd"/>
      <w:r w:rsidRPr="004251E9">
        <w:rPr>
          <w:sz w:val="24"/>
          <w:szCs w:val="24"/>
          <w:lang w:val="sr-Latn-ME"/>
        </w:rPr>
        <w:t>č</w:t>
      </w:r>
      <w:proofErr w:type="spellStart"/>
      <w:r w:rsidRPr="004251E9">
        <w:rPr>
          <w:sz w:val="24"/>
          <w:szCs w:val="24"/>
        </w:rPr>
        <w:t>avanje</w:t>
      </w:r>
      <w:proofErr w:type="spellEnd"/>
      <w:r w:rsidRPr="004251E9">
        <w:rPr>
          <w:sz w:val="24"/>
          <w:szCs w:val="24"/>
          <w:lang w:val="sr-Latn-ME"/>
        </w:rPr>
        <w:t xml:space="preserve"> </w:t>
      </w:r>
      <w:proofErr w:type="spellStart"/>
      <w:r w:rsidRPr="004251E9">
        <w:rPr>
          <w:sz w:val="24"/>
          <w:szCs w:val="24"/>
        </w:rPr>
        <w:t>poreske</w:t>
      </w:r>
      <w:proofErr w:type="spellEnd"/>
      <w:r w:rsidRPr="004251E9">
        <w:rPr>
          <w:sz w:val="24"/>
          <w:szCs w:val="24"/>
          <w:lang w:val="sr-Latn-ME"/>
        </w:rPr>
        <w:t xml:space="preserve"> </w:t>
      </w:r>
      <w:proofErr w:type="spellStart"/>
      <w:r w:rsidRPr="004251E9">
        <w:rPr>
          <w:sz w:val="24"/>
          <w:szCs w:val="24"/>
        </w:rPr>
        <w:t>evazije</w:t>
      </w:r>
      <w:proofErr w:type="spellEnd"/>
      <w:r w:rsidRPr="004251E9">
        <w:rPr>
          <w:sz w:val="24"/>
          <w:szCs w:val="24"/>
          <w:lang w:val="sr-Latn-ME"/>
        </w:rPr>
        <w:t>.</w:t>
      </w:r>
    </w:p>
    <w:p w14:paraId="56AB83FA" w14:textId="4FB9265C" w:rsidR="002F4D14" w:rsidRDefault="00267957" w:rsidP="001B34AD">
      <w:pPr>
        <w:jc w:val="both"/>
        <w:rPr>
          <w:sz w:val="24"/>
          <w:szCs w:val="24"/>
          <w:lang w:val="pl-PL"/>
        </w:rPr>
      </w:pPr>
      <w:proofErr w:type="spellStart"/>
      <w:r w:rsidRPr="006F03C5">
        <w:rPr>
          <w:sz w:val="24"/>
          <w:szCs w:val="24"/>
        </w:rPr>
        <w:t>Tako</w:t>
      </w:r>
      <w:proofErr w:type="spellEnd"/>
      <w:r w:rsidRPr="0013035E">
        <w:rPr>
          <w:sz w:val="24"/>
          <w:szCs w:val="24"/>
          <w:lang w:val="sr-Latn-ME"/>
        </w:rPr>
        <w:t>đ</w:t>
      </w:r>
      <w:r w:rsidRPr="006F03C5">
        <w:rPr>
          <w:sz w:val="24"/>
          <w:szCs w:val="24"/>
        </w:rPr>
        <w:t>e</w:t>
      </w:r>
      <w:r w:rsidRPr="0013035E">
        <w:rPr>
          <w:sz w:val="24"/>
          <w:szCs w:val="24"/>
          <w:lang w:val="sr-Latn-ME"/>
        </w:rPr>
        <w:t xml:space="preserve">, </w:t>
      </w:r>
      <w:proofErr w:type="spellStart"/>
      <w:r w:rsidRPr="006F03C5">
        <w:rPr>
          <w:sz w:val="24"/>
          <w:szCs w:val="24"/>
        </w:rPr>
        <w:t>na</w:t>
      </w:r>
      <w:proofErr w:type="spellEnd"/>
      <w:r w:rsidRPr="0013035E">
        <w:rPr>
          <w:sz w:val="24"/>
          <w:szCs w:val="24"/>
          <w:lang w:val="sr-Latn-ME"/>
        </w:rPr>
        <w:t xml:space="preserve"> </w:t>
      </w:r>
      <w:proofErr w:type="spellStart"/>
      <w:r w:rsidRPr="006F03C5">
        <w:rPr>
          <w:sz w:val="24"/>
          <w:szCs w:val="24"/>
        </w:rPr>
        <w:t>nivou</w:t>
      </w:r>
      <w:proofErr w:type="spellEnd"/>
      <w:r w:rsidRPr="0013035E">
        <w:rPr>
          <w:sz w:val="24"/>
          <w:szCs w:val="24"/>
          <w:lang w:val="sr-Latn-ME"/>
        </w:rPr>
        <w:t xml:space="preserve"> </w:t>
      </w:r>
      <w:proofErr w:type="spellStart"/>
      <w:r w:rsidRPr="006F03C5">
        <w:rPr>
          <w:sz w:val="24"/>
          <w:szCs w:val="24"/>
        </w:rPr>
        <w:t>privrede</w:t>
      </w:r>
      <w:proofErr w:type="spellEnd"/>
      <w:r w:rsidRPr="0013035E">
        <w:rPr>
          <w:sz w:val="24"/>
          <w:szCs w:val="24"/>
          <w:lang w:val="sr-Latn-ME"/>
        </w:rPr>
        <w:t xml:space="preserve"> </w:t>
      </w:r>
      <w:r w:rsidRPr="006F03C5">
        <w:rPr>
          <w:sz w:val="24"/>
          <w:szCs w:val="24"/>
        </w:rPr>
        <w:t>u</w:t>
      </w:r>
      <w:r w:rsidRPr="0013035E">
        <w:rPr>
          <w:sz w:val="24"/>
          <w:szCs w:val="24"/>
          <w:lang w:val="sr-Latn-ME"/>
        </w:rPr>
        <w:t xml:space="preserve"> </w:t>
      </w:r>
      <w:proofErr w:type="spellStart"/>
      <w:r w:rsidRPr="006F03C5">
        <w:rPr>
          <w:sz w:val="24"/>
          <w:szCs w:val="24"/>
        </w:rPr>
        <w:t>cjelini</w:t>
      </w:r>
      <w:proofErr w:type="spellEnd"/>
      <w:r w:rsidRPr="0013035E">
        <w:rPr>
          <w:sz w:val="24"/>
          <w:szCs w:val="24"/>
          <w:lang w:val="sr-Latn-ME"/>
        </w:rPr>
        <w:t xml:space="preserve">, </w:t>
      </w:r>
      <w:proofErr w:type="spellStart"/>
      <w:r w:rsidRPr="006F03C5">
        <w:rPr>
          <w:sz w:val="24"/>
          <w:szCs w:val="24"/>
        </w:rPr>
        <w:t>neophodno</w:t>
      </w:r>
      <w:proofErr w:type="spellEnd"/>
      <w:r w:rsidRPr="0013035E">
        <w:rPr>
          <w:sz w:val="24"/>
          <w:szCs w:val="24"/>
          <w:lang w:val="sr-Latn-ME"/>
        </w:rPr>
        <w:t xml:space="preserve"> </w:t>
      </w:r>
      <w:r w:rsidRPr="006F03C5">
        <w:rPr>
          <w:sz w:val="24"/>
          <w:szCs w:val="24"/>
        </w:rPr>
        <w:t>je</w:t>
      </w:r>
      <w:r w:rsidRPr="0013035E">
        <w:rPr>
          <w:sz w:val="24"/>
          <w:szCs w:val="24"/>
          <w:lang w:val="sr-Latn-ME"/>
        </w:rPr>
        <w:t xml:space="preserve"> </w:t>
      </w:r>
      <w:proofErr w:type="spellStart"/>
      <w:r w:rsidRPr="006F03C5">
        <w:rPr>
          <w:sz w:val="24"/>
          <w:szCs w:val="24"/>
        </w:rPr>
        <w:t>formiranje</w:t>
      </w:r>
      <w:proofErr w:type="spellEnd"/>
      <w:r w:rsidRPr="0013035E">
        <w:rPr>
          <w:sz w:val="24"/>
          <w:szCs w:val="24"/>
          <w:lang w:val="sr-Latn-ME"/>
        </w:rPr>
        <w:t xml:space="preserve"> </w:t>
      </w:r>
      <w:proofErr w:type="spellStart"/>
      <w:r w:rsidRPr="006F03C5">
        <w:rPr>
          <w:sz w:val="24"/>
          <w:szCs w:val="24"/>
        </w:rPr>
        <w:t>jedinstvenog</w:t>
      </w:r>
      <w:proofErr w:type="spellEnd"/>
      <w:r w:rsidRPr="0013035E">
        <w:rPr>
          <w:sz w:val="24"/>
          <w:szCs w:val="24"/>
          <w:lang w:val="sr-Latn-ME"/>
        </w:rPr>
        <w:t xml:space="preserve"> </w:t>
      </w:r>
      <w:proofErr w:type="spellStart"/>
      <w:r w:rsidRPr="006F03C5">
        <w:rPr>
          <w:sz w:val="24"/>
          <w:szCs w:val="24"/>
        </w:rPr>
        <w:t>nacionalnog</w:t>
      </w:r>
      <w:proofErr w:type="spellEnd"/>
      <w:r w:rsidRPr="0013035E">
        <w:rPr>
          <w:sz w:val="24"/>
          <w:szCs w:val="24"/>
          <w:lang w:val="sr-Latn-ME"/>
        </w:rPr>
        <w:t xml:space="preserve"> </w:t>
      </w:r>
      <w:proofErr w:type="spellStart"/>
      <w:r w:rsidRPr="006F03C5">
        <w:rPr>
          <w:sz w:val="24"/>
          <w:szCs w:val="24"/>
        </w:rPr>
        <w:t>registra</w:t>
      </w:r>
      <w:proofErr w:type="spellEnd"/>
      <w:r w:rsidRPr="0013035E">
        <w:rPr>
          <w:sz w:val="24"/>
          <w:szCs w:val="24"/>
          <w:lang w:val="sr-Latn-ME"/>
        </w:rPr>
        <w:t xml:space="preserve"> </w:t>
      </w:r>
      <w:r w:rsidRPr="006F03C5">
        <w:rPr>
          <w:sz w:val="24"/>
          <w:szCs w:val="24"/>
        </w:rPr>
        <w:t>za</w:t>
      </w:r>
      <w:r w:rsidRPr="0013035E">
        <w:rPr>
          <w:sz w:val="24"/>
          <w:szCs w:val="24"/>
          <w:lang w:val="sr-Latn-ME"/>
        </w:rPr>
        <w:t xml:space="preserve"> </w:t>
      </w:r>
      <w:proofErr w:type="spellStart"/>
      <w:r w:rsidRPr="006F03C5">
        <w:rPr>
          <w:sz w:val="24"/>
          <w:szCs w:val="24"/>
        </w:rPr>
        <w:t>klasifikaciju</w:t>
      </w:r>
      <w:proofErr w:type="spellEnd"/>
      <w:r w:rsidRPr="0013035E">
        <w:rPr>
          <w:sz w:val="24"/>
          <w:szCs w:val="24"/>
          <w:lang w:val="sr-Latn-ME"/>
        </w:rPr>
        <w:t xml:space="preserve"> </w:t>
      </w:r>
      <w:proofErr w:type="spellStart"/>
      <w:r w:rsidRPr="006F03C5">
        <w:rPr>
          <w:sz w:val="24"/>
          <w:szCs w:val="24"/>
        </w:rPr>
        <w:t>djelatnosti</w:t>
      </w:r>
      <w:proofErr w:type="spellEnd"/>
      <w:r w:rsidRPr="0013035E">
        <w:rPr>
          <w:sz w:val="24"/>
          <w:szCs w:val="24"/>
          <w:lang w:val="sr-Latn-ME"/>
        </w:rPr>
        <w:t xml:space="preserve"> </w:t>
      </w:r>
      <w:proofErr w:type="spellStart"/>
      <w:r w:rsidRPr="006F03C5">
        <w:rPr>
          <w:sz w:val="24"/>
          <w:szCs w:val="24"/>
        </w:rPr>
        <w:t>kao</w:t>
      </w:r>
      <w:proofErr w:type="spellEnd"/>
      <w:r w:rsidRPr="0013035E">
        <w:rPr>
          <w:sz w:val="24"/>
          <w:szCs w:val="24"/>
          <w:lang w:val="sr-Latn-ME"/>
        </w:rPr>
        <w:t xml:space="preserve"> </w:t>
      </w:r>
      <w:proofErr w:type="spellStart"/>
      <w:r w:rsidRPr="006F03C5">
        <w:rPr>
          <w:sz w:val="24"/>
          <w:szCs w:val="24"/>
        </w:rPr>
        <w:t>i</w:t>
      </w:r>
      <w:proofErr w:type="spellEnd"/>
      <w:r w:rsidRPr="0013035E">
        <w:rPr>
          <w:sz w:val="24"/>
          <w:szCs w:val="24"/>
          <w:lang w:val="sr-Latn-ME"/>
        </w:rPr>
        <w:t xml:space="preserve"> </w:t>
      </w:r>
      <w:proofErr w:type="spellStart"/>
      <w:r w:rsidRPr="006F03C5">
        <w:rPr>
          <w:sz w:val="24"/>
          <w:szCs w:val="24"/>
        </w:rPr>
        <w:t>upu</w:t>
      </w:r>
      <w:r w:rsidR="006F03C5">
        <w:rPr>
          <w:sz w:val="24"/>
          <w:szCs w:val="24"/>
        </w:rPr>
        <w:t>t</w:t>
      </w:r>
      <w:r w:rsidRPr="006F03C5">
        <w:rPr>
          <w:sz w:val="24"/>
          <w:szCs w:val="24"/>
        </w:rPr>
        <w:t>stava</w:t>
      </w:r>
      <w:proofErr w:type="spellEnd"/>
      <w:r w:rsidRPr="0013035E">
        <w:rPr>
          <w:sz w:val="24"/>
          <w:szCs w:val="24"/>
          <w:lang w:val="sr-Latn-ME"/>
        </w:rPr>
        <w:t xml:space="preserve"> </w:t>
      </w:r>
      <w:r w:rsidRPr="006F03C5">
        <w:rPr>
          <w:sz w:val="24"/>
          <w:szCs w:val="24"/>
        </w:rPr>
        <w:t>za</w:t>
      </w:r>
      <w:r w:rsidRPr="0013035E">
        <w:rPr>
          <w:sz w:val="24"/>
          <w:szCs w:val="24"/>
          <w:lang w:val="sr-Latn-ME"/>
        </w:rPr>
        <w:t xml:space="preserve"> </w:t>
      </w:r>
      <w:proofErr w:type="spellStart"/>
      <w:r w:rsidRPr="006F03C5">
        <w:rPr>
          <w:sz w:val="24"/>
          <w:szCs w:val="24"/>
        </w:rPr>
        <w:t>osnivanje</w:t>
      </w:r>
      <w:proofErr w:type="spellEnd"/>
      <w:r w:rsidRPr="0013035E">
        <w:rPr>
          <w:sz w:val="24"/>
          <w:szCs w:val="24"/>
          <w:lang w:val="sr-Latn-ME"/>
        </w:rPr>
        <w:t xml:space="preserve"> </w:t>
      </w:r>
      <w:proofErr w:type="spellStart"/>
      <w:r w:rsidRPr="006F03C5">
        <w:rPr>
          <w:sz w:val="24"/>
          <w:szCs w:val="24"/>
        </w:rPr>
        <w:t>preduze</w:t>
      </w:r>
      <w:proofErr w:type="spellEnd"/>
      <w:r w:rsidRPr="0013035E">
        <w:rPr>
          <w:sz w:val="24"/>
          <w:szCs w:val="24"/>
          <w:lang w:val="sr-Latn-ME"/>
        </w:rPr>
        <w:t>ć</w:t>
      </w:r>
      <w:r w:rsidRPr="006F03C5">
        <w:rPr>
          <w:sz w:val="24"/>
          <w:szCs w:val="24"/>
        </w:rPr>
        <w:t>a</w:t>
      </w:r>
      <w:r w:rsidRPr="0013035E">
        <w:rPr>
          <w:sz w:val="24"/>
          <w:szCs w:val="24"/>
          <w:lang w:val="sr-Latn-ME"/>
        </w:rPr>
        <w:t xml:space="preserve"> </w:t>
      </w:r>
      <w:r w:rsidRPr="006F03C5">
        <w:rPr>
          <w:sz w:val="24"/>
          <w:szCs w:val="24"/>
        </w:rPr>
        <w:t>u</w:t>
      </w:r>
      <w:r w:rsidRPr="0013035E">
        <w:rPr>
          <w:sz w:val="24"/>
          <w:szCs w:val="24"/>
          <w:lang w:val="sr-Latn-ME"/>
        </w:rPr>
        <w:t xml:space="preserve"> </w:t>
      </w:r>
      <w:proofErr w:type="spellStart"/>
      <w:r w:rsidRPr="006F03C5">
        <w:rPr>
          <w:sz w:val="24"/>
          <w:szCs w:val="24"/>
        </w:rPr>
        <w:t>razli</w:t>
      </w:r>
      <w:proofErr w:type="spellEnd"/>
      <w:r w:rsidRPr="0013035E">
        <w:rPr>
          <w:sz w:val="24"/>
          <w:szCs w:val="24"/>
          <w:lang w:val="sr-Latn-ME"/>
        </w:rPr>
        <w:t>č</w:t>
      </w:r>
      <w:proofErr w:type="spellStart"/>
      <w:r w:rsidRPr="006F03C5">
        <w:rPr>
          <w:sz w:val="24"/>
          <w:szCs w:val="24"/>
        </w:rPr>
        <w:t>itim</w:t>
      </w:r>
      <w:proofErr w:type="spellEnd"/>
      <w:r w:rsidRPr="0013035E">
        <w:rPr>
          <w:sz w:val="24"/>
          <w:szCs w:val="24"/>
          <w:lang w:val="sr-Latn-ME"/>
        </w:rPr>
        <w:t xml:space="preserve"> </w:t>
      </w:r>
      <w:proofErr w:type="spellStart"/>
      <w:r w:rsidRPr="006F03C5">
        <w:rPr>
          <w:sz w:val="24"/>
          <w:szCs w:val="24"/>
        </w:rPr>
        <w:t>djelatnostima</w:t>
      </w:r>
      <w:proofErr w:type="spellEnd"/>
      <w:r w:rsidRPr="0013035E">
        <w:rPr>
          <w:sz w:val="24"/>
          <w:szCs w:val="24"/>
          <w:lang w:val="sr-Latn-ME"/>
        </w:rPr>
        <w:t xml:space="preserve"> </w:t>
      </w:r>
      <w:proofErr w:type="spellStart"/>
      <w:r w:rsidRPr="006F03C5">
        <w:rPr>
          <w:sz w:val="24"/>
          <w:szCs w:val="24"/>
        </w:rPr>
        <w:t>i</w:t>
      </w:r>
      <w:proofErr w:type="spellEnd"/>
      <w:r w:rsidRPr="0013035E">
        <w:rPr>
          <w:sz w:val="24"/>
          <w:szCs w:val="24"/>
          <w:lang w:val="sr-Latn-ME"/>
        </w:rPr>
        <w:t xml:space="preserve"> </w:t>
      </w:r>
      <w:proofErr w:type="spellStart"/>
      <w:r w:rsidRPr="006F03C5">
        <w:rPr>
          <w:sz w:val="24"/>
          <w:szCs w:val="24"/>
        </w:rPr>
        <w:t>digitalnog</w:t>
      </w:r>
      <w:proofErr w:type="spellEnd"/>
      <w:r w:rsidRPr="0013035E">
        <w:rPr>
          <w:sz w:val="24"/>
          <w:szCs w:val="24"/>
          <w:lang w:val="sr-Latn-ME"/>
        </w:rPr>
        <w:t xml:space="preserve"> </w:t>
      </w:r>
      <w:proofErr w:type="spellStart"/>
      <w:r w:rsidRPr="006F03C5">
        <w:rPr>
          <w:sz w:val="24"/>
          <w:szCs w:val="24"/>
        </w:rPr>
        <w:t>servisa</w:t>
      </w:r>
      <w:proofErr w:type="spellEnd"/>
      <w:r w:rsidRPr="0013035E">
        <w:rPr>
          <w:sz w:val="24"/>
          <w:szCs w:val="24"/>
          <w:lang w:val="sr-Latn-ME"/>
        </w:rPr>
        <w:t xml:space="preserve"> </w:t>
      </w:r>
      <w:r w:rsidRPr="006F03C5">
        <w:rPr>
          <w:sz w:val="24"/>
          <w:szCs w:val="24"/>
        </w:rPr>
        <w:t>za</w:t>
      </w:r>
      <w:r w:rsidRPr="0013035E">
        <w:rPr>
          <w:sz w:val="24"/>
          <w:szCs w:val="24"/>
          <w:lang w:val="sr-Latn-ME"/>
        </w:rPr>
        <w:t xml:space="preserve"> </w:t>
      </w:r>
      <w:proofErr w:type="spellStart"/>
      <w:r w:rsidRPr="006F03C5">
        <w:rPr>
          <w:sz w:val="24"/>
          <w:szCs w:val="24"/>
        </w:rPr>
        <w:t>pregled</w:t>
      </w:r>
      <w:proofErr w:type="spellEnd"/>
      <w:r w:rsidRPr="0013035E">
        <w:rPr>
          <w:sz w:val="24"/>
          <w:szCs w:val="24"/>
          <w:lang w:val="sr-Latn-ME"/>
        </w:rPr>
        <w:t xml:space="preserve"> </w:t>
      </w:r>
      <w:proofErr w:type="spellStart"/>
      <w:r w:rsidRPr="006F03C5">
        <w:rPr>
          <w:sz w:val="24"/>
          <w:szCs w:val="24"/>
        </w:rPr>
        <w:t>i</w:t>
      </w:r>
      <w:proofErr w:type="spellEnd"/>
      <w:r w:rsidRPr="0013035E">
        <w:rPr>
          <w:sz w:val="24"/>
          <w:szCs w:val="24"/>
          <w:lang w:val="sr-Latn-ME"/>
        </w:rPr>
        <w:t xml:space="preserve"> </w:t>
      </w:r>
      <w:proofErr w:type="spellStart"/>
      <w:r w:rsidRPr="006F03C5">
        <w:rPr>
          <w:sz w:val="24"/>
          <w:szCs w:val="24"/>
        </w:rPr>
        <w:t>predaju</w:t>
      </w:r>
      <w:proofErr w:type="spellEnd"/>
      <w:r w:rsidRPr="0013035E">
        <w:rPr>
          <w:sz w:val="24"/>
          <w:szCs w:val="24"/>
          <w:lang w:val="sr-Latn-ME"/>
        </w:rPr>
        <w:t xml:space="preserve"> </w:t>
      </w:r>
      <w:proofErr w:type="spellStart"/>
      <w:r w:rsidRPr="006F03C5">
        <w:rPr>
          <w:sz w:val="24"/>
          <w:szCs w:val="24"/>
        </w:rPr>
        <w:t>zahtjeva</w:t>
      </w:r>
      <w:proofErr w:type="spellEnd"/>
      <w:r w:rsidRPr="0013035E">
        <w:rPr>
          <w:sz w:val="24"/>
          <w:szCs w:val="24"/>
          <w:lang w:val="sr-Latn-ME"/>
        </w:rPr>
        <w:t>.</w:t>
      </w:r>
      <w:r w:rsidR="00352596" w:rsidRPr="0013035E">
        <w:rPr>
          <w:sz w:val="24"/>
          <w:szCs w:val="24"/>
          <w:lang w:val="sr-Latn-ME"/>
        </w:rPr>
        <w:t xml:space="preserve"> </w:t>
      </w:r>
      <w:proofErr w:type="spellStart"/>
      <w:r w:rsidRPr="006F03C5">
        <w:rPr>
          <w:sz w:val="24"/>
          <w:szCs w:val="24"/>
        </w:rPr>
        <w:t>Neophodno</w:t>
      </w:r>
      <w:proofErr w:type="spellEnd"/>
      <w:r w:rsidRPr="0013035E">
        <w:rPr>
          <w:sz w:val="24"/>
          <w:szCs w:val="24"/>
          <w:lang w:val="sr-Latn-ME"/>
        </w:rPr>
        <w:t xml:space="preserve"> </w:t>
      </w:r>
      <w:r w:rsidRPr="006F03C5">
        <w:rPr>
          <w:sz w:val="24"/>
          <w:szCs w:val="24"/>
        </w:rPr>
        <w:t>je</w:t>
      </w:r>
      <w:r w:rsidRPr="0013035E">
        <w:rPr>
          <w:sz w:val="24"/>
          <w:szCs w:val="24"/>
          <w:lang w:val="sr-Latn-ME"/>
        </w:rPr>
        <w:t xml:space="preserve"> </w:t>
      </w:r>
      <w:proofErr w:type="spellStart"/>
      <w:r w:rsidRPr="006F03C5">
        <w:rPr>
          <w:sz w:val="24"/>
          <w:szCs w:val="24"/>
        </w:rPr>
        <w:t>izmijeniti</w:t>
      </w:r>
      <w:proofErr w:type="spellEnd"/>
      <w:r w:rsidRPr="0013035E">
        <w:rPr>
          <w:sz w:val="24"/>
          <w:szCs w:val="24"/>
          <w:lang w:val="sr-Latn-ME"/>
        </w:rPr>
        <w:t xml:space="preserve"> </w:t>
      </w:r>
      <w:r w:rsidRPr="006F03C5">
        <w:rPr>
          <w:sz w:val="24"/>
          <w:szCs w:val="24"/>
        </w:rPr>
        <w:t>vi</w:t>
      </w:r>
      <w:r w:rsidRPr="0013035E">
        <w:rPr>
          <w:sz w:val="24"/>
          <w:szCs w:val="24"/>
          <w:lang w:val="sr-Latn-ME"/>
        </w:rPr>
        <w:t>š</w:t>
      </w:r>
      <w:r w:rsidRPr="006F03C5">
        <w:rPr>
          <w:sz w:val="24"/>
          <w:szCs w:val="24"/>
        </w:rPr>
        <w:t>e</w:t>
      </w:r>
      <w:r w:rsidRPr="0013035E">
        <w:rPr>
          <w:sz w:val="24"/>
          <w:szCs w:val="24"/>
          <w:lang w:val="sr-Latn-ME"/>
        </w:rPr>
        <w:t xml:space="preserve"> </w:t>
      </w:r>
      <w:proofErr w:type="spellStart"/>
      <w:r w:rsidRPr="006F03C5">
        <w:rPr>
          <w:sz w:val="24"/>
          <w:szCs w:val="24"/>
        </w:rPr>
        <w:t>pozitivnih</w:t>
      </w:r>
      <w:proofErr w:type="spellEnd"/>
      <w:r w:rsidRPr="0013035E">
        <w:rPr>
          <w:sz w:val="24"/>
          <w:szCs w:val="24"/>
          <w:lang w:val="sr-Latn-ME"/>
        </w:rPr>
        <w:t xml:space="preserve"> </w:t>
      </w:r>
      <w:proofErr w:type="spellStart"/>
      <w:r w:rsidRPr="006F03C5">
        <w:rPr>
          <w:sz w:val="24"/>
          <w:szCs w:val="24"/>
        </w:rPr>
        <w:t>zakonskih</w:t>
      </w:r>
      <w:proofErr w:type="spellEnd"/>
      <w:r w:rsidRPr="0013035E">
        <w:rPr>
          <w:sz w:val="24"/>
          <w:szCs w:val="24"/>
          <w:lang w:val="sr-Latn-ME"/>
        </w:rPr>
        <w:t xml:space="preserve"> </w:t>
      </w:r>
      <w:proofErr w:type="spellStart"/>
      <w:r w:rsidRPr="006F03C5">
        <w:rPr>
          <w:sz w:val="24"/>
          <w:szCs w:val="24"/>
        </w:rPr>
        <w:t>propisa</w:t>
      </w:r>
      <w:proofErr w:type="spellEnd"/>
      <w:r w:rsidRPr="0013035E">
        <w:rPr>
          <w:sz w:val="24"/>
          <w:szCs w:val="24"/>
          <w:lang w:val="sr-Latn-ME"/>
        </w:rPr>
        <w:t xml:space="preserve"> </w:t>
      </w:r>
      <w:proofErr w:type="spellStart"/>
      <w:r w:rsidRPr="006F03C5">
        <w:rPr>
          <w:sz w:val="24"/>
          <w:szCs w:val="24"/>
        </w:rPr>
        <w:t>kako</w:t>
      </w:r>
      <w:proofErr w:type="spellEnd"/>
      <w:r w:rsidRPr="0013035E">
        <w:rPr>
          <w:sz w:val="24"/>
          <w:szCs w:val="24"/>
          <w:lang w:val="sr-Latn-ME"/>
        </w:rPr>
        <w:t xml:space="preserve"> </w:t>
      </w:r>
      <w:r w:rsidRPr="006F03C5">
        <w:rPr>
          <w:sz w:val="24"/>
          <w:szCs w:val="24"/>
        </w:rPr>
        <w:t>bi</w:t>
      </w:r>
      <w:r w:rsidRPr="0013035E">
        <w:rPr>
          <w:sz w:val="24"/>
          <w:szCs w:val="24"/>
          <w:lang w:val="sr-Latn-ME"/>
        </w:rPr>
        <w:t xml:space="preserve"> </w:t>
      </w:r>
      <w:r w:rsidRPr="006F03C5">
        <w:rPr>
          <w:sz w:val="24"/>
          <w:szCs w:val="24"/>
        </w:rPr>
        <w:t>se</w:t>
      </w:r>
      <w:r w:rsidRPr="0013035E">
        <w:rPr>
          <w:sz w:val="24"/>
          <w:szCs w:val="24"/>
          <w:lang w:val="sr-Latn-ME"/>
        </w:rPr>
        <w:t xml:space="preserve"> </w:t>
      </w:r>
      <w:proofErr w:type="spellStart"/>
      <w:r w:rsidRPr="006F03C5">
        <w:rPr>
          <w:sz w:val="24"/>
          <w:szCs w:val="24"/>
        </w:rPr>
        <w:t>formirao</w:t>
      </w:r>
      <w:proofErr w:type="spellEnd"/>
      <w:r w:rsidRPr="0013035E">
        <w:rPr>
          <w:sz w:val="24"/>
          <w:szCs w:val="24"/>
          <w:lang w:val="sr-Latn-ME"/>
        </w:rPr>
        <w:t xml:space="preserve"> </w:t>
      </w:r>
      <w:proofErr w:type="spellStart"/>
      <w:r w:rsidRPr="006F03C5">
        <w:rPr>
          <w:sz w:val="24"/>
          <w:szCs w:val="24"/>
        </w:rPr>
        <w:t>jedan</w:t>
      </w:r>
      <w:proofErr w:type="spellEnd"/>
      <w:r w:rsidRPr="0013035E">
        <w:rPr>
          <w:sz w:val="24"/>
          <w:szCs w:val="24"/>
          <w:lang w:val="sr-Latn-ME"/>
        </w:rPr>
        <w:t xml:space="preserve"> </w:t>
      </w:r>
      <w:proofErr w:type="spellStart"/>
      <w:r w:rsidRPr="006F03C5">
        <w:rPr>
          <w:sz w:val="24"/>
          <w:szCs w:val="24"/>
        </w:rPr>
        <w:t>centralni</w:t>
      </w:r>
      <w:proofErr w:type="spellEnd"/>
      <w:r w:rsidRPr="0013035E">
        <w:rPr>
          <w:sz w:val="24"/>
          <w:szCs w:val="24"/>
          <w:lang w:val="sr-Latn-ME"/>
        </w:rPr>
        <w:t xml:space="preserve"> </w:t>
      </w:r>
      <w:proofErr w:type="spellStart"/>
      <w:r w:rsidRPr="006F03C5">
        <w:rPr>
          <w:sz w:val="24"/>
          <w:szCs w:val="24"/>
        </w:rPr>
        <w:t>registar</w:t>
      </w:r>
      <w:proofErr w:type="spellEnd"/>
      <w:r w:rsidRPr="0013035E">
        <w:rPr>
          <w:sz w:val="24"/>
          <w:szCs w:val="24"/>
          <w:lang w:val="sr-Latn-ME"/>
        </w:rPr>
        <w:t xml:space="preserve">, </w:t>
      </w:r>
      <w:r w:rsidRPr="006F03C5">
        <w:rPr>
          <w:sz w:val="24"/>
          <w:szCs w:val="24"/>
        </w:rPr>
        <w:t>a</w:t>
      </w:r>
      <w:r w:rsidRPr="0013035E">
        <w:rPr>
          <w:sz w:val="24"/>
          <w:szCs w:val="24"/>
          <w:lang w:val="sr-Latn-ME"/>
        </w:rPr>
        <w:t xml:space="preserve"> </w:t>
      </w:r>
      <w:proofErr w:type="spellStart"/>
      <w:r w:rsidRPr="006F03C5">
        <w:rPr>
          <w:sz w:val="24"/>
          <w:szCs w:val="24"/>
        </w:rPr>
        <w:t>nadle</w:t>
      </w:r>
      <w:proofErr w:type="spellEnd"/>
      <w:r w:rsidRPr="0013035E">
        <w:rPr>
          <w:sz w:val="24"/>
          <w:szCs w:val="24"/>
          <w:lang w:val="sr-Latn-ME"/>
        </w:rPr>
        <w:t>ž</w:t>
      </w:r>
      <w:proofErr w:type="spellStart"/>
      <w:r w:rsidRPr="006F03C5">
        <w:rPr>
          <w:sz w:val="24"/>
          <w:szCs w:val="24"/>
        </w:rPr>
        <w:t>nost</w:t>
      </w:r>
      <w:proofErr w:type="spellEnd"/>
      <w:r w:rsidRPr="0013035E">
        <w:rPr>
          <w:sz w:val="24"/>
          <w:szCs w:val="24"/>
          <w:lang w:val="sr-Latn-ME"/>
        </w:rPr>
        <w:t xml:space="preserve"> </w:t>
      </w:r>
      <w:proofErr w:type="spellStart"/>
      <w:r w:rsidRPr="006F03C5">
        <w:rPr>
          <w:sz w:val="24"/>
          <w:szCs w:val="24"/>
        </w:rPr>
        <w:t>inspekcija</w:t>
      </w:r>
      <w:proofErr w:type="spellEnd"/>
      <w:r w:rsidRPr="0013035E">
        <w:rPr>
          <w:sz w:val="24"/>
          <w:szCs w:val="24"/>
          <w:lang w:val="sr-Latn-ME"/>
        </w:rPr>
        <w:t xml:space="preserve"> </w:t>
      </w:r>
      <w:r w:rsidRPr="006F03C5">
        <w:rPr>
          <w:sz w:val="24"/>
          <w:szCs w:val="24"/>
        </w:rPr>
        <w:t>bi</w:t>
      </w:r>
      <w:r w:rsidRPr="0013035E">
        <w:rPr>
          <w:sz w:val="24"/>
          <w:szCs w:val="24"/>
          <w:lang w:val="sr-Latn-ME"/>
        </w:rPr>
        <w:t xml:space="preserve"> </w:t>
      </w:r>
      <w:r w:rsidRPr="006F03C5">
        <w:rPr>
          <w:sz w:val="24"/>
          <w:szCs w:val="24"/>
        </w:rPr>
        <w:t>se</w:t>
      </w:r>
      <w:r w:rsidRPr="0013035E">
        <w:rPr>
          <w:sz w:val="24"/>
          <w:szCs w:val="24"/>
          <w:lang w:val="sr-Latn-ME"/>
        </w:rPr>
        <w:t xml:space="preserve"> </w:t>
      </w:r>
      <w:proofErr w:type="spellStart"/>
      <w:r w:rsidRPr="006F03C5">
        <w:rPr>
          <w:sz w:val="24"/>
          <w:szCs w:val="24"/>
        </w:rPr>
        <w:t>definisala</w:t>
      </w:r>
      <w:proofErr w:type="spellEnd"/>
      <w:r w:rsidRPr="0013035E">
        <w:rPr>
          <w:sz w:val="24"/>
          <w:szCs w:val="24"/>
          <w:lang w:val="sr-Latn-ME"/>
        </w:rPr>
        <w:t xml:space="preserve"> </w:t>
      </w:r>
      <w:proofErr w:type="spellStart"/>
      <w:r w:rsidRPr="006F03C5">
        <w:rPr>
          <w:sz w:val="24"/>
          <w:szCs w:val="24"/>
        </w:rPr>
        <w:t>kroz</w:t>
      </w:r>
      <w:proofErr w:type="spellEnd"/>
      <w:r w:rsidRPr="0013035E">
        <w:rPr>
          <w:sz w:val="24"/>
          <w:szCs w:val="24"/>
          <w:lang w:val="sr-Latn-ME"/>
        </w:rPr>
        <w:t xml:space="preserve"> š</w:t>
      </w:r>
      <w:proofErr w:type="spellStart"/>
      <w:r w:rsidRPr="006F03C5">
        <w:rPr>
          <w:sz w:val="24"/>
          <w:szCs w:val="24"/>
        </w:rPr>
        <w:t>ifru</w:t>
      </w:r>
      <w:proofErr w:type="spellEnd"/>
      <w:r w:rsidRPr="0013035E">
        <w:rPr>
          <w:sz w:val="24"/>
          <w:szCs w:val="24"/>
          <w:lang w:val="sr-Latn-ME"/>
        </w:rPr>
        <w:t xml:space="preserve"> </w:t>
      </w:r>
      <w:proofErr w:type="spellStart"/>
      <w:r w:rsidRPr="006F03C5">
        <w:rPr>
          <w:sz w:val="24"/>
          <w:szCs w:val="24"/>
        </w:rPr>
        <w:t>djelatnosti</w:t>
      </w:r>
      <w:proofErr w:type="spellEnd"/>
      <w:r w:rsidRPr="0013035E">
        <w:rPr>
          <w:sz w:val="24"/>
          <w:szCs w:val="24"/>
          <w:lang w:val="sr-Latn-ME"/>
        </w:rPr>
        <w:t xml:space="preserve">. </w:t>
      </w:r>
      <w:r w:rsidRPr="0013035E">
        <w:rPr>
          <w:sz w:val="24"/>
          <w:szCs w:val="24"/>
          <w:lang w:val="pl-PL"/>
        </w:rPr>
        <w:t>Tako bi formiranje transparentnog ser</w:t>
      </w:r>
      <w:r w:rsidR="006F03C5" w:rsidRPr="0013035E">
        <w:rPr>
          <w:sz w:val="24"/>
          <w:szCs w:val="24"/>
          <w:lang w:val="pl-PL"/>
        </w:rPr>
        <w:t>visa</w:t>
      </w:r>
      <w:r w:rsidRPr="0013035E">
        <w:rPr>
          <w:sz w:val="24"/>
          <w:szCs w:val="24"/>
          <w:lang w:val="pl-PL"/>
        </w:rPr>
        <w:t xml:space="preserve"> omogućilo svim pravnim licima da dobiju kompletne informacije o potrebnim administrativnim procedurama za legalno poslovanje. </w:t>
      </w:r>
      <w:r w:rsidRPr="0013035E">
        <w:rPr>
          <w:sz w:val="24"/>
          <w:szCs w:val="24"/>
          <w:lang w:val="pl-PL"/>
        </w:rPr>
        <w:lastRenderedPageBreak/>
        <w:t>Ovakva platforma bi pomogla UIP</w:t>
      </w:r>
      <w:r w:rsidR="006F03C5" w:rsidRPr="0013035E">
        <w:rPr>
          <w:sz w:val="24"/>
          <w:szCs w:val="24"/>
          <w:lang w:val="pl-PL"/>
        </w:rPr>
        <w:t xml:space="preserve">-u </w:t>
      </w:r>
      <w:r w:rsidRPr="0013035E">
        <w:rPr>
          <w:sz w:val="24"/>
          <w:szCs w:val="24"/>
          <w:lang w:val="pl-PL"/>
        </w:rPr>
        <w:t xml:space="preserve">prilikom kontrola. Takođe, šifre djelatnosti </w:t>
      </w:r>
      <w:r w:rsidR="00FC0A1E">
        <w:rPr>
          <w:sz w:val="24"/>
          <w:szCs w:val="24"/>
          <w:lang w:val="pl-PL"/>
        </w:rPr>
        <w:t>imaju značaj u prepoznavanju ideja</w:t>
      </w:r>
      <w:r w:rsidRPr="0013035E">
        <w:rPr>
          <w:sz w:val="24"/>
          <w:szCs w:val="24"/>
          <w:lang w:val="pl-PL"/>
        </w:rPr>
        <w:t xml:space="preserve"> mladih, posebno u kreativnim industrijama, koje često ostaju nezapažene ili nedovoljno podržane. </w:t>
      </w:r>
    </w:p>
    <w:p w14:paraId="161A8AF6" w14:textId="77777777" w:rsidR="00B67D63" w:rsidRDefault="00B67D63" w:rsidP="001B34AD">
      <w:pPr>
        <w:jc w:val="both"/>
        <w:rPr>
          <w:sz w:val="24"/>
          <w:szCs w:val="24"/>
          <w:lang w:val="pl-PL"/>
        </w:rPr>
      </w:pPr>
    </w:p>
    <w:p w14:paraId="2324A314" w14:textId="77777777" w:rsidR="00B67D63" w:rsidRDefault="00B67D63" w:rsidP="001B34AD">
      <w:pPr>
        <w:jc w:val="both"/>
        <w:rPr>
          <w:sz w:val="24"/>
          <w:szCs w:val="24"/>
          <w:lang w:val="pl-PL"/>
        </w:rPr>
      </w:pPr>
    </w:p>
    <w:p w14:paraId="3672C84E" w14:textId="77777777" w:rsidR="00B67D63" w:rsidRDefault="00B67D63" w:rsidP="001B34AD">
      <w:pPr>
        <w:jc w:val="both"/>
        <w:rPr>
          <w:sz w:val="24"/>
          <w:szCs w:val="24"/>
          <w:lang w:val="pl-PL"/>
        </w:rPr>
      </w:pPr>
    </w:p>
    <w:p w14:paraId="6C53A043" w14:textId="77777777" w:rsidR="00B67D63" w:rsidRDefault="00B67D63" w:rsidP="001B34AD">
      <w:pPr>
        <w:jc w:val="both"/>
        <w:rPr>
          <w:sz w:val="24"/>
          <w:szCs w:val="24"/>
          <w:lang w:val="pl-PL"/>
        </w:rPr>
      </w:pPr>
    </w:p>
    <w:p w14:paraId="2BC70D11" w14:textId="77777777" w:rsidR="00B67D63" w:rsidRDefault="00B67D63" w:rsidP="001B34AD">
      <w:pPr>
        <w:jc w:val="both"/>
        <w:rPr>
          <w:sz w:val="24"/>
          <w:szCs w:val="24"/>
          <w:lang w:val="pl-PL"/>
        </w:rPr>
      </w:pPr>
    </w:p>
    <w:p w14:paraId="7A8EBC5A" w14:textId="77777777" w:rsidR="00B67D63" w:rsidRDefault="00B67D63" w:rsidP="001B34AD">
      <w:pPr>
        <w:jc w:val="both"/>
        <w:rPr>
          <w:sz w:val="24"/>
          <w:szCs w:val="24"/>
          <w:lang w:val="pl-PL"/>
        </w:rPr>
      </w:pPr>
    </w:p>
    <w:p w14:paraId="1CD34879" w14:textId="77777777" w:rsidR="00B67D63" w:rsidRDefault="00B67D63" w:rsidP="001B34AD">
      <w:pPr>
        <w:jc w:val="both"/>
        <w:rPr>
          <w:sz w:val="24"/>
          <w:szCs w:val="24"/>
          <w:lang w:val="pl-PL"/>
        </w:rPr>
      </w:pPr>
    </w:p>
    <w:p w14:paraId="4762502B" w14:textId="77777777" w:rsidR="00B67D63" w:rsidRDefault="00B67D63" w:rsidP="001B34AD">
      <w:pPr>
        <w:jc w:val="both"/>
        <w:rPr>
          <w:sz w:val="24"/>
          <w:szCs w:val="24"/>
          <w:lang w:val="pl-PL"/>
        </w:rPr>
      </w:pPr>
    </w:p>
    <w:p w14:paraId="279FBEAD" w14:textId="77777777" w:rsidR="00B67D63" w:rsidRDefault="00B67D63" w:rsidP="001B34AD">
      <w:pPr>
        <w:jc w:val="both"/>
        <w:rPr>
          <w:sz w:val="24"/>
          <w:szCs w:val="24"/>
          <w:lang w:val="pl-PL"/>
        </w:rPr>
      </w:pPr>
    </w:p>
    <w:p w14:paraId="70424347" w14:textId="77777777" w:rsidR="00B67D63" w:rsidRDefault="00B67D63" w:rsidP="001B34AD">
      <w:pPr>
        <w:jc w:val="both"/>
        <w:rPr>
          <w:sz w:val="24"/>
          <w:szCs w:val="24"/>
          <w:lang w:val="pl-PL"/>
        </w:rPr>
      </w:pPr>
    </w:p>
    <w:p w14:paraId="58A86548" w14:textId="77777777" w:rsidR="00B67D63" w:rsidRDefault="00B67D63" w:rsidP="001B34AD">
      <w:pPr>
        <w:jc w:val="both"/>
        <w:rPr>
          <w:sz w:val="24"/>
          <w:szCs w:val="24"/>
          <w:lang w:val="pl-PL"/>
        </w:rPr>
      </w:pPr>
    </w:p>
    <w:p w14:paraId="3F928E6B" w14:textId="77777777" w:rsidR="00B67D63" w:rsidRDefault="00B67D63" w:rsidP="001B34AD">
      <w:pPr>
        <w:jc w:val="both"/>
        <w:rPr>
          <w:sz w:val="24"/>
          <w:szCs w:val="24"/>
          <w:lang w:val="pl-PL"/>
        </w:rPr>
      </w:pPr>
    </w:p>
    <w:p w14:paraId="0DFA132B" w14:textId="77777777" w:rsidR="00B67D63" w:rsidRDefault="00B67D63" w:rsidP="001B34AD">
      <w:pPr>
        <w:jc w:val="both"/>
        <w:rPr>
          <w:sz w:val="24"/>
          <w:szCs w:val="24"/>
          <w:lang w:val="pl-PL"/>
        </w:rPr>
      </w:pPr>
    </w:p>
    <w:p w14:paraId="342DE6A2" w14:textId="77777777" w:rsidR="00B67D63" w:rsidRDefault="00B67D63" w:rsidP="001B34AD">
      <w:pPr>
        <w:jc w:val="both"/>
        <w:rPr>
          <w:sz w:val="24"/>
          <w:szCs w:val="24"/>
          <w:lang w:val="pl-PL"/>
        </w:rPr>
      </w:pPr>
    </w:p>
    <w:p w14:paraId="1AC78499" w14:textId="77777777" w:rsidR="00B67D63" w:rsidRDefault="00B67D63" w:rsidP="001B34AD">
      <w:pPr>
        <w:jc w:val="both"/>
        <w:rPr>
          <w:sz w:val="24"/>
          <w:szCs w:val="24"/>
          <w:lang w:val="pl-PL"/>
        </w:rPr>
      </w:pPr>
    </w:p>
    <w:p w14:paraId="4EE29115" w14:textId="77777777" w:rsidR="00B67D63" w:rsidRDefault="00B67D63" w:rsidP="001B34AD">
      <w:pPr>
        <w:jc w:val="both"/>
        <w:rPr>
          <w:sz w:val="24"/>
          <w:szCs w:val="24"/>
          <w:lang w:val="pl-PL"/>
        </w:rPr>
      </w:pPr>
    </w:p>
    <w:p w14:paraId="5F295000" w14:textId="77777777" w:rsidR="00B67D63" w:rsidRDefault="00B67D63" w:rsidP="001B34AD">
      <w:pPr>
        <w:jc w:val="both"/>
        <w:rPr>
          <w:sz w:val="24"/>
          <w:szCs w:val="24"/>
          <w:lang w:val="pl-PL"/>
        </w:rPr>
      </w:pPr>
    </w:p>
    <w:p w14:paraId="3CD7FADC" w14:textId="77777777" w:rsidR="00B67D63" w:rsidRDefault="00B67D63" w:rsidP="001B34AD">
      <w:pPr>
        <w:jc w:val="both"/>
        <w:rPr>
          <w:sz w:val="24"/>
          <w:szCs w:val="24"/>
          <w:lang w:val="pl-PL"/>
        </w:rPr>
      </w:pPr>
    </w:p>
    <w:p w14:paraId="499B269B" w14:textId="77777777" w:rsidR="00B67D63" w:rsidRDefault="00B67D63" w:rsidP="001B34AD">
      <w:pPr>
        <w:jc w:val="both"/>
        <w:rPr>
          <w:sz w:val="24"/>
          <w:szCs w:val="24"/>
          <w:lang w:val="pl-PL"/>
        </w:rPr>
      </w:pPr>
    </w:p>
    <w:p w14:paraId="0EC60AAF" w14:textId="77777777" w:rsidR="00B67D63" w:rsidRDefault="00B67D63" w:rsidP="001B34AD">
      <w:pPr>
        <w:jc w:val="both"/>
        <w:rPr>
          <w:sz w:val="24"/>
          <w:szCs w:val="24"/>
          <w:lang w:val="pl-PL"/>
        </w:rPr>
      </w:pPr>
    </w:p>
    <w:p w14:paraId="76A59D63" w14:textId="77777777" w:rsidR="00B67D63" w:rsidRDefault="00B67D63" w:rsidP="001B34AD">
      <w:pPr>
        <w:jc w:val="both"/>
        <w:rPr>
          <w:sz w:val="24"/>
          <w:szCs w:val="24"/>
          <w:lang w:val="pl-PL"/>
        </w:rPr>
      </w:pPr>
    </w:p>
    <w:p w14:paraId="026A8AF1" w14:textId="77777777" w:rsidR="00B67D63" w:rsidRDefault="00B67D63" w:rsidP="001B34AD">
      <w:pPr>
        <w:jc w:val="both"/>
        <w:rPr>
          <w:sz w:val="24"/>
          <w:szCs w:val="24"/>
          <w:lang w:val="pl-PL"/>
        </w:rPr>
      </w:pPr>
    </w:p>
    <w:p w14:paraId="2241E2A7" w14:textId="77777777" w:rsidR="00B67D63" w:rsidRDefault="00B67D63" w:rsidP="001B34AD">
      <w:pPr>
        <w:jc w:val="both"/>
        <w:rPr>
          <w:sz w:val="24"/>
          <w:szCs w:val="24"/>
          <w:lang w:val="pl-PL"/>
        </w:rPr>
      </w:pPr>
    </w:p>
    <w:p w14:paraId="78882B80" w14:textId="77777777" w:rsidR="00B67D63" w:rsidRDefault="00B67D63" w:rsidP="001B34AD">
      <w:pPr>
        <w:jc w:val="both"/>
        <w:rPr>
          <w:sz w:val="24"/>
          <w:szCs w:val="24"/>
          <w:lang w:val="pl-PL"/>
        </w:rPr>
      </w:pPr>
    </w:p>
    <w:p w14:paraId="10E2CBC9" w14:textId="77777777" w:rsidR="00B67D63" w:rsidRPr="0013035E" w:rsidRDefault="00B67D63" w:rsidP="001B34AD">
      <w:pPr>
        <w:jc w:val="both"/>
        <w:rPr>
          <w:sz w:val="24"/>
          <w:szCs w:val="24"/>
          <w:lang w:val="pl-PL"/>
        </w:rPr>
      </w:pPr>
    </w:p>
    <w:tbl>
      <w:tblPr>
        <w:tblW w:w="95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525"/>
        <w:gridCol w:w="1470"/>
        <w:gridCol w:w="1620"/>
        <w:gridCol w:w="1890"/>
        <w:gridCol w:w="1620"/>
        <w:gridCol w:w="1440"/>
      </w:tblGrid>
      <w:tr w:rsidR="00AC4DD1" w:rsidRPr="00B67D63" w14:paraId="76B401EA" w14:textId="77777777" w:rsidTr="00C32F60">
        <w:tc>
          <w:tcPr>
            <w:tcW w:w="9565" w:type="dxa"/>
            <w:gridSpan w:val="6"/>
            <w:shd w:val="clear" w:color="auto" w:fill="BDD6EE" w:themeFill="accent5" w:themeFillTint="66"/>
          </w:tcPr>
          <w:p w14:paraId="26B7DD5D" w14:textId="71E57FA0" w:rsidR="0052342C" w:rsidRPr="00B67D63" w:rsidRDefault="0052342C" w:rsidP="0052342C">
            <w:pPr>
              <w:rPr>
                <w:rFonts w:cstheme="minorHAnsi"/>
                <w:b/>
                <w:bCs/>
                <w:sz w:val="20"/>
                <w:szCs w:val="20"/>
                <w:lang w:val="pl-PL"/>
              </w:rPr>
            </w:pPr>
            <w:bookmarkStart w:id="34" w:name="_Hlk141369763"/>
            <w:r w:rsidRPr="00B67D63">
              <w:rPr>
                <w:rFonts w:cstheme="minorHAnsi"/>
                <w:b/>
                <w:bCs/>
                <w:sz w:val="20"/>
                <w:szCs w:val="20"/>
                <w:lang w:val="sr-Latn-ME"/>
              </w:rPr>
              <w:lastRenderedPageBreak/>
              <w:t>O</w:t>
            </w:r>
            <w:r w:rsidR="00B351C7" w:rsidRPr="00B67D63">
              <w:rPr>
                <w:rFonts w:cstheme="minorHAnsi"/>
                <w:b/>
                <w:bCs/>
                <w:sz w:val="20"/>
                <w:szCs w:val="20"/>
                <w:lang w:val="sr-Latn-ME"/>
              </w:rPr>
              <w:t>C</w:t>
            </w:r>
            <w:r w:rsidR="006428A5" w:rsidRPr="00B67D63">
              <w:rPr>
                <w:rFonts w:cstheme="minorHAnsi"/>
                <w:b/>
                <w:bCs/>
                <w:sz w:val="20"/>
                <w:szCs w:val="20"/>
                <w:lang w:val="sr-Latn-ME"/>
              </w:rPr>
              <w:t>2</w:t>
            </w:r>
            <w:r w:rsidRPr="00B67D63">
              <w:rPr>
                <w:rFonts w:cstheme="minorHAnsi"/>
                <w:b/>
                <w:bCs/>
                <w:sz w:val="20"/>
                <w:szCs w:val="20"/>
                <w:lang w:val="sr-Latn-ME"/>
              </w:rPr>
              <w:t xml:space="preserve">-Podrška fer preduzetništvu i </w:t>
            </w:r>
            <w:r w:rsidR="00B859CD" w:rsidRPr="00B67D63">
              <w:rPr>
                <w:rFonts w:cstheme="minorHAnsi"/>
                <w:b/>
                <w:bCs/>
                <w:sz w:val="20"/>
                <w:szCs w:val="20"/>
                <w:lang w:val="sr-Latn-ME"/>
              </w:rPr>
              <w:t>tranziciji</w:t>
            </w:r>
            <w:r w:rsidRPr="00B67D63">
              <w:rPr>
                <w:rFonts w:cstheme="minorHAnsi"/>
                <w:b/>
                <w:bCs/>
                <w:sz w:val="20"/>
                <w:szCs w:val="20"/>
                <w:lang w:val="sr-Latn-ME"/>
              </w:rPr>
              <w:t xml:space="preserve"> u formalnu ekonomiju</w:t>
            </w:r>
            <w:bookmarkEnd w:id="34"/>
            <w:r w:rsidRPr="00B67D63">
              <w:rPr>
                <w:rFonts w:cstheme="minorHAnsi"/>
                <w:b/>
                <w:bCs/>
                <w:sz w:val="20"/>
                <w:szCs w:val="20"/>
                <w:lang w:val="sr-Latn-ME"/>
              </w:rPr>
              <w:tab/>
            </w:r>
            <w:r w:rsidRPr="00B67D63">
              <w:rPr>
                <w:rFonts w:cstheme="minorHAnsi"/>
                <w:b/>
                <w:bCs/>
                <w:sz w:val="20"/>
                <w:szCs w:val="20"/>
                <w:lang w:val="sr-Latn-ME"/>
              </w:rPr>
              <w:tab/>
            </w:r>
          </w:p>
        </w:tc>
      </w:tr>
      <w:tr w:rsidR="00AC4DD1" w:rsidRPr="00B67D63" w14:paraId="0820DD29" w14:textId="77777777" w:rsidTr="00C32F60">
        <w:tc>
          <w:tcPr>
            <w:tcW w:w="1525" w:type="dxa"/>
            <w:shd w:val="clear" w:color="auto" w:fill="BDD6EE" w:themeFill="accent5" w:themeFillTint="66"/>
          </w:tcPr>
          <w:p w14:paraId="72BA52A2" w14:textId="77777777" w:rsidR="0052342C" w:rsidRPr="00B67D63" w:rsidRDefault="0052342C" w:rsidP="0052342C">
            <w:pPr>
              <w:rPr>
                <w:rFonts w:cstheme="minorHAnsi"/>
                <w:b/>
                <w:bCs/>
                <w:sz w:val="20"/>
                <w:szCs w:val="20"/>
                <w:lang w:val="sr-Latn-ME"/>
              </w:rPr>
            </w:pPr>
            <w:r w:rsidRPr="00B67D63">
              <w:rPr>
                <w:rFonts w:cstheme="minorHAnsi"/>
                <w:b/>
                <w:bCs/>
                <w:sz w:val="20"/>
                <w:szCs w:val="20"/>
                <w:lang w:val="sr-Latn-ME"/>
              </w:rPr>
              <w:t>Učinak</w:t>
            </w:r>
          </w:p>
        </w:tc>
        <w:tc>
          <w:tcPr>
            <w:tcW w:w="1470" w:type="dxa"/>
            <w:shd w:val="clear" w:color="auto" w:fill="BDD6EE" w:themeFill="accent5" w:themeFillTint="66"/>
          </w:tcPr>
          <w:p w14:paraId="71010EF4" w14:textId="77777777" w:rsidR="0052342C" w:rsidRPr="00B67D63" w:rsidRDefault="0052342C" w:rsidP="0052342C">
            <w:pPr>
              <w:rPr>
                <w:rFonts w:cstheme="minorHAnsi"/>
                <w:b/>
                <w:bCs/>
                <w:sz w:val="20"/>
                <w:szCs w:val="20"/>
                <w:lang w:val="sr-Latn-ME"/>
              </w:rPr>
            </w:pPr>
            <w:r w:rsidRPr="00B67D63">
              <w:rPr>
                <w:rFonts w:cstheme="minorHAnsi"/>
                <w:b/>
                <w:bCs/>
                <w:sz w:val="20"/>
                <w:szCs w:val="20"/>
                <w:lang w:val="sr-Latn-ME"/>
              </w:rPr>
              <w:t>Indikator učinka (outcome indicator)</w:t>
            </w:r>
          </w:p>
        </w:tc>
        <w:tc>
          <w:tcPr>
            <w:tcW w:w="1620" w:type="dxa"/>
            <w:shd w:val="clear" w:color="auto" w:fill="BDD6EE" w:themeFill="accent5" w:themeFillTint="66"/>
          </w:tcPr>
          <w:p w14:paraId="50A79B74" w14:textId="77777777" w:rsidR="0052342C" w:rsidRPr="00B67D63" w:rsidRDefault="0052342C" w:rsidP="0052342C">
            <w:pPr>
              <w:rPr>
                <w:rFonts w:cstheme="minorHAnsi"/>
                <w:b/>
                <w:bCs/>
                <w:sz w:val="20"/>
                <w:szCs w:val="20"/>
                <w:lang w:val="sr-Latn-ME"/>
              </w:rPr>
            </w:pPr>
            <w:r w:rsidRPr="00B67D63">
              <w:rPr>
                <w:rFonts w:cstheme="minorHAnsi"/>
                <w:b/>
                <w:bCs/>
                <w:sz w:val="20"/>
                <w:szCs w:val="20"/>
                <w:lang w:val="sr-Latn-ME"/>
              </w:rPr>
              <w:t>Izvor verifikacije</w:t>
            </w:r>
          </w:p>
        </w:tc>
        <w:tc>
          <w:tcPr>
            <w:tcW w:w="1890" w:type="dxa"/>
            <w:shd w:val="clear" w:color="auto" w:fill="BDD6EE" w:themeFill="accent5" w:themeFillTint="66"/>
          </w:tcPr>
          <w:p w14:paraId="490391DF" w14:textId="77777777" w:rsidR="0052342C" w:rsidRPr="00B67D63" w:rsidRDefault="0052342C" w:rsidP="0052342C">
            <w:pPr>
              <w:rPr>
                <w:rFonts w:cstheme="minorHAnsi"/>
                <w:b/>
                <w:bCs/>
                <w:sz w:val="20"/>
                <w:szCs w:val="20"/>
                <w:lang w:val="sr-Latn-ME"/>
              </w:rPr>
            </w:pPr>
            <w:r w:rsidRPr="00B67D63">
              <w:rPr>
                <w:rFonts w:cstheme="minorHAnsi"/>
                <w:b/>
                <w:bCs/>
                <w:sz w:val="20"/>
                <w:szCs w:val="20"/>
                <w:lang w:val="sr-Latn-ME"/>
              </w:rPr>
              <w:t>Početna vrijednost 2022.</w:t>
            </w:r>
          </w:p>
        </w:tc>
        <w:tc>
          <w:tcPr>
            <w:tcW w:w="1620" w:type="dxa"/>
            <w:shd w:val="clear" w:color="auto" w:fill="BDD6EE" w:themeFill="accent5" w:themeFillTint="66"/>
          </w:tcPr>
          <w:p w14:paraId="290004F6" w14:textId="77777777" w:rsidR="0052342C" w:rsidRPr="00B67D63" w:rsidRDefault="0052342C" w:rsidP="0052342C">
            <w:pPr>
              <w:rPr>
                <w:rFonts w:cstheme="minorHAnsi"/>
                <w:b/>
                <w:bCs/>
                <w:sz w:val="20"/>
                <w:szCs w:val="20"/>
                <w:lang w:val="sr-Latn-ME"/>
              </w:rPr>
            </w:pPr>
            <w:r w:rsidRPr="00B67D63">
              <w:rPr>
                <w:rFonts w:cstheme="minorHAnsi"/>
                <w:b/>
                <w:bCs/>
                <w:sz w:val="20"/>
                <w:szCs w:val="20"/>
                <w:lang w:val="sr-Latn-ME"/>
              </w:rPr>
              <w:t>Vrijednost u 2025.</w:t>
            </w:r>
          </w:p>
        </w:tc>
        <w:tc>
          <w:tcPr>
            <w:tcW w:w="1440" w:type="dxa"/>
            <w:shd w:val="clear" w:color="auto" w:fill="BDD6EE" w:themeFill="accent5" w:themeFillTint="66"/>
          </w:tcPr>
          <w:p w14:paraId="00CB08E5" w14:textId="77777777" w:rsidR="0052342C" w:rsidRPr="00B67D63" w:rsidRDefault="0052342C" w:rsidP="0052342C">
            <w:pPr>
              <w:rPr>
                <w:rFonts w:cstheme="minorHAnsi"/>
                <w:b/>
                <w:bCs/>
                <w:sz w:val="20"/>
                <w:szCs w:val="20"/>
                <w:lang w:val="sr-Latn-ME"/>
              </w:rPr>
            </w:pPr>
            <w:r w:rsidRPr="00B67D63">
              <w:rPr>
                <w:rFonts w:cstheme="minorHAnsi"/>
                <w:b/>
                <w:bCs/>
                <w:sz w:val="20"/>
                <w:szCs w:val="20"/>
                <w:lang w:val="sr-Latn-ME"/>
              </w:rPr>
              <w:t>Ciljna vrijednost 2026.</w:t>
            </w:r>
          </w:p>
        </w:tc>
      </w:tr>
      <w:tr w:rsidR="00AC4DD1" w:rsidRPr="00B67D63" w14:paraId="168A9C44" w14:textId="77777777" w:rsidTr="0052342C">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15A9EEDE" w14:textId="043F7B67" w:rsidR="00AE30E9" w:rsidRPr="00B67D63" w:rsidRDefault="0052342C" w:rsidP="00C32F60">
            <w:pPr>
              <w:rPr>
                <w:rFonts w:cstheme="minorHAnsi"/>
                <w:sz w:val="20"/>
                <w:szCs w:val="20"/>
                <w:lang w:val="sr-Latn-ME"/>
              </w:rPr>
            </w:pPr>
            <w:r w:rsidRPr="00B67D63">
              <w:rPr>
                <w:rFonts w:cstheme="minorHAnsi"/>
                <w:sz w:val="20"/>
                <w:szCs w:val="20"/>
                <w:lang w:val="sr-Latn-ME"/>
              </w:rPr>
              <w:t xml:space="preserve">Povećan broj </w:t>
            </w:r>
            <w:r w:rsidR="00D049BB" w:rsidRPr="00B67D63">
              <w:rPr>
                <w:rFonts w:cstheme="minorHAnsi"/>
                <w:sz w:val="20"/>
                <w:szCs w:val="20"/>
                <w:lang w:val="sr-Latn-ME"/>
              </w:rPr>
              <w:t>poslovnih subjekata</w:t>
            </w:r>
            <w:r w:rsidR="00B67E97" w:rsidRPr="00B67D63">
              <w:rPr>
                <w:rFonts w:cstheme="minorHAnsi"/>
                <w:sz w:val="20"/>
                <w:szCs w:val="20"/>
                <w:lang w:val="sr-Latn-ME"/>
              </w:rPr>
              <w:t xml:space="preserve"> </w:t>
            </w:r>
            <w:r w:rsidR="00646E9C" w:rsidRPr="00B67D63">
              <w:rPr>
                <w:rFonts w:cstheme="minorHAnsi"/>
                <w:sz w:val="20"/>
                <w:szCs w:val="20"/>
                <w:lang w:val="sr-Latn-ME"/>
              </w:rPr>
              <w:t>u turizmu, poljoprivredi, trgovini, saobraćaju, građevinarstvu</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1825E65E" w14:textId="67EF4EE4" w:rsidR="00646E9C" w:rsidRPr="00B67D63" w:rsidRDefault="00646E9C" w:rsidP="00D049BB">
            <w:pPr>
              <w:rPr>
                <w:rFonts w:cstheme="minorHAnsi"/>
                <w:sz w:val="20"/>
                <w:szCs w:val="20"/>
                <w:lang w:val="sr-Latn-ME"/>
              </w:rPr>
            </w:pPr>
            <w:r w:rsidRPr="00B67D63">
              <w:rPr>
                <w:rFonts w:cstheme="minorHAnsi"/>
                <w:sz w:val="20"/>
                <w:szCs w:val="20"/>
                <w:lang w:val="sr-Latn-ME"/>
              </w:rPr>
              <w:t>Broj poslovnih subjekata u turizmu</w:t>
            </w:r>
          </w:p>
          <w:p w14:paraId="70EB112B" w14:textId="7F454D2F" w:rsidR="00646E9C" w:rsidRPr="00B67D63" w:rsidRDefault="00646E9C" w:rsidP="00D049BB">
            <w:pPr>
              <w:rPr>
                <w:rFonts w:cstheme="minorHAnsi"/>
                <w:sz w:val="20"/>
                <w:szCs w:val="20"/>
                <w:lang w:val="sr-Latn-ME"/>
              </w:rPr>
            </w:pPr>
            <w:r w:rsidRPr="00B67D63">
              <w:rPr>
                <w:rFonts w:cstheme="minorHAnsi"/>
                <w:sz w:val="20"/>
                <w:szCs w:val="20"/>
                <w:lang w:val="sr-Latn-ME"/>
              </w:rPr>
              <w:t>Broj poslovnih subjekata u trgovini</w:t>
            </w:r>
          </w:p>
          <w:p w14:paraId="2B531878" w14:textId="4966E0BA" w:rsidR="00646E9C" w:rsidRPr="00B67D63" w:rsidRDefault="00646E9C" w:rsidP="00D049BB">
            <w:pPr>
              <w:rPr>
                <w:rFonts w:cstheme="minorHAnsi"/>
                <w:sz w:val="20"/>
                <w:szCs w:val="20"/>
                <w:lang w:val="sr-Latn-ME"/>
              </w:rPr>
            </w:pPr>
            <w:r w:rsidRPr="00B67D63">
              <w:rPr>
                <w:rFonts w:cstheme="minorHAnsi"/>
                <w:sz w:val="20"/>
                <w:szCs w:val="20"/>
                <w:lang w:val="sr-Latn-ME"/>
              </w:rPr>
              <w:t>Broj poslovnih subjekata u saobraćaju</w:t>
            </w:r>
          </w:p>
          <w:p w14:paraId="394465AA" w14:textId="6A00CBB4" w:rsidR="00646E9C" w:rsidRPr="00B67D63" w:rsidRDefault="00646E9C" w:rsidP="00D049BB">
            <w:pPr>
              <w:rPr>
                <w:rFonts w:cstheme="minorHAnsi"/>
                <w:sz w:val="20"/>
                <w:szCs w:val="20"/>
                <w:lang w:val="sr-Latn-ME"/>
              </w:rPr>
            </w:pPr>
            <w:r w:rsidRPr="00B67D63">
              <w:rPr>
                <w:rFonts w:cstheme="minorHAnsi"/>
                <w:sz w:val="20"/>
                <w:szCs w:val="20"/>
                <w:lang w:val="sr-Latn-ME"/>
              </w:rPr>
              <w:t>Broj poslovnih subjekata u pojoprivredi</w:t>
            </w:r>
          </w:p>
          <w:p w14:paraId="78F502D0" w14:textId="77777777" w:rsidR="00AE30E9" w:rsidRPr="00B67D63" w:rsidRDefault="00AE30E9" w:rsidP="00C32F60">
            <w:pPr>
              <w:rPr>
                <w:rFonts w:cstheme="minorHAnsi"/>
                <w:sz w:val="20"/>
                <w:szCs w:val="20"/>
                <w:lang w:val="sr-Latn-ME"/>
              </w:rPr>
            </w:pPr>
          </w:p>
          <w:p w14:paraId="333D7F22" w14:textId="01CB811A" w:rsidR="00DF78ED" w:rsidRPr="00B67D63" w:rsidRDefault="00DF78ED" w:rsidP="00C32F60">
            <w:pPr>
              <w:rPr>
                <w:rFonts w:cstheme="minorHAnsi"/>
                <w:sz w:val="20"/>
                <w:szCs w:val="20"/>
                <w:lang w:val="sr-Latn-ME"/>
              </w:rPr>
            </w:pPr>
            <w:r w:rsidRPr="00B67D63">
              <w:rPr>
                <w:rFonts w:cstheme="minorHAnsi"/>
                <w:sz w:val="20"/>
                <w:szCs w:val="20"/>
                <w:lang w:val="sr-Latn-ME"/>
              </w:rPr>
              <w:t>Broj poslovnih subjekata u građevinarstvu</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94315F0" w14:textId="1B366FFD" w:rsidR="0052342C" w:rsidRPr="00B67D63" w:rsidRDefault="0052342C" w:rsidP="00C32F60">
            <w:pPr>
              <w:rPr>
                <w:rFonts w:cstheme="minorHAnsi"/>
                <w:sz w:val="20"/>
                <w:szCs w:val="20"/>
                <w:lang w:val="sr-Latn-ME"/>
              </w:rPr>
            </w:pPr>
            <w:r w:rsidRPr="00B67D63">
              <w:rPr>
                <w:rFonts w:cstheme="minorHAnsi"/>
                <w:sz w:val="20"/>
                <w:szCs w:val="20"/>
                <w:lang w:val="sr-Latn-ME"/>
              </w:rPr>
              <w:t>Monstat</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5F1530C8" w14:textId="77777777" w:rsidR="0052342C" w:rsidRPr="00B67D63" w:rsidRDefault="0052342C" w:rsidP="00FC0A1E">
            <w:pPr>
              <w:jc w:val="center"/>
              <w:rPr>
                <w:rFonts w:cstheme="minorHAnsi"/>
                <w:sz w:val="20"/>
                <w:szCs w:val="20"/>
                <w:lang w:val="sr-Latn-ME"/>
              </w:rPr>
            </w:pPr>
          </w:p>
          <w:p w14:paraId="1E07D082" w14:textId="77777777" w:rsidR="00DF78ED" w:rsidRPr="00B67D63" w:rsidRDefault="00DF78ED" w:rsidP="00FC0A1E">
            <w:pPr>
              <w:jc w:val="center"/>
              <w:rPr>
                <w:rFonts w:cstheme="minorHAnsi"/>
                <w:sz w:val="20"/>
                <w:szCs w:val="20"/>
                <w:lang w:val="sr-Latn-ME"/>
              </w:rPr>
            </w:pPr>
          </w:p>
          <w:p w14:paraId="475B9A2C" w14:textId="08F412FD" w:rsidR="00DF78ED" w:rsidRPr="00B67D63" w:rsidRDefault="00DC2A52" w:rsidP="00FC0A1E">
            <w:pPr>
              <w:jc w:val="center"/>
              <w:rPr>
                <w:rFonts w:cstheme="minorHAnsi"/>
                <w:sz w:val="20"/>
                <w:szCs w:val="20"/>
                <w:lang w:val="sr-Latn-ME"/>
              </w:rPr>
            </w:pPr>
            <w:r w:rsidRPr="00B67D63">
              <w:rPr>
                <w:rFonts w:cstheme="minorHAnsi"/>
                <w:sz w:val="20"/>
                <w:szCs w:val="20"/>
                <w:lang w:val="sr-Latn-ME"/>
              </w:rPr>
              <w:t>5.494</w:t>
            </w:r>
          </w:p>
          <w:p w14:paraId="617B0901" w14:textId="77777777" w:rsidR="00DF78ED" w:rsidRPr="00B67D63" w:rsidRDefault="00DF78ED" w:rsidP="00FC0A1E">
            <w:pPr>
              <w:jc w:val="center"/>
              <w:rPr>
                <w:rFonts w:cstheme="minorHAnsi"/>
                <w:sz w:val="20"/>
                <w:szCs w:val="20"/>
                <w:lang w:val="sr-Latn-ME"/>
              </w:rPr>
            </w:pPr>
          </w:p>
          <w:p w14:paraId="7542F415" w14:textId="4114AF3D" w:rsidR="00DF78ED" w:rsidRPr="00B67D63" w:rsidRDefault="007406B0" w:rsidP="00FC0A1E">
            <w:pPr>
              <w:jc w:val="center"/>
              <w:rPr>
                <w:rFonts w:cstheme="minorHAnsi"/>
                <w:sz w:val="20"/>
                <w:szCs w:val="20"/>
                <w:lang w:val="sr-Latn-ME"/>
              </w:rPr>
            </w:pPr>
            <w:r w:rsidRPr="00B67D63">
              <w:rPr>
                <w:rFonts w:cstheme="minorHAnsi"/>
                <w:sz w:val="20"/>
                <w:szCs w:val="20"/>
                <w:lang w:val="sr-Latn-ME"/>
              </w:rPr>
              <w:t>12.529</w:t>
            </w:r>
          </w:p>
          <w:p w14:paraId="603DEDB5" w14:textId="77777777" w:rsidR="00DF78ED" w:rsidRPr="00B67D63" w:rsidRDefault="00DF78ED" w:rsidP="00FC0A1E">
            <w:pPr>
              <w:jc w:val="center"/>
              <w:rPr>
                <w:rFonts w:cstheme="minorHAnsi"/>
                <w:sz w:val="20"/>
                <w:szCs w:val="20"/>
                <w:lang w:val="sr-Latn-ME"/>
              </w:rPr>
            </w:pPr>
          </w:p>
          <w:p w14:paraId="08758680" w14:textId="77777777" w:rsidR="00DF78ED" w:rsidRPr="00B67D63" w:rsidRDefault="00DF78ED" w:rsidP="00FC0A1E">
            <w:pPr>
              <w:jc w:val="center"/>
              <w:rPr>
                <w:rFonts w:cstheme="minorHAnsi"/>
                <w:sz w:val="20"/>
                <w:szCs w:val="20"/>
                <w:lang w:val="sr-Latn-ME"/>
              </w:rPr>
            </w:pPr>
          </w:p>
          <w:p w14:paraId="125BA744" w14:textId="168916E8" w:rsidR="00DF78ED" w:rsidRPr="00B67D63" w:rsidRDefault="007406B0" w:rsidP="00FC0A1E">
            <w:pPr>
              <w:jc w:val="center"/>
              <w:rPr>
                <w:rFonts w:cstheme="minorHAnsi"/>
                <w:sz w:val="20"/>
                <w:szCs w:val="20"/>
                <w:lang w:val="sr-Latn-ME"/>
              </w:rPr>
            </w:pPr>
            <w:r w:rsidRPr="00B67D63">
              <w:rPr>
                <w:rFonts w:cstheme="minorHAnsi"/>
                <w:sz w:val="20"/>
                <w:szCs w:val="20"/>
                <w:lang w:val="sr-Latn-ME"/>
              </w:rPr>
              <w:t>2.030</w:t>
            </w:r>
          </w:p>
          <w:p w14:paraId="0421D909" w14:textId="77777777" w:rsidR="00DF78ED" w:rsidRPr="00B67D63" w:rsidRDefault="00DF78ED" w:rsidP="00FC0A1E">
            <w:pPr>
              <w:jc w:val="center"/>
              <w:rPr>
                <w:rFonts w:cstheme="minorHAnsi"/>
                <w:sz w:val="20"/>
                <w:szCs w:val="20"/>
                <w:lang w:val="sr-Latn-ME"/>
              </w:rPr>
            </w:pPr>
          </w:p>
          <w:p w14:paraId="27C00EF7" w14:textId="77777777" w:rsidR="00DF78ED" w:rsidRPr="00B67D63" w:rsidRDefault="00DF78ED" w:rsidP="00FC0A1E">
            <w:pPr>
              <w:jc w:val="center"/>
              <w:rPr>
                <w:rFonts w:cstheme="minorHAnsi"/>
                <w:sz w:val="20"/>
                <w:szCs w:val="20"/>
                <w:lang w:val="sr-Latn-ME"/>
              </w:rPr>
            </w:pPr>
          </w:p>
          <w:p w14:paraId="4B1D83CF" w14:textId="24406F17" w:rsidR="00DF78ED" w:rsidRPr="00B67D63" w:rsidRDefault="007406B0" w:rsidP="00FC0A1E">
            <w:pPr>
              <w:jc w:val="center"/>
              <w:rPr>
                <w:rFonts w:cstheme="minorHAnsi"/>
                <w:sz w:val="20"/>
                <w:szCs w:val="20"/>
                <w:lang w:val="sr-Latn-ME"/>
              </w:rPr>
            </w:pPr>
            <w:r w:rsidRPr="00B67D63">
              <w:rPr>
                <w:rFonts w:cstheme="minorHAnsi"/>
                <w:sz w:val="20"/>
                <w:szCs w:val="20"/>
                <w:lang w:val="sr-Latn-ME"/>
              </w:rPr>
              <w:t>495</w:t>
            </w:r>
          </w:p>
          <w:p w14:paraId="7C4642F5" w14:textId="77777777" w:rsidR="00DF78ED" w:rsidRPr="00B67D63" w:rsidRDefault="00DF78ED" w:rsidP="00FC0A1E">
            <w:pPr>
              <w:jc w:val="center"/>
              <w:rPr>
                <w:rFonts w:cstheme="minorHAnsi"/>
                <w:sz w:val="20"/>
                <w:szCs w:val="20"/>
                <w:lang w:val="sr-Latn-ME"/>
              </w:rPr>
            </w:pPr>
          </w:p>
          <w:p w14:paraId="0F03BB0E" w14:textId="77777777" w:rsidR="00DF78ED" w:rsidRPr="00B67D63" w:rsidRDefault="00DF78ED" w:rsidP="00FC0A1E">
            <w:pPr>
              <w:jc w:val="center"/>
              <w:rPr>
                <w:rFonts w:cstheme="minorHAnsi"/>
                <w:sz w:val="20"/>
                <w:szCs w:val="20"/>
                <w:lang w:val="sr-Latn-ME"/>
              </w:rPr>
            </w:pPr>
          </w:p>
          <w:p w14:paraId="30714460" w14:textId="77777777" w:rsidR="00DF78ED" w:rsidRPr="00B67D63" w:rsidRDefault="00DF78ED" w:rsidP="00FC0A1E">
            <w:pPr>
              <w:jc w:val="center"/>
              <w:rPr>
                <w:rFonts w:cstheme="minorHAnsi"/>
                <w:sz w:val="20"/>
                <w:szCs w:val="20"/>
                <w:lang w:val="sr-Latn-ME"/>
              </w:rPr>
            </w:pPr>
          </w:p>
          <w:p w14:paraId="7DAD892D" w14:textId="56F290A8" w:rsidR="00DF78ED" w:rsidRPr="00B67D63" w:rsidRDefault="007406B0" w:rsidP="00FC0A1E">
            <w:pPr>
              <w:jc w:val="center"/>
              <w:rPr>
                <w:rFonts w:cstheme="minorHAnsi"/>
                <w:sz w:val="20"/>
                <w:szCs w:val="20"/>
                <w:lang w:val="sr-Latn-ME"/>
              </w:rPr>
            </w:pPr>
            <w:r w:rsidRPr="00B67D63">
              <w:rPr>
                <w:rFonts w:cstheme="minorHAnsi"/>
                <w:sz w:val="20"/>
                <w:szCs w:val="20"/>
                <w:lang w:val="sr-Latn-ME"/>
              </w:rPr>
              <w:t>5.236</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7E9C3DD" w14:textId="77777777" w:rsidR="0052342C" w:rsidRPr="00B67D63" w:rsidRDefault="0052342C" w:rsidP="00FC0A1E">
            <w:pPr>
              <w:jc w:val="center"/>
              <w:rPr>
                <w:rFonts w:cstheme="minorHAnsi"/>
                <w:sz w:val="20"/>
                <w:szCs w:val="20"/>
                <w:lang w:val="sr-Latn-ME"/>
              </w:rPr>
            </w:pPr>
          </w:p>
          <w:p w14:paraId="5574D78A" w14:textId="77777777" w:rsidR="00F0146E" w:rsidRPr="00B67D63" w:rsidRDefault="00F0146E" w:rsidP="00FC0A1E">
            <w:pPr>
              <w:jc w:val="center"/>
              <w:rPr>
                <w:rFonts w:cstheme="minorHAnsi"/>
                <w:sz w:val="20"/>
                <w:szCs w:val="20"/>
                <w:lang w:val="sr-Latn-ME"/>
              </w:rPr>
            </w:pPr>
          </w:p>
          <w:p w14:paraId="7935B315" w14:textId="0E022D20" w:rsidR="00F0146E" w:rsidRPr="00B67D63" w:rsidRDefault="00F0146E" w:rsidP="00FC0A1E">
            <w:pPr>
              <w:jc w:val="center"/>
              <w:rPr>
                <w:rFonts w:cstheme="minorHAnsi"/>
                <w:sz w:val="20"/>
                <w:szCs w:val="20"/>
                <w:lang w:val="sr-Latn-ME"/>
              </w:rPr>
            </w:pPr>
            <w:r w:rsidRPr="00B67D63">
              <w:rPr>
                <w:rFonts w:cstheme="minorHAnsi"/>
                <w:sz w:val="20"/>
                <w:szCs w:val="20"/>
                <w:lang w:val="sr-Latn-ME"/>
              </w:rPr>
              <w:t>5.</w:t>
            </w:r>
            <w:r w:rsidR="007237BF" w:rsidRPr="00B67D63">
              <w:rPr>
                <w:rFonts w:cstheme="minorHAnsi"/>
                <w:sz w:val="20"/>
                <w:szCs w:val="20"/>
                <w:lang w:val="sr-Latn-ME"/>
              </w:rPr>
              <w:t>569</w:t>
            </w:r>
          </w:p>
          <w:p w14:paraId="2F915EE4" w14:textId="77777777" w:rsidR="001E557D" w:rsidRPr="00B67D63" w:rsidRDefault="001E557D" w:rsidP="00FC0A1E">
            <w:pPr>
              <w:jc w:val="center"/>
              <w:rPr>
                <w:rFonts w:cstheme="minorHAnsi"/>
                <w:sz w:val="20"/>
                <w:szCs w:val="20"/>
                <w:lang w:val="sr-Latn-ME"/>
              </w:rPr>
            </w:pPr>
          </w:p>
          <w:p w14:paraId="475D9890" w14:textId="63300AD5" w:rsidR="001E557D" w:rsidRPr="00B67D63" w:rsidRDefault="007237BF" w:rsidP="00FC0A1E">
            <w:pPr>
              <w:jc w:val="center"/>
              <w:rPr>
                <w:rFonts w:cstheme="minorHAnsi"/>
                <w:sz w:val="20"/>
                <w:szCs w:val="20"/>
                <w:lang w:val="sr-Latn-ME"/>
              </w:rPr>
            </w:pPr>
            <w:r w:rsidRPr="00B67D63">
              <w:rPr>
                <w:rFonts w:cstheme="minorHAnsi"/>
                <w:sz w:val="20"/>
                <w:szCs w:val="20"/>
                <w:lang w:val="sr-Latn-ME"/>
              </w:rPr>
              <w:t>12.888</w:t>
            </w:r>
          </w:p>
          <w:p w14:paraId="1CAE3711" w14:textId="77777777" w:rsidR="001E557D" w:rsidRPr="00B67D63" w:rsidRDefault="001E557D" w:rsidP="00FC0A1E">
            <w:pPr>
              <w:jc w:val="center"/>
              <w:rPr>
                <w:rFonts w:cstheme="minorHAnsi"/>
                <w:sz w:val="20"/>
                <w:szCs w:val="20"/>
                <w:lang w:val="sr-Latn-ME"/>
              </w:rPr>
            </w:pPr>
          </w:p>
          <w:p w14:paraId="6167D394" w14:textId="77777777" w:rsidR="001E557D" w:rsidRPr="00B67D63" w:rsidRDefault="001E557D" w:rsidP="00FC0A1E">
            <w:pPr>
              <w:jc w:val="center"/>
              <w:rPr>
                <w:rFonts w:cstheme="minorHAnsi"/>
                <w:sz w:val="20"/>
                <w:szCs w:val="20"/>
                <w:lang w:val="sr-Latn-ME"/>
              </w:rPr>
            </w:pPr>
          </w:p>
          <w:p w14:paraId="38ABFC8D" w14:textId="78FF6BBD" w:rsidR="001E557D" w:rsidRPr="00B67D63" w:rsidRDefault="001E557D" w:rsidP="00FC0A1E">
            <w:pPr>
              <w:jc w:val="center"/>
              <w:rPr>
                <w:rFonts w:cstheme="minorHAnsi"/>
                <w:sz w:val="20"/>
                <w:szCs w:val="20"/>
                <w:lang w:val="sr-Latn-ME"/>
              </w:rPr>
            </w:pPr>
            <w:r w:rsidRPr="00B67D63">
              <w:rPr>
                <w:rFonts w:cstheme="minorHAnsi"/>
                <w:sz w:val="20"/>
                <w:szCs w:val="20"/>
                <w:lang w:val="sr-Latn-ME"/>
              </w:rPr>
              <w:t>1.862</w:t>
            </w:r>
          </w:p>
          <w:p w14:paraId="423D7730" w14:textId="77777777" w:rsidR="001E557D" w:rsidRPr="00B67D63" w:rsidRDefault="001E557D" w:rsidP="00FC0A1E">
            <w:pPr>
              <w:jc w:val="center"/>
              <w:rPr>
                <w:rFonts w:cstheme="minorHAnsi"/>
                <w:sz w:val="20"/>
                <w:szCs w:val="20"/>
                <w:lang w:val="sr-Latn-ME"/>
              </w:rPr>
            </w:pPr>
          </w:p>
          <w:p w14:paraId="14C05EC1" w14:textId="77777777" w:rsidR="001E557D" w:rsidRPr="00B67D63" w:rsidRDefault="001E557D" w:rsidP="00FC0A1E">
            <w:pPr>
              <w:jc w:val="center"/>
              <w:rPr>
                <w:rFonts w:cstheme="minorHAnsi"/>
                <w:sz w:val="20"/>
                <w:szCs w:val="20"/>
                <w:lang w:val="sr-Latn-ME"/>
              </w:rPr>
            </w:pPr>
          </w:p>
          <w:p w14:paraId="1D0EF835" w14:textId="02F277D0" w:rsidR="001E557D" w:rsidRPr="00B67D63" w:rsidRDefault="001E557D" w:rsidP="00FC0A1E">
            <w:pPr>
              <w:jc w:val="center"/>
              <w:rPr>
                <w:rFonts w:cstheme="minorHAnsi"/>
                <w:sz w:val="20"/>
                <w:szCs w:val="20"/>
                <w:lang w:val="sr-Latn-ME"/>
              </w:rPr>
            </w:pPr>
            <w:r w:rsidRPr="00B67D63">
              <w:rPr>
                <w:rFonts w:cstheme="minorHAnsi"/>
                <w:sz w:val="20"/>
                <w:szCs w:val="20"/>
                <w:lang w:val="sr-Latn-ME"/>
              </w:rPr>
              <w:t>502</w:t>
            </w:r>
          </w:p>
          <w:p w14:paraId="38C373B4" w14:textId="77777777" w:rsidR="001E557D" w:rsidRPr="00B67D63" w:rsidRDefault="001E557D" w:rsidP="00FC0A1E">
            <w:pPr>
              <w:jc w:val="center"/>
              <w:rPr>
                <w:rFonts w:cstheme="minorHAnsi"/>
                <w:sz w:val="20"/>
                <w:szCs w:val="20"/>
                <w:lang w:val="sr-Latn-ME"/>
              </w:rPr>
            </w:pPr>
          </w:p>
          <w:p w14:paraId="0BBD20CD" w14:textId="77777777" w:rsidR="001E557D" w:rsidRPr="00B67D63" w:rsidRDefault="001E557D" w:rsidP="00FC0A1E">
            <w:pPr>
              <w:jc w:val="center"/>
              <w:rPr>
                <w:rFonts w:cstheme="minorHAnsi"/>
                <w:sz w:val="20"/>
                <w:szCs w:val="20"/>
                <w:lang w:val="sr-Latn-ME"/>
              </w:rPr>
            </w:pPr>
          </w:p>
          <w:p w14:paraId="22538DD5" w14:textId="77777777" w:rsidR="001E557D" w:rsidRPr="00B67D63" w:rsidRDefault="001E557D" w:rsidP="00FC0A1E">
            <w:pPr>
              <w:jc w:val="center"/>
              <w:rPr>
                <w:rFonts w:cstheme="minorHAnsi"/>
                <w:sz w:val="20"/>
                <w:szCs w:val="20"/>
                <w:lang w:val="sr-Latn-ME"/>
              </w:rPr>
            </w:pPr>
          </w:p>
          <w:p w14:paraId="736691BD" w14:textId="15101F3E" w:rsidR="001E557D" w:rsidRPr="00B67D63" w:rsidRDefault="007237BF" w:rsidP="00FC0A1E">
            <w:pPr>
              <w:jc w:val="center"/>
              <w:rPr>
                <w:rFonts w:cstheme="minorHAnsi"/>
                <w:sz w:val="20"/>
                <w:szCs w:val="20"/>
                <w:lang w:val="sr-Latn-ME"/>
              </w:rPr>
            </w:pPr>
            <w:r w:rsidRPr="00B67D63">
              <w:rPr>
                <w:rFonts w:cstheme="minorHAnsi"/>
                <w:sz w:val="20"/>
                <w:szCs w:val="20"/>
                <w:lang w:val="sr-Latn-ME"/>
              </w:rPr>
              <w:t>5.348</w:t>
            </w:r>
          </w:p>
          <w:p w14:paraId="05748042" w14:textId="2D38DE39" w:rsidR="001E557D" w:rsidRPr="00B67D63" w:rsidRDefault="001E557D" w:rsidP="00FC0A1E">
            <w:pPr>
              <w:jc w:val="center"/>
              <w:rPr>
                <w:rFonts w:cstheme="minorHAnsi"/>
                <w:sz w:val="20"/>
                <w:szCs w:val="20"/>
                <w:lang w:val="sr-Latn-ME"/>
              </w:rPr>
            </w:pP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761F6C13" w14:textId="77777777" w:rsidR="0052342C" w:rsidRPr="00B67D63" w:rsidRDefault="0052342C" w:rsidP="00FC0A1E">
            <w:pPr>
              <w:jc w:val="center"/>
              <w:rPr>
                <w:rFonts w:cstheme="minorHAnsi"/>
                <w:sz w:val="20"/>
                <w:szCs w:val="20"/>
                <w:lang w:val="sr-Latn-ME"/>
              </w:rPr>
            </w:pPr>
          </w:p>
          <w:p w14:paraId="4C909FAA" w14:textId="77777777" w:rsidR="001E557D" w:rsidRPr="00B67D63" w:rsidRDefault="001E557D" w:rsidP="00FC0A1E">
            <w:pPr>
              <w:jc w:val="center"/>
              <w:rPr>
                <w:rFonts w:cstheme="minorHAnsi"/>
                <w:sz w:val="20"/>
                <w:szCs w:val="20"/>
                <w:lang w:val="sr-Latn-ME"/>
              </w:rPr>
            </w:pPr>
          </w:p>
          <w:p w14:paraId="3D3D3AB0" w14:textId="013E6F7B" w:rsidR="001E557D" w:rsidRPr="00B67D63" w:rsidRDefault="001E557D" w:rsidP="00FC0A1E">
            <w:pPr>
              <w:jc w:val="center"/>
              <w:rPr>
                <w:rFonts w:cstheme="minorHAnsi"/>
                <w:sz w:val="20"/>
                <w:szCs w:val="20"/>
                <w:lang w:val="sr-Latn-ME"/>
              </w:rPr>
            </w:pPr>
            <w:r w:rsidRPr="00B67D63">
              <w:rPr>
                <w:rFonts w:cstheme="minorHAnsi"/>
                <w:sz w:val="20"/>
                <w:szCs w:val="20"/>
                <w:lang w:val="sr-Latn-ME"/>
              </w:rPr>
              <w:t>5.</w:t>
            </w:r>
            <w:r w:rsidR="007237BF" w:rsidRPr="00B67D63">
              <w:rPr>
                <w:rFonts w:cstheme="minorHAnsi"/>
                <w:sz w:val="20"/>
                <w:szCs w:val="20"/>
                <w:lang w:val="sr-Latn-ME"/>
              </w:rPr>
              <w:t>832</w:t>
            </w:r>
          </w:p>
          <w:p w14:paraId="5A435D46" w14:textId="77777777" w:rsidR="001E557D" w:rsidRPr="00B67D63" w:rsidRDefault="001E557D" w:rsidP="00FC0A1E">
            <w:pPr>
              <w:jc w:val="center"/>
              <w:rPr>
                <w:rFonts w:cstheme="minorHAnsi"/>
                <w:sz w:val="20"/>
                <w:szCs w:val="20"/>
                <w:lang w:val="sr-Latn-ME"/>
              </w:rPr>
            </w:pPr>
          </w:p>
          <w:p w14:paraId="688FB726" w14:textId="53477E26" w:rsidR="001E557D" w:rsidRPr="00B67D63" w:rsidRDefault="007237BF" w:rsidP="00FC0A1E">
            <w:pPr>
              <w:jc w:val="center"/>
              <w:rPr>
                <w:rFonts w:cstheme="minorHAnsi"/>
                <w:sz w:val="20"/>
                <w:szCs w:val="20"/>
                <w:lang w:val="sr-Latn-ME"/>
              </w:rPr>
            </w:pPr>
            <w:r w:rsidRPr="00B67D63">
              <w:rPr>
                <w:rFonts w:cstheme="minorHAnsi"/>
                <w:sz w:val="20"/>
                <w:szCs w:val="20"/>
                <w:lang w:val="sr-Latn-ME"/>
              </w:rPr>
              <w:t>12.922</w:t>
            </w:r>
          </w:p>
          <w:p w14:paraId="7FE45FB0" w14:textId="77777777" w:rsidR="001E557D" w:rsidRPr="00B67D63" w:rsidRDefault="001E557D" w:rsidP="00FC0A1E">
            <w:pPr>
              <w:jc w:val="center"/>
              <w:rPr>
                <w:rFonts w:cstheme="minorHAnsi"/>
                <w:sz w:val="20"/>
                <w:szCs w:val="20"/>
                <w:lang w:val="sr-Latn-ME"/>
              </w:rPr>
            </w:pPr>
          </w:p>
          <w:p w14:paraId="35D8306A" w14:textId="77777777" w:rsidR="001E557D" w:rsidRPr="00B67D63" w:rsidRDefault="001E557D" w:rsidP="00FC0A1E">
            <w:pPr>
              <w:jc w:val="center"/>
              <w:rPr>
                <w:rFonts w:cstheme="minorHAnsi"/>
                <w:sz w:val="20"/>
                <w:szCs w:val="20"/>
                <w:lang w:val="sr-Latn-ME"/>
              </w:rPr>
            </w:pPr>
          </w:p>
          <w:p w14:paraId="19F3908F" w14:textId="77777777" w:rsidR="001E557D" w:rsidRPr="00B67D63" w:rsidRDefault="001E557D" w:rsidP="00FC0A1E">
            <w:pPr>
              <w:jc w:val="center"/>
              <w:rPr>
                <w:rFonts w:cstheme="minorHAnsi"/>
                <w:sz w:val="20"/>
                <w:szCs w:val="20"/>
                <w:lang w:val="sr-Latn-ME"/>
              </w:rPr>
            </w:pPr>
            <w:r w:rsidRPr="00B67D63">
              <w:rPr>
                <w:rFonts w:cstheme="minorHAnsi"/>
                <w:sz w:val="20"/>
                <w:szCs w:val="20"/>
                <w:lang w:val="sr-Latn-ME"/>
              </w:rPr>
              <w:t>1.895</w:t>
            </w:r>
          </w:p>
          <w:p w14:paraId="2906737F" w14:textId="77777777" w:rsidR="001E557D" w:rsidRPr="00B67D63" w:rsidRDefault="001E557D" w:rsidP="00FC0A1E">
            <w:pPr>
              <w:jc w:val="center"/>
              <w:rPr>
                <w:rFonts w:cstheme="minorHAnsi"/>
                <w:sz w:val="20"/>
                <w:szCs w:val="20"/>
                <w:lang w:val="sr-Latn-ME"/>
              </w:rPr>
            </w:pPr>
          </w:p>
          <w:p w14:paraId="735E7BF1" w14:textId="77777777" w:rsidR="001E557D" w:rsidRPr="00B67D63" w:rsidRDefault="001E557D" w:rsidP="00FC0A1E">
            <w:pPr>
              <w:jc w:val="center"/>
              <w:rPr>
                <w:rFonts w:cstheme="minorHAnsi"/>
                <w:sz w:val="20"/>
                <w:szCs w:val="20"/>
                <w:lang w:val="sr-Latn-ME"/>
              </w:rPr>
            </w:pPr>
          </w:p>
          <w:p w14:paraId="3D3B4291" w14:textId="77777777" w:rsidR="001E557D" w:rsidRPr="00B67D63" w:rsidRDefault="001E557D" w:rsidP="00FC0A1E">
            <w:pPr>
              <w:jc w:val="center"/>
              <w:rPr>
                <w:rFonts w:cstheme="minorHAnsi"/>
                <w:sz w:val="20"/>
                <w:szCs w:val="20"/>
                <w:lang w:val="sr-Latn-ME"/>
              </w:rPr>
            </w:pPr>
            <w:r w:rsidRPr="00B67D63">
              <w:rPr>
                <w:rFonts w:cstheme="minorHAnsi"/>
                <w:sz w:val="20"/>
                <w:szCs w:val="20"/>
                <w:lang w:val="sr-Latn-ME"/>
              </w:rPr>
              <w:t>523</w:t>
            </w:r>
          </w:p>
          <w:p w14:paraId="26B8D45B" w14:textId="77777777" w:rsidR="001E557D" w:rsidRPr="00B67D63" w:rsidRDefault="001E557D" w:rsidP="00FC0A1E">
            <w:pPr>
              <w:jc w:val="center"/>
              <w:rPr>
                <w:rFonts w:cstheme="minorHAnsi"/>
                <w:sz w:val="20"/>
                <w:szCs w:val="20"/>
                <w:lang w:val="sr-Latn-ME"/>
              </w:rPr>
            </w:pPr>
          </w:p>
          <w:p w14:paraId="66F32A97" w14:textId="77777777" w:rsidR="001E557D" w:rsidRPr="00B67D63" w:rsidRDefault="001E557D" w:rsidP="00FC0A1E">
            <w:pPr>
              <w:jc w:val="center"/>
              <w:rPr>
                <w:rFonts w:cstheme="minorHAnsi"/>
                <w:sz w:val="20"/>
                <w:szCs w:val="20"/>
                <w:lang w:val="sr-Latn-ME"/>
              </w:rPr>
            </w:pPr>
          </w:p>
          <w:p w14:paraId="701F9BC7" w14:textId="77777777" w:rsidR="001E557D" w:rsidRPr="00B67D63" w:rsidRDefault="001E557D" w:rsidP="00FC0A1E">
            <w:pPr>
              <w:jc w:val="center"/>
              <w:rPr>
                <w:rFonts w:cstheme="minorHAnsi"/>
                <w:sz w:val="20"/>
                <w:szCs w:val="20"/>
                <w:lang w:val="sr-Latn-ME"/>
              </w:rPr>
            </w:pPr>
          </w:p>
          <w:p w14:paraId="61690FA8" w14:textId="7F2A42E2" w:rsidR="001E557D" w:rsidRPr="00B67D63" w:rsidRDefault="007237BF" w:rsidP="00FC0A1E">
            <w:pPr>
              <w:jc w:val="center"/>
              <w:rPr>
                <w:rFonts w:cstheme="minorHAnsi"/>
                <w:sz w:val="20"/>
                <w:szCs w:val="20"/>
                <w:lang w:val="sr-Latn-ME"/>
              </w:rPr>
            </w:pPr>
            <w:r w:rsidRPr="00B67D63">
              <w:rPr>
                <w:rFonts w:cstheme="minorHAnsi"/>
                <w:sz w:val="20"/>
                <w:szCs w:val="20"/>
                <w:lang w:val="sr-Latn-ME"/>
              </w:rPr>
              <w:t>5.765</w:t>
            </w:r>
          </w:p>
        </w:tc>
      </w:tr>
      <w:tr w:rsidR="00B67E97" w:rsidRPr="00B67D63" w14:paraId="7E00FC0E" w14:textId="77777777" w:rsidTr="0052342C">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776E5A5F" w14:textId="2EB93A90" w:rsidR="00B67E97" w:rsidRPr="00B67D63" w:rsidRDefault="00B67E97" w:rsidP="00C32F60">
            <w:pPr>
              <w:rPr>
                <w:rFonts w:cstheme="minorHAnsi"/>
                <w:sz w:val="20"/>
                <w:szCs w:val="20"/>
                <w:lang w:val="sr-Latn-ME"/>
              </w:rPr>
            </w:pPr>
            <w:bookmarkStart w:id="35" w:name="_Hlk147974609"/>
            <w:r w:rsidRPr="00B67D63">
              <w:rPr>
                <w:rFonts w:cstheme="minorHAnsi"/>
                <w:sz w:val="20"/>
                <w:szCs w:val="20"/>
                <w:lang w:val="sr-Latn-ME"/>
              </w:rPr>
              <w:t xml:space="preserve">Smanjen broj </w:t>
            </w:r>
            <w:r w:rsidR="002F4D14" w:rsidRPr="00B67D63">
              <w:rPr>
                <w:rFonts w:cstheme="minorHAnsi"/>
                <w:sz w:val="20"/>
                <w:szCs w:val="20"/>
                <w:lang w:val="sr-Latn-ME"/>
              </w:rPr>
              <w:t xml:space="preserve"> registrovanih </w:t>
            </w:r>
            <w:r w:rsidRPr="00B67D63">
              <w:rPr>
                <w:rFonts w:cstheme="minorHAnsi"/>
                <w:sz w:val="20"/>
                <w:szCs w:val="20"/>
                <w:lang w:val="sr-Latn-ME"/>
              </w:rPr>
              <w:t>privrednih subj</w:t>
            </w:r>
            <w:r w:rsidR="009A7324" w:rsidRPr="00B67D63">
              <w:rPr>
                <w:rFonts w:cstheme="minorHAnsi"/>
                <w:sz w:val="20"/>
                <w:szCs w:val="20"/>
                <w:lang w:val="sr-Latn-ME"/>
              </w:rPr>
              <w:t>e</w:t>
            </w:r>
            <w:r w:rsidRPr="00B67D63">
              <w:rPr>
                <w:rFonts w:cstheme="minorHAnsi"/>
                <w:sz w:val="20"/>
                <w:szCs w:val="20"/>
                <w:lang w:val="sr-Latn-ME"/>
              </w:rPr>
              <w:t>kata koji ne pr</w:t>
            </w:r>
            <w:r w:rsidR="00495ACA" w:rsidRPr="00B67D63">
              <w:rPr>
                <w:rFonts w:cstheme="minorHAnsi"/>
                <w:sz w:val="20"/>
                <w:szCs w:val="20"/>
                <w:lang w:val="sr-Latn-ME"/>
              </w:rPr>
              <w:t>i</w:t>
            </w:r>
            <w:r w:rsidR="009A7324" w:rsidRPr="00B67D63">
              <w:rPr>
                <w:rFonts w:cstheme="minorHAnsi"/>
                <w:sz w:val="20"/>
                <w:szCs w:val="20"/>
                <w:lang w:val="sr-Latn-ME"/>
              </w:rPr>
              <w:t>ja</w:t>
            </w:r>
            <w:r w:rsidRPr="00B67D63">
              <w:rPr>
                <w:rFonts w:cstheme="minorHAnsi"/>
                <w:sz w:val="20"/>
                <w:szCs w:val="20"/>
                <w:lang w:val="sr-Latn-ME"/>
              </w:rPr>
              <w:t>vljuju dio poslovanja ili zaposlen</w:t>
            </w:r>
            <w:r w:rsidR="002F4D14" w:rsidRPr="00B67D63">
              <w:rPr>
                <w:rFonts w:cstheme="minorHAnsi"/>
                <w:sz w:val="20"/>
                <w:szCs w:val="20"/>
                <w:lang w:val="sr-Latn-ME"/>
              </w:rPr>
              <w:t>ih</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5F8DDCE1" w14:textId="7DAA29CF" w:rsidR="00B67E97" w:rsidRPr="00B67D63" w:rsidRDefault="00D049BB" w:rsidP="00C32F60">
            <w:pPr>
              <w:rPr>
                <w:rFonts w:cstheme="minorHAnsi"/>
                <w:sz w:val="20"/>
                <w:szCs w:val="20"/>
                <w:lang w:val="sr-Latn-ME"/>
              </w:rPr>
            </w:pPr>
            <w:r w:rsidRPr="00B67D63">
              <w:rPr>
                <w:rFonts w:cstheme="minorHAnsi"/>
                <w:sz w:val="20"/>
                <w:szCs w:val="20"/>
                <w:lang w:val="sr-Latn-ME"/>
              </w:rPr>
              <w:t>%</w:t>
            </w:r>
            <w:r w:rsidR="00B67E97" w:rsidRPr="00B67D63">
              <w:rPr>
                <w:rFonts w:cstheme="minorHAnsi"/>
                <w:sz w:val="20"/>
                <w:szCs w:val="20"/>
                <w:lang w:val="sr-Latn-ME"/>
              </w:rPr>
              <w:t xml:space="preserve"> privrednih subjekata koji </w:t>
            </w:r>
            <w:r w:rsidR="00363169" w:rsidRPr="00B67D63">
              <w:rPr>
                <w:rFonts w:cstheme="minorHAnsi"/>
                <w:sz w:val="20"/>
                <w:szCs w:val="20"/>
                <w:lang w:val="sr-Latn-ME"/>
              </w:rPr>
              <w:t xml:space="preserve">dijelom </w:t>
            </w:r>
            <w:r w:rsidR="00B67E97" w:rsidRPr="00B67D63">
              <w:rPr>
                <w:rFonts w:cstheme="minorHAnsi"/>
                <w:sz w:val="20"/>
                <w:szCs w:val="20"/>
                <w:lang w:val="sr-Latn-ME"/>
              </w:rPr>
              <w:t xml:space="preserve">posluju </w:t>
            </w:r>
            <w:r w:rsidR="00363169" w:rsidRPr="00B67D63">
              <w:rPr>
                <w:rFonts w:cstheme="minorHAnsi"/>
                <w:sz w:val="20"/>
                <w:szCs w:val="20"/>
                <w:lang w:val="sr-Latn-ME"/>
              </w:rPr>
              <w:t>u neformalnom sektoru</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05F9301" w14:textId="4332ABE7" w:rsidR="00B67E97" w:rsidRPr="00B67D63" w:rsidRDefault="00B67E97" w:rsidP="00C32F60">
            <w:pPr>
              <w:rPr>
                <w:rFonts w:cstheme="minorHAnsi"/>
                <w:sz w:val="20"/>
                <w:szCs w:val="20"/>
                <w:lang w:val="sr-Latn-ME"/>
              </w:rPr>
            </w:pPr>
            <w:r w:rsidRPr="00B67D63">
              <w:rPr>
                <w:rFonts w:cstheme="minorHAnsi"/>
                <w:sz w:val="20"/>
                <w:szCs w:val="20"/>
                <w:lang w:val="sr-Latn-ME"/>
              </w:rPr>
              <w:t>MF, Anketa</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4D978373" w14:textId="462C5CB8" w:rsidR="00B67E97" w:rsidRPr="00B67D63" w:rsidRDefault="00363169" w:rsidP="00FC0A1E">
            <w:pPr>
              <w:jc w:val="center"/>
              <w:rPr>
                <w:rFonts w:cstheme="minorHAnsi"/>
                <w:sz w:val="20"/>
                <w:szCs w:val="20"/>
                <w:lang w:val="sr-Latn-ME"/>
              </w:rPr>
            </w:pPr>
            <w:r w:rsidRPr="00B67D63">
              <w:rPr>
                <w:rFonts w:cstheme="minorHAnsi"/>
                <w:sz w:val="20"/>
                <w:szCs w:val="20"/>
                <w:lang w:val="sr-Latn-ME"/>
              </w:rPr>
              <w:t>33,3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89AB6CE" w14:textId="7E91F9D5" w:rsidR="00B67E97" w:rsidRPr="00B67D63" w:rsidRDefault="00363169" w:rsidP="00FC0A1E">
            <w:pPr>
              <w:jc w:val="center"/>
              <w:rPr>
                <w:rFonts w:cstheme="minorHAnsi"/>
                <w:sz w:val="20"/>
                <w:szCs w:val="20"/>
                <w:lang w:val="sr-Latn-ME"/>
              </w:rPr>
            </w:pPr>
            <w:r w:rsidRPr="00B67D63">
              <w:rPr>
                <w:rFonts w:cstheme="minorHAnsi"/>
                <w:sz w:val="20"/>
                <w:szCs w:val="20"/>
                <w:lang w:val="sr-Latn-ME"/>
              </w:rPr>
              <w:t>31,1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7263E97B" w14:textId="18EFAEC0" w:rsidR="00B67E97" w:rsidRPr="00B67D63" w:rsidRDefault="00363169" w:rsidP="00FC0A1E">
            <w:pPr>
              <w:jc w:val="center"/>
              <w:rPr>
                <w:rFonts w:cstheme="minorHAnsi"/>
                <w:sz w:val="20"/>
                <w:szCs w:val="20"/>
                <w:lang w:val="sr-Latn-ME"/>
              </w:rPr>
            </w:pPr>
            <w:r w:rsidRPr="00B67D63">
              <w:rPr>
                <w:rFonts w:cstheme="minorHAnsi"/>
                <w:sz w:val="20"/>
                <w:szCs w:val="20"/>
                <w:lang w:val="sr-Latn-ME"/>
              </w:rPr>
              <w:t>29,5</w:t>
            </w:r>
          </w:p>
        </w:tc>
      </w:tr>
      <w:bookmarkEnd w:id="35"/>
      <w:tr w:rsidR="00BF7E70" w:rsidRPr="00B67D63" w14:paraId="797565F2" w14:textId="77777777" w:rsidTr="0052342C">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004A4C44" w14:textId="42094725" w:rsidR="00BF7E70" w:rsidRPr="00B67D63" w:rsidRDefault="00BF7E70" w:rsidP="00C32F60">
            <w:pPr>
              <w:rPr>
                <w:rFonts w:cstheme="minorHAnsi"/>
                <w:sz w:val="20"/>
                <w:szCs w:val="20"/>
                <w:lang w:val="sr-Latn-ME"/>
              </w:rPr>
            </w:pPr>
            <w:r w:rsidRPr="00B67D63">
              <w:rPr>
                <w:rFonts w:cstheme="minorHAnsi"/>
                <w:sz w:val="20"/>
                <w:szCs w:val="20"/>
                <w:lang w:val="sr-Latn-ME"/>
              </w:rPr>
              <w:t>Smanjen broj neregistrovanih</w:t>
            </w:r>
            <w:r w:rsidR="00750D29" w:rsidRPr="00B67D63">
              <w:rPr>
                <w:rFonts w:cstheme="minorHAnsi"/>
                <w:sz w:val="20"/>
                <w:szCs w:val="20"/>
                <w:lang w:val="sr-Latn-ME"/>
              </w:rPr>
              <w:t>/nelegalnih</w:t>
            </w:r>
            <w:r w:rsidRPr="00B67D63">
              <w:rPr>
                <w:rFonts w:cstheme="minorHAnsi"/>
                <w:sz w:val="20"/>
                <w:szCs w:val="20"/>
                <w:lang w:val="sr-Latn-ME"/>
              </w:rPr>
              <w:t xml:space="preserve"> biznisa</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3D5C7BD5" w14:textId="150F023C" w:rsidR="00BF7E70" w:rsidRPr="00B67D63" w:rsidRDefault="00BF7E70" w:rsidP="00C32F60">
            <w:pPr>
              <w:rPr>
                <w:rFonts w:cstheme="minorHAnsi"/>
                <w:sz w:val="20"/>
                <w:szCs w:val="20"/>
                <w:lang w:val="sr-Latn-ME"/>
              </w:rPr>
            </w:pPr>
            <w:r w:rsidRPr="00B67D63">
              <w:rPr>
                <w:rFonts w:cstheme="minorHAnsi"/>
                <w:sz w:val="20"/>
                <w:szCs w:val="20"/>
                <w:lang w:val="sr-Latn-ME"/>
              </w:rPr>
              <w:t>%neregistrovanih biznisa u ukupnom broju aktivnih subjekata</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20077DE3" w14:textId="33281D4C" w:rsidR="00BF7E70" w:rsidRPr="00B67D63" w:rsidRDefault="00BF7E70" w:rsidP="00C32F60">
            <w:pPr>
              <w:rPr>
                <w:rFonts w:cstheme="minorHAnsi"/>
                <w:sz w:val="20"/>
                <w:szCs w:val="20"/>
                <w:lang w:val="sr-Latn-ME"/>
              </w:rPr>
            </w:pPr>
            <w:r w:rsidRPr="00B67D63">
              <w:rPr>
                <w:rFonts w:cstheme="minorHAnsi"/>
                <w:sz w:val="20"/>
                <w:szCs w:val="20"/>
                <w:lang w:val="sr-Latn-ME"/>
              </w:rPr>
              <w:t>MF, anketa</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5A7537B8" w14:textId="7BD57A41" w:rsidR="00BF7E70" w:rsidRPr="00B67D63" w:rsidRDefault="00BF7E70" w:rsidP="00C32F60">
            <w:pPr>
              <w:rPr>
                <w:rFonts w:cstheme="minorHAnsi"/>
                <w:sz w:val="20"/>
                <w:szCs w:val="20"/>
                <w:lang w:val="sr-Latn-ME"/>
              </w:rPr>
            </w:pPr>
            <w:r w:rsidRPr="00B67D63">
              <w:rPr>
                <w:rFonts w:cstheme="minorHAnsi"/>
                <w:sz w:val="20"/>
                <w:szCs w:val="20"/>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DE767E8" w14:textId="765E8780" w:rsidR="00BF7E70" w:rsidRPr="00B67D63" w:rsidRDefault="00BF7E70" w:rsidP="00C32F60">
            <w:pPr>
              <w:rPr>
                <w:rFonts w:cstheme="minorHAnsi"/>
                <w:sz w:val="20"/>
                <w:szCs w:val="20"/>
                <w:lang w:val="sr-Latn-ME"/>
              </w:rPr>
            </w:pP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118A15DC" w14:textId="2D874DEF" w:rsidR="00BF7E70" w:rsidRPr="00B67D63" w:rsidRDefault="003E6FBC" w:rsidP="00C32F60">
            <w:pPr>
              <w:rPr>
                <w:rFonts w:cstheme="minorHAnsi"/>
                <w:sz w:val="20"/>
                <w:szCs w:val="20"/>
                <w:lang w:val="sr-Latn-ME"/>
              </w:rPr>
            </w:pPr>
            <w:r w:rsidRPr="00B67D63">
              <w:rPr>
                <w:rFonts w:cstheme="minorHAnsi"/>
                <w:sz w:val="20"/>
                <w:szCs w:val="20"/>
                <w:lang w:val="sr-Latn-ME"/>
              </w:rPr>
              <w:t>3</w:t>
            </w:r>
          </w:p>
        </w:tc>
      </w:tr>
      <w:tr w:rsidR="002E0607" w:rsidRPr="00B67D63" w14:paraId="7EBE5FBF" w14:textId="77777777" w:rsidTr="0052342C">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1BB0689A" w14:textId="7EE0E75D" w:rsidR="002E0607" w:rsidRPr="00B67D63" w:rsidRDefault="00750D29" w:rsidP="00C32F60">
            <w:pPr>
              <w:rPr>
                <w:rFonts w:cstheme="minorHAnsi"/>
                <w:sz w:val="20"/>
                <w:szCs w:val="20"/>
                <w:lang w:val="sr-Latn-ME"/>
              </w:rPr>
            </w:pPr>
            <w:r w:rsidRPr="00B67D63">
              <w:rPr>
                <w:rFonts w:cstheme="minorHAnsi"/>
                <w:sz w:val="20"/>
                <w:szCs w:val="20"/>
                <w:lang w:val="sr-Latn-ME"/>
              </w:rPr>
              <w:t>Efikasnost u naplati PDV-a</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59A9A06E" w14:textId="32D19DE2" w:rsidR="002E0607" w:rsidRPr="00B67D63" w:rsidRDefault="00750D29" w:rsidP="00C32F60">
            <w:pPr>
              <w:rPr>
                <w:rFonts w:cstheme="minorHAnsi"/>
                <w:sz w:val="20"/>
                <w:szCs w:val="20"/>
                <w:lang w:val="sr-Latn-ME"/>
              </w:rPr>
            </w:pPr>
            <w:r w:rsidRPr="00B67D63">
              <w:rPr>
                <w:rFonts w:cstheme="minorHAnsi"/>
                <w:sz w:val="20"/>
                <w:szCs w:val="20"/>
                <w:lang w:val="sr-Latn-ME"/>
              </w:rPr>
              <w:t xml:space="preserve">Iznos PDV jaza </w:t>
            </w:r>
            <w:r w:rsidR="009D1610" w:rsidRPr="00B67D63">
              <w:rPr>
                <w:rFonts w:cstheme="minorHAnsi"/>
                <w:sz w:val="20"/>
                <w:szCs w:val="20"/>
                <w:lang w:val="sr-Latn-ME"/>
              </w:rPr>
              <w:t>(% BDP)</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B7C768C" w14:textId="473FCE49" w:rsidR="002E0607" w:rsidRPr="00B67D63" w:rsidRDefault="002E0607" w:rsidP="00C32F60">
            <w:pPr>
              <w:rPr>
                <w:rFonts w:cstheme="minorHAnsi"/>
                <w:sz w:val="20"/>
                <w:szCs w:val="20"/>
                <w:lang w:val="sr-Latn-ME"/>
              </w:rPr>
            </w:pPr>
            <w:r w:rsidRPr="00B67D63">
              <w:rPr>
                <w:rFonts w:cstheme="minorHAnsi"/>
                <w:sz w:val="20"/>
                <w:szCs w:val="20"/>
                <w:lang w:val="sr-Latn-ME"/>
              </w:rPr>
              <w:t>MF</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50DCC9DA" w14:textId="3F6B55D7" w:rsidR="002E0607" w:rsidRPr="00B67D63" w:rsidRDefault="002E0607" w:rsidP="00C32F60">
            <w:pPr>
              <w:rPr>
                <w:rFonts w:cstheme="minorHAnsi"/>
                <w:sz w:val="20"/>
                <w:szCs w:val="20"/>
                <w:lang w:val="sr-Latn-ME"/>
              </w:rPr>
            </w:pP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13886BD" w14:textId="4EA2322A" w:rsidR="002E0607" w:rsidRPr="00B67D63" w:rsidRDefault="002E0607" w:rsidP="00C32F60">
            <w:pPr>
              <w:rPr>
                <w:rFonts w:cstheme="minorHAnsi"/>
                <w:sz w:val="20"/>
                <w:szCs w:val="20"/>
                <w:lang w:val="sr-Latn-ME"/>
              </w:rPr>
            </w:pP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095D2A2" w14:textId="4959C5B9" w:rsidR="002E0607" w:rsidRPr="00B67D63" w:rsidRDefault="003E6FBC" w:rsidP="00C32F60">
            <w:pPr>
              <w:rPr>
                <w:rFonts w:cstheme="minorHAnsi"/>
                <w:sz w:val="20"/>
                <w:szCs w:val="20"/>
                <w:lang w:val="sr-Latn-ME"/>
              </w:rPr>
            </w:pPr>
            <w:r w:rsidRPr="00B67D63">
              <w:rPr>
                <w:rFonts w:cstheme="minorHAnsi"/>
                <w:sz w:val="20"/>
                <w:szCs w:val="20"/>
                <w:lang w:val="sr-Latn-ME"/>
              </w:rPr>
              <w:t>1,5</w:t>
            </w:r>
          </w:p>
        </w:tc>
      </w:tr>
    </w:tbl>
    <w:p w14:paraId="372F9139" w14:textId="77777777" w:rsidR="005A5C62" w:rsidRPr="00021CDC" w:rsidRDefault="005A5C62" w:rsidP="00B0276B">
      <w:pPr>
        <w:rPr>
          <w:color w:val="0070C0"/>
          <w:lang w:val="pl-PL"/>
        </w:rPr>
      </w:pPr>
    </w:p>
    <w:p w14:paraId="40FF6FB4" w14:textId="30AC7B75" w:rsidR="005A5C62" w:rsidRPr="00021CDC" w:rsidRDefault="008E24C4" w:rsidP="008E24C4">
      <w:pPr>
        <w:rPr>
          <w:b/>
          <w:bCs/>
          <w:color w:val="1F3864" w:themeColor="accent1" w:themeShade="80"/>
          <w:lang w:val="pl-PL"/>
        </w:rPr>
      </w:pPr>
      <w:r w:rsidRPr="00AA1E48">
        <w:rPr>
          <w:b/>
          <w:bCs/>
          <w:color w:val="1F3864" w:themeColor="accent1" w:themeShade="80"/>
          <w:lang w:val="sr-Latn-ME"/>
        </w:rPr>
        <w:lastRenderedPageBreak/>
        <w:t>O</w:t>
      </w:r>
      <w:r w:rsidR="00D72CC7">
        <w:rPr>
          <w:b/>
          <w:bCs/>
          <w:color w:val="1F3864" w:themeColor="accent1" w:themeShade="80"/>
          <w:lang w:val="sr-Latn-ME"/>
        </w:rPr>
        <w:t>C</w:t>
      </w:r>
      <w:r w:rsidRPr="00AA1E48">
        <w:rPr>
          <w:b/>
          <w:bCs/>
          <w:color w:val="1F3864" w:themeColor="accent1" w:themeShade="80"/>
          <w:lang w:val="sr-Latn-ME"/>
        </w:rPr>
        <w:t xml:space="preserve">3 - </w:t>
      </w:r>
      <w:r w:rsidRPr="00021CDC">
        <w:rPr>
          <w:b/>
          <w:bCs/>
          <w:color w:val="1F3864" w:themeColor="accent1" w:themeShade="80"/>
          <w:lang w:val="pl-PL"/>
        </w:rPr>
        <w:t>Povećanje formalne zaposlenosti, sa većim fokusom na zelena radna mjesta</w:t>
      </w:r>
    </w:p>
    <w:p w14:paraId="1E1501F3" w14:textId="6C1649CA" w:rsidR="00EE3813" w:rsidRPr="00CE07A9" w:rsidRDefault="004F7DED" w:rsidP="004F7DED">
      <w:pPr>
        <w:jc w:val="both"/>
        <w:rPr>
          <w:sz w:val="24"/>
          <w:szCs w:val="24"/>
          <w:lang w:val="pl-PL"/>
        </w:rPr>
      </w:pPr>
      <w:r w:rsidRPr="00A42DF7">
        <w:rPr>
          <w:sz w:val="24"/>
          <w:szCs w:val="24"/>
          <w:lang w:val="pl-PL"/>
        </w:rPr>
        <w:t>Budući da je neformalna zaposlenost identifikovana kao jedan od izazova ekonom</w:t>
      </w:r>
      <w:r w:rsidR="00891B8D" w:rsidRPr="00A42DF7">
        <w:rPr>
          <w:sz w:val="24"/>
          <w:szCs w:val="24"/>
          <w:lang w:val="pl-PL"/>
        </w:rPr>
        <w:t>s</w:t>
      </w:r>
      <w:r w:rsidRPr="00A42DF7">
        <w:rPr>
          <w:sz w:val="24"/>
          <w:szCs w:val="24"/>
          <w:lang w:val="pl-PL"/>
        </w:rPr>
        <w:t xml:space="preserve">kog razvoja Crne Gore, i da su uzroci neformalne zaposlenosti višestruki (visoka poreska opterećenja, socijalna politika, minimalna zarada,  itd), za veću formalizaciju zaposlenosti (naročito žena </w:t>
      </w:r>
      <w:r w:rsidR="00BB5ED2" w:rsidRPr="00A42DF7">
        <w:rPr>
          <w:sz w:val="24"/>
          <w:szCs w:val="24"/>
          <w:lang w:val="pl-PL"/>
        </w:rPr>
        <w:t>i</w:t>
      </w:r>
      <w:r w:rsidRPr="00A42DF7">
        <w:rPr>
          <w:sz w:val="24"/>
          <w:szCs w:val="24"/>
          <w:lang w:val="pl-PL"/>
        </w:rPr>
        <w:t xml:space="preserve"> mladih) je neophodno pristupiti izmjeni zakonskog okvira  </w:t>
      </w:r>
      <w:r w:rsidR="00EE3813" w:rsidRPr="00A42DF7">
        <w:rPr>
          <w:sz w:val="24"/>
          <w:szCs w:val="24"/>
          <w:lang w:val="pl-PL"/>
        </w:rPr>
        <w:t>i</w:t>
      </w:r>
      <w:r w:rsidRPr="00A42DF7">
        <w:rPr>
          <w:sz w:val="24"/>
          <w:szCs w:val="24"/>
          <w:lang w:val="pl-PL"/>
        </w:rPr>
        <w:t xml:space="preserve"> definisati niz stimulati</w:t>
      </w:r>
      <w:r w:rsidR="00EE3813" w:rsidRPr="00A42DF7">
        <w:rPr>
          <w:sz w:val="24"/>
          <w:szCs w:val="24"/>
          <w:lang w:val="pl-PL"/>
        </w:rPr>
        <w:t>v</w:t>
      </w:r>
      <w:r w:rsidRPr="00A42DF7">
        <w:rPr>
          <w:sz w:val="24"/>
          <w:szCs w:val="24"/>
          <w:lang w:val="pl-PL"/>
        </w:rPr>
        <w:t>nih mjera</w:t>
      </w:r>
      <w:r w:rsidR="00EE3813" w:rsidRPr="00A42DF7">
        <w:rPr>
          <w:sz w:val="24"/>
          <w:szCs w:val="24"/>
          <w:lang w:val="pl-PL"/>
        </w:rPr>
        <w:t xml:space="preserve"> za njeno suzbijanje</w:t>
      </w:r>
      <w:r w:rsidRPr="00A42DF7">
        <w:rPr>
          <w:sz w:val="24"/>
          <w:szCs w:val="24"/>
          <w:lang w:val="pl-PL"/>
        </w:rPr>
        <w:t xml:space="preserve">. </w:t>
      </w:r>
      <w:r w:rsidR="00BB5ED2" w:rsidRPr="00CE07A9">
        <w:rPr>
          <w:sz w:val="24"/>
          <w:szCs w:val="24"/>
          <w:lang w:val="pl-PL"/>
        </w:rPr>
        <w:t>U tom kontekstu, stimulativne m</w:t>
      </w:r>
      <w:r w:rsidR="00EE3813" w:rsidRPr="00CE07A9">
        <w:rPr>
          <w:sz w:val="24"/>
          <w:szCs w:val="24"/>
          <w:lang w:val="pl-PL"/>
        </w:rPr>
        <w:t>je</w:t>
      </w:r>
      <w:r w:rsidR="00BB5ED2" w:rsidRPr="00CE07A9">
        <w:rPr>
          <w:sz w:val="24"/>
          <w:szCs w:val="24"/>
          <w:lang w:val="pl-PL"/>
        </w:rPr>
        <w:t>re podrazumijevaju donošenje novog zakona</w:t>
      </w:r>
      <w:r w:rsidR="00466D1B" w:rsidRPr="00CE07A9">
        <w:rPr>
          <w:sz w:val="24"/>
          <w:szCs w:val="24"/>
          <w:lang w:val="pl-PL"/>
        </w:rPr>
        <w:t xml:space="preserve"> o profesionalnoj rehabilitaciji </w:t>
      </w:r>
      <w:r w:rsidR="00EE3813" w:rsidRPr="00CE07A9">
        <w:rPr>
          <w:sz w:val="24"/>
          <w:szCs w:val="24"/>
          <w:lang w:val="pl-PL"/>
        </w:rPr>
        <w:t>i</w:t>
      </w:r>
      <w:r w:rsidR="00466D1B" w:rsidRPr="00CE07A9">
        <w:rPr>
          <w:sz w:val="24"/>
          <w:szCs w:val="24"/>
          <w:lang w:val="pl-PL"/>
        </w:rPr>
        <w:t xml:space="preserve"> zapošljavanju lica sa invaliditetom.  </w:t>
      </w:r>
      <w:r w:rsidR="002E7882" w:rsidRPr="00CE07A9">
        <w:rPr>
          <w:sz w:val="24"/>
          <w:szCs w:val="24"/>
          <w:lang w:val="pl-PL"/>
        </w:rPr>
        <w:t>Prema istraživanju IPSOS-a</w:t>
      </w:r>
      <w:r w:rsidR="00BC6A0F">
        <w:rPr>
          <w:sz w:val="24"/>
          <w:szCs w:val="24"/>
          <w:lang w:val="pl-PL"/>
        </w:rPr>
        <w:t>, Radulović, Krstić (2022)</w:t>
      </w:r>
      <w:r w:rsidR="002E7882" w:rsidRPr="00CE07A9">
        <w:rPr>
          <w:sz w:val="24"/>
          <w:szCs w:val="24"/>
          <w:lang w:val="pl-PL"/>
        </w:rPr>
        <w:t xml:space="preserve">, </w:t>
      </w:r>
      <w:r w:rsidR="00466D1B" w:rsidRPr="00CE07A9">
        <w:rPr>
          <w:sz w:val="24"/>
          <w:szCs w:val="24"/>
          <w:lang w:val="pl-PL"/>
        </w:rPr>
        <w:t xml:space="preserve"> </w:t>
      </w:r>
      <w:r w:rsidR="002E7882" w:rsidRPr="00CE07A9">
        <w:rPr>
          <w:sz w:val="24"/>
          <w:szCs w:val="24"/>
          <w:lang w:val="pl-PL"/>
        </w:rPr>
        <w:t>najveću sklonost neformalnom zapošljavanju (radu „na crno“) imaju mlade osobe uzrasta od 15 do 24 godine, pod pretpostavkom ostalih istih karakteristika, zatim osobe sa osnovnim obrazovanjem, samozaposleni.</w:t>
      </w:r>
      <w:r w:rsidR="00466D1B" w:rsidRPr="00CE07A9">
        <w:rPr>
          <w:sz w:val="24"/>
          <w:szCs w:val="24"/>
          <w:lang w:val="pl-PL"/>
        </w:rPr>
        <w:t xml:space="preserve">                                                                                                                              </w:t>
      </w:r>
    </w:p>
    <w:p w14:paraId="11C4E45E" w14:textId="42A43E51" w:rsidR="005A5C62" w:rsidRDefault="00BB5ED2" w:rsidP="004F7DED">
      <w:pPr>
        <w:jc w:val="both"/>
        <w:rPr>
          <w:sz w:val="24"/>
          <w:szCs w:val="24"/>
          <w:lang w:val="sr-Latn-ME"/>
        </w:rPr>
      </w:pPr>
      <w:r w:rsidRPr="00CE07A9">
        <w:rPr>
          <w:sz w:val="24"/>
          <w:szCs w:val="24"/>
          <w:lang w:val="pl-PL"/>
        </w:rPr>
        <w:t xml:space="preserve">Takođe, </w:t>
      </w:r>
      <w:r w:rsidR="005D4D12" w:rsidRPr="00CE07A9">
        <w:rPr>
          <w:sz w:val="24"/>
          <w:szCs w:val="24"/>
          <w:lang w:val="pl-PL"/>
        </w:rPr>
        <w:t xml:space="preserve">donošenjem novog Zakona o socijalnoj i dječjoj zaštiti unaprijediće se rješenja koja treba da stvore uslove za efikasniju </w:t>
      </w:r>
      <w:r w:rsidR="004F7DED" w:rsidRPr="00CE07A9">
        <w:rPr>
          <w:sz w:val="24"/>
          <w:szCs w:val="24"/>
          <w:lang w:val="pl-PL"/>
        </w:rPr>
        <w:t>i</w:t>
      </w:r>
      <w:r w:rsidR="005D4D12" w:rsidRPr="00CE07A9">
        <w:rPr>
          <w:sz w:val="24"/>
          <w:szCs w:val="24"/>
          <w:lang w:val="pl-PL"/>
        </w:rPr>
        <w:t xml:space="preserve"> pravedniju raspodjelu socijalne pomoći</w:t>
      </w:r>
      <w:r w:rsidRPr="00CE07A9">
        <w:rPr>
          <w:sz w:val="24"/>
          <w:szCs w:val="24"/>
          <w:lang w:val="pl-PL"/>
        </w:rPr>
        <w:t xml:space="preserve">, kao </w:t>
      </w:r>
      <w:r w:rsidR="00CF370D" w:rsidRPr="00CE07A9">
        <w:rPr>
          <w:sz w:val="24"/>
          <w:szCs w:val="24"/>
          <w:lang w:val="pl-PL"/>
        </w:rPr>
        <w:t xml:space="preserve">i da </w:t>
      </w:r>
      <w:r w:rsidRPr="00CE07A9">
        <w:rPr>
          <w:sz w:val="24"/>
          <w:szCs w:val="24"/>
          <w:lang w:val="pl-PL"/>
        </w:rPr>
        <w:t xml:space="preserve">omogući da korisnici </w:t>
      </w:r>
      <w:r w:rsidR="00EE3813" w:rsidRPr="00CE07A9">
        <w:rPr>
          <w:sz w:val="24"/>
          <w:szCs w:val="24"/>
          <w:lang w:val="pl-PL"/>
        </w:rPr>
        <w:t>s</w:t>
      </w:r>
      <w:r w:rsidRPr="00CE07A9">
        <w:rPr>
          <w:sz w:val="24"/>
          <w:szCs w:val="24"/>
          <w:lang w:val="pl-PL"/>
        </w:rPr>
        <w:t>ocijalne pomoći mogu zahtijevati mirovanje prava iz socijalne pomoći tokom sezonskog zaposlenja, kako bi se mogli formalno registrov</w:t>
      </w:r>
      <w:r w:rsidR="004C5951">
        <w:rPr>
          <w:sz w:val="24"/>
          <w:szCs w:val="24"/>
          <w:lang w:val="pl-PL"/>
        </w:rPr>
        <w:t>a</w:t>
      </w:r>
      <w:r w:rsidRPr="00CE07A9">
        <w:rPr>
          <w:sz w:val="24"/>
          <w:szCs w:val="24"/>
          <w:lang w:val="pl-PL"/>
        </w:rPr>
        <w:t>sti tokom radnog aranžmana, a istovremeno ne izgubiti pravo na socijalnu pomoć po isteku tog aranžmana. Dodatno, u procesu formaliza</w:t>
      </w:r>
      <w:r w:rsidR="00BC6A0F">
        <w:rPr>
          <w:sz w:val="24"/>
          <w:szCs w:val="24"/>
          <w:lang w:val="pl-PL"/>
        </w:rPr>
        <w:t>ci</w:t>
      </w:r>
      <w:r w:rsidRPr="00CE07A9">
        <w:rPr>
          <w:sz w:val="24"/>
          <w:szCs w:val="24"/>
          <w:lang w:val="pl-PL"/>
        </w:rPr>
        <w:t>je zaposlenos</w:t>
      </w:r>
      <w:r w:rsidR="00EE3813" w:rsidRPr="00CE07A9">
        <w:rPr>
          <w:sz w:val="24"/>
          <w:szCs w:val="24"/>
          <w:lang w:val="pl-PL"/>
        </w:rPr>
        <w:t>ti</w:t>
      </w:r>
      <w:r w:rsidRPr="00CE07A9">
        <w:rPr>
          <w:sz w:val="24"/>
          <w:szCs w:val="24"/>
          <w:lang w:val="pl-PL"/>
        </w:rPr>
        <w:t xml:space="preserve">, potrebno je izraditi </w:t>
      </w:r>
      <w:r w:rsidRPr="00B01395">
        <w:rPr>
          <w:sz w:val="24"/>
          <w:szCs w:val="24"/>
          <w:lang w:val="sr-Latn-ME"/>
        </w:rPr>
        <w:t xml:space="preserve"> objedinjenu elektronsku prijavu sezonskih radnika kroz izradu elektronskog registra, ubrzati procedure prijavljivanja stranaca, izraditi zakon</w:t>
      </w:r>
      <w:r w:rsidR="00CF370D" w:rsidRPr="00B01395">
        <w:rPr>
          <w:sz w:val="24"/>
          <w:szCs w:val="24"/>
          <w:lang w:val="sr-Latn-ME"/>
        </w:rPr>
        <w:t>ski okvir za profesionalno angažovanje studenata, ubrzanje procesa garancija za mlade, isl.</w:t>
      </w:r>
    </w:p>
    <w:p w14:paraId="1E35EB66" w14:textId="0608656B" w:rsidR="00A775CB" w:rsidRPr="003E6FBC" w:rsidRDefault="00A775CB" w:rsidP="00A775CB">
      <w:pPr>
        <w:jc w:val="both"/>
        <w:rPr>
          <w:sz w:val="24"/>
          <w:szCs w:val="24"/>
          <w:lang w:val="pl-PL"/>
        </w:rPr>
      </w:pPr>
      <w:r w:rsidRPr="006F03C5">
        <w:rPr>
          <w:sz w:val="24"/>
          <w:szCs w:val="24"/>
          <w:lang w:val="sr-Latn-ME"/>
        </w:rPr>
        <w:t>Važna stimulativna aktivnost u cilju formalizacije neformalne zaposlenosti</w:t>
      </w:r>
      <w:r w:rsidR="003E6FBC">
        <w:rPr>
          <w:sz w:val="24"/>
          <w:szCs w:val="24"/>
          <w:lang w:val="sr-Latn-ME"/>
        </w:rPr>
        <w:t xml:space="preserve">, bilo bi i smnajenje doprinosa tokom prvie dvije godine poslovanja, kojom bi </w:t>
      </w:r>
      <w:r w:rsidRPr="003E6FBC">
        <w:rPr>
          <w:sz w:val="24"/>
          <w:szCs w:val="24"/>
          <w:lang w:val="pl-PL"/>
        </w:rPr>
        <w:t>se mladom preduze</w:t>
      </w:r>
      <w:r w:rsidR="00460990">
        <w:rPr>
          <w:sz w:val="24"/>
          <w:szCs w:val="24"/>
        </w:rPr>
        <w:t>t</w:t>
      </w:r>
      <w:r w:rsidRPr="003E6FBC">
        <w:rPr>
          <w:sz w:val="24"/>
          <w:szCs w:val="24"/>
          <w:lang w:val="pl-PL"/>
        </w:rPr>
        <w:t>niku/vlasniku malog preduzeća omogu</w:t>
      </w:r>
      <w:r w:rsidR="006F03C5" w:rsidRPr="003E6FBC">
        <w:rPr>
          <w:sz w:val="24"/>
          <w:szCs w:val="24"/>
          <w:lang w:val="pl-PL"/>
        </w:rPr>
        <w:t>ć</w:t>
      </w:r>
      <w:r w:rsidR="003E6FBC">
        <w:rPr>
          <w:sz w:val="24"/>
          <w:szCs w:val="24"/>
          <w:lang w:val="pl-PL"/>
        </w:rPr>
        <w:t>ilo</w:t>
      </w:r>
      <w:r w:rsidRPr="003E6FBC">
        <w:rPr>
          <w:sz w:val="24"/>
          <w:szCs w:val="24"/>
          <w:lang w:val="pl-PL"/>
        </w:rPr>
        <w:t xml:space="preserve"> poboljšanje likvidnosti </w:t>
      </w:r>
      <w:r w:rsidR="00E21238" w:rsidRPr="003E6FBC">
        <w:rPr>
          <w:sz w:val="24"/>
          <w:szCs w:val="24"/>
          <w:lang w:val="pl-PL"/>
        </w:rPr>
        <w:t>i pr</w:t>
      </w:r>
      <w:r w:rsidRPr="003E6FBC">
        <w:rPr>
          <w:sz w:val="24"/>
          <w:szCs w:val="24"/>
          <w:lang w:val="pl-PL"/>
        </w:rPr>
        <w:t>ostor da na početku poslovanja više ulaže u razvoj proizvoda, usluga, tržišta, brenda preduzeća, itd.</w:t>
      </w:r>
    </w:p>
    <w:p w14:paraId="36D0C749" w14:textId="77777777" w:rsidR="001D0030" w:rsidRDefault="001D0030" w:rsidP="004F7DED">
      <w:pPr>
        <w:jc w:val="both"/>
        <w:rPr>
          <w:sz w:val="24"/>
          <w:szCs w:val="24"/>
          <w:lang w:val="sr-Latn-ME"/>
        </w:rPr>
      </w:pPr>
    </w:p>
    <w:p w14:paraId="664A2728" w14:textId="77777777" w:rsidR="00B67D63" w:rsidRDefault="00B67D63" w:rsidP="004F7DED">
      <w:pPr>
        <w:jc w:val="both"/>
        <w:rPr>
          <w:sz w:val="24"/>
          <w:szCs w:val="24"/>
          <w:lang w:val="sr-Latn-ME"/>
        </w:rPr>
      </w:pPr>
    </w:p>
    <w:p w14:paraId="23C54370" w14:textId="77777777" w:rsidR="00B67D63" w:rsidRDefault="00B67D63" w:rsidP="004F7DED">
      <w:pPr>
        <w:jc w:val="both"/>
        <w:rPr>
          <w:sz w:val="24"/>
          <w:szCs w:val="24"/>
          <w:lang w:val="sr-Latn-ME"/>
        </w:rPr>
      </w:pPr>
    </w:p>
    <w:p w14:paraId="0787059A" w14:textId="77777777" w:rsidR="00B67D63" w:rsidRDefault="00B67D63" w:rsidP="004F7DED">
      <w:pPr>
        <w:jc w:val="both"/>
        <w:rPr>
          <w:sz w:val="24"/>
          <w:szCs w:val="24"/>
          <w:lang w:val="sr-Latn-ME"/>
        </w:rPr>
      </w:pPr>
    </w:p>
    <w:p w14:paraId="3E5F030F" w14:textId="77777777" w:rsidR="00B67D63" w:rsidRDefault="00B67D63" w:rsidP="004F7DED">
      <w:pPr>
        <w:jc w:val="both"/>
        <w:rPr>
          <w:sz w:val="24"/>
          <w:szCs w:val="24"/>
          <w:lang w:val="sr-Latn-ME"/>
        </w:rPr>
      </w:pPr>
    </w:p>
    <w:p w14:paraId="2EA46A15" w14:textId="77777777" w:rsidR="00B67D63" w:rsidRDefault="00B67D63" w:rsidP="004F7DED">
      <w:pPr>
        <w:jc w:val="both"/>
        <w:rPr>
          <w:sz w:val="24"/>
          <w:szCs w:val="24"/>
          <w:lang w:val="sr-Latn-ME"/>
        </w:rPr>
      </w:pPr>
    </w:p>
    <w:p w14:paraId="77B6F057" w14:textId="77777777" w:rsidR="00B67D63" w:rsidRDefault="00B67D63" w:rsidP="004F7DED">
      <w:pPr>
        <w:jc w:val="both"/>
        <w:rPr>
          <w:sz w:val="24"/>
          <w:szCs w:val="24"/>
          <w:lang w:val="sr-Latn-ME"/>
        </w:rPr>
      </w:pPr>
    </w:p>
    <w:p w14:paraId="306BEFB5" w14:textId="77777777" w:rsidR="00B67D63" w:rsidRDefault="00B67D63" w:rsidP="004F7DED">
      <w:pPr>
        <w:jc w:val="both"/>
        <w:rPr>
          <w:sz w:val="24"/>
          <w:szCs w:val="24"/>
          <w:lang w:val="sr-Latn-ME"/>
        </w:rPr>
      </w:pPr>
    </w:p>
    <w:p w14:paraId="12A26E47" w14:textId="77777777" w:rsidR="00B67D63" w:rsidRDefault="00B67D63" w:rsidP="004F7DED">
      <w:pPr>
        <w:jc w:val="both"/>
        <w:rPr>
          <w:sz w:val="24"/>
          <w:szCs w:val="24"/>
          <w:lang w:val="sr-Latn-ME"/>
        </w:rPr>
      </w:pPr>
    </w:p>
    <w:p w14:paraId="397C0368" w14:textId="77777777" w:rsidR="00B67D63" w:rsidRDefault="00B67D63" w:rsidP="004F7DED">
      <w:pPr>
        <w:jc w:val="both"/>
        <w:rPr>
          <w:sz w:val="24"/>
          <w:szCs w:val="24"/>
          <w:lang w:val="sr-Latn-ME"/>
        </w:rPr>
      </w:pPr>
    </w:p>
    <w:p w14:paraId="082BC07E" w14:textId="77777777" w:rsidR="00B67D63" w:rsidRPr="006F03C5" w:rsidRDefault="00B67D63" w:rsidP="004F7DED">
      <w:pPr>
        <w:jc w:val="both"/>
        <w:rPr>
          <w:sz w:val="24"/>
          <w:szCs w:val="24"/>
          <w:lang w:val="sr-Latn-ME"/>
        </w:rPr>
      </w:pPr>
    </w:p>
    <w:tbl>
      <w:tblPr>
        <w:tblW w:w="9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525"/>
        <w:gridCol w:w="1470"/>
        <w:gridCol w:w="1620"/>
        <w:gridCol w:w="1890"/>
        <w:gridCol w:w="1620"/>
        <w:gridCol w:w="1230"/>
      </w:tblGrid>
      <w:tr w:rsidR="00C02416" w:rsidRPr="00391D03" w14:paraId="60B408DE" w14:textId="77777777" w:rsidTr="00C02416">
        <w:tc>
          <w:tcPr>
            <w:tcW w:w="9355" w:type="dxa"/>
            <w:gridSpan w:val="6"/>
            <w:shd w:val="clear" w:color="auto" w:fill="BDD6EE" w:themeFill="accent5" w:themeFillTint="66"/>
          </w:tcPr>
          <w:p w14:paraId="1BBA081D" w14:textId="72712B86" w:rsidR="00323D61" w:rsidRPr="00021CDC" w:rsidRDefault="00EA52F5" w:rsidP="00323D61">
            <w:pPr>
              <w:rPr>
                <w:b/>
                <w:bCs/>
                <w:sz w:val="20"/>
                <w:szCs w:val="20"/>
                <w:lang w:val="pl-PL"/>
              </w:rPr>
            </w:pPr>
            <w:bookmarkStart w:id="36" w:name="_Hlk137572109"/>
            <w:r w:rsidRPr="00C02416">
              <w:rPr>
                <w:b/>
                <w:bCs/>
                <w:sz w:val="20"/>
                <w:szCs w:val="20"/>
                <w:lang w:val="sr-Latn-ME"/>
              </w:rPr>
              <w:lastRenderedPageBreak/>
              <w:t>O</w:t>
            </w:r>
            <w:r w:rsidR="00D72CC7">
              <w:rPr>
                <w:b/>
                <w:bCs/>
                <w:sz w:val="20"/>
                <w:szCs w:val="20"/>
                <w:lang w:val="sr-Latn-ME"/>
              </w:rPr>
              <w:t xml:space="preserve">C </w:t>
            </w:r>
            <w:r w:rsidR="006428A5" w:rsidRPr="00C02416">
              <w:rPr>
                <w:b/>
                <w:bCs/>
                <w:sz w:val="20"/>
                <w:szCs w:val="20"/>
                <w:lang w:val="sr-Latn-ME"/>
              </w:rPr>
              <w:t>3</w:t>
            </w:r>
            <w:r w:rsidR="00323D61" w:rsidRPr="00C02416">
              <w:rPr>
                <w:b/>
                <w:bCs/>
                <w:sz w:val="20"/>
                <w:szCs w:val="20"/>
                <w:lang w:val="sr-Latn-ME"/>
              </w:rPr>
              <w:t xml:space="preserve"> -</w:t>
            </w:r>
            <w:r w:rsidRPr="00C02416">
              <w:rPr>
                <w:b/>
                <w:bCs/>
                <w:sz w:val="20"/>
                <w:szCs w:val="20"/>
                <w:lang w:val="sr-Latn-ME"/>
              </w:rPr>
              <w:t xml:space="preserve"> </w:t>
            </w:r>
            <w:r w:rsidR="00C47B3C" w:rsidRPr="00021CDC">
              <w:rPr>
                <w:b/>
                <w:bCs/>
                <w:sz w:val="20"/>
                <w:szCs w:val="20"/>
                <w:lang w:val="pl-PL"/>
              </w:rPr>
              <w:t xml:space="preserve">Povećanje </w:t>
            </w:r>
            <w:r w:rsidR="00BF5A29" w:rsidRPr="00021CDC">
              <w:rPr>
                <w:b/>
                <w:bCs/>
                <w:sz w:val="20"/>
                <w:szCs w:val="20"/>
                <w:lang w:val="pl-PL"/>
              </w:rPr>
              <w:t>formalne zaposlenosti, sa većim fokusom na zelena radna mjesta</w:t>
            </w:r>
          </w:p>
          <w:p w14:paraId="29E8BD54" w14:textId="4AD60EC3" w:rsidR="00B0276B" w:rsidRPr="00C02416" w:rsidRDefault="00B0276B" w:rsidP="00B0276B">
            <w:pPr>
              <w:rPr>
                <w:b/>
                <w:bCs/>
                <w:sz w:val="20"/>
                <w:szCs w:val="20"/>
                <w:lang w:val="sr-Latn-ME"/>
              </w:rPr>
            </w:pPr>
          </w:p>
        </w:tc>
      </w:tr>
      <w:tr w:rsidR="00C02416" w:rsidRPr="00C02416" w14:paraId="22319329" w14:textId="77777777" w:rsidTr="00C02416">
        <w:tc>
          <w:tcPr>
            <w:tcW w:w="1525" w:type="dxa"/>
            <w:shd w:val="clear" w:color="auto" w:fill="BDD6EE" w:themeFill="accent5" w:themeFillTint="66"/>
          </w:tcPr>
          <w:p w14:paraId="75C5262E" w14:textId="77777777" w:rsidR="00B0276B" w:rsidRPr="00C02416" w:rsidRDefault="00B0276B" w:rsidP="00B0276B">
            <w:pPr>
              <w:rPr>
                <w:b/>
                <w:bCs/>
                <w:sz w:val="20"/>
                <w:szCs w:val="20"/>
                <w:lang w:val="sr-Latn-ME"/>
              </w:rPr>
            </w:pPr>
            <w:r w:rsidRPr="00C02416">
              <w:rPr>
                <w:b/>
                <w:bCs/>
                <w:sz w:val="20"/>
                <w:szCs w:val="20"/>
                <w:lang w:val="sr-Latn-ME"/>
              </w:rPr>
              <w:t>Učinak</w:t>
            </w:r>
          </w:p>
        </w:tc>
        <w:tc>
          <w:tcPr>
            <w:tcW w:w="1470" w:type="dxa"/>
            <w:shd w:val="clear" w:color="auto" w:fill="BDD6EE" w:themeFill="accent5" w:themeFillTint="66"/>
          </w:tcPr>
          <w:p w14:paraId="2756A461" w14:textId="77777777" w:rsidR="00B0276B" w:rsidRPr="00C02416" w:rsidRDefault="00B0276B" w:rsidP="00B0276B">
            <w:pPr>
              <w:rPr>
                <w:b/>
                <w:bCs/>
                <w:sz w:val="20"/>
                <w:szCs w:val="20"/>
                <w:lang w:val="sr-Latn-ME"/>
              </w:rPr>
            </w:pPr>
            <w:r w:rsidRPr="00C02416">
              <w:rPr>
                <w:b/>
                <w:bCs/>
                <w:sz w:val="20"/>
                <w:szCs w:val="20"/>
                <w:lang w:val="sr-Latn-ME"/>
              </w:rPr>
              <w:t>Indikator učinka (outcome indicator)</w:t>
            </w:r>
          </w:p>
        </w:tc>
        <w:tc>
          <w:tcPr>
            <w:tcW w:w="1620" w:type="dxa"/>
            <w:shd w:val="clear" w:color="auto" w:fill="BDD6EE" w:themeFill="accent5" w:themeFillTint="66"/>
          </w:tcPr>
          <w:p w14:paraId="41ECE5D8" w14:textId="77777777" w:rsidR="00B0276B" w:rsidRPr="00C02416" w:rsidRDefault="00B0276B" w:rsidP="00B0276B">
            <w:pPr>
              <w:rPr>
                <w:b/>
                <w:bCs/>
                <w:sz w:val="20"/>
                <w:szCs w:val="20"/>
                <w:lang w:val="sr-Latn-ME"/>
              </w:rPr>
            </w:pPr>
            <w:r w:rsidRPr="00C02416">
              <w:rPr>
                <w:b/>
                <w:bCs/>
                <w:sz w:val="20"/>
                <w:szCs w:val="20"/>
                <w:lang w:val="sr-Latn-ME"/>
              </w:rPr>
              <w:t>Izvor verifikacije</w:t>
            </w:r>
          </w:p>
        </w:tc>
        <w:tc>
          <w:tcPr>
            <w:tcW w:w="1890" w:type="dxa"/>
            <w:shd w:val="clear" w:color="auto" w:fill="BDD6EE" w:themeFill="accent5" w:themeFillTint="66"/>
          </w:tcPr>
          <w:p w14:paraId="383A69AF" w14:textId="5C30CA8D" w:rsidR="00B0276B" w:rsidRPr="00C02416" w:rsidRDefault="00B0276B" w:rsidP="00B0276B">
            <w:pPr>
              <w:rPr>
                <w:b/>
                <w:bCs/>
                <w:sz w:val="20"/>
                <w:szCs w:val="20"/>
                <w:lang w:val="sr-Latn-ME"/>
              </w:rPr>
            </w:pPr>
            <w:r w:rsidRPr="00C02416">
              <w:rPr>
                <w:b/>
                <w:bCs/>
                <w:sz w:val="20"/>
                <w:szCs w:val="20"/>
                <w:lang w:val="sr-Latn-ME"/>
              </w:rPr>
              <w:t>Početna vrijednost 202</w:t>
            </w:r>
            <w:r w:rsidR="00323D61" w:rsidRPr="00C02416">
              <w:rPr>
                <w:b/>
                <w:bCs/>
                <w:sz w:val="20"/>
                <w:szCs w:val="20"/>
                <w:lang w:val="sr-Latn-ME"/>
              </w:rPr>
              <w:t>2</w:t>
            </w:r>
            <w:r w:rsidRPr="00C02416">
              <w:rPr>
                <w:b/>
                <w:bCs/>
                <w:sz w:val="20"/>
                <w:szCs w:val="20"/>
                <w:lang w:val="sr-Latn-ME"/>
              </w:rPr>
              <w:t>.</w:t>
            </w:r>
          </w:p>
        </w:tc>
        <w:tc>
          <w:tcPr>
            <w:tcW w:w="1620" w:type="dxa"/>
            <w:shd w:val="clear" w:color="auto" w:fill="BDD6EE" w:themeFill="accent5" w:themeFillTint="66"/>
          </w:tcPr>
          <w:p w14:paraId="33F52CBA" w14:textId="77777777" w:rsidR="00B0276B" w:rsidRPr="00C02416" w:rsidRDefault="00B0276B" w:rsidP="00B0276B">
            <w:pPr>
              <w:rPr>
                <w:b/>
                <w:bCs/>
                <w:sz w:val="20"/>
                <w:szCs w:val="20"/>
                <w:lang w:val="sr-Latn-ME"/>
              </w:rPr>
            </w:pPr>
            <w:r w:rsidRPr="00C02416">
              <w:rPr>
                <w:b/>
                <w:bCs/>
                <w:sz w:val="20"/>
                <w:szCs w:val="20"/>
                <w:lang w:val="sr-Latn-ME"/>
              </w:rPr>
              <w:t>Vrijednost u 2025.</w:t>
            </w:r>
          </w:p>
        </w:tc>
        <w:tc>
          <w:tcPr>
            <w:tcW w:w="1230" w:type="dxa"/>
            <w:shd w:val="clear" w:color="auto" w:fill="BDD6EE" w:themeFill="accent5" w:themeFillTint="66"/>
          </w:tcPr>
          <w:p w14:paraId="5FC1A05A" w14:textId="77777777" w:rsidR="00B0276B" w:rsidRPr="00C02416" w:rsidRDefault="00B0276B" w:rsidP="00B0276B">
            <w:pPr>
              <w:rPr>
                <w:b/>
                <w:bCs/>
                <w:sz w:val="20"/>
                <w:szCs w:val="20"/>
                <w:lang w:val="sr-Latn-ME"/>
              </w:rPr>
            </w:pPr>
            <w:r w:rsidRPr="00C02416">
              <w:rPr>
                <w:b/>
                <w:bCs/>
                <w:sz w:val="20"/>
                <w:szCs w:val="20"/>
                <w:lang w:val="sr-Latn-ME"/>
              </w:rPr>
              <w:t>Ciljna vrijednost 2026.</w:t>
            </w:r>
          </w:p>
        </w:tc>
      </w:tr>
      <w:tr w:rsidR="00B1046C" w:rsidRPr="00B1046C" w14:paraId="44B039A5" w14:textId="77777777" w:rsidTr="00C02416">
        <w:tc>
          <w:tcPr>
            <w:tcW w:w="1525" w:type="dxa"/>
            <w:shd w:val="clear" w:color="auto" w:fill="auto"/>
          </w:tcPr>
          <w:p w14:paraId="7DE9E39F" w14:textId="596BF1B3" w:rsidR="00323D61" w:rsidRPr="00C02416" w:rsidRDefault="00C47B3C" w:rsidP="00B0276B">
            <w:pPr>
              <w:rPr>
                <w:sz w:val="20"/>
                <w:szCs w:val="20"/>
                <w:lang w:val="sr-Latn-ME"/>
              </w:rPr>
            </w:pPr>
            <w:r w:rsidRPr="00C02416">
              <w:rPr>
                <w:sz w:val="20"/>
                <w:szCs w:val="20"/>
                <w:lang w:val="sr-Latn-ME"/>
              </w:rPr>
              <w:t>Povećan broj zaposlenih</w:t>
            </w:r>
          </w:p>
        </w:tc>
        <w:tc>
          <w:tcPr>
            <w:tcW w:w="1470" w:type="dxa"/>
            <w:shd w:val="clear" w:color="auto" w:fill="auto"/>
          </w:tcPr>
          <w:p w14:paraId="10CE52AF" w14:textId="75553ACB" w:rsidR="00323D61" w:rsidRPr="00C02416" w:rsidRDefault="00EE3813" w:rsidP="00B0276B">
            <w:pPr>
              <w:rPr>
                <w:sz w:val="20"/>
                <w:szCs w:val="20"/>
                <w:lang w:val="sr-Latn-ME"/>
              </w:rPr>
            </w:pPr>
            <w:r w:rsidRPr="00C02416">
              <w:rPr>
                <w:sz w:val="20"/>
                <w:szCs w:val="20"/>
                <w:lang w:val="sr-Latn-ME"/>
              </w:rPr>
              <w:t>% povećanja broja formalno zaposlenih, godišnje</w:t>
            </w:r>
          </w:p>
        </w:tc>
        <w:tc>
          <w:tcPr>
            <w:tcW w:w="1620" w:type="dxa"/>
            <w:shd w:val="clear" w:color="auto" w:fill="auto"/>
          </w:tcPr>
          <w:p w14:paraId="5646CA3B" w14:textId="51072DF9" w:rsidR="00323D61" w:rsidRPr="00C02416" w:rsidRDefault="00831EFC" w:rsidP="00B0276B">
            <w:pPr>
              <w:rPr>
                <w:sz w:val="20"/>
                <w:szCs w:val="20"/>
                <w:lang w:val="sr-Latn-ME"/>
              </w:rPr>
            </w:pPr>
            <w:r w:rsidRPr="00C02416">
              <w:rPr>
                <w:sz w:val="20"/>
                <w:szCs w:val="20"/>
                <w:lang w:val="sr-Latn-ME"/>
              </w:rPr>
              <w:t>Monstat</w:t>
            </w:r>
          </w:p>
        </w:tc>
        <w:tc>
          <w:tcPr>
            <w:tcW w:w="1890" w:type="dxa"/>
            <w:shd w:val="clear" w:color="auto" w:fill="auto"/>
          </w:tcPr>
          <w:p w14:paraId="74C91E49" w14:textId="0DB3FA4F" w:rsidR="00323D61" w:rsidRPr="00C02416" w:rsidRDefault="00EE3813" w:rsidP="00B0276B">
            <w:pPr>
              <w:rPr>
                <w:sz w:val="20"/>
                <w:szCs w:val="20"/>
                <w:lang w:val="sr-Latn-ME"/>
              </w:rPr>
            </w:pPr>
            <w:r w:rsidRPr="00C02416">
              <w:rPr>
                <w:sz w:val="20"/>
                <w:szCs w:val="20"/>
                <w:lang w:val="sr-Latn-ME"/>
              </w:rPr>
              <w:t>22,7</w:t>
            </w:r>
          </w:p>
        </w:tc>
        <w:tc>
          <w:tcPr>
            <w:tcW w:w="1620" w:type="dxa"/>
            <w:shd w:val="clear" w:color="auto" w:fill="auto"/>
          </w:tcPr>
          <w:p w14:paraId="629BC317" w14:textId="0881A61D" w:rsidR="00323D61" w:rsidRPr="00C02416" w:rsidRDefault="00EE3813" w:rsidP="00B0276B">
            <w:pPr>
              <w:rPr>
                <w:sz w:val="20"/>
                <w:szCs w:val="20"/>
                <w:lang w:val="sr-Latn-ME"/>
              </w:rPr>
            </w:pPr>
            <w:r w:rsidRPr="00C02416">
              <w:rPr>
                <w:sz w:val="20"/>
                <w:szCs w:val="20"/>
                <w:lang w:val="sr-Latn-ME"/>
              </w:rPr>
              <w:t>15</w:t>
            </w:r>
          </w:p>
        </w:tc>
        <w:tc>
          <w:tcPr>
            <w:tcW w:w="1230" w:type="dxa"/>
            <w:shd w:val="clear" w:color="auto" w:fill="auto"/>
          </w:tcPr>
          <w:p w14:paraId="0C982AD7" w14:textId="60DD2A7C" w:rsidR="00323D61" w:rsidRPr="00C02416" w:rsidRDefault="00EE3813" w:rsidP="00B0276B">
            <w:pPr>
              <w:rPr>
                <w:sz w:val="20"/>
                <w:szCs w:val="20"/>
                <w:lang w:val="sr-Latn-ME"/>
              </w:rPr>
            </w:pPr>
            <w:r w:rsidRPr="00C02416">
              <w:rPr>
                <w:sz w:val="20"/>
                <w:szCs w:val="20"/>
                <w:lang w:val="sr-Latn-ME"/>
              </w:rPr>
              <w:t>16</w:t>
            </w:r>
          </w:p>
        </w:tc>
      </w:tr>
      <w:tr w:rsidR="009D1610" w:rsidRPr="00B1046C" w14:paraId="5B617708" w14:textId="77777777" w:rsidTr="00C02416">
        <w:tc>
          <w:tcPr>
            <w:tcW w:w="1525" w:type="dxa"/>
            <w:shd w:val="clear" w:color="auto" w:fill="auto"/>
          </w:tcPr>
          <w:p w14:paraId="37265A75" w14:textId="5E4F5C54" w:rsidR="009D1610" w:rsidRPr="00C02416" w:rsidRDefault="009D1610" w:rsidP="00B0276B">
            <w:pPr>
              <w:rPr>
                <w:sz w:val="20"/>
                <w:szCs w:val="20"/>
                <w:lang w:val="sr-Latn-ME"/>
              </w:rPr>
            </w:pPr>
            <w:r w:rsidRPr="009D1610">
              <w:rPr>
                <w:sz w:val="20"/>
                <w:szCs w:val="20"/>
                <w:lang w:val="sr-Latn-ME"/>
              </w:rPr>
              <w:t>Smanjena nezaposlenost</w:t>
            </w:r>
          </w:p>
        </w:tc>
        <w:tc>
          <w:tcPr>
            <w:tcW w:w="1470" w:type="dxa"/>
            <w:shd w:val="clear" w:color="auto" w:fill="auto"/>
          </w:tcPr>
          <w:p w14:paraId="5568FA44" w14:textId="172FD387" w:rsidR="009D1610" w:rsidRPr="00C02416" w:rsidRDefault="009D1610" w:rsidP="00B0276B">
            <w:pPr>
              <w:rPr>
                <w:sz w:val="20"/>
                <w:szCs w:val="20"/>
                <w:lang w:val="sr-Latn-ME"/>
              </w:rPr>
            </w:pPr>
            <w:r w:rsidRPr="009D1610">
              <w:rPr>
                <w:sz w:val="20"/>
                <w:szCs w:val="20"/>
                <w:lang w:val="sr-Latn-ME"/>
              </w:rPr>
              <w:t>Stopa nezaposlenosti (%)</w:t>
            </w:r>
            <w:r w:rsidRPr="009D1610">
              <w:rPr>
                <w:sz w:val="20"/>
                <w:szCs w:val="20"/>
                <w:lang w:val="sr-Latn-ME"/>
              </w:rPr>
              <w:tab/>
            </w:r>
          </w:p>
        </w:tc>
        <w:tc>
          <w:tcPr>
            <w:tcW w:w="1620" w:type="dxa"/>
            <w:shd w:val="clear" w:color="auto" w:fill="auto"/>
          </w:tcPr>
          <w:p w14:paraId="3755F2A6" w14:textId="735F9A03" w:rsidR="009D1610" w:rsidRPr="00C02416" w:rsidRDefault="009D1610" w:rsidP="00B0276B">
            <w:pPr>
              <w:rPr>
                <w:sz w:val="20"/>
                <w:szCs w:val="20"/>
                <w:lang w:val="sr-Latn-ME"/>
              </w:rPr>
            </w:pPr>
            <w:r>
              <w:rPr>
                <w:sz w:val="20"/>
                <w:szCs w:val="20"/>
                <w:lang w:val="sr-Latn-ME"/>
              </w:rPr>
              <w:t>ZZCG</w:t>
            </w:r>
          </w:p>
        </w:tc>
        <w:tc>
          <w:tcPr>
            <w:tcW w:w="1890" w:type="dxa"/>
            <w:shd w:val="clear" w:color="auto" w:fill="auto"/>
          </w:tcPr>
          <w:p w14:paraId="774A8C04" w14:textId="520ABD42" w:rsidR="009D1610" w:rsidRPr="00C02416" w:rsidRDefault="009D1610" w:rsidP="00B0276B">
            <w:pPr>
              <w:rPr>
                <w:sz w:val="20"/>
                <w:szCs w:val="20"/>
                <w:lang w:val="sr-Latn-ME"/>
              </w:rPr>
            </w:pPr>
            <w:r>
              <w:rPr>
                <w:sz w:val="20"/>
                <w:szCs w:val="20"/>
                <w:lang w:val="sr-Latn-ME"/>
              </w:rPr>
              <w:t>20,1</w:t>
            </w:r>
          </w:p>
        </w:tc>
        <w:tc>
          <w:tcPr>
            <w:tcW w:w="1620" w:type="dxa"/>
            <w:shd w:val="clear" w:color="auto" w:fill="auto"/>
          </w:tcPr>
          <w:p w14:paraId="01EA5AC3" w14:textId="2361B334" w:rsidR="009D1610" w:rsidRPr="00C02416" w:rsidRDefault="009D1610" w:rsidP="00B0276B">
            <w:pPr>
              <w:rPr>
                <w:sz w:val="20"/>
                <w:szCs w:val="20"/>
                <w:lang w:val="sr-Latn-ME"/>
              </w:rPr>
            </w:pPr>
            <w:r>
              <w:rPr>
                <w:sz w:val="20"/>
                <w:szCs w:val="20"/>
                <w:lang w:val="sr-Latn-ME"/>
              </w:rPr>
              <w:t>17</w:t>
            </w:r>
          </w:p>
        </w:tc>
        <w:tc>
          <w:tcPr>
            <w:tcW w:w="1230" w:type="dxa"/>
            <w:shd w:val="clear" w:color="auto" w:fill="auto"/>
          </w:tcPr>
          <w:p w14:paraId="16A88E22" w14:textId="0BB20A7B" w:rsidR="009D1610" w:rsidRPr="00C02416" w:rsidRDefault="009D1610" w:rsidP="00B0276B">
            <w:pPr>
              <w:rPr>
                <w:sz w:val="20"/>
                <w:szCs w:val="20"/>
                <w:lang w:val="sr-Latn-ME"/>
              </w:rPr>
            </w:pPr>
            <w:r>
              <w:rPr>
                <w:sz w:val="20"/>
                <w:szCs w:val="20"/>
                <w:lang w:val="sr-Latn-ME"/>
              </w:rPr>
              <w:t>16,5</w:t>
            </w:r>
          </w:p>
        </w:tc>
      </w:tr>
      <w:tr w:rsidR="00B77C62" w:rsidRPr="00B1046C" w14:paraId="78C1CEA2" w14:textId="77777777" w:rsidTr="00C02416">
        <w:tc>
          <w:tcPr>
            <w:tcW w:w="1525" w:type="dxa"/>
            <w:shd w:val="clear" w:color="auto" w:fill="auto"/>
          </w:tcPr>
          <w:p w14:paraId="03912B2B" w14:textId="2ABDB3FD" w:rsidR="00B77C62" w:rsidRPr="00C02416" w:rsidRDefault="00B77C62" w:rsidP="00B0276B">
            <w:pPr>
              <w:rPr>
                <w:sz w:val="20"/>
                <w:szCs w:val="20"/>
                <w:lang w:val="sr-Latn-ME"/>
              </w:rPr>
            </w:pPr>
            <w:r w:rsidRPr="00C02416">
              <w:rPr>
                <w:sz w:val="20"/>
                <w:szCs w:val="20"/>
                <w:lang w:val="sr-Latn-ME"/>
              </w:rPr>
              <w:t>Povećan prihod od doprinosa i poreza na dohodak fizičkih lica</w:t>
            </w:r>
          </w:p>
        </w:tc>
        <w:tc>
          <w:tcPr>
            <w:tcW w:w="1470" w:type="dxa"/>
            <w:shd w:val="clear" w:color="auto" w:fill="auto"/>
          </w:tcPr>
          <w:p w14:paraId="7331B269" w14:textId="4AAEC1C2" w:rsidR="00B77C62" w:rsidRPr="00C02416" w:rsidRDefault="00E67D76" w:rsidP="00B0276B">
            <w:pPr>
              <w:rPr>
                <w:sz w:val="20"/>
                <w:szCs w:val="20"/>
                <w:lang w:val="sr-Latn-ME"/>
              </w:rPr>
            </w:pPr>
            <w:r w:rsidRPr="00C02416">
              <w:rPr>
                <w:sz w:val="20"/>
                <w:szCs w:val="20"/>
                <w:lang w:val="sr-Latn-ME"/>
              </w:rPr>
              <w:t xml:space="preserve">% rasta prihoda </w:t>
            </w:r>
            <w:r w:rsidR="00B77C62" w:rsidRPr="00C02416">
              <w:rPr>
                <w:sz w:val="20"/>
                <w:szCs w:val="20"/>
                <w:lang w:val="sr-Latn-ME"/>
              </w:rPr>
              <w:t xml:space="preserve">od doprinosa </w:t>
            </w:r>
            <w:r w:rsidR="00D049BB">
              <w:rPr>
                <w:sz w:val="20"/>
                <w:szCs w:val="20"/>
                <w:lang w:val="sr-Latn-ME"/>
              </w:rPr>
              <w:t xml:space="preserve">i </w:t>
            </w:r>
            <w:r w:rsidR="00B77C62" w:rsidRPr="00C02416">
              <w:rPr>
                <w:sz w:val="20"/>
                <w:szCs w:val="20"/>
                <w:lang w:val="sr-Latn-ME"/>
              </w:rPr>
              <w:t>poreza na dohodak fizi</w:t>
            </w:r>
            <w:r w:rsidR="003613E7" w:rsidRPr="00C02416">
              <w:rPr>
                <w:sz w:val="20"/>
                <w:szCs w:val="20"/>
                <w:lang w:val="sr-Latn-ME"/>
              </w:rPr>
              <w:t>č</w:t>
            </w:r>
            <w:r w:rsidR="00B77C62" w:rsidRPr="00C02416">
              <w:rPr>
                <w:sz w:val="20"/>
                <w:szCs w:val="20"/>
                <w:lang w:val="sr-Latn-ME"/>
              </w:rPr>
              <w:t>kih lica kao % BDP</w:t>
            </w:r>
          </w:p>
        </w:tc>
        <w:tc>
          <w:tcPr>
            <w:tcW w:w="1620" w:type="dxa"/>
            <w:shd w:val="clear" w:color="auto" w:fill="auto"/>
          </w:tcPr>
          <w:p w14:paraId="54966346" w14:textId="15C59A65" w:rsidR="00B77C62" w:rsidRPr="00C02416" w:rsidRDefault="00831EFC" w:rsidP="00B0276B">
            <w:pPr>
              <w:rPr>
                <w:sz w:val="20"/>
                <w:szCs w:val="20"/>
                <w:lang w:val="sr-Latn-ME"/>
              </w:rPr>
            </w:pPr>
            <w:r w:rsidRPr="00C02416">
              <w:rPr>
                <w:sz w:val="20"/>
                <w:szCs w:val="20"/>
                <w:lang w:val="sr-Latn-ME"/>
              </w:rPr>
              <w:t>MF</w:t>
            </w:r>
          </w:p>
        </w:tc>
        <w:tc>
          <w:tcPr>
            <w:tcW w:w="1890" w:type="dxa"/>
            <w:shd w:val="clear" w:color="auto" w:fill="auto"/>
          </w:tcPr>
          <w:p w14:paraId="286B5B75" w14:textId="08B7E450" w:rsidR="00B77C62" w:rsidRPr="00C02416" w:rsidRDefault="000874D7" w:rsidP="00B0276B">
            <w:pPr>
              <w:rPr>
                <w:sz w:val="20"/>
                <w:szCs w:val="20"/>
                <w:lang w:val="sr-Latn-ME"/>
              </w:rPr>
            </w:pPr>
            <w:r>
              <w:rPr>
                <w:sz w:val="20"/>
                <w:szCs w:val="20"/>
                <w:lang w:val="sr-Latn-ME"/>
              </w:rPr>
              <w:t>-1</w:t>
            </w:r>
            <w:r w:rsidR="00C23B93">
              <w:rPr>
                <w:sz w:val="20"/>
                <w:szCs w:val="20"/>
                <w:lang w:val="sr-Latn-ME"/>
              </w:rPr>
              <w:t>8,9</w:t>
            </w:r>
            <w:r w:rsidR="00A24105">
              <w:rPr>
                <w:rStyle w:val="FootnoteReference"/>
                <w:sz w:val="20"/>
                <w:szCs w:val="20"/>
                <w:lang w:val="sr-Latn-ME"/>
              </w:rPr>
              <w:footnoteReference w:id="28"/>
            </w:r>
          </w:p>
        </w:tc>
        <w:tc>
          <w:tcPr>
            <w:tcW w:w="1620" w:type="dxa"/>
            <w:shd w:val="clear" w:color="auto" w:fill="auto"/>
          </w:tcPr>
          <w:p w14:paraId="39A067FA" w14:textId="14CDFF3B" w:rsidR="00B77C62" w:rsidRPr="00C02416" w:rsidRDefault="000874D7" w:rsidP="00B0276B">
            <w:pPr>
              <w:rPr>
                <w:sz w:val="20"/>
                <w:szCs w:val="20"/>
                <w:lang w:val="sr-Latn-ME"/>
              </w:rPr>
            </w:pPr>
            <w:r>
              <w:rPr>
                <w:sz w:val="20"/>
                <w:szCs w:val="20"/>
                <w:lang w:val="sr-Latn-ME"/>
              </w:rPr>
              <w:t>2</w:t>
            </w:r>
            <w:r w:rsidR="00A24105">
              <w:rPr>
                <w:sz w:val="20"/>
                <w:szCs w:val="20"/>
                <w:lang w:val="sr-Latn-ME"/>
              </w:rPr>
              <w:t>,4</w:t>
            </w:r>
          </w:p>
        </w:tc>
        <w:tc>
          <w:tcPr>
            <w:tcW w:w="1230" w:type="dxa"/>
            <w:shd w:val="clear" w:color="auto" w:fill="auto"/>
          </w:tcPr>
          <w:p w14:paraId="59C1BECE" w14:textId="4E774D29" w:rsidR="00B77C62" w:rsidRPr="00C02416" w:rsidRDefault="00A24105" w:rsidP="00B0276B">
            <w:pPr>
              <w:rPr>
                <w:sz w:val="20"/>
                <w:szCs w:val="20"/>
                <w:lang w:val="sr-Latn-ME"/>
              </w:rPr>
            </w:pPr>
            <w:r>
              <w:rPr>
                <w:sz w:val="20"/>
                <w:szCs w:val="20"/>
                <w:lang w:val="sr-Latn-ME"/>
              </w:rPr>
              <w:t>3,2</w:t>
            </w:r>
          </w:p>
        </w:tc>
      </w:tr>
      <w:tr w:rsidR="003613E7" w:rsidRPr="00B1046C" w14:paraId="147E89CF" w14:textId="77777777" w:rsidTr="00C02416">
        <w:tc>
          <w:tcPr>
            <w:tcW w:w="1525" w:type="dxa"/>
            <w:shd w:val="clear" w:color="auto" w:fill="auto"/>
          </w:tcPr>
          <w:p w14:paraId="08A223D6" w14:textId="194F165C" w:rsidR="00CF370D" w:rsidRPr="00C02416" w:rsidRDefault="00CF370D" w:rsidP="00B0276B">
            <w:pPr>
              <w:rPr>
                <w:sz w:val="20"/>
                <w:szCs w:val="20"/>
                <w:lang w:val="sr-Latn-ME"/>
              </w:rPr>
            </w:pPr>
            <w:r w:rsidRPr="00C02416">
              <w:rPr>
                <w:sz w:val="20"/>
                <w:szCs w:val="20"/>
                <w:lang w:val="sr-Latn-ME"/>
              </w:rPr>
              <w:t xml:space="preserve">Smanjena nezaposlenosti mladih i žena </w:t>
            </w:r>
          </w:p>
        </w:tc>
        <w:tc>
          <w:tcPr>
            <w:tcW w:w="1470" w:type="dxa"/>
            <w:shd w:val="clear" w:color="auto" w:fill="auto"/>
          </w:tcPr>
          <w:p w14:paraId="2B9C0654" w14:textId="26E34471" w:rsidR="0030022E" w:rsidRPr="0030022E" w:rsidRDefault="0030022E" w:rsidP="0030022E">
            <w:pPr>
              <w:rPr>
                <w:sz w:val="20"/>
                <w:szCs w:val="20"/>
                <w:lang w:val="sr-Latn-ME"/>
              </w:rPr>
            </w:pPr>
            <w:r w:rsidRPr="0030022E">
              <w:rPr>
                <w:sz w:val="20"/>
                <w:szCs w:val="20"/>
                <w:lang w:val="sr-Latn-ME"/>
              </w:rPr>
              <w:t>Stopa nezaposlenosti  mladih 15-24 godine (%)</w:t>
            </w:r>
          </w:p>
          <w:p w14:paraId="4F456B6F" w14:textId="1BAB8B7A" w:rsidR="00CF370D" w:rsidRPr="00C02416" w:rsidRDefault="0030022E" w:rsidP="0030022E">
            <w:pPr>
              <w:rPr>
                <w:sz w:val="20"/>
                <w:szCs w:val="20"/>
                <w:lang w:val="sr-Latn-ME"/>
              </w:rPr>
            </w:pPr>
            <w:r w:rsidRPr="0030022E">
              <w:rPr>
                <w:sz w:val="20"/>
                <w:szCs w:val="20"/>
                <w:lang w:val="sr-Latn-ME"/>
              </w:rPr>
              <w:t>Stopa nezaposlenosti žena 15+ godina (%)</w:t>
            </w:r>
          </w:p>
        </w:tc>
        <w:tc>
          <w:tcPr>
            <w:tcW w:w="1620" w:type="dxa"/>
            <w:shd w:val="clear" w:color="auto" w:fill="auto"/>
          </w:tcPr>
          <w:p w14:paraId="35375EFC" w14:textId="091E0AAE" w:rsidR="003613E7" w:rsidRPr="00C02416" w:rsidRDefault="00CF370D" w:rsidP="00B0276B">
            <w:pPr>
              <w:rPr>
                <w:sz w:val="20"/>
                <w:szCs w:val="20"/>
                <w:lang w:val="sr-Latn-ME"/>
              </w:rPr>
            </w:pPr>
            <w:r w:rsidRPr="00C02416">
              <w:rPr>
                <w:sz w:val="20"/>
                <w:szCs w:val="20"/>
                <w:lang w:val="sr-Latn-ME"/>
              </w:rPr>
              <w:t>Monstat</w:t>
            </w:r>
            <w:r w:rsidR="009F137B">
              <w:rPr>
                <w:sz w:val="20"/>
                <w:szCs w:val="20"/>
                <w:lang w:val="sr-Latn-ME"/>
              </w:rPr>
              <w:t>, ARS</w:t>
            </w:r>
          </w:p>
        </w:tc>
        <w:tc>
          <w:tcPr>
            <w:tcW w:w="1890" w:type="dxa"/>
            <w:shd w:val="clear" w:color="auto" w:fill="auto"/>
          </w:tcPr>
          <w:p w14:paraId="57F5B200" w14:textId="77777777" w:rsidR="003613E7" w:rsidRDefault="009F137B" w:rsidP="00B0276B">
            <w:pPr>
              <w:rPr>
                <w:sz w:val="20"/>
                <w:szCs w:val="20"/>
                <w:lang w:val="sr-Latn-ME"/>
              </w:rPr>
            </w:pPr>
            <w:r>
              <w:rPr>
                <w:sz w:val="20"/>
                <w:szCs w:val="20"/>
                <w:lang w:val="sr-Latn-ME"/>
              </w:rPr>
              <w:t>29,4</w:t>
            </w:r>
          </w:p>
          <w:p w14:paraId="18526CF0" w14:textId="77777777" w:rsidR="009F137B" w:rsidRDefault="009F137B" w:rsidP="00B0276B">
            <w:pPr>
              <w:rPr>
                <w:sz w:val="20"/>
                <w:szCs w:val="20"/>
                <w:lang w:val="sr-Latn-ME"/>
              </w:rPr>
            </w:pPr>
          </w:p>
          <w:p w14:paraId="3C0153BD" w14:textId="77777777" w:rsidR="009F137B" w:rsidRDefault="009F137B" w:rsidP="00B0276B">
            <w:pPr>
              <w:rPr>
                <w:sz w:val="20"/>
                <w:szCs w:val="20"/>
                <w:lang w:val="sr-Latn-ME"/>
              </w:rPr>
            </w:pPr>
          </w:p>
          <w:p w14:paraId="2843C556" w14:textId="2E00AB72" w:rsidR="009F137B" w:rsidRPr="00C02416" w:rsidRDefault="00A10719" w:rsidP="00B0276B">
            <w:pPr>
              <w:rPr>
                <w:sz w:val="20"/>
                <w:szCs w:val="20"/>
                <w:lang w:val="sr-Latn-ME"/>
              </w:rPr>
            </w:pPr>
            <w:r>
              <w:rPr>
                <w:sz w:val="20"/>
                <w:szCs w:val="20"/>
                <w:lang w:val="sr-Latn-ME"/>
              </w:rPr>
              <w:t>12,8</w:t>
            </w:r>
          </w:p>
        </w:tc>
        <w:tc>
          <w:tcPr>
            <w:tcW w:w="1620" w:type="dxa"/>
            <w:shd w:val="clear" w:color="auto" w:fill="auto"/>
          </w:tcPr>
          <w:p w14:paraId="16F08F0B" w14:textId="77777777" w:rsidR="003613E7" w:rsidRDefault="009F137B" w:rsidP="00B0276B">
            <w:pPr>
              <w:rPr>
                <w:sz w:val="20"/>
                <w:szCs w:val="20"/>
                <w:lang w:val="sr-Latn-ME"/>
              </w:rPr>
            </w:pPr>
            <w:r>
              <w:rPr>
                <w:sz w:val="20"/>
                <w:szCs w:val="20"/>
                <w:lang w:val="sr-Latn-ME"/>
              </w:rPr>
              <w:t>26,5</w:t>
            </w:r>
          </w:p>
          <w:p w14:paraId="5D075AC0" w14:textId="77777777" w:rsidR="009F137B" w:rsidRDefault="009F137B" w:rsidP="00B0276B">
            <w:pPr>
              <w:rPr>
                <w:sz w:val="20"/>
                <w:szCs w:val="20"/>
                <w:lang w:val="sr-Latn-ME"/>
              </w:rPr>
            </w:pPr>
          </w:p>
          <w:p w14:paraId="46615087" w14:textId="77777777" w:rsidR="009F137B" w:rsidRDefault="009F137B" w:rsidP="00B0276B">
            <w:pPr>
              <w:rPr>
                <w:sz w:val="20"/>
                <w:szCs w:val="20"/>
                <w:lang w:val="sr-Latn-ME"/>
              </w:rPr>
            </w:pPr>
          </w:p>
          <w:p w14:paraId="4AF63B46" w14:textId="0980535B" w:rsidR="009F137B" w:rsidRPr="00C02416" w:rsidRDefault="009F137B" w:rsidP="00B0276B">
            <w:pPr>
              <w:rPr>
                <w:sz w:val="20"/>
                <w:szCs w:val="20"/>
                <w:lang w:val="sr-Latn-ME"/>
              </w:rPr>
            </w:pPr>
            <w:r>
              <w:rPr>
                <w:sz w:val="20"/>
                <w:szCs w:val="20"/>
                <w:lang w:val="sr-Latn-ME"/>
              </w:rPr>
              <w:t>11,7</w:t>
            </w:r>
          </w:p>
        </w:tc>
        <w:tc>
          <w:tcPr>
            <w:tcW w:w="1230" w:type="dxa"/>
            <w:shd w:val="clear" w:color="auto" w:fill="auto"/>
          </w:tcPr>
          <w:p w14:paraId="7A906FAD" w14:textId="77777777" w:rsidR="003613E7" w:rsidRDefault="009F137B" w:rsidP="00B0276B">
            <w:pPr>
              <w:rPr>
                <w:sz w:val="20"/>
                <w:szCs w:val="20"/>
                <w:lang w:val="sr-Latn-ME"/>
              </w:rPr>
            </w:pPr>
            <w:r>
              <w:rPr>
                <w:sz w:val="20"/>
                <w:szCs w:val="20"/>
                <w:lang w:val="sr-Latn-ME"/>
              </w:rPr>
              <w:t>25</w:t>
            </w:r>
          </w:p>
          <w:p w14:paraId="6CC25FB1" w14:textId="77777777" w:rsidR="009F137B" w:rsidRDefault="009F137B" w:rsidP="00B0276B">
            <w:pPr>
              <w:rPr>
                <w:sz w:val="20"/>
                <w:szCs w:val="20"/>
                <w:lang w:val="sr-Latn-ME"/>
              </w:rPr>
            </w:pPr>
          </w:p>
          <w:p w14:paraId="198D294E" w14:textId="77777777" w:rsidR="009F137B" w:rsidRDefault="009F137B" w:rsidP="00B0276B">
            <w:pPr>
              <w:rPr>
                <w:sz w:val="20"/>
                <w:szCs w:val="20"/>
                <w:lang w:val="sr-Latn-ME"/>
              </w:rPr>
            </w:pPr>
          </w:p>
          <w:p w14:paraId="634CCDC2" w14:textId="68A7A2DE" w:rsidR="009F137B" w:rsidRPr="00C02416" w:rsidRDefault="009F137B" w:rsidP="00B0276B">
            <w:pPr>
              <w:rPr>
                <w:sz w:val="20"/>
                <w:szCs w:val="20"/>
                <w:lang w:val="sr-Latn-ME"/>
              </w:rPr>
            </w:pPr>
            <w:r>
              <w:rPr>
                <w:sz w:val="20"/>
                <w:szCs w:val="20"/>
                <w:lang w:val="sr-Latn-ME"/>
              </w:rPr>
              <w:t>11,1</w:t>
            </w:r>
          </w:p>
        </w:tc>
      </w:tr>
    </w:tbl>
    <w:p w14:paraId="2C57ED24" w14:textId="77777777" w:rsidR="008E24C4" w:rsidRDefault="008E24C4" w:rsidP="008E24C4">
      <w:pPr>
        <w:rPr>
          <w:b/>
          <w:bCs/>
          <w:color w:val="323E4F" w:themeColor="text2" w:themeShade="BF"/>
          <w:sz w:val="24"/>
          <w:szCs w:val="24"/>
          <w:lang w:val="sr-Latn-ME"/>
        </w:rPr>
      </w:pPr>
      <w:bookmarkStart w:id="37" w:name="_Hlk137604655"/>
      <w:bookmarkEnd w:id="36"/>
    </w:p>
    <w:p w14:paraId="0C8ABF99" w14:textId="77777777" w:rsidR="00B67D63" w:rsidRDefault="00B67D63" w:rsidP="008E24C4">
      <w:pPr>
        <w:rPr>
          <w:b/>
          <w:bCs/>
          <w:color w:val="323E4F" w:themeColor="text2" w:themeShade="BF"/>
          <w:sz w:val="24"/>
          <w:szCs w:val="24"/>
          <w:lang w:val="sr-Latn-ME"/>
        </w:rPr>
      </w:pPr>
    </w:p>
    <w:p w14:paraId="583FBB5B" w14:textId="77777777" w:rsidR="00B67D63" w:rsidRDefault="00B67D63" w:rsidP="008E24C4">
      <w:pPr>
        <w:rPr>
          <w:b/>
          <w:bCs/>
          <w:color w:val="323E4F" w:themeColor="text2" w:themeShade="BF"/>
          <w:sz w:val="24"/>
          <w:szCs w:val="24"/>
          <w:lang w:val="sr-Latn-ME"/>
        </w:rPr>
      </w:pPr>
    </w:p>
    <w:p w14:paraId="742170E6" w14:textId="77777777" w:rsidR="00B67D63" w:rsidRDefault="00B67D63" w:rsidP="008E24C4">
      <w:pPr>
        <w:rPr>
          <w:b/>
          <w:bCs/>
          <w:color w:val="323E4F" w:themeColor="text2" w:themeShade="BF"/>
          <w:sz w:val="24"/>
          <w:szCs w:val="24"/>
          <w:lang w:val="sr-Latn-ME"/>
        </w:rPr>
      </w:pPr>
    </w:p>
    <w:p w14:paraId="46641F25" w14:textId="77777777" w:rsidR="00B67D63" w:rsidRPr="00B351C7" w:rsidRDefault="00B67D63" w:rsidP="008E24C4">
      <w:pPr>
        <w:rPr>
          <w:b/>
          <w:bCs/>
          <w:color w:val="323E4F" w:themeColor="text2" w:themeShade="BF"/>
          <w:sz w:val="24"/>
          <w:szCs w:val="24"/>
          <w:lang w:val="sr-Latn-ME"/>
        </w:rPr>
      </w:pPr>
    </w:p>
    <w:p w14:paraId="62E74609" w14:textId="5AE1A0FD" w:rsidR="00B0276B" w:rsidRPr="00B351C7" w:rsidRDefault="008E24C4" w:rsidP="00B0276B">
      <w:pPr>
        <w:rPr>
          <w:b/>
          <w:bCs/>
          <w:color w:val="323E4F" w:themeColor="text2" w:themeShade="BF"/>
          <w:sz w:val="24"/>
          <w:szCs w:val="24"/>
          <w:lang w:val="sr-Latn-ME"/>
        </w:rPr>
      </w:pPr>
      <w:r w:rsidRPr="00B351C7">
        <w:rPr>
          <w:b/>
          <w:bCs/>
          <w:color w:val="323E4F" w:themeColor="text2" w:themeShade="BF"/>
          <w:sz w:val="24"/>
          <w:szCs w:val="24"/>
          <w:lang w:val="sr-Latn-ME"/>
        </w:rPr>
        <w:lastRenderedPageBreak/>
        <w:t>O</w:t>
      </w:r>
      <w:r w:rsidR="00D72CC7" w:rsidRPr="00B351C7">
        <w:rPr>
          <w:b/>
          <w:bCs/>
          <w:color w:val="323E4F" w:themeColor="text2" w:themeShade="BF"/>
          <w:sz w:val="24"/>
          <w:szCs w:val="24"/>
          <w:lang w:val="sr-Latn-ME"/>
        </w:rPr>
        <w:t>C</w:t>
      </w:r>
      <w:r w:rsidRPr="00B351C7">
        <w:rPr>
          <w:b/>
          <w:bCs/>
          <w:color w:val="323E4F" w:themeColor="text2" w:themeShade="BF"/>
          <w:sz w:val="24"/>
          <w:szCs w:val="24"/>
          <w:lang w:val="sr-Latn-ME"/>
        </w:rPr>
        <w:t xml:space="preserve">4 – </w:t>
      </w:r>
      <w:r w:rsidR="00E525AB" w:rsidRPr="00B351C7">
        <w:rPr>
          <w:b/>
          <w:bCs/>
          <w:color w:val="323E4F" w:themeColor="text2" w:themeShade="BF"/>
          <w:sz w:val="24"/>
          <w:szCs w:val="24"/>
          <w:lang w:val="pl-PL"/>
        </w:rPr>
        <w:t>Unapre</w:t>
      </w:r>
      <w:r w:rsidR="00E525AB" w:rsidRPr="007459FE">
        <w:rPr>
          <w:b/>
          <w:bCs/>
          <w:color w:val="323E4F" w:themeColor="text2" w:themeShade="BF"/>
          <w:sz w:val="24"/>
          <w:szCs w:val="24"/>
          <w:lang w:val="sr-Latn-ME"/>
        </w:rPr>
        <w:t>đ</w:t>
      </w:r>
      <w:r w:rsidR="00E525AB" w:rsidRPr="00B351C7">
        <w:rPr>
          <w:b/>
          <w:bCs/>
          <w:color w:val="323E4F" w:themeColor="text2" w:themeShade="BF"/>
          <w:sz w:val="24"/>
          <w:szCs w:val="24"/>
          <w:lang w:val="pl-PL"/>
        </w:rPr>
        <w:t>enje</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elektronskih</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usluga</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javne</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uprave</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institucionalnog</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okvira</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i</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administrativnih</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kapaciteta</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u</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smanjenju</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neformalne</w:t>
      </w:r>
      <w:r w:rsidR="00E525AB" w:rsidRPr="007459FE">
        <w:rPr>
          <w:b/>
          <w:bCs/>
          <w:color w:val="323E4F" w:themeColor="text2" w:themeShade="BF"/>
          <w:sz w:val="24"/>
          <w:szCs w:val="24"/>
          <w:lang w:val="sr-Latn-ME"/>
        </w:rPr>
        <w:t xml:space="preserve"> </w:t>
      </w:r>
      <w:r w:rsidR="00E525AB" w:rsidRPr="00B351C7">
        <w:rPr>
          <w:b/>
          <w:bCs/>
          <w:color w:val="323E4F" w:themeColor="text2" w:themeShade="BF"/>
          <w:sz w:val="24"/>
          <w:szCs w:val="24"/>
          <w:lang w:val="pl-PL"/>
        </w:rPr>
        <w:t>ekonomije</w:t>
      </w:r>
    </w:p>
    <w:p w14:paraId="6E2A8DE7" w14:textId="3D28C97C" w:rsidR="00D72CC7" w:rsidRPr="007459FE" w:rsidRDefault="00D17632" w:rsidP="00D72CC7">
      <w:pPr>
        <w:jc w:val="both"/>
        <w:rPr>
          <w:sz w:val="24"/>
          <w:szCs w:val="24"/>
          <w:lang w:val="pl-PL"/>
        </w:rPr>
      </w:pPr>
      <w:bookmarkStart w:id="38" w:name="_Hlk137604517"/>
      <w:r w:rsidRPr="007459FE">
        <w:rPr>
          <w:sz w:val="24"/>
          <w:szCs w:val="24"/>
          <w:lang w:val="sr-Latn-ME"/>
        </w:rPr>
        <w:t xml:space="preserve"> </w:t>
      </w:r>
      <w:r w:rsidR="00D72CC7" w:rsidRPr="007459FE">
        <w:rPr>
          <w:sz w:val="24"/>
          <w:szCs w:val="24"/>
          <w:lang w:val="pl-PL"/>
        </w:rPr>
        <w:t>Dostizanje</w:t>
      </w:r>
      <w:r w:rsidR="00D72CC7" w:rsidRPr="007459FE">
        <w:rPr>
          <w:sz w:val="24"/>
          <w:szCs w:val="24"/>
          <w:lang w:val="sr-Latn-ME"/>
        </w:rPr>
        <w:t xml:space="preserve"> </w:t>
      </w:r>
      <w:r w:rsidR="00D72CC7" w:rsidRPr="007459FE">
        <w:rPr>
          <w:sz w:val="24"/>
          <w:szCs w:val="24"/>
          <w:lang w:val="pl-PL"/>
        </w:rPr>
        <w:t>ovog</w:t>
      </w:r>
      <w:r w:rsidR="00D72CC7" w:rsidRPr="007459FE">
        <w:rPr>
          <w:sz w:val="24"/>
          <w:szCs w:val="24"/>
          <w:lang w:val="sr-Latn-ME"/>
        </w:rPr>
        <w:t xml:space="preserve"> </w:t>
      </w:r>
      <w:r w:rsidR="00D72CC7" w:rsidRPr="007459FE">
        <w:rPr>
          <w:sz w:val="24"/>
          <w:szCs w:val="24"/>
          <w:lang w:val="pl-PL"/>
        </w:rPr>
        <w:t>cilja</w:t>
      </w:r>
      <w:r w:rsidR="00D72CC7" w:rsidRPr="007459FE">
        <w:rPr>
          <w:sz w:val="24"/>
          <w:szCs w:val="24"/>
          <w:lang w:val="sr-Latn-ME"/>
        </w:rPr>
        <w:t xml:space="preserve"> </w:t>
      </w:r>
      <w:r w:rsidR="00D72CC7" w:rsidRPr="007459FE">
        <w:rPr>
          <w:sz w:val="24"/>
          <w:szCs w:val="24"/>
          <w:lang w:val="pl-PL"/>
        </w:rPr>
        <w:t>zna</w:t>
      </w:r>
      <w:r w:rsidR="00D72CC7" w:rsidRPr="007459FE">
        <w:rPr>
          <w:sz w:val="24"/>
          <w:szCs w:val="24"/>
          <w:lang w:val="sr-Latn-ME"/>
        </w:rPr>
        <w:t>č</w:t>
      </w:r>
      <w:r w:rsidR="00D72CC7" w:rsidRPr="007459FE">
        <w:rPr>
          <w:sz w:val="24"/>
          <w:szCs w:val="24"/>
          <w:lang w:val="pl-PL"/>
        </w:rPr>
        <w:t>i</w:t>
      </w:r>
      <w:r w:rsidR="00D72CC7" w:rsidRPr="007459FE">
        <w:rPr>
          <w:sz w:val="24"/>
          <w:szCs w:val="24"/>
          <w:lang w:val="sr-Latn-ME"/>
        </w:rPr>
        <w:t xml:space="preserve"> </w:t>
      </w:r>
      <w:r w:rsidR="00D72CC7" w:rsidRPr="007459FE">
        <w:rPr>
          <w:sz w:val="24"/>
          <w:szCs w:val="24"/>
          <w:lang w:val="pl-PL"/>
        </w:rPr>
        <w:t>ja</w:t>
      </w:r>
      <w:r w:rsidR="00D72CC7" w:rsidRPr="007459FE">
        <w:rPr>
          <w:sz w:val="24"/>
          <w:szCs w:val="24"/>
          <w:lang w:val="sr-Latn-ME"/>
        </w:rPr>
        <w:t>č</w:t>
      </w:r>
      <w:r w:rsidR="00D72CC7" w:rsidRPr="007459FE">
        <w:rPr>
          <w:sz w:val="24"/>
          <w:szCs w:val="24"/>
          <w:lang w:val="pl-PL"/>
        </w:rPr>
        <w:t>anje</w:t>
      </w:r>
      <w:r w:rsidR="00D72CC7" w:rsidRPr="007459FE">
        <w:rPr>
          <w:sz w:val="24"/>
          <w:szCs w:val="24"/>
          <w:lang w:val="sr-Latn-ME"/>
        </w:rPr>
        <w:t xml:space="preserve"> </w:t>
      </w:r>
      <w:r w:rsidR="00D72CC7" w:rsidRPr="007459FE">
        <w:rPr>
          <w:sz w:val="24"/>
          <w:szCs w:val="24"/>
          <w:lang w:val="pl-PL"/>
        </w:rPr>
        <w:t>nadzornog</w:t>
      </w:r>
      <w:r w:rsidR="00D72CC7" w:rsidRPr="007459FE">
        <w:rPr>
          <w:sz w:val="24"/>
          <w:szCs w:val="24"/>
          <w:lang w:val="sr-Latn-ME"/>
        </w:rPr>
        <w:t xml:space="preserve"> </w:t>
      </w:r>
      <w:r w:rsidR="00D72CC7" w:rsidRPr="007459FE">
        <w:rPr>
          <w:sz w:val="24"/>
          <w:szCs w:val="24"/>
          <w:lang w:val="pl-PL"/>
        </w:rPr>
        <w:t>sistema</w:t>
      </w:r>
      <w:r w:rsidR="00D72CC7" w:rsidRPr="007459FE">
        <w:rPr>
          <w:sz w:val="24"/>
          <w:szCs w:val="24"/>
          <w:lang w:val="sr-Latn-ME"/>
        </w:rPr>
        <w:t xml:space="preserve"> </w:t>
      </w:r>
      <w:r w:rsidR="00D72CC7" w:rsidRPr="007459FE">
        <w:rPr>
          <w:sz w:val="24"/>
          <w:szCs w:val="24"/>
          <w:lang w:val="pl-PL"/>
        </w:rPr>
        <w:t>i</w:t>
      </w:r>
      <w:r w:rsidR="00D72CC7" w:rsidRPr="007459FE">
        <w:rPr>
          <w:sz w:val="24"/>
          <w:szCs w:val="24"/>
          <w:lang w:val="sr-Latn-ME"/>
        </w:rPr>
        <w:t xml:space="preserve"> </w:t>
      </w:r>
      <w:r w:rsidR="00D72CC7" w:rsidRPr="007459FE">
        <w:rPr>
          <w:sz w:val="24"/>
          <w:szCs w:val="24"/>
          <w:lang w:val="pl-PL"/>
        </w:rPr>
        <w:t>pove</w:t>
      </w:r>
      <w:r w:rsidR="00D72CC7" w:rsidRPr="007459FE">
        <w:rPr>
          <w:sz w:val="24"/>
          <w:szCs w:val="24"/>
          <w:lang w:val="sr-Latn-ME"/>
        </w:rPr>
        <w:t>ć</w:t>
      </w:r>
      <w:r w:rsidR="00D72CC7" w:rsidRPr="007459FE">
        <w:rPr>
          <w:sz w:val="24"/>
          <w:szCs w:val="24"/>
          <w:lang w:val="pl-PL"/>
        </w:rPr>
        <w:t>anje</w:t>
      </w:r>
      <w:r w:rsidR="00D72CC7" w:rsidRPr="007459FE">
        <w:rPr>
          <w:sz w:val="24"/>
          <w:szCs w:val="24"/>
          <w:lang w:val="sr-Latn-ME"/>
        </w:rPr>
        <w:t xml:space="preserve"> </w:t>
      </w:r>
      <w:r w:rsidR="00D72CC7" w:rsidRPr="007459FE">
        <w:rPr>
          <w:sz w:val="24"/>
          <w:szCs w:val="24"/>
          <w:lang w:val="pl-PL"/>
        </w:rPr>
        <w:t>efikasnosti</w:t>
      </w:r>
      <w:r w:rsidR="00D72CC7" w:rsidRPr="007459FE">
        <w:rPr>
          <w:sz w:val="24"/>
          <w:szCs w:val="24"/>
          <w:lang w:val="sr-Latn-ME"/>
        </w:rPr>
        <w:t xml:space="preserve"> </w:t>
      </w:r>
      <w:r w:rsidR="00D72CC7" w:rsidRPr="007459FE">
        <w:rPr>
          <w:sz w:val="24"/>
          <w:szCs w:val="24"/>
          <w:lang w:val="pl-PL"/>
        </w:rPr>
        <w:t>inspekcija</w:t>
      </w:r>
      <w:r w:rsidR="00D72CC7" w:rsidRPr="007459FE">
        <w:rPr>
          <w:sz w:val="24"/>
          <w:szCs w:val="24"/>
          <w:lang w:val="sr-Latn-ME"/>
        </w:rPr>
        <w:t xml:space="preserve"> </w:t>
      </w:r>
      <w:r w:rsidR="00D72CC7" w:rsidRPr="007459FE">
        <w:rPr>
          <w:sz w:val="24"/>
          <w:szCs w:val="24"/>
          <w:lang w:val="pl-PL"/>
        </w:rPr>
        <w:t>i</w:t>
      </w:r>
      <w:r w:rsidR="00D72CC7" w:rsidRPr="007459FE">
        <w:rPr>
          <w:sz w:val="24"/>
          <w:szCs w:val="24"/>
          <w:lang w:val="sr-Latn-ME"/>
        </w:rPr>
        <w:t xml:space="preserve"> </w:t>
      </w:r>
      <w:r w:rsidR="00D72CC7" w:rsidRPr="007459FE">
        <w:rPr>
          <w:sz w:val="24"/>
          <w:szCs w:val="24"/>
          <w:lang w:val="pl-PL"/>
        </w:rPr>
        <w:t>prekr</w:t>
      </w:r>
      <w:r w:rsidR="00D72CC7" w:rsidRPr="007459FE">
        <w:rPr>
          <w:sz w:val="24"/>
          <w:szCs w:val="24"/>
          <w:lang w:val="sr-Latn-ME"/>
        </w:rPr>
        <w:t>š</w:t>
      </w:r>
      <w:r w:rsidR="00D72CC7" w:rsidRPr="007459FE">
        <w:rPr>
          <w:sz w:val="24"/>
          <w:szCs w:val="24"/>
          <w:lang w:val="pl-PL"/>
        </w:rPr>
        <w:t>ajnih</w:t>
      </w:r>
      <w:r w:rsidR="00D72CC7" w:rsidRPr="007459FE">
        <w:rPr>
          <w:sz w:val="24"/>
          <w:szCs w:val="24"/>
          <w:lang w:val="sr-Latn-ME"/>
        </w:rPr>
        <w:t xml:space="preserve"> </w:t>
      </w:r>
      <w:r w:rsidR="00D72CC7" w:rsidRPr="007459FE">
        <w:rPr>
          <w:sz w:val="24"/>
          <w:szCs w:val="24"/>
          <w:lang w:val="pl-PL"/>
        </w:rPr>
        <w:t>sudova</w:t>
      </w:r>
      <w:r w:rsidR="00D72CC7" w:rsidRPr="007459FE">
        <w:rPr>
          <w:sz w:val="24"/>
          <w:szCs w:val="24"/>
          <w:lang w:val="sr-Latn-ME"/>
        </w:rPr>
        <w:t xml:space="preserve"> </w:t>
      </w:r>
      <w:r w:rsidR="00D72CC7" w:rsidRPr="007459FE">
        <w:rPr>
          <w:sz w:val="24"/>
          <w:szCs w:val="24"/>
          <w:lang w:val="pl-PL"/>
        </w:rPr>
        <w:t>u</w:t>
      </w:r>
      <w:r w:rsidR="00D72CC7" w:rsidRPr="007459FE">
        <w:rPr>
          <w:sz w:val="24"/>
          <w:szCs w:val="24"/>
          <w:lang w:val="sr-Latn-ME"/>
        </w:rPr>
        <w:t xml:space="preserve"> </w:t>
      </w:r>
      <w:r w:rsidR="00D72CC7" w:rsidRPr="007459FE">
        <w:rPr>
          <w:sz w:val="24"/>
          <w:szCs w:val="24"/>
          <w:lang w:val="pl-PL"/>
        </w:rPr>
        <w:t>borbi</w:t>
      </w:r>
      <w:r w:rsidR="00D72CC7" w:rsidRPr="007459FE">
        <w:rPr>
          <w:sz w:val="24"/>
          <w:szCs w:val="24"/>
          <w:lang w:val="sr-Latn-ME"/>
        </w:rPr>
        <w:t xml:space="preserve"> </w:t>
      </w:r>
      <w:r w:rsidR="00D72CC7" w:rsidRPr="007459FE">
        <w:rPr>
          <w:sz w:val="24"/>
          <w:szCs w:val="24"/>
          <w:lang w:val="pl-PL"/>
        </w:rPr>
        <w:t>protiv</w:t>
      </w:r>
      <w:r w:rsidR="00D72CC7" w:rsidRPr="007459FE">
        <w:rPr>
          <w:sz w:val="24"/>
          <w:szCs w:val="24"/>
          <w:lang w:val="sr-Latn-ME"/>
        </w:rPr>
        <w:t xml:space="preserve"> </w:t>
      </w:r>
      <w:r w:rsidR="00D72CC7" w:rsidRPr="007459FE">
        <w:rPr>
          <w:sz w:val="24"/>
          <w:szCs w:val="24"/>
          <w:lang w:val="pl-PL"/>
        </w:rPr>
        <w:t>neformalne</w:t>
      </w:r>
      <w:r w:rsidR="00D72CC7" w:rsidRPr="007459FE">
        <w:rPr>
          <w:sz w:val="24"/>
          <w:szCs w:val="24"/>
          <w:lang w:val="sr-Latn-ME"/>
        </w:rPr>
        <w:t xml:space="preserve"> </w:t>
      </w:r>
      <w:r w:rsidR="00D72CC7" w:rsidRPr="007459FE">
        <w:rPr>
          <w:sz w:val="24"/>
          <w:szCs w:val="24"/>
          <w:lang w:val="pl-PL"/>
        </w:rPr>
        <w:t>ekonomije</w:t>
      </w:r>
      <w:r w:rsidR="00D72CC7" w:rsidRPr="007459FE">
        <w:rPr>
          <w:sz w:val="24"/>
          <w:szCs w:val="24"/>
          <w:lang w:val="sr-Latn-ME"/>
        </w:rPr>
        <w:t xml:space="preserve">. </w:t>
      </w:r>
      <w:proofErr w:type="spellStart"/>
      <w:r w:rsidR="00D72CC7" w:rsidRPr="00B351C7">
        <w:rPr>
          <w:sz w:val="24"/>
          <w:szCs w:val="24"/>
        </w:rPr>
        <w:t>Istovremeno</w:t>
      </w:r>
      <w:proofErr w:type="spellEnd"/>
      <w:r w:rsidR="00D72CC7" w:rsidRPr="007459FE">
        <w:rPr>
          <w:sz w:val="24"/>
          <w:szCs w:val="24"/>
          <w:lang w:val="sr-Latn-ME"/>
        </w:rPr>
        <w:t xml:space="preserve">, </w:t>
      </w:r>
      <w:proofErr w:type="spellStart"/>
      <w:r w:rsidR="00D72CC7" w:rsidRPr="00B351C7">
        <w:rPr>
          <w:sz w:val="24"/>
          <w:szCs w:val="24"/>
        </w:rPr>
        <w:t>va</w:t>
      </w:r>
      <w:proofErr w:type="spellEnd"/>
      <w:r w:rsidR="00D72CC7" w:rsidRPr="007459FE">
        <w:rPr>
          <w:sz w:val="24"/>
          <w:szCs w:val="24"/>
          <w:lang w:val="sr-Latn-ME"/>
        </w:rPr>
        <w:t>ž</w:t>
      </w:r>
      <w:r w:rsidR="00D72CC7" w:rsidRPr="00B351C7">
        <w:rPr>
          <w:sz w:val="24"/>
          <w:szCs w:val="24"/>
        </w:rPr>
        <w:t>no</w:t>
      </w:r>
      <w:r w:rsidR="00D72CC7" w:rsidRPr="007459FE">
        <w:rPr>
          <w:sz w:val="24"/>
          <w:szCs w:val="24"/>
          <w:lang w:val="sr-Latn-ME"/>
        </w:rPr>
        <w:t xml:space="preserve"> </w:t>
      </w:r>
      <w:r w:rsidR="00D72CC7" w:rsidRPr="00B351C7">
        <w:rPr>
          <w:sz w:val="24"/>
          <w:szCs w:val="24"/>
        </w:rPr>
        <w:t>je</w:t>
      </w:r>
      <w:r w:rsidR="00D72CC7" w:rsidRPr="007459FE">
        <w:rPr>
          <w:sz w:val="24"/>
          <w:szCs w:val="24"/>
          <w:lang w:val="sr-Latn-ME"/>
        </w:rPr>
        <w:t xml:space="preserve"> </w:t>
      </w:r>
      <w:proofErr w:type="spellStart"/>
      <w:r w:rsidR="00D72CC7" w:rsidRPr="00B351C7">
        <w:rPr>
          <w:sz w:val="24"/>
          <w:szCs w:val="24"/>
        </w:rPr>
        <w:t>obezbje</w:t>
      </w:r>
      <w:proofErr w:type="spellEnd"/>
      <w:r w:rsidR="00D72CC7" w:rsidRPr="007459FE">
        <w:rPr>
          <w:sz w:val="24"/>
          <w:szCs w:val="24"/>
          <w:lang w:val="sr-Latn-ME"/>
        </w:rPr>
        <w:t>đ</w:t>
      </w:r>
      <w:proofErr w:type="spellStart"/>
      <w:r w:rsidR="00D72CC7" w:rsidRPr="00B351C7">
        <w:rPr>
          <w:sz w:val="24"/>
          <w:szCs w:val="24"/>
        </w:rPr>
        <w:t>enje</w:t>
      </w:r>
      <w:proofErr w:type="spellEnd"/>
      <w:r w:rsidR="00D72CC7" w:rsidRPr="007459FE">
        <w:rPr>
          <w:sz w:val="24"/>
          <w:szCs w:val="24"/>
          <w:lang w:val="sr-Latn-ME"/>
        </w:rPr>
        <w:t xml:space="preserve"> </w:t>
      </w:r>
      <w:proofErr w:type="spellStart"/>
      <w:r w:rsidR="00D72CC7" w:rsidRPr="00B351C7">
        <w:rPr>
          <w:sz w:val="24"/>
          <w:szCs w:val="24"/>
        </w:rPr>
        <w:t>i</w:t>
      </w:r>
      <w:proofErr w:type="spellEnd"/>
      <w:r w:rsidR="00D72CC7" w:rsidRPr="007459FE">
        <w:rPr>
          <w:sz w:val="24"/>
          <w:szCs w:val="24"/>
          <w:lang w:val="sr-Latn-ME"/>
        </w:rPr>
        <w:t xml:space="preserve"> </w:t>
      </w:r>
      <w:proofErr w:type="spellStart"/>
      <w:r w:rsidR="00D72CC7" w:rsidRPr="00B351C7">
        <w:rPr>
          <w:sz w:val="24"/>
          <w:szCs w:val="24"/>
        </w:rPr>
        <w:t>podr</w:t>
      </w:r>
      <w:proofErr w:type="spellEnd"/>
      <w:r w:rsidR="00D72CC7" w:rsidRPr="007459FE">
        <w:rPr>
          <w:sz w:val="24"/>
          <w:szCs w:val="24"/>
          <w:lang w:val="sr-Latn-ME"/>
        </w:rPr>
        <w:t>š</w:t>
      </w:r>
      <w:proofErr w:type="spellStart"/>
      <w:r w:rsidR="00D72CC7" w:rsidRPr="00B351C7">
        <w:rPr>
          <w:sz w:val="24"/>
          <w:szCs w:val="24"/>
        </w:rPr>
        <w:t>ke</w:t>
      </w:r>
      <w:proofErr w:type="spellEnd"/>
      <w:r w:rsidR="00D72CC7" w:rsidRPr="007459FE">
        <w:rPr>
          <w:sz w:val="24"/>
          <w:szCs w:val="24"/>
          <w:lang w:val="sr-Latn-ME"/>
        </w:rPr>
        <w:t xml:space="preserve"> </w:t>
      </w:r>
      <w:proofErr w:type="spellStart"/>
      <w:r w:rsidR="00D72CC7" w:rsidRPr="00B351C7">
        <w:rPr>
          <w:sz w:val="24"/>
          <w:szCs w:val="24"/>
        </w:rPr>
        <w:t>procesu</w:t>
      </w:r>
      <w:proofErr w:type="spellEnd"/>
      <w:r w:rsidR="00D72CC7" w:rsidRPr="007459FE">
        <w:rPr>
          <w:sz w:val="24"/>
          <w:szCs w:val="24"/>
          <w:lang w:val="sr-Latn-ME"/>
        </w:rPr>
        <w:t xml:space="preserve"> </w:t>
      </w:r>
      <w:proofErr w:type="spellStart"/>
      <w:r w:rsidR="00D72CC7" w:rsidRPr="00B351C7">
        <w:rPr>
          <w:sz w:val="24"/>
          <w:szCs w:val="24"/>
        </w:rPr>
        <w:t>sa</w:t>
      </w:r>
      <w:proofErr w:type="spellEnd"/>
      <w:r w:rsidR="00D72CC7" w:rsidRPr="007459FE">
        <w:rPr>
          <w:sz w:val="24"/>
          <w:szCs w:val="24"/>
          <w:lang w:val="sr-Latn-ME"/>
        </w:rPr>
        <w:t xml:space="preserve"> </w:t>
      </w:r>
      <w:proofErr w:type="spellStart"/>
      <w:r w:rsidR="00D72CC7" w:rsidRPr="00B351C7">
        <w:rPr>
          <w:sz w:val="24"/>
          <w:szCs w:val="24"/>
        </w:rPr>
        <w:t>nivoa</w:t>
      </w:r>
      <w:proofErr w:type="spellEnd"/>
      <w:r w:rsidR="00D72CC7" w:rsidRPr="007459FE">
        <w:rPr>
          <w:sz w:val="24"/>
          <w:szCs w:val="24"/>
          <w:lang w:val="sr-Latn-ME"/>
        </w:rPr>
        <w:t xml:space="preserve"> </w:t>
      </w:r>
      <w:proofErr w:type="spellStart"/>
      <w:r w:rsidR="00D72CC7" w:rsidRPr="00B351C7">
        <w:rPr>
          <w:sz w:val="24"/>
          <w:szCs w:val="24"/>
        </w:rPr>
        <w:t>donosioca</w:t>
      </w:r>
      <w:proofErr w:type="spellEnd"/>
      <w:r w:rsidR="00D72CC7" w:rsidRPr="007459FE">
        <w:rPr>
          <w:sz w:val="24"/>
          <w:szCs w:val="24"/>
          <w:lang w:val="sr-Latn-ME"/>
        </w:rPr>
        <w:t xml:space="preserve"> </w:t>
      </w:r>
      <w:proofErr w:type="spellStart"/>
      <w:r w:rsidR="00D72CC7" w:rsidRPr="00B351C7">
        <w:rPr>
          <w:sz w:val="24"/>
          <w:szCs w:val="24"/>
        </w:rPr>
        <w:t>odluka</w:t>
      </w:r>
      <w:proofErr w:type="spellEnd"/>
      <w:r w:rsidR="00D72CC7" w:rsidRPr="007459FE">
        <w:rPr>
          <w:sz w:val="24"/>
          <w:szCs w:val="24"/>
          <w:lang w:val="sr-Latn-ME"/>
        </w:rPr>
        <w:t xml:space="preserve"> </w:t>
      </w:r>
      <w:proofErr w:type="spellStart"/>
      <w:r w:rsidR="00D72CC7" w:rsidRPr="00B351C7">
        <w:rPr>
          <w:sz w:val="24"/>
          <w:szCs w:val="24"/>
        </w:rPr>
        <w:t>i</w:t>
      </w:r>
      <w:proofErr w:type="spellEnd"/>
      <w:r w:rsidR="00D72CC7" w:rsidRPr="007459FE">
        <w:rPr>
          <w:sz w:val="24"/>
          <w:szCs w:val="24"/>
          <w:lang w:val="sr-Latn-ME"/>
        </w:rPr>
        <w:t xml:space="preserve"> </w:t>
      </w:r>
      <w:r w:rsidR="00D72CC7" w:rsidRPr="00B351C7">
        <w:rPr>
          <w:sz w:val="24"/>
          <w:szCs w:val="24"/>
        </w:rPr>
        <w:t>u</w:t>
      </w:r>
      <w:r w:rsidR="00D72CC7" w:rsidRPr="007459FE">
        <w:rPr>
          <w:sz w:val="24"/>
          <w:szCs w:val="24"/>
          <w:lang w:val="sr-Latn-ME"/>
        </w:rPr>
        <w:t xml:space="preserve"> </w:t>
      </w:r>
      <w:r w:rsidR="00D72CC7" w:rsidRPr="00B351C7">
        <w:rPr>
          <w:sz w:val="24"/>
          <w:szCs w:val="24"/>
        </w:rPr>
        <w:t>tom</w:t>
      </w:r>
      <w:r w:rsidR="00D72CC7" w:rsidRPr="007459FE">
        <w:rPr>
          <w:sz w:val="24"/>
          <w:szCs w:val="24"/>
          <w:lang w:val="sr-Latn-ME"/>
        </w:rPr>
        <w:t xml:space="preserve"> </w:t>
      </w:r>
      <w:proofErr w:type="spellStart"/>
      <w:r w:rsidR="00D72CC7" w:rsidRPr="00B351C7">
        <w:rPr>
          <w:sz w:val="24"/>
          <w:szCs w:val="24"/>
        </w:rPr>
        <w:t>kontekstu</w:t>
      </w:r>
      <w:proofErr w:type="spellEnd"/>
      <w:r w:rsidR="00D72CC7" w:rsidRPr="007459FE">
        <w:rPr>
          <w:sz w:val="24"/>
          <w:szCs w:val="24"/>
          <w:lang w:val="sr-Latn-ME"/>
        </w:rPr>
        <w:t xml:space="preserve"> </w:t>
      </w:r>
      <w:proofErr w:type="spellStart"/>
      <w:r w:rsidR="00D72CC7" w:rsidRPr="00B351C7">
        <w:rPr>
          <w:sz w:val="24"/>
          <w:szCs w:val="24"/>
        </w:rPr>
        <w:t>formiranje</w:t>
      </w:r>
      <w:proofErr w:type="spellEnd"/>
      <w:r w:rsidR="00D72CC7" w:rsidRPr="007459FE">
        <w:rPr>
          <w:sz w:val="24"/>
          <w:szCs w:val="24"/>
          <w:lang w:val="sr-Latn-ME"/>
        </w:rPr>
        <w:t xml:space="preserve"> </w:t>
      </w:r>
      <w:proofErr w:type="spellStart"/>
      <w:r w:rsidR="00D72CC7" w:rsidRPr="00B351C7">
        <w:rPr>
          <w:sz w:val="24"/>
          <w:szCs w:val="24"/>
        </w:rPr>
        <w:t>Kom</w:t>
      </w:r>
      <w:r w:rsidR="00BC6A0F">
        <w:rPr>
          <w:sz w:val="24"/>
          <w:szCs w:val="24"/>
        </w:rPr>
        <w:t>i</w:t>
      </w:r>
      <w:r w:rsidR="00D72CC7" w:rsidRPr="00B351C7">
        <w:rPr>
          <w:sz w:val="24"/>
          <w:szCs w:val="24"/>
        </w:rPr>
        <w:t>sije</w:t>
      </w:r>
      <w:proofErr w:type="spellEnd"/>
      <w:r w:rsidR="00D72CC7" w:rsidRPr="007459FE">
        <w:rPr>
          <w:sz w:val="24"/>
          <w:szCs w:val="24"/>
          <w:lang w:val="sr-Latn-ME"/>
        </w:rPr>
        <w:t xml:space="preserve"> </w:t>
      </w:r>
      <w:r w:rsidR="00D72CC7" w:rsidRPr="00B351C7">
        <w:rPr>
          <w:sz w:val="24"/>
          <w:szCs w:val="24"/>
        </w:rPr>
        <w:t>za</w:t>
      </w:r>
      <w:r w:rsidR="00D72CC7" w:rsidRPr="007459FE">
        <w:rPr>
          <w:sz w:val="24"/>
          <w:szCs w:val="24"/>
          <w:lang w:val="sr-Latn-ME"/>
        </w:rPr>
        <w:t xml:space="preserve"> </w:t>
      </w:r>
      <w:proofErr w:type="spellStart"/>
      <w:r w:rsidR="00D72CC7" w:rsidRPr="00B351C7">
        <w:rPr>
          <w:sz w:val="24"/>
          <w:szCs w:val="24"/>
        </w:rPr>
        <w:t>suzbijanje</w:t>
      </w:r>
      <w:proofErr w:type="spellEnd"/>
      <w:r w:rsidR="00D72CC7" w:rsidRPr="007459FE">
        <w:rPr>
          <w:sz w:val="24"/>
          <w:szCs w:val="24"/>
          <w:lang w:val="sr-Latn-ME"/>
        </w:rPr>
        <w:t xml:space="preserve"> </w:t>
      </w:r>
      <w:proofErr w:type="spellStart"/>
      <w:r w:rsidR="00D72CC7" w:rsidRPr="00B351C7">
        <w:rPr>
          <w:sz w:val="24"/>
          <w:szCs w:val="24"/>
        </w:rPr>
        <w:t>neformalne</w:t>
      </w:r>
      <w:proofErr w:type="spellEnd"/>
      <w:r w:rsidR="00D72CC7" w:rsidRPr="007459FE">
        <w:rPr>
          <w:sz w:val="24"/>
          <w:szCs w:val="24"/>
          <w:lang w:val="sr-Latn-ME"/>
        </w:rPr>
        <w:t xml:space="preserve"> </w:t>
      </w:r>
      <w:proofErr w:type="spellStart"/>
      <w:r w:rsidR="00D72CC7" w:rsidRPr="00B351C7">
        <w:rPr>
          <w:sz w:val="24"/>
          <w:szCs w:val="24"/>
        </w:rPr>
        <w:t>ekonomije</w:t>
      </w:r>
      <w:proofErr w:type="spellEnd"/>
      <w:r w:rsidR="00D72CC7" w:rsidRPr="007459FE">
        <w:rPr>
          <w:sz w:val="24"/>
          <w:szCs w:val="24"/>
          <w:lang w:val="sr-Latn-ME"/>
        </w:rPr>
        <w:t xml:space="preserve"> </w:t>
      </w:r>
      <w:proofErr w:type="spellStart"/>
      <w:r w:rsidR="00D72CC7" w:rsidRPr="00B351C7">
        <w:rPr>
          <w:sz w:val="24"/>
          <w:szCs w:val="24"/>
        </w:rPr>
        <w:t>kao</w:t>
      </w:r>
      <w:proofErr w:type="spellEnd"/>
      <w:r w:rsidR="00D72CC7" w:rsidRPr="007459FE">
        <w:rPr>
          <w:sz w:val="24"/>
          <w:szCs w:val="24"/>
          <w:lang w:val="sr-Latn-ME"/>
        </w:rPr>
        <w:t xml:space="preserve"> </w:t>
      </w:r>
      <w:proofErr w:type="spellStart"/>
      <w:r w:rsidR="00D72CC7" w:rsidRPr="00B351C7">
        <w:rPr>
          <w:sz w:val="24"/>
          <w:szCs w:val="24"/>
        </w:rPr>
        <w:t>Vladinog</w:t>
      </w:r>
      <w:proofErr w:type="spellEnd"/>
      <w:r w:rsidR="00D72CC7" w:rsidRPr="007459FE">
        <w:rPr>
          <w:sz w:val="24"/>
          <w:szCs w:val="24"/>
          <w:lang w:val="sr-Latn-ME"/>
        </w:rPr>
        <w:t xml:space="preserve"> </w:t>
      </w:r>
      <w:proofErr w:type="spellStart"/>
      <w:r w:rsidR="00D72CC7" w:rsidRPr="00B351C7">
        <w:rPr>
          <w:sz w:val="24"/>
          <w:szCs w:val="24"/>
        </w:rPr>
        <w:t>krovnog</w:t>
      </w:r>
      <w:proofErr w:type="spellEnd"/>
      <w:r w:rsidR="00D72CC7" w:rsidRPr="007459FE">
        <w:rPr>
          <w:sz w:val="24"/>
          <w:szCs w:val="24"/>
          <w:lang w:val="sr-Latn-ME"/>
        </w:rPr>
        <w:t xml:space="preserve"> </w:t>
      </w:r>
      <w:proofErr w:type="spellStart"/>
      <w:r w:rsidR="00D72CC7" w:rsidRPr="00B351C7">
        <w:rPr>
          <w:sz w:val="24"/>
          <w:szCs w:val="24"/>
        </w:rPr>
        <w:t>tijela</w:t>
      </w:r>
      <w:proofErr w:type="spellEnd"/>
      <w:r w:rsidR="00D72CC7" w:rsidRPr="007459FE">
        <w:rPr>
          <w:sz w:val="24"/>
          <w:szCs w:val="24"/>
          <w:lang w:val="sr-Latn-ME"/>
        </w:rPr>
        <w:t xml:space="preserve">, </w:t>
      </w:r>
      <w:proofErr w:type="spellStart"/>
      <w:r w:rsidR="00D72CC7" w:rsidRPr="00B351C7">
        <w:rPr>
          <w:sz w:val="24"/>
          <w:szCs w:val="24"/>
        </w:rPr>
        <w:t>koje</w:t>
      </w:r>
      <w:proofErr w:type="spellEnd"/>
      <w:r w:rsidR="00D72CC7" w:rsidRPr="007459FE">
        <w:rPr>
          <w:sz w:val="24"/>
          <w:szCs w:val="24"/>
          <w:lang w:val="sr-Latn-ME"/>
        </w:rPr>
        <w:t xml:space="preserve"> ć</w:t>
      </w:r>
      <w:r w:rsidR="00D72CC7" w:rsidRPr="00B351C7">
        <w:rPr>
          <w:sz w:val="24"/>
          <w:szCs w:val="24"/>
        </w:rPr>
        <w:t>e</w:t>
      </w:r>
      <w:r w:rsidR="00D72CC7" w:rsidRPr="007459FE">
        <w:rPr>
          <w:sz w:val="24"/>
          <w:szCs w:val="24"/>
          <w:lang w:val="sr-Latn-ME"/>
        </w:rPr>
        <w:t xml:space="preserve"> </w:t>
      </w:r>
      <w:proofErr w:type="spellStart"/>
      <w:r w:rsidR="00D72CC7" w:rsidRPr="00B351C7">
        <w:rPr>
          <w:sz w:val="24"/>
          <w:szCs w:val="24"/>
        </w:rPr>
        <w:t>biti</w:t>
      </w:r>
      <w:proofErr w:type="spellEnd"/>
      <w:r w:rsidR="00D72CC7" w:rsidRPr="007459FE">
        <w:rPr>
          <w:sz w:val="24"/>
          <w:szCs w:val="24"/>
          <w:lang w:val="sr-Latn-ME"/>
        </w:rPr>
        <w:t xml:space="preserve"> </w:t>
      </w:r>
      <w:proofErr w:type="spellStart"/>
      <w:r w:rsidR="00D72CC7" w:rsidRPr="00B351C7">
        <w:rPr>
          <w:sz w:val="24"/>
          <w:szCs w:val="24"/>
        </w:rPr>
        <w:t>odgovorno</w:t>
      </w:r>
      <w:proofErr w:type="spellEnd"/>
      <w:r w:rsidR="00D72CC7" w:rsidRPr="007459FE">
        <w:rPr>
          <w:sz w:val="24"/>
          <w:szCs w:val="24"/>
          <w:lang w:val="sr-Latn-ME"/>
        </w:rPr>
        <w:t xml:space="preserve"> </w:t>
      </w:r>
      <w:r w:rsidR="00D72CC7" w:rsidRPr="00B351C7">
        <w:rPr>
          <w:sz w:val="24"/>
          <w:szCs w:val="24"/>
        </w:rPr>
        <w:t>za</w:t>
      </w:r>
      <w:r w:rsidR="00D72CC7" w:rsidRPr="007459FE">
        <w:rPr>
          <w:sz w:val="24"/>
          <w:szCs w:val="24"/>
          <w:lang w:val="sr-Latn-ME"/>
        </w:rPr>
        <w:t xml:space="preserve"> </w:t>
      </w:r>
      <w:proofErr w:type="spellStart"/>
      <w:r w:rsidR="00D72CC7" w:rsidRPr="00B351C7">
        <w:rPr>
          <w:sz w:val="24"/>
          <w:szCs w:val="24"/>
        </w:rPr>
        <w:t>koordinaciju</w:t>
      </w:r>
      <w:proofErr w:type="spellEnd"/>
      <w:r w:rsidR="00D72CC7" w:rsidRPr="007459FE">
        <w:rPr>
          <w:sz w:val="24"/>
          <w:szCs w:val="24"/>
          <w:lang w:val="sr-Latn-ME"/>
        </w:rPr>
        <w:t xml:space="preserve"> </w:t>
      </w:r>
      <w:proofErr w:type="spellStart"/>
      <w:r w:rsidR="00D72CC7" w:rsidRPr="00B351C7">
        <w:rPr>
          <w:sz w:val="24"/>
          <w:szCs w:val="24"/>
        </w:rPr>
        <w:t>procesa</w:t>
      </w:r>
      <w:proofErr w:type="spellEnd"/>
      <w:r w:rsidR="00D72CC7" w:rsidRPr="007459FE">
        <w:rPr>
          <w:sz w:val="24"/>
          <w:szCs w:val="24"/>
          <w:lang w:val="sr-Latn-ME"/>
        </w:rPr>
        <w:t xml:space="preserve"> </w:t>
      </w:r>
      <w:proofErr w:type="spellStart"/>
      <w:r w:rsidR="00D72CC7" w:rsidRPr="00B351C7">
        <w:rPr>
          <w:sz w:val="24"/>
          <w:szCs w:val="24"/>
        </w:rPr>
        <w:t>i</w:t>
      </w:r>
      <w:proofErr w:type="spellEnd"/>
      <w:r w:rsidR="00D72CC7" w:rsidRPr="007459FE">
        <w:rPr>
          <w:sz w:val="24"/>
          <w:szCs w:val="24"/>
          <w:lang w:val="sr-Latn-ME"/>
        </w:rPr>
        <w:t xml:space="preserve"> </w:t>
      </w:r>
      <w:proofErr w:type="spellStart"/>
      <w:r w:rsidR="00D72CC7" w:rsidRPr="00B351C7">
        <w:rPr>
          <w:sz w:val="24"/>
          <w:szCs w:val="24"/>
        </w:rPr>
        <w:t>implementaciju</w:t>
      </w:r>
      <w:proofErr w:type="spellEnd"/>
      <w:r w:rsidR="00D72CC7" w:rsidRPr="007459FE">
        <w:rPr>
          <w:sz w:val="24"/>
          <w:szCs w:val="24"/>
          <w:lang w:val="sr-Latn-ME"/>
        </w:rPr>
        <w:t xml:space="preserve"> </w:t>
      </w:r>
      <w:proofErr w:type="spellStart"/>
      <w:r w:rsidR="00D72CC7" w:rsidRPr="00B351C7">
        <w:rPr>
          <w:sz w:val="24"/>
          <w:szCs w:val="24"/>
        </w:rPr>
        <w:t>ovog</w:t>
      </w:r>
      <w:proofErr w:type="spellEnd"/>
      <w:r w:rsidR="00D72CC7" w:rsidRPr="007459FE">
        <w:rPr>
          <w:sz w:val="24"/>
          <w:szCs w:val="24"/>
          <w:lang w:val="sr-Latn-ME"/>
        </w:rPr>
        <w:t xml:space="preserve"> </w:t>
      </w:r>
      <w:proofErr w:type="spellStart"/>
      <w:r w:rsidR="00460990">
        <w:rPr>
          <w:sz w:val="24"/>
          <w:szCs w:val="24"/>
        </w:rPr>
        <w:t>p</w:t>
      </w:r>
      <w:r w:rsidR="00D72CC7" w:rsidRPr="00B351C7">
        <w:rPr>
          <w:sz w:val="24"/>
          <w:szCs w:val="24"/>
        </w:rPr>
        <w:t>rograma</w:t>
      </w:r>
      <w:proofErr w:type="spellEnd"/>
      <w:r w:rsidR="00D72CC7" w:rsidRPr="007459FE">
        <w:rPr>
          <w:sz w:val="24"/>
          <w:szCs w:val="24"/>
          <w:lang w:val="sr-Latn-ME"/>
        </w:rPr>
        <w:t xml:space="preserve"> </w:t>
      </w:r>
      <w:proofErr w:type="spellStart"/>
      <w:r w:rsidR="00D72CC7" w:rsidRPr="00B351C7">
        <w:rPr>
          <w:sz w:val="24"/>
          <w:szCs w:val="24"/>
        </w:rPr>
        <w:t>i</w:t>
      </w:r>
      <w:proofErr w:type="spellEnd"/>
      <w:r w:rsidR="00D72CC7" w:rsidRPr="007459FE">
        <w:rPr>
          <w:sz w:val="24"/>
          <w:szCs w:val="24"/>
          <w:lang w:val="sr-Latn-ME"/>
        </w:rPr>
        <w:t xml:space="preserve"> </w:t>
      </w:r>
      <w:proofErr w:type="spellStart"/>
      <w:r w:rsidR="00D72CC7" w:rsidRPr="00B351C7">
        <w:rPr>
          <w:sz w:val="24"/>
          <w:szCs w:val="24"/>
        </w:rPr>
        <w:t>Akcionog</w:t>
      </w:r>
      <w:proofErr w:type="spellEnd"/>
      <w:r w:rsidR="00D72CC7" w:rsidRPr="007459FE">
        <w:rPr>
          <w:sz w:val="24"/>
          <w:szCs w:val="24"/>
          <w:lang w:val="sr-Latn-ME"/>
        </w:rPr>
        <w:t xml:space="preserve"> </w:t>
      </w:r>
      <w:r w:rsidR="00D72CC7" w:rsidRPr="00B351C7">
        <w:rPr>
          <w:sz w:val="24"/>
          <w:szCs w:val="24"/>
        </w:rPr>
        <w:t>plana</w:t>
      </w:r>
      <w:r w:rsidR="00D72CC7" w:rsidRPr="007459FE">
        <w:rPr>
          <w:sz w:val="24"/>
          <w:szCs w:val="24"/>
          <w:lang w:val="sr-Latn-ME"/>
        </w:rPr>
        <w:t xml:space="preserve">. </w:t>
      </w:r>
      <w:r w:rsidR="00D72CC7" w:rsidRPr="007459FE">
        <w:rPr>
          <w:sz w:val="24"/>
          <w:szCs w:val="24"/>
          <w:lang w:val="pl-PL"/>
        </w:rPr>
        <w:t>Ovo tijelo treba da ima i profesionalni sekretarijat</w:t>
      </w:r>
      <w:r w:rsidR="00BC6A0F" w:rsidRPr="007459FE">
        <w:rPr>
          <w:sz w:val="24"/>
          <w:szCs w:val="24"/>
          <w:lang w:val="pl-PL"/>
        </w:rPr>
        <w:t xml:space="preserve"> </w:t>
      </w:r>
      <w:r w:rsidR="00FB504F" w:rsidRPr="007459FE">
        <w:rPr>
          <w:sz w:val="24"/>
          <w:szCs w:val="24"/>
          <w:lang w:val="pl-PL"/>
        </w:rPr>
        <w:t>u</w:t>
      </w:r>
      <w:r w:rsidR="00BC6A0F" w:rsidRPr="007459FE">
        <w:rPr>
          <w:sz w:val="24"/>
          <w:szCs w:val="24"/>
          <w:lang w:val="pl-PL"/>
        </w:rPr>
        <w:t xml:space="preserve"> </w:t>
      </w:r>
      <w:r w:rsidR="00460990" w:rsidRPr="007459FE">
        <w:rPr>
          <w:sz w:val="24"/>
          <w:szCs w:val="24"/>
          <w:lang w:val="pl-PL"/>
        </w:rPr>
        <w:t>M</w:t>
      </w:r>
      <w:r w:rsidR="00BC6A0F" w:rsidRPr="007459FE">
        <w:rPr>
          <w:sz w:val="24"/>
          <w:szCs w:val="24"/>
          <w:lang w:val="pl-PL"/>
        </w:rPr>
        <w:t>inistarstvu finansija-Direktoratu z</w:t>
      </w:r>
      <w:r w:rsidR="00FB504F" w:rsidRPr="007459FE">
        <w:rPr>
          <w:sz w:val="24"/>
          <w:szCs w:val="24"/>
          <w:lang w:val="pl-PL"/>
        </w:rPr>
        <w:t>a ekonomsko-finansijski sistem</w:t>
      </w:r>
      <w:r w:rsidR="00BC6A0F" w:rsidRPr="007459FE">
        <w:rPr>
          <w:sz w:val="24"/>
          <w:szCs w:val="24"/>
          <w:lang w:val="pl-PL"/>
        </w:rPr>
        <w:t xml:space="preserve">, </w:t>
      </w:r>
      <w:r w:rsidR="00FB504F" w:rsidRPr="007459FE">
        <w:rPr>
          <w:sz w:val="24"/>
          <w:szCs w:val="24"/>
          <w:lang w:val="pl-PL"/>
        </w:rPr>
        <w:t xml:space="preserve">čije </w:t>
      </w:r>
      <w:r w:rsidR="00BC6A0F" w:rsidRPr="007459FE">
        <w:rPr>
          <w:sz w:val="24"/>
          <w:szCs w:val="24"/>
          <w:lang w:val="pl-PL"/>
        </w:rPr>
        <w:t xml:space="preserve">bi administrativne kapacitete trebalo dalje jačati u </w:t>
      </w:r>
      <w:r w:rsidR="00FB504F" w:rsidRPr="007459FE">
        <w:rPr>
          <w:sz w:val="24"/>
          <w:szCs w:val="24"/>
          <w:lang w:val="pl-PL"/>
        </w:rPr>
        <w:t xml:space="preserve">pravcu još veće podrške radu Komisije za suzbijanje sive ekonomije i punoj impelmentaciji ovog </w:t>
      </w:r>
      <w:r w:rsidR="00460990" w:rsidRPr="007459FE">
        <w:rPr>
          <w:sz w:val="24"/>
          <w:szCs w:val="24"/>
          <w:lang w:val="pl-PL"/>
        </w:rPr>
        <w:t>p</w:t>
      </w:r>
      <w:r w:rsidR="00FB504F" w:rsidRPr="007459FE">
        <w:rPr>
          <w:sz w:val="24"/>
          <w:szCs w:val="24"/>
          <w:lang w:val="pl-PL"/>
        </w:rPr>
        <w:t xml:space="preserve">rograma. Navedenom bi </w:t>
      </w:r>
      <w:r w:rsidR="00004245" w:rsidRPr="007459FE">
        <w:rPr>
          <w:sz w:val="24"/>
          <w:szCs w:val="24"/>
          <w:lang w:val="pl-PL"/>
        </w:rPr>
        <w:t>posebno t</w:t>
      </w:r>
      <w:r w:rsidR="00FB504F" w:rsidRPr="007459FE">
        <w:rPr>
          <w:sz w:val="24"/>
          <w:szCs w:val="24"/>
          <w:lang w:val="pl-PL"/>
        </w:rPr>
        <w:t xml:space="preserve">ebala doprinijeti </w:t>
      </w:r>
      <w:r w:rsidR="00004245" w:rsidRPr="007459FE">
        <w:rPr>
          <w:sz w:val="24"/>
          <w:szCs w:val="24"/>
          <w:lang w:val="pl-PL"/>
        </w:rPr>
        <w:t>i</w:t>
      </w:r>
      <w:r w:rsidR="00FB504F" w:rsidRPr="007459FE">
        <w:rPr>
          <w:sz w:val="24"/>
          <w:szCs w:val="24"/>
          <w:lang w:val="pl-PL"/>
        </w:rPr>
        <w:t xml:space="preserve"> saradnja sa EU u </w:t>
      </w:r>
      <w:r w:rsidR="00004245" w:rsidRPr="007459FE">
        <w:rPr>
          <w:sz w:val="24"/>
          <w:szCs w:val="24"/>
          <w:lang w:val="pl-PL"/>
        </w:rPr>
        <w:t>pr</w:t>
      </w:r>
      <w:r w:rsidR="00FB504F" w:rsidRPr="007459FE">
        <w:rPr>
          <w:sz w:val="24"/>
          <w:szCs w:val="24"/>
          <w:lang w:val="pl-PL"/>
        </w:rPr>
        <w:t>ocesu stabilizacije i pridruživanja.</w:t>
      </w:r>
    </w:p>
    <w:p w14:paraId="40EB3119" w14:textId="4FCBE37F" w:rsidR="00A85074" w:rsidRPr="007459FE" w:rsidRDefault="00D72CC7" w:rsidP="00A85074">
      <w:pPr>
        <w:jc w:val="both"/>
        <w:rPr>
          <w:sz w:val="24"/>
          <w:szCs w:val="24"/>
          <w:lang w:val="pl-PL"/>
        </w:rPr>
      </w:pPr>
      <w:r w:rsidRPr="007459FE">
        <w:rPr>
          <w:sz w:val="24"/>
          <w:szCs w:val="24"/>
          <w:lang w:val="pl-PL"/>
        </w:rPr>
        <w:t xml:space="preserve">Ostvarenje </w:t>
      </w:r>
      <w:r w:rsidR="007B2206" w:rsidRPr="007459FE">
        <w:rPr>
          <w:sz w:val="24"/>
          <w:szCs w:val="24"/>
          <w:lang w:val="pl-PL"/>
        </w:rPr>
        <w:t>OC4</w:t>
      </w:r>
      <w:r w:rsidRPr="007459FE">
        <w:rPr>
          <w:sz w:val="24"/>
          <w:szCs w:val="24"/>
          <w:lang w:val="pl-PL"/>
        </w:rPr>
        <w:t xml:space="preserve"> je dostižno kombinacijom stimulativnih i represivnih aktivnosti. Stimulativne aktivnosti će podrazumijevati unapređenje položaja inspektora kroz dodatne obuke, povećanje broja inspektora, kao i povećanje njihove zarade. Slično se odnosi i na prekršajne sudije.</w:t>
      </w:r>
      <w:r w:rsidR="00A85074" w:rsidRPr="007459FE">
        <w:rPr>
          <w:lang w:val="pl-PL"/>
          <w14:ligatures w14:val="none"/>
        </w:rPr>
        <w:t xml:space="preserve"> </w:t>
      </w:r>
      <w:r w:rsidR="00A85074" w:rsidRPr="007459FE">
        <w:rPr>
          <w:sz w:val="24"/>
          <w:szCs w:val="24"/>
          <w:lang w:val="pl-PL"/>
          <w14:ligatures w14:val="none"/>
        </w:rPr>
        <w:t>Takodje, u stimul</w:t>
      </w:r>
      <w:r w:rsidR="00352FF0" w:rsidRPr="007459FE">
        <w:rPr>
          <w:sz w:val="24"/>
          <w:szCs w:val="24"/>
          <w:lang w:val="pl-PL"/>
          <w14:ligatures w14:val="none"/>
        </w:rPr>
        <w:t>a</w:t>
      </w:r>
      <w:r w:rsidR="00A85074" w:rsidRPr="007459FE">
        <w:rPr>
          <w:sz w:val="24"/>
          <w:szCs w:val="24"/>
          <w:lang w:val="pl-PL"/>
          <w14:ligatures w14:val="none"/>
        </w:rPr>
        <w:t>tivne aktivnosti bi trebalo uvrstiti formiranje kontakt tačke</w:t>
      </w:r>
      <w:r w:rsidR="00A85074" w:rsidRPr="007459FE">
        <w:rPr>
          <w:sz w:val="24"/>
          <w:szCs w:val="24"/>
          <w:lang w:val="pl-PL"/>
        </w:rPr>
        <w:t>, odvojen</w:t>
      </w:r>
      <w:r w:rsidR="006F03C5" w:rsidRPr="007459FE">
        <w:rPr>
          <w:sz w:val="24"/>
          <w:szCs w:val="24"/>
          <w:lang w:val="pl-PL"/>
        </w:rPr>
        <w:t>e</w:t>
      </w:r>
      <w:r w:rsidR="00A85074" w:rsidRPr="007459FE">
        <w:rPr>
          <w:sz w:val="24"/>
          <w:szCs w:val="24"/>
          <w:lang w:val="pl-PL"/>
        </w:rPr>
        <w:t xml:space="preserve"> od šaltera za prijem dokumentacije, gdje bi </w:t>
      </w:r>
      <w:r w:rsidR="006F03C5" w:rsidRPr="007459FE">
        <w:rPr>
          <w:sz w:val="24"/>
          <w:szCs w:val="24"/>
          <w:lang w:val="pl-PL"/>
        </w:rPr>
        <w:t xml:space="preserve">nadležne inspekcije </w:t>
      </w:r>
      <w:r w:rsidR="00A85074" w:rsidRPr="007459FE">
        <w:rPr>
          <w:sz w:val="24"/>
          <w:szCs w:val="24"/>
          <w:lang w:val="pl-PL"/>
        </w:rPr>
        <w:t xml:space="preserve">pružale informacije sa aspekta zakonom definisanih nadležnosti toga tijela. </w:t>
      </w:r>
    </w:p>
    <w:p w14:paraId="35818C66" w14:textId="5613434D" w:rsidR="00F7398A" w:rsidRPr="00521E1E" w:rsidRDefault="00D72CC7" w:rsidP="00A85074">
      <w:pPr>
        <w:jc w:val="both"/>
        <w:rPr>
          <w:sz w:val="24"/>
          <w:szCs w:val="24"/>
          <w:lang w:val="sr-Latn-ME"/>
        </w:rPr>
      </w:pPr>
      <w:r w:rsidRPr="007459FE">
        <w:rPr>
          <w:sz w:val="24"/>
          <w:szCs w:val="24"/>
          <w:lang w:val="pl-PL"/>
        </w:rPr>
        <w:t>Kao aktivnosti odvraćanja, nastaviće se sa unapređenjem koordinacije izme</w:t>
      </w:r>
      <w:r w:rsidR="00460990">
        <w:rPr>
          <w:sz w:val="24"/>
          <w:szCs w:val="24"/>
        </w:rPr>
        <w:t>đ</w:t>
      </w:r>
      <w:r w:rsidRPr="00756CAA">
        <w:rPr>
          <w:sz w:val="24"/>
          <w:szCs w:val="24"/>
          <w:lang w:val="pl-PL"/>
        </w:rPr>
        <w:t>u Uprave prihoda i carina i drugih državnih organa, kako u pogledu razmjene podataka, tako i u pogledu aktivnosti na terenu, predstavlja bitnu pretpostavku za suzbijanje neformalne ekonomije. Tako bi u saradnji sa Upravom za inspekcijske poslove trebalo razviti elektronsku bazu podataka</w:t>
      </w:r>
      <w:r w:rsidR="00F7398A" w:rsidRPr="00756CAA">
        <w:rPr>
          <w:sz w:val="24"/>
          <w:szCs w:val="24"/>
          <w:lang w:val="pl-PL"/>
        </w:rPr>
        <w:t>/platformu</w:t>
      </w:r>
      <w:r w:rsidRPr="00756CAA">
        <w:rPr>
          <w:sz w:val="24"/>
          <w:szCs w:val="24"/>
          <w:lang w:val="pl-PL"/>
        </w:rPr>
        <w:t>, u koju bi imale uvid sve uprave a koja bi sadržala detaljnije informacije o izvršenom inspekcijskom nadzoru iz nadležnosti svake od njih. Cilj ovako razvijene baze podataka bi bila razmjena korisnih info</w:t>
      </w:r>
      <w:r w:rsidR="00460990" w:rsidRPr="00756CAA">
        <w:rPr>
          <w:sz w:val="24"/>
          <w:szCs w:val="24"/>
          <w:lang w:val="pl-PL"/>
        </w:rPr>
        <w:t>r</w:t>
      </w:r>
      <w:r w:rsidRPr="00756CAA">
        <w:rPr>
          <w:sz w:val="24"/>
          <w:szCs w:val="24"/>
          <w:lang w:val="pl-PL"/>
        </w:rPr>
        <w:t xml:space="preserve">macija i preciznija procjena rizika. </w:t>
      </w:r>
      <w:r w:rsidR="00521E1E" w:rsidRPr="00756CAA">
        <w:rPr>
          <w:sz w:val="24"/>
          <w:szCs w:val="24"/>
          <w:lang w:val="pl-PL"/>
        </w:rPr>
        <w:t>Ovo bi takođe, omogućilo</w:t>
      </w:r>
      <w:r w:rsidR="00F7398A" w:rsidRPr="00756CAA">
        <w:rPr>
          <w:sz w:val="24"/>
          <w:szCs w:val="24"/>
          <w:lang w:val="pl-PL"/>
        </w:rPr>
        <w:t xml:space="preserve"> praćenje privrednih subjekata korisnika lokalne i nacionalne podrške putem PIB-a i JMBG-a, odnosno rezu</w:t>
      </w:r>
      <w:proofErr w:type="spellStart"/>
      <w:r w:rsidR="00460990">
        <w:rPr>
          <w:sz w:val="24"/>
          <w:szCs w:val="24"/>
        </w:rPr>
        <w:t>ltat</w:t>
      </w:r>
      <w:proofErr w:type="spellEnd"/>
      <w:r w:rsidR="00F7398A" w:rsidRPr="00756CAA">
        <w:rPr>
          <w:sz w:val="24"/>
          <w:szCs w:val="24"/>
          <w:lang w:val="pl-PL"/>
        </w:rPr>
        <w:t xml:space="preserve"> koje su ostvarila </w:t>
      </w:r>
      <w:r w:rsidR="00521E1E" w:rsidRPr="00756CAA">
        <w:rPr>
          <w:sz w:val="24"/>
          <w:szCs w:val="24"/>
          <w:lang w:val="pl-PL"/>
        </w:rPr>
        <w:t>privredna društva korisnici subvencija</w:t>
      </w:r>
      <w:r w:rsidR="00F7398A" w:rsidRPr="00756CAA">
        <w:rPr>
          <w:sz w:val="24"/>
          <w:szCs w:val="24"/>
          <w:lang w:val="pl-PL"/>
        </w:rPr>
        <w:t xml:space="preserve">, povezana lica i pojedinaci, što bi doprinijelo većoj transparentnosti i boljoj raspodjeli sredstava. </w:t>
      </w:r>
    </w:p>
    <w:p w14:paraId="2B1468CB" w14:textId="074A9BC4" w:rsidR="001D0030" w:rsidRPr="007459FE" w:rsidRDefault="00521E1E" w:rsidP="00F47745">
      <w:pPr>
        <w:jc w:val="both"/>
        <w:rPr>
          <w:sz w:val="24"/>
          <w:szCs w:val="24"/>
          <w:lang w:val="pl-PL"/>
        </w:rPr>
      </w:pPr>
      <w:r w:rsidRPr="006F03C5">
        <w:rPr>
          <w:sz w:val="24"/>
          <w:szCs w:val="24"/>
        </w:rPr>
        <w:t>Pored</w:t>
      </w:r>
      <w:r w:rsidRPr="007459FE">
        <w:rPr>
          <w:sz w:val="24"/>
          <w:szCs w:val="24"/>
          <w:lang w:val="sr-Latn-ME"/>
        </w:rPr>
        <w:t xml:space="preserve"> </w:t>
      </w:r>
      <w:proofErr w:type="spellStart"/>
      <w:r w:rsidRPr="006F03C5">
        <w:rPr>
          <w:sz w:val="24"/>
          <w:szCs w:val="24"/>
        </w:rPr>
        <w:t>navedenog</w:t>
      </w:r>
      <w:proofErr w:type="spellEnd"/>
      <w:r w:rsidRPr="007459FE">
        <w:rPr>
          <w:sz w:val="24"/>
          <w:szCs w:val="24"/>
          <w:lang w:val="sr-Latn-ME"/>
        </w:rPr>
        <w:t xml:space="preserve">, </w:t>
      </w:r>
      <w:proofErr w:type="spellStart"/>
      <w:r w:rsidRPr="006F03C5">
        <w:rPr>
          <w:sz w:val="24"/>
          <w:szCs w:val="24"/>
        </w:rPr>
        <w:t>p</w:t>
      </w:r>
      <w:r w:rsidR="00F7398A" w:rsidRPr="006F03C5">
        <w:rPr>
          <w:sz w:val="24"/>
          <w:szCs w:val="24"/>
        </w:rPr>
        <w:t>rogresivna</w:t>
      </w:r>
      <w:proofErr w:type="spellEnd"/>
      <w:r w:rsidR="00F7398A" w:rsidRPr="007459FE">
        <w:rPr>
          <w:sz w:val="24"/>
          <w:szCs w:val="24"/>
          <w:lang w:val="sr-Latn-ME"/>
        </w:rPr>
        <w:t xml:space="preserve"> </w:t>
      </w:r>
      <w:proofErr w:type="spellStart"/>
      <w:r w:rsidR="00F7398A" w:rsidRPr="006F03C5">
        <w:rPr>
          <w:sz w:val="24"/>
          <w:szCs w:val="24"/>
        </w:rPr>
        <w:t>primjena</w:t>
      </w:r>
      <w:proofErr w:type="spellEnd"/>
      <w:r w:rsidR="00F7398A" w:rsidRPr="007459FE">
        <w:rPr>
          <w:sz w:val="24"/>
          <w:szCs w:val="24"/>
          <w:lang w:val="sr-Latn-ME"/>
        </w:rPr>
        <w:t xml:space="preserve"> </w:t>
      </w:r>
      <w:proofErr w:type="spellStart"/>
      <w:r w:rsidR="00F7398A" w:rsidRPr="006F03C5">
        <w:rPr>
          <w:sz w:val="24"/>
          <w:szCs w:val="24"/>
        </w:rPr>
        <w:t>mjera</w:t>
      </w:r>
      <w:proofErr w:type="spellEnd"/>
      <w:r w:rsidR="00F7398A" w:rsidRPr="007459FE">
        <w:rPr>
          <w:sz w:val="24"/>
          <w:szCs w:val="24"/>
          <w:lang w:val="sr-Latn-ME"/>
        </w:rPr>
        <w:t xml:space="preserve"> </w:t>
      </w:r>
      <w:r w:rsidR="00F7398A" w:rsidRPr="006F03C5">
        <w:rPr>
          <w:sz w:val="24"/>
          <w:szCs w:val="24"/>
        </w:rPr>
        <w:t>ka</w:t>
      </w:r>
      <w:r w:rsidR="00F7398A" w:rsidRPr="007459FE">
        <w:rPr>
          <w:sz w:val="24"/>
          <w:szCs w:val="24"/>
          <w:lang w:val="sr-Latn-ME"/>
        </w:rPr>
        <w:t>ž</w:t>
      </w:r>
      <w:proofErr w:type="spellStart"/>
      <w:r w:rsidR="00F7398A" w:rsidRPr="006F03C5">
        <w:rPr>
          <w:sz w:val="24"/>
          <w:szCs w:val="24"/>
        </w:rPr>
        <w:t>njavanja</w:t>
      </w:r>
      <w:proofErr w:type="spellEnd"/>
      <w:r w:rsidR="00F7398A" w:rsidRPr="007459FE">
        <w:rPr>
          <w:sz w:val="24"/>
          <w:szCs w:val="24"/>
          <w:lang w:val="sr-Latn-ME"/>
        </w:rPr>
        <w:t xml:space="preserve"> </w:t>
      </w:r>
      <w:r w:rsidR="00F7398A" w:rsidRPr="006F03C5">
        <w:rPr>
          <w:sz w:val="24"/>
          <w:szCs w:val="24"/>
        </w:rPr>
        <w:t>od</w:t>
      </w:r>
      <w:r w:rsidR="00F7398A" w:rsidRPr="007459FE">
        <w:rPr>
          <w:sz w:val="24"/>
          <w:szCs w:val="24"/>
          <w:lang w:val="sr-Latn-ME"/>
        </w:rPr>
        <w:t xml:space="preserve"> </w:t>
      </w:r>
      <w:proofErr w:type="spellStart"/>
      <w:r w:rsidR="00F7398A" w:rsidRPr="006F03C5">
        <w:rPr>
          <w:sz w:val="24"/>
          <w:szCs w:val="24"/>
        </w:rPr>
        <w:t>strane</w:t>
      </w:r>
      <w:proofErr w:type="spellEnd"/>
      <w:r w:rsidR="00F7398A" w:rsidRPr="007459FE">
        <w:rPr>
          <w:sz w:val="24"/>
          <w:szCs w:val="24"/>
          <w:lang w:val="sr-Latn-ME"/>
        </w:rPr>
        <w:t xml:space="preserve"> </w:t>
      </w:r>
      <w:r w:rsidR="00F7398A" w:rsidRPr="006F03C5">
        <w:rPr>
          <w:sz w:val="24"/>
          <w:szCs w:val="24"/>
        </w:rPr>
        <w:t>UIP</w:t>
      </w:r>
      <w:r w:rsidRPr="007459FE">
        <w:rPr>
          <w:sz w:val="24"/>
          <w:szCs w:val="24"/>
          <w:lang w:val="sr-Latn-ME"/>
        </w:rPr>
        <w:t>-</w:t>
      </w:r>
      <w:r w:rsidR="00F7398A" w:rsidRPr="006F03C5">
        <w:rPr>
          <w:sz w:val="24"/>
          <w:szCs w:val="24"/>
        </w:rPr>
        <w:t>a</w:t>
      </w:r>
      <w:r w:rsidRPr="007459FE">
        <w:rPr>
          <w:sz w:val="24"/>
          <w:szCs w:val="24"/>
          <w:lang w:val="sr-Latn-ME"/>
        </w:rPr>
        <w:t xml:space="preserve">, </w:t>
      </w:r>
      <w:proofErr w:type="spellStart"/>
      <w:r w:rsidRPr="006F03C5">
        <w:rPr>
          <w:sz w:val="24"/>
          <w:szCs w:val="24"/>
        </w:rPr>
        <w:t>sa</w:t>
      </w:r>
      <w:proofErr w:type="spellEnd"/>
      <w:r w:rsidRPr="007459FE">
        <w:rPr>
          <w:sz w:val="24"/>
          <w:szCs w:val="24"/>
          <w:lang w:val="sr-Latn-ME"/>
        </w:rPr>
        <w:t xml:space="preserve"> </w:t>
      </w:r>
      <w:proofErr w:type="spellStart"/>
      <w:r w:rsidRPr="006F03C5">
        <w:rPr>
          <w:sz w:val="24"/>
          <w:szCs w:val="24"/>
        </w:rPr>
        <w:t>pove</w:t>
      </w:r>
      <w:proofErr w:type="spellEnd"/>
      <w:r w:rsidRPr="007459FE">
        <w:rPr>
          <w:sz w:val="24"/>
          <w:szCs w:val="24"/>
          <w:lang w:val="sr-Latn-ME"/>
        </w:rPr>
        <w:t>ć</w:t>
      </w:r>
      <w:proofErr w:type="spellStart"/>
      <w:r w:rsidRPr="006F03C5">
        <w:rPr>
          <w:sz w:val="24"/>
          <w:szCs w:val="24"/>
        </w:rPr>
        <w:t>anjem</w:t>
      </w:r>
      <w:proofErr w:type="spellEnd"/>
      <w:r w:rsidRPr="007459FE">
        <w:rPr>
          <w:sz w:val="24"/>
          <w:szCs w:val="24"/>
          <w:lang w:val="sr-Latn-ME"/>
        </w:rPr>
        <w:t xml:space="preserve"> </w:t>
      </w:r>
      <w:proofErr w:type="spellStart"/>
      <w:r w:rsidRPr="006F03C5">
        <w:rPr>
          <w:sz w:val="24"/>
          <w:szCs w:val="24"/>
        </w:rPr>
        <w:t>kazni</w:t>
      </w:r>
      <w:proofErr w:type="spellEnd"/>
      <w:r w:rsidRPr="007459FE">
        <w:rPr>
          <w:sz w:val="24"/>
          <w:szCs w:val="24"/>
          <w:lang w:val="sr-Latn-ME"/>
        </w:rPr>
        <w:t xml:space="preserve"> </w:t>
      </w:r>
      <w:r w:rsidRPr="006F03C5">
        <w:rPr>
          <w:sz w:val="24"/>
          <w:szCs w:val="24"/>
        </w:rPr>
        <w:t>za</w:t>
      </w:r>
      <w:r w:rsidRPr="007459FE">
        <w:rPr>
          <w:sz w:val="24"/>
          <w:szCs w:val="24"/>
          <w:lang w:val="sr-Latn-ME"/>
        </w:rPr>
        <w:t xml:space="preserve"> </w:t>
      </w:r>
      <w:proofErr w:type="spellStart"/>
      <w:r w:rsidRPr="006F03C5">
        <w:rPr>
          <w:sz w:val="24"/>
          <w:szCs w:val="24"/>
        </w:rPr>
        <w:t>lica</w:t>
      </w:r>
      <w:proofErr w:type="spellEnd"/>
      <w:r w:rsidRPr="007459FE">
        <w:rPr>
          <w:sz w:val="24"/>
          <w:szCs w:val="24"/>
          <w:lang w:val="sr-Latn-ME"/>
        </w:rPr>
        <w:t xml:space="preserve"> </w:t>
      </w:r>
      <w:proofErr w:type="spellStart"/>
      <w:r w:rsidRPr="006F03C5">
        <w:rPr>
          <w:sz w:val="24"/>
          <w:szCs w:val="24"/>
        </w:rPr>
        <w:t>koja</w:t>
      </w:r>
      <w:proofErr w:type="spellEnd"/>
      <w:r w:rsidRPr="007459FE">
        <w:rPr>
          <w:sz w:val="24"/>
          <w:szCs w:val="24"/>
          <w:lang w:val="sr-Latn-ME"/>
        </w:rPr>
        <w:t xml:space="preserve"> </w:t>
      </w:r>
      <w:proofErr w:type="spellStart"/>
      <w:r w:rsidR="00F7398A" w:rsidRPr="006F03C5">
        <w:rPr>
          <w:sz w:val="24"/>
          <w:szCs w:val="24"/>
        </w:rPr>
        <w:t>koja</w:t>
      </w:r>
      <w:proofErr w:type="spellEnd"/>
      <w:r w:rsidR="00F7398A" w:rsidRPr="007459FE">
        <w:rPr>
          <w:sz w:val="24"/>
          <w:szCs w:val="24"/>
          <w:lang w:val="sr-Latn-ME"/>
        </w:rPr>
        <w:t xml:space="preserve"> </w:t>
      </w:r>
      <w:proofErr w:type="spellStart"/>
      <w:r w:rsidR="00F7398A" w:rsidRPr="006F03C5">
        <w:rPr>
          <w:sz w:val="24"/>
          <w:szCs w:val="24"/>
        </w:rPr>
        <w:t>ponovljaju</w:t>
      </w:r>
      <w:proofErr w:type="spellEnd"/>
      <w:r w:rsidR="00F7398A" w:rsidRPr="007459FE">
        <w:rPr>
          <w:sz w:val="24"/>
          <w:szCs w:val="24"/>
          <w:lang w:val="sr-Latn-ME"/>
        </w:rPr>
        <w:t xml:space="preserve"> </w:t>
      </w:r>
      <w:proofErr w:type="spellStart"/>
      <w:r w:rsidR="00F7398A" w:rsidRPr="006F03C5">
        <w:rPr>
          <w:sz w:val="24"/>
          <w:szCs w:val="24"/>
        </w:rPr>
        <w:t>isti</w:t>
      </w:r>
      <w:proofErr w:type="spellEnd"/>
      <w:r w:rsidR="00F7398A" w:rsidRPr="007459FE">
        <w:rPr>
          <w:sz w:val="24"/>
          <w:szCs w:val="24"/>
          <w:lang w:val="sr-Latn-ME"/>
        </w:rPr>
        <w:t xml:space="preserve"> </w:t>
      </w:r>
      <w:proofErr w:type="spellStart"/>
      <w:r w:rsidR="00F7398A" w:rsidRPr="006F03C5">
        <w:rPr>
          <w:sz w:val="24"/>
          <w:szCs w:val="24"/>
        </w:rPr>
        <w:t>prekr</w:t>
      </w:r>
      <w:proofErr w:type="spellEnd"/>
      <w:r w:rsidR="00F7398A" w:rsidRPr="007459FE">
        <w:rPr>
          <w:sz w:val="24"/>
          <w:szCs w:val="24"/>
          <w:lang w:val="sr-Latn-ME"/>
        </w:rPr>
        <w:t>š</w:t>
      </w:r>
      <w:proofErr w:type="spellStart"/>
      <w:r w:rsidR="00F7398A" w:rsidRPr="006F03C5">
        <w:rPr>
          <w:sz w:val="24"/>
          <w:szCs w:val="24"/>
        </w:rPr>
        <w:t>aj</w:t>
      </w:r>
      <w:proofErr w:type="spellEnd"/>
      <w:r w:rsidRPr="007459FE">
        <w:rPr>
          <w:sz w:val="24"/>
          <w:szCs w:val="24"/>
          <w:lang w:val="sr-Latn-ME"/>
        </w:rPr>
        <w:t xml:space="preserve">, </w:t>
      </w:r>
      <w:proofErr w:type="spellStart"/>
      <w:r w:rsidRPr="006F03C5">
        <w:rPr>
          <w:sz w:val="24"/>
          <w:szCs w:val="24"/>
        </w:rPr>
        <w:t>treba</w:t>
      </w:r>
      <w:proofErr w:type="spellEnd"/>
      <w:r w:rsidRPr="007459FE">
        <w:rPr>
          <w:sz w:val="24"/>
          <w:szCs w:val="24"/>
          <w:lang w:val="sr-Latn-ME"/>
        </w:rPr>
        <w:t xml:space="preserve"> </w:t>
      </w:r>
      <w:r w:rsidRPr="006F03C5">
        <w:rPr>
          <w:sz w:val="24"/>
          <w:szCs w:val="24"/>
        </w:rPr>
        <w:t>da</w:t>
      </w:r>
      <w:r w:rsidRPr="007459FE">
        <w:rPr>
          <w:sz w:val="24"/>
          <w:szCs w:val="24"/>
          <w:lang w:val="sr-Latn-ME"/>
        </w:rPr>
        <w:t xml:space="preserve"> </w:t>
      </w:r>
      <w:proofErr w:type="spellStart"/>
      <w:r w:rsidRPr="006F03C5">
        <w:rPr>
          <w:sz w:val="24"/>
          <w:szCs w:val="24"/>
        </w:rPr>
        <w:t>pomogne</w:t>
      </w:r>
      <w:proofErr w:type="spellEnd"/>
      <w:r w:rsidRPr="007459FE">
        <w:rPr>
          <w:sz w:val="24"/>
          <w:szCs w:val="24"/>
          <w:lang w:val="sr-Latn-ME"/>
        </w:rPr>
        <w:t xml:space="preserve"> </w:t>
      </w:r>
      <w:proofErr w:type="spellStart"/>
      <w:r w:rsidRPr="006F03C5">
        <w:rPr>
          <w:sz w:val="24"/>
          <w:szCs w:val="24"/>
        </w:rPr>
        <w:t>odvajanju</w:t>
      </w:r>
      <w:proofErr w:type="spellEnd"/>
      <w:r w:rsidRPr="007459FE">
        <w:rPr>
          <w:sz w:val="24"/>
          <w:szCs w:val="24"/>
          <w:lang w:val="sr-Latn-ME"/>
        </w:rPr>
        <w:t xml:space="preserve"> </w:t>
      </w:r>
      <w:proofErr w:type="spellStart"/>
      <w:r w:rsidRPr="006F03C5">
        <w:rPr>
          <w:sz w:val="24"/>
          <w:szCs w:val="24"/>
        </w:rPr>
        <w:t>neznanja</w:t>
      </w:r>
      <w:proofErr w:type="spellEnd"/>
      <w:r w:rsidRPr="007459FE">
        <w:rPr>
          <w:sz w:val="24"/>
          <w:szCs w:val="24"/>
          <w:lang w:val="sr-Latn-ME"/>
        </w:rPr>
        <w:t xml:space="preserve"> </w:t>
      </w:r>
      <w:r w:rsidR="00F7398A" w:rsidRPr="006F03C5">
        <w:rPr>
          <w:sz w:val="24"/>
          <w:szCs w:val="24"/>
        </w:rPr>
        <w:t>od</w:t>
      </w:r>
      <w:r w:rsidR="00F7398A" w:rsidRPr="007459FE">
        <w:rPr>
          <w:sz w:val="24"/>
          <w:szCs w:val="24"/>
          <w:lang w:val="sr-Latn-ME"/>
        </w:rPr>
        <w:t xml:space="preserve"> </w:t>
      </w:r>
      <w:proofErr w:type="spellStart"/>
      <w:r w:rsidR="00F7398A" w:rsidRPr="006F03C5">
        <w:rPr>
          <w:sz w:val="24"/>
          <w:szCs w:val="24"/>
        </w:rPr>
        <w:t>iskori</w:t>
      </w:r>
      <w:proofErr w:type="spellEnd"/>
      <w:r w:rsidR="00F7398A" w:rsidRPr="007459FE">
        <w:rPr>
          <w:sz w:val="24"/>
          <w:szCs w:val="24"/>
          <w:lang w:val="sr-Latn-ME"/>
        </w:rPr>
        <w:t>š</w:t>
      </w:r>
      <w:proofErr w:type="spellStart"/>
      <w:r w:rsidR="00F7398A" w:rsidRPr="006F03C5">
        <w:rPr>
          <w:sz w:val="24"/>
          <w:szCs w:val="24"/>
        </w:rPr>
        <w:t>tavanja</w:t>
      </w:r>
      <w:proofErr w:type="spellEnd"/>
      <w:r w:rsidR="00F7398A" w:rsidRPr="007459FE">
        <w:rPr>
          <w:sz w:val="24"/>
          <w:szCs w:val="24"/>
          <w:lang w:val="sr-Latn-ME"/>
        </w:rPr>
        <w:t xml:space="preserve"> </w:t>
      </w:r>
      <w:proofErr w:type="spellStart"/>
      <w:r w:rsidR="00F7398A" w:rsidRPr="006F03C5">
        <w:rPr>
          <w:sz w:val="24"/>
          <w:szCs w:val="24"/>
        </w:rPr>
        <w:t>sistema</w:t>
      </w:r>
      <w:proofErr w:type="spellEnd"/>
      <w:r w:rsidR="00F7398A" w:rsidRPr="007459FE">
        <w:rPr>
          <w:sz w:val="24"/>
          <w:szCs w:val="24"/>
          <w:lang w:val="sr-Latn-ME"/>
        </w:rPr>
        <w:t>.</w:t>
      </w:r>
      <w:r w:rsidRPr="007459FE">
        <w:rPr>
          <w:sz w:val="24"/>
          <w:szCs w:val="24"/>
          <w:lang w:val="sr-Latn-ME"/>
        </w:rPr>
        <w:t xml:space="preserve"> </w:t>
      </w:r>
      <w:r w:rsidRPr="007459FE">
        <w:rPr>
          <w:sz w:val="24"/>
          <w:szCs w:val="24"/>
          <w:lang w:val="pl-PL"/>
        </w:rPr>
        <w:t>Time bi se stimulisali i početnici u biznisu da registruju sve aktivnosti, a tako</w:t>
      </w:r>
      <w:r w:rsidR="00460990" w:rsidRPr="007459FE">
        <w:rPr>
          <w:sz w:val="24"/>
          <w:szCs w:val="24"/>
          <w:lang w:val="pl-PL"/>
        </w:rPr>
        <w:t>đ</w:t>
      </w:r>
      <w:r w:rsidRPr="007459FE">
        <w:rPr>
          <w:sz w:val="24"/>
          <w:szCs w:val="24"/>
          <w:lang w:val="pl-PL"/>
        </w:rPr>
        <w:t>e bi se obeshrabrila nelojalna konkurencija.</w:t>
      </w:r>
      <w:r w:rsidR="00F7398A" w:rsidRPr="007459FE">
        <w:rPr>
          <w:sz w:val="24"/>
          <w:szCs w:val="24"/>
          <w:lang w:val="pl-PL"/>
        </w:rPr>
        <w:t xml:space="preserve"> </w:t>
      </w:r>
      <w:r w:rsidR="00B67D63">
        <w:rPr>
          <w:sz w:val="24"/>
          <w:szCs w:val="24"/>
          <w:lang w:val="pl-PL"/>
        </w:rPr>
        <w:br/>
      </w:r>
      <w:r w:rsidR="00B67D63">
        <w:rPr>
          <w:sz w:val="24"/>
          <w:szCs w:val="24"/>
          <w:lang w:val="pl-PL"/>
        </w:rPr>
        <w:br/>
      </w:r>
      <w:r w:rsidR="00B67D63">
        <w:rPr>
          <w:sz w:val="24"/>
          <w:szCs w:val="24"/>
          <w:lang w:val="pl-PL"/>
        </w:rPr>
        <w:br/>
      </w:r>
      <w:r w:rsidR="00B67D63">
        <w:rPr>
          <w:sz w:val="24"/>
          <w:szCs w:val="24"/>
          <w:lang w:val="pl-PL"/>
        </w:rPr>
        <w:br/>
      </w:r>
      <w:r w:rsidR="00B67D63">
        <w:rPr>
          <w:sz w:val="24"/>
          <w:szCs w:val="24"/>
          <w:lang w:val="pl-PL"/>
        </w:rPr>
        <w:br/>
      </w:r>
      <w:r w:rsidR="00B67D63">
        <w:rPr>
          <w:sz w:val="24"/>
          <w:szCs w:val="24"/>
          <w:lang w:val="pl-PL"/>
        </w:rPr>
        <w:br/>
      </w:r>
    </w:p>
    <w:tbl>
      <w:tblPr>
        <w:tblW w:w="95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2245"/>
        <w:gridCol w:w="2520"/>
        <w:gridCol w:w="1350"/>
        <w:gridCol w:w="990"/>
        <w:gridCol w:w="1260"/>
        <w:gridCol w:w="1200"/>
      </w:tblGrid>
      <w:tr w:rsidR="00B67D63" w:rsidRPr="00B67D63" w14:paraId="755CCEC5" w14:textId="77777777" w:rsidTr="00C32F60">
        <w:tc>
          <w:tcPr>
            <w:tcW w:w="9565" w:type="dxa"/>
            <w:gridSpan w:val="6"/>
            <w:shd w:val="clear" w:color="auto" w:fill="BDD6EE" w:themeFill="accent5" w:themeFillTint="66"/>
          </w:tcPr>
          <w:p w14:paraId="78BFE90F" w14:textId="56906EDE" w:rsidR="005D2C45" w:rsidRPr="00B67D63" w:rsidRDefault="005D2C45" w:rsidP="005D2C45">
            <w:pPr>
              <w:rPr>
                <w:rFonts w:cstheme="minorHAnsi"/>
                <w:b/>
                <w:bCs/>
                <w:sz w:val="20"/>
                <w:szCs w:val="20"/>
                <w:lang w:val="pl-PL"/>
              </w:rPr>
            </w:pPr>
            <w:bookmarkStart w:id="39" w:name="_Hlk141369824"/>
            <w:bookmarkStart w:id="40" w:name="_Hlk141364136"/>
            <w:r w:rsidRPr="00B67D63">
              <w:rPr>
                <w:rFonts w:cstheme="minorHAnsi"/>
                <w:b/>
                <w:bCs/>
                <w:sz w:val="20"/>
                <w:szCs w:val="20"/>
                <w:lang w:val="sr-Latn-ME"/>
              </w:rPr>
              <w:lastRenderedPageBreak/>
              <w:t>O</w:t>
            </w:r>
            <w:r w:rsidR="00D72CC7" w:rsidRPr="00B67D63">
              <w:rPr>
                <w:rFonts w:cstheme="minorHAnsi"/>
                <w:b/>
                <w:bCs/>
                <w:sz w:val="20"/>
                <w:szCs w:val="20"/>
                <w:lang w:val="sr-Latn-ME"/>
              </w:rPr>
              <w:t>C</w:t>
            </w:r>
            <w:r w:rsidR="006428A5" w:rsidRPr="00B67D63">
              <w:rPr>
                <w:rFonts w:cstheme="minorHAnsi"/>
                <w:b/>
                <w:bCs/>
                <w:sz w:val="20"/>
                <w:szCs w:val="20"/>
                <w:lang w:val="sr-Latn-ME"/>
              </w:rPr>
              <w:t>4</w:t>
            </w:r>
            <w:r w:rsidRPr="00B67D63">
              <w:rPr>
                <w:rFonts w:cstheme="minorHAnsi"/>
                <w:b/>
                <w:bCs/>
                <w:sz w:val="20"/>
                <w:szCs w:val="20"/>
                <w:lang w:val="sr-Latn-ME"/>
              </w:rPr>
              <w:t xml:space="preserve"> – </w:t>
            </w:r>
            <w:bookmarkEnd w:id="39"/>
            <w:r w:rsidR="00E525AB" w:rsidRPr="00B67D63">
              <w:rPr>
                <w:rFonts w:cstheme="minorHAnsi"/>
                <w:b/>
                <w:bCs/>
                <w:sz w:val="20"/>
                <w:szCs w:val="20"/>
                <w:lang w:val="pl-PL"/>
              </w:rPr>
              <w:t>Unapređenje elektronskih usluga javne uprave,  institucionalnog okvira i administrativnih kapaciteta u smanjenju neformalne ekonomije</w:t>
            </w:r>
          </w:p>
        </w:tc>
      </w:tr>
      <w:tr w:rsidR="00B67D63" w:rsidRPr="00B67D63" w14:paraId="5D383D9F" w14:textId="77777777" w:rsidTr="00B67D63">
        <w:tc>
          <w:tcPr>
            <w:tcW w:w="2245" w:type="dxa"/>
            <w:shd w:val="clear" w:color="auto" w:fill="BDD6EE" w:themeFill="accent5" w:themeFillTint="66"/>
          </w:tcPr>
          <w:p w14:paraId="0475522F" w14:textId="77777777" w:rsidR="005D2C45" w:rsidRPr="00B67D63" w:rsidRDefault="005D2C45" w:rsidP="005D2C45">
            <w:pPr>
              <w:rPr>
                <w:rFonts w:cstheme="minorHAnsi"/>
                <w:b/>
                <w:bCs/>
                <w:sz w:val="20"/>
                <w:szCs w:val="20"/>
                <w:lang w:val="sr-Latn-ME"/>
              </w:rPr>
            </w:pPr>
            <w:r w:rsidRPr="00B67D63">
              <w:rPr>
                <w:rFonts w:cstheme="minorHAnsi"/>
                <w:b/>
                <w:bCs/>
                <w:sz w:val="20"/>
                <w:szCs w:val="20"/>
                <w:lang w:val="sr-Latn-ME"/>
              </w:rPr>
              <w:t>Učinak</w:t>
            </w:r>
          </w:p>
        </w:tc>
        <w:tc>
          <w:tcPr>
            <w:tcW w:w="2520" w:type="dxa"/>
            <w:shd w:val="clear" w:color="auto" w:fill="BDD6EE" w:themeFill="accent5" w:themeFillTint="66"/>
          </w:tcPr>
          <w:p w14:paraId="23DE76DE" w14:textId="77777777" w:rsidR="005D2C45" w:rsidRPr="00B67D63" w:rsidRDefault="005D2C45" w:rsidP="005D2C45">
            <w:pPr>
              <w:rPr>
                <w:rFonts w:cstheme="minorHAnsi"/>
                <w:b/>
                <w:bCs/>
                <w:sz w:val="20"/>
                <w:szCs w:val="20"/>
                <w:lang w:val="sr-Latn-ME"/>
              </w:rPr>
            </w:pPr>
            <w:r w:rsidRPr="00B67D63">
              <w:rPr>
                <w:rFonts w:cstheme="minorHAnsi"/>
                <w:b/>
                <w:bCs/>
                <w:sz w:val="20"/>
                <w:szCs w:val="20"/>
                <w:lang w:val="sr-Latn-ME"/>
              </w:rPr>
              <w:t>Indikator učinka (outcome indicator)</w:t>
            </w:r>
          </w:p>
        </w:tc>
        <w:tc>
          <w:tcPr>
            <w:tcW w:w="1350" w:type="dxa"/>
            <w:shd w:val="clear" w:color="auto" w:fill="BDD6EE" w:themeFill="accent5" w:themeFillTint="66"/>
          </w:tcPr>
          <w:p w14:paraId="2882F96B" w14:textId="77777777" w:rsidR="005D2C45" w:rsidRPr="00B67D63" w:rsidRDefault="005D2C45" w:rsidP="005D2C45">
            <w:pPr>
              <w:rPr>
                <w:rFonts w:cstheme="minorHAnsi"/>
                <w:b/>
                <w:bCs/>
                <w:sz w:val="20"/>
                <w:szCs w:val="20"/>
                <w:lang w:val="sr-Latn-ME"/>
              </w:rPr>
            </w:pPr>
            <w:r w:rsidRPr="00B67D63">
              <w:rPr>
                <w:rFonts w:cstheme="minorHAnsi"/>
                <w:b/>
                <w:bCs/>
                <w:sz w:val="20"/>
                <w:szCs w:val="20"/>
                <w:lang w:val="sr-Latn-ME"/>
              </w:rPr>
              <w:t>Izvor verifikacije</w:t>
            </w:r>
          </w:p>
        </w:tc>
        <w:tc>
          <w:tcPr>
            <w:tcW w:w="990" w:type="dxa"/>
            <w:shd w:val="clear" w:color="auto" w:fill="BDD6EE" w:themeFill="accent5" w:themeFillTint="66"/>
          </w:tcPr>
          <w:p w14:paraId="43A73E62" w14:textId="77777777" w:rsidR="005D2C45" w:rsidRPr="00B67D63" w:rsidRDefault="005D2C45" w:rsidP="005D2C45">
            <w:pPr>
              <w:rPr>
                <w:rFonts w:cstheme="minorHAnsi"/>
                <w:b/>
                <w:bCs/>
                <w:sz w:val="20"/>
                <w:szCs w:val="20"/>
                <w:lang w:val="sr-Latn-ME"/>
              </w:rPr>
            </w:pPr>
            <w:r w:rsidRPr="00B67D63">
              <w:rPr>
                <w:rFonts w:cstheme="minorHAnsi"/>
                <w:b/>
                <w:bCs/>
                <w:sz w:val="20"/>
                <w:szCs w:val="20"/>
                <w:lang w:val="sr-Latn-ME"/>
              </w:rPr>
              <w:t>Početna vrijednost 2022.</w:t>
            </w:r>
          </w:p>
        </w:tc>
        <w:tc>
          <w:tcPr>
            <w:tcW w:w="1260" w:type="dxa"/>
            <w:shd w:val="clear" w:color="auto" w:fill="BDD6EE" w:themeFill="accent5" w:themeFillTint="66"/>
          </w:tcPr>
          <w:p w14:paraId="02111E81" w14:textId="77777777" w:rsidR="005D2C45" w:rsidRPr="00B67D63" w:rsidRDefault="005D2C45" w:rsidP="005D2C45">
            <w:pPr>
              <w:rPr>
                <w:rFonts w:cstheme="minorHAnsi"/>
                <w:b/>
                <w:bCs/>
                <w:sz w:val="20"/>
                <w:szCs w:val="20"/>
                <w:lang w:val="sr-Latn-ME"/>
              </w:rPr>
            </w:pPr>
            <w:r w:rsidRPr="00B67D63">
              <w:rPr>
                <w:rFonts w:cstheme="minorHAnsi"/>
                <w:b/>
                <w:bCs/>
                <w:sz w:val="20"/>
                <w:szCs w:val="20"/>
                <w:lang w:val="sr-Latn-ME"/>
              </w:rPr>
              <w:t>Vrijednost u 2025.</w:t>
            </w:r>
          </w:p>
        </w:tc>
        <w:tc>
          <w:tcPr>
            <w:tcW w:w="1200" w:type="dxa"/>
            <w:shd w:val="clear" w:color="auto" w:fill="BDD6EE" w:themeFill="accent5" w:themeFillTint="66"/>
          </w:tcPr>
          <w:p w14:paraId="65CBF9BA" w14:textId="77777777" w:rsidR="005D2C45" w:rsidRPr="00B67D63" w:rsidRDefault="005D2C45" w:rsidP="005D2C45">
            <w:pPr>
              <w:rPr>
                <w:rFonts w:cstheme="minorHAnsi"/>
                <w:b/>
                <w:bCs/>
                <w:sz w:val="20"/>
                <w:szCs w:val="20"/>
                <w:lang w:val="sr-Latn-ME"/>
              </w:rPr>
            </w:pPr>
            <w:r w:rsidRPr="00B67D63">
              <w:rPr>
                <w:rFonts w:cstheme="minorHAnsi"/>
                <w:b/>
                <w:bCs/>
                <w:sz w:val="20"/>
                <w:szCs w:val="20"/>
                <w:lang w:val="sr-Latn-ME"/>
              </w:rPr>
              <w:t>Ciljna vrijednost 2026.</w:t>
            </w:r>
          </w:p>
        </w:tc>
      </w:tr>
      <w:tr w:rsidR="00B67D63" w:rsidRPr="00B67D63" w14:paraId="7AAEF1E6" w14:textId="77777777" w:rsidTr="00B67D63">
        <w:tc>
          <w:tcPr>
            <w:tcW w:w="2245" w:type="dxa"/>
            <w:shd w:val="clear" w:color="auto" w:fill="auto"/>
          </w:tcPr>
          <w:p w14:paraId="51A0E091" w14:textId="7BF7362F" w:rsidR="005D2C45" w:rsidRPr="00B67D63" w:rsidRDefault="00F96486" w:rsidP="005D2C45">
            <w:pPr>
              <w:rPr>
                <w:rFonts w:cstheme="minorHAnsi"/>
                <w:color w:val="0070C0"/>
                <w:sz w:val="20"/>
                <w:szCs w:val="20"/>
                <w:lang w:val="sr-Latn-ME"/>
              </w:rPr>
            </w:pPr>
            <w:r w:rsidRPr="00B67D63">
              <w:rPr>
                <w:rFonts w:cstheme="minorHAnsi"/>
                <w:sz w:val="20"/>
                <w:szCs w:val="20"/>
                <w:lang w:val="sr-Latn-ME"/>
              </w:rPr>
              <w:t>Povećana naplata prihoda od PDV-a i akciza</w:t>
            </w:r>
          </w:p>
        </w:tc>
        <w:tc>
          <w:tcPr>
            <w:tcW w:w="2520" w:type="dxa"/>
            <w:shd w:val="clear" w:color="auto" w:fill="auto"/>
          </w:tcPr>
          <w:p w14:paraId="23D3F26B" w14:textId="544AF909" w:rsidR="005D2C45" w:rsidRPr="00B67D63" w:rsidRDefault="00D049BB" w:rsidP="005D2C45">
            <w:pPr>
              <w:rPr>
                <w:rFonts w:cstheme="minorHAnsi"/>
                <w:sz w:val="20"/>
                <w:szCs w:val="20"/>
                <w:lang w:val="sr-Latn-ME"/>
              </w:rPr>
            </w:pPr>
            <w:r w:rsidRPr="00B67D63">
              <w:rPr>
                <w:rFonts w:cstheme="minorHAnsi"/>
                <w:sz w:val="20"/>
                <w:szCs w:val="20"/>
                <w:lang w:val="sr-Latn-ME"/>
              </w:rPr>
              <w:t>% Povećanja naplate prihoda od akciza i PDV</w:t>
            </w:r>
            <w:r w:rsidR="00C7172D" w:rsidRPr="00B67D63">
              <w:rPr>
                <w:rFonts w:cstheme="minorHAnsi"/>
                <w:sz w:val="20"/>
                <w:szCs w:val="20"/>
                <w:lang w:val="sr-Latn-ME"/>
              </w:rPr>
              <w:t xml:space="preserve"> u odnosu na prethodnu godinu</w:t>
            </w:r>
          </w:p>
        </w:tc>
        <w:tc>
          <w:tcPr>
            <w:tcW w:w="1350" w:type="dxa"/>
            <w:shd w:val="clear" w:color="auto" w:fill="auto"/>
          </w:tcPr>
          <w:p w14:paraId="1507C140" w14:textId="256641B5" w:rsidR="005D2C45" w:rsidRPr="00B67D63" w:rsidRDefault="009F137B" w:rsidP="005D2C45">
            <w:pPr>
              <w:rPr>
                <w:rFonts w:cstheme="minorHAnsi"/>
                <w:sz w:val="20"/>
                <w:szCs w:val="20"/>
                <w:lang w:val="sr-Latn-ME"/>
              </w:rPr>
            </w:pPr>
            <w:r w:rsidRPr="00B67D63">
              <w:rPr>
                <w:rFonts w:cstheme="minorHAnsi"/>
                <w:sz w:val="20"/>
                <w:szCs w:val="20"/>
                <w:lang w:val="sr-Latn-ME"/>
              </w:rPr>
              <w:t>MF</w:t>
            </w:r>
          </w:p>
        </w:tc>
        <w:tc>
          <w:tcPr>
            <w:tcW w:w="990" w:type="dxa"/>
            <w:shd w:val="clear" w:color="auto" w:fill="auto"/>
          </w:tcPr>
          <w:p w14:paraId="658D6793" w14:textId="3946DC2B" w:rsidR="005D2C45" w:rsidRPr="00B67D63" w:rsidRDefault="00C7172D" w:rsidP="005D2C45">
            <w:pPr>
              <w:rPr>
                <w:rFonts w:cstheme="minorHAnsi"/>
                <w:sz w:val="20"/>
                <w:szCs w:val="20"/>
                <w:lang w:val="sr-Latn-ME"/>
              </w:rPr>
            </w:pPr>
            <w:r w:rsidRPr="00B67D63">
              <w:rPr>
                <w:rFonts w:cstheme="minorHAnsi"/>
                <w:sz w:val="20"/>
                <w:szCs w:val="20"/>
                <w:lang w:val="sr-Latn-ME"/>
              </w:rPr>
              <w:t>22,7</w:t>
            </w:r>
          </w:p>
        </w:tc>
        <w:tc>
          <w:tcPr>
            <w:tcW w:w="1260" w:type="dxa"/>
            <w:shd w:val="clear" w:color="auto" w:fill="auto"/>
          </w:tcPr>
          <w:p w14:paraId="7CCB5C7F" w14:textId="46C89DDF" w:rsidR="005D2C45" w:rsidRPr="00B67D63" w:rsidRDefault="00C7172D" w:rsidP="00B67D63">
            <w:pPr>
              <w:jc w:val="center"/>
              <w:rPr>
                <w:rFonts w:cstheme="minorHAnsi"/>
                <w:sz w:val="20"/>
                <w:szCs w:val="20"/>
                <w:lang w:val="sr-Latn-ME"/>
              </w:rPr>
            </w:pPr>
            <w:r w:rsidRPr="00B67D63">
              <w:rPr>
                <w:rFonts w:cstheme="minorHAnsi"/>
                <w:sz w:val="20"/>
                <w:szCs w:val="20"/>
                <w:lang w:val="sr-Latn-ME"/>
              </w:rPr>
              <w:t>5,4</w:t>
            </w:r>
          </w:p>
        </w:tc>
        <w:tc>
          <w:tcPr>
            <w:tcW w:w="1200" w:type="dxa"/>
            <w:shd w:val="clear" w:color="auto" w:fill="auto"/>
          </w:tcPr>
          <w:p w14:paraId="20A87C22" w14:textId="69F118A2" w:rsidR="005D2C45" w:rsidRPr="00B67D63" w:rsidRDefault="00C7172D" w:rsidP="00B67D63">
            <w:pPr>
              <w:jc w:val="center"/>
              <w:rPr>
                <w:rFonts w:cstheme="minorHAnsi"/>
                <w:sz w:val="20"/>
                <w:szCs w:val="20"/>
                <w:lang w:val="sr-Latn-ME"/>
              </w:rPr>
            </w:pPr>
            <w:r w:rsidRPr="00B67D63">
              <w:rPr>
                <w:rFonts w:cstheme="minorHAnsi"/>
                <w:sz w:val="20"/>
                <w:szCs w:val="20"/>
                <w:lang w:val="sr-Latn-ME"/>
              </w:rPr>
              <w:t>4,6</w:t>
            </w:r>
          </w:p>
        </w:tc>
      </w:tr>
      <w:tr w:rsidR="00B67D63" w:rsidRPr="00B67D63" w14:paraId="1BB6AD23" w14:textId="77777777" w:rsidTr="00B67D63">
        <w:tc>
          <w:tcPr>
            <w:tcW w:w="2245" w:type="dxa"/>
            <w:tcBorders>
              <w:top w:val="single" w:sz="4" w:space="0" w:color="808080"/>
              <w:left w:val="single" w:sz="4" w:space="0" w:color="808080"/>
              <w:bottom w:val="single" w:sz="4" w:space="0" w:color="808080"/>
              <w:right w:val="single" w:sz="4" w:space="0" w:color="808080"/>
            </w:tcBorders>
            <w:shd w:val="clear" w:color="auto" w:fill="auto"/>
          </w:tcPr>
          <w:p w14:paraId="3BA63ED6"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Funkcionalna Komisija za suzbijenje neformalne ekonomije</w:t>
            </w:r>
          </w:p>
        </w:tc>
        <w:tc>
          <w:tcPr>
            <w:tcW w:w="2520" w:type="dxa"/>
            <w:tcBorders>
              <w:top w:val="single" w:sz="4" w:space="0" w:color="808080"/>
              <w:left w:val="single" w:sz="4" w:space="0" w:color="808080"/>
              <w:bottom w:val="single" w:sz="4" w:space="0" w:color="808080"/>
              <w:right w:val="single" w:sz="4" w:space="0" w:color="808080"/>
            </w:tcBorders>
            <w:shd w:val="clear" w:color="auto" w:fill="auto"/>
          </w:tcPr>
          <w:p w14:paraId="73C57540"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Broj održanih sastanaka Komisije</w:t>
            </w:r>
          </w:p>
          <w:p w14:paraId="79300C76"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 realizacije zaključaka Komisije</w:t>
            </w:r>
          </w:p>
          <w:p w14:paraId="585F87AD"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 realizacije AP za suzbijanje neformalne ekonomije</w:t>
            </w:r>
          </w:p>
          <w:p w14:paraId="5C69DD51" w14:textId="77777777" w:rsidR="007B2206" w:rsidRPr="00B67D63" w:rsidRDefault="007B2206" w:rsidP="00D72CC7">
            <w:pPr>
              <w:rPr>
                <w:rFonts w:cstheme="minorHAnsi"/>
                <w:sz w:val="20"/>
                <w:szCs w:val="20"/>
                <w:lang w:val="sr-Latn-ME"/>
              </w:rPr>
            </w:pPr>
          </w:p>
          <w:p w14:paraId="435B0094" w14:textId="645C42F7" w:rsidR="007B2206" w:rsidRPr="00B67D63" w:rsidRDefault="007B2206" w:rsidP="00D72CC7">
            <w:pPr>
              <w:rPr>
                <w:rFonts w:cstheme="minorHAnsi"/>
                <w:sz w:val="20"/>
                <w:szCs w:val="20"/>
                <w:lang w:val="sr-Latn-ME"/>
              </w:rPr>
            </w:pPr>
            <w:r w:rsidRPr="00B67D63">
              <w:rPr>
                <w:rFonts w:cstheme="minorHAnsi"/>
                <w:sz w:val="20"/>
                <w:szCs w:val="20"/>
                <w:lang w:val="sr-Latn-ME"/>
              </w:rPr>
              <w:t>Broj zajedničkih aktivnosti organa koji učestvuju u suzbijanju neformalne ekonomije</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5321565" w14:textId="21670D81" w:rsidR="00D72CC7" w:rsidRPr="00B67D63" w:rsidRDefault="00D72CC7" w:rsidP="00D72CC7">
            <w:pPr>
              <w:rPr>
                <w:rFonts w:cstheme="minorHAnsi"/>
                <w:sz w:val="20"/>
                <w:szCs w:val="20"/>
                <w:lang w:val="sr-Latn-ME"/>
              </w:rPr>
            </w:pPr>
            <w:r w:rsidRPr="00B67D63">
              <w:rPr>
                <w:rFonts w:cstheme="minorHAnsi"/>
                <w:sz w:val="20"/>
                <w:szCs w:val="20"/>
                <w:lang w:val="sr-Latn-ME"/>
              </w:rPr>
              <w:t>MF</w:t>
            </w:r>
          </w:p>
        </w:tc>
        <w:tc>
          <w:tcPr>
            <w:tcW w:w="990" w:type="dxa"/>
            <w:tcBorders>
              <w:top w:val="single" w:sz="4" w:space="0" w:color="808080"/>
              <w:left w:val="single" w:sz="4" w:space="0" w:color="808080"/>
              <w:bottom w:val="single" w:sz="4" w:space="0" w:color="808080"/>
              <w:right w:val="single" w:sz="4" w:space="0" w:color="808080"/>
            </w:tcBorders>
            <w:shd w:val="clear" w:color="auto" w:fill="auto"/>
          </w:tcPr>
          <w:p w14:paraId="097DDBB8" w14:textId="77777777" w:rsidR="00D72CC7" w:rsidRPr="00B67D63" w:rsidRDefault="00D72CC7" w:rsidP="00D72CC7">
            <w:pPr>
              <w:jc w:val="center"/>
              <w:rPr>
                <w:rFonts w:cstheme="minorHAnsi"/>
                <w:sz w:val="20"/>
                <w:szCs w:val="20"/>
              </w:rPr>
            </w:pPr>
            <w:r w:rsidRPr="00B67D63">
              <w:rPr>
                <w:rFonts w:cstheme="minorHAnsi"/>
                <w:sz w:val="20"/>
                <w:szCs w:val="20"/>
              </w:rPr>
              <w:t>-</w:t>
            </w:r>
          </w:p>
          <w:p w14:paraId="3C62CAC1" w14:textId="77777777" w:rsidR="00D72CC7" w:rsidRPr="00B67D63" w:rsidRDefault="00D72CC7" w:rsidP="00D72CC7">
            <w:pPr>
              <w:jc w:val="center"/>
              <w:rPr>
                <w:rFonts w:cstheme="minorHAnsi"/>
                <w:sz w:val="20"/>
                <w:szCs w:val="20"/>
              </w:rPr>
            </w:pPr>
          </w:p>
          <w:p w14:paraId="35092EB2" w14:textId="77777777" w:rsidR="00D72CC7" w:rsidRPr="00B67D63" w:rsidRDefault="00D72CC7" w:rsidP="00D72CC7">
            <w:pPr>
              <w:jc w:val="center"/>
              <w:rPr>
                <w:rFonts w:cstheme="minorHAnsi"/>
                <w:sz w:val="20"/>
                <w:szCs w:val="20"/>
              </w:rPr>
            </w:pPr>
            <w:r w:rsidRPr="00B67D63">
              <w:rPr>
                <w:rFonts w:cstheme="minorHAnsi"/>
                <w:sz w:val="20"/>
                <w:szCs w:val="20"/>
              </w:rPr>
              <w:t>-</w:t>
            </w:r>
          </w:p>
          <w:p w14:paraId="3D6B7F2F" w14:textId="3C5141AC" w:rsidR="00D72CC7" w:rsidRPr="00B67D63" w:rsidRDefault="00D72CC7" w:rsidP="00D72CC7">
            <w:pPr>
              <w:rPr>
                <w:rFonts w:cstheme="minorHAnsi"/>
                <w:sz w:val="20"/>
                <w:szCs w:val="20"/>
                <w:lang w:val="sr-Latn-ME"/>
              </w:rPr>
            </w:pPr>
            <w:r w:rsidRPr="00B67D63">
              <w:rPr>
                <w:rFonts w:cstheme="minorHAnsi"/>
                <w:sz w:val="20"/>
                <w:szCs w:val="20"/>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1451499D" w14:textId="77777777" w:rsidR="00D72CC7" w:rsidRPr="00B67D63" w:rsidRDefault="00D72CC7" w:rsidP="00D72CC7">
            <w:pPr>
              <w:jc w:val="center"/>
              <w:rPr>
                <w:rFonts w:cstheme="minorHAnsi"/>
                <w:sz w:val="20"/>
                <w:szCs w:val="20"/>
              </w:rPr>
            </w:pPr>
            <w:r w:rsidRPr="00B67D63">
              <w:rPr>
                <w:rFonts w:cstheme="minorHAnsi"/>
                <w:sz w:val="20"/>
                <w:szCs w:val="20"/>
              </w:rPr>
              <w:t>12</w:t>
            </w:r>
          </w:p>
          <w:p w14:paraId="0D81D59E" w14:textId="77777777" w:rsidR="00D72CC7" w:rsidRPr="00B67D63" w:rsidRDefault="00D72CC7" w:rsidP="00D72CC7">
            <w:pPr>
              <w:jc w:val="center"/>
              <w:rPr>
                <w:rFonts w:cstheme="minorHAnsi"/>
                <w:sz w:val="20"/>
                <w:szCs w:val="20"/>
              </w:rPr>
            </w:pPr>
          </w:p>
          <w:p w14:paraId="48ECD01C" w14:textId="77777777" w:rsidR="00D72CC7" w:rsidRPr="00B67D63" w:rsidRDefault="00D72CC7" w:rsidP="00D72CC7">
            <w:pPr>
              <w:jc w:val="center"/>
              <w:rPr>
                <w:rFonts w:cstheme="minorHAnsi"/>
                <w:sz w:val="20"/>
                <w:szCs w:val="20"/>
              </w:rPr>
            </w:pPr>
            <w:r w:rsidRPr="00B67D63">
              <w:rPr>
                <w:rFonts w:cstheme="minorHAnsi"/>
                <w:sz w:val="20"/>
                <w:szCs w:val="20"/>
              </w:rPr>
              <w:t>70</w:t>
            </w:r>
          </w:p>
          <w:p w14:paraId="3FF8A77A" w14:textId="77777777" w:rsidR="00D72CC7" w:rsidRPr="00B67D63" w:rsidRDefault="00D72CC7" w:rsidP="00D72CC7">
            <w:pPr>
              <w:jc w:val="center"/>
              <w:rPr>
                <w:rFonts w:cstheme="minorHAnsi"/>
                <w:sz w:val="20"/>
                <w:szCs w:val="20"/>
              </w:rPr>
            </w:pPr>
          </w:p>
          <w:p w14:paraId="413DBCFA" w14:textId="77777777" w:rsidR="00D72CC7" w:rsidRPr="00B67D63" w:rsidRDefault="00D72CC7" w:rsidP="00D72CC7">
            <w:pPr>
              <w:jc w:val="center"/>
              <w:rPr>
                <w:rFonts w:cstheme="minorHAnsi"/>
                <w:sz w:val="20"/>
                <w:szCs w:val="20"/>
              </w:rPr>
            </w:pPr>
            <w:r w:rsidRPr="00B67D63">
              <w:rPr>
                <w:rFonts w:cstheme="minorHAnsi"/>
                <w:sz w:val="20"/>
                <w:szCs w:val="20"/>
              </w:rPr>
              <w:t>85</w:t>
            </w:r>
          </w:p>
          <w:p w14:paraId="6BCDF201" w14:textId="77777777" w:rsidR="007B2206" w:rsidRPr="00B67D63" w:rsidRDefault="007B2206" w:rsidP="00D72CC7">
            <w:pPr>
              <w:jc w:val="center"/>
              <w:rPr>
                <w:rFonts w:cstheme="minorHAnsi"/>
                <w:sz w:val="20"/>
                <w:szCs w:val="20"/>
              </w:rPr>
            </w:pPr>
          </w:p>
          <w:p w14:paraId="6A0FD6BB" w14:textId="77777777" w:rsidR="007B2206" w:rsidRPr="00B67D63" w:rsidRDefault="007B2206" w:rsidP="00D72CC7">
            <w:pPr>
              <w:jc w:val="center"/>
              <w:rPr>
                <w:rFonts w:cstheme="minorHAnsi"/>
                <w:sz w:val="20"/>
                <w:szCs w:val="20"/>
              </w:rPr>
            </w:pPr>
          </w:p>
          <w:p w14:paraId="2E142960" w14:textId="77777777" w:rsidR="007B2206" w:rsidRPr="00B67D63" w:rsidRDefault="007B2206" w:rsidP="00D72CC7">
            <w:pPr>
              <w:jc w:val="center"/>
              <w:rPr>
                <w:rFonts w:cstheme="minorHAnsi"/>
                <w:sz w:val="20"/>
                <w:szCs w:val="20"/>
              </w:rPr>
            </w:pPr>
          </w:p>
          <w:p w14:paraId="2464CE4B" w14:textId="77777777" w:rsidR="007B2206" w:rsidRPr="00B67D63" w:rsidRDefault="007B2206" w:rsidP="00D72CC7">
            <w:pPr>
              <w:jc w:val="center"/>
              <w:rPr>
                <w:rFonts w:cstheme="minorHAnsi"/>
                <w:sz w:val="20"/>
                <w:szCs w:val="20"/>
              </w:rPr>
            </w:pPr>
          </w:p>
          <w:p w14:paraId="3EB3BCDB" w14:textId="77777777" w:rsidR="007B2206" w:rsidRPr="00B67D63" w:rsidRDefault="007B2206" w:rsidP="00D72CC7">
            <w:pPr>
              <w:jc w:val="center"/>
              <w:rPr>
                <w:rFonts w:cstheme="minorHAnsi"/>
                <w:sz w:val="20"/>
                <w:szCs w:val="20"/>
              </w:rPr>
            </w:pPr>
          </w:p>
          <w:p w14:paraId="1F077227" w14:textId="5D271093" w:rsidR="007B2206" w:rsidRPr="00B67D63" w:rsidRDefault="007B2206" w:rsidP="00D72CC7">
            <w:pPr>
              <w:jc w:val="center"/>
              <w:rPr>
                <w:rFonts w:cstheme="minorHAnsi"/>
                <w:sz w:val="20"/>
                <w:szCs w:val="20"/>
              </w:rPr>
            </w:pPr>
            <w:r w:rsidRPr="00B67D63">
              <w:rPr>
                <w:rFonts w:cstheme="minorHAnsi"/>
                <w:sz w:val="20"/>
                <w:szCs w:val="20"/>
              </w:rPr>
              <w:t>7</w:t>
            </w:r>
          </w:p>
          <w:p w14:paraId="5FFB1074" w14:textId="77777777" w:rsidR="00D72CC7" w:rsidRPr="00B67D63" w:rsidRDefault="00D72CC7" w:rsidP="00D72CC7">
            <w:pPr>
              <w:rPr>
                <w:rFonts w:cstheme="minorHAnsi"/>
                <w:sz w:val="20"/>
                <w:szCs w:val="20"/>
                <w:lang w:val="sr-Latn-ME"/>
              </w:rPr>
            </w:pPr>
          </w:p>
        </w:tc>
        <w:tc>
          <w:tcPr>
            <w:tcW w:w="1200" w:type="dxa"/>
            <w:tcBorders>
              <w:top w:val="single" w:sz="4" w:space="0" w:color="808080"/>
              <w:left w:val="single" w:sz="4" w:space="0" w:color="808080"/>
              <w:bottom w:val="single" w:sz="4" w:space="0" w:color="808080"/>
              <w:right w:val="single" w:sz="4" w:space="0" w:color="808080"/>
            </w:tcBorders>
            <w:shd w:val="clear" w:color="auto" w:fill="auto"/>
          </w:tcPr>
          <w:p w14:paraId="78878B7F" w14:textId="77777777" w:rsidR="00D72CC7" w:rsidRPr="00B67D63" w:rsidRDefault="00D72CC7" w:rsidP="00D72CC7">
            <w:pPr>
              <w:jc w:val="center"/>
              <w:rPr>
                <w:rFonts w:cstheme="minorHAnsi"/>
                <w:sz w:val="20"/>
                <w:szCs w:val="20"/>
              </w:rPr>
            </w:pPr>
            <w:r w:rsidRPr="00B67D63">
              <w:rPr>
                <w:rFonts w:cstheme="minorHAnsi"/>
                <w:sz w:val="20"/>
                <w:szCs w:val="20"/>
              </w:rPr>
              <w:t>14</w:t>
            </w:r>
          </w:p>
          <w:p w14:paraId="02FF8EB0" w14:textId="77777777" w:rsidR="00D72CC7" w:rsidRPr="00B67D63" w:rsidRDefault="00D72CC7" w:rsidP="00D72CC7">
            <w:pPr>
              <w:jc w:val="center"/>
              <w:rPr>
                <w:rFonts w:cstheme="minorHAnsi"/>
                <w:sz w:val="20"/>
                <w:szCs w:val="20"/>
              </w:rPr>
            </w:pPr>
          </w:p>
          <w:p w14:paraId="211199AE" w14:textId="77777777" w:rsidR="00D72CC7" w:rsidRPr="00B67D63" w:rsidRDefault="00D72CC7" w:rsidP="00D72CC7">
            <w:pPr>
              <w:jc w:val="center"/>
              <w:rPr>
                <w:rFonts w:cstheme="minorHAnsi"/>
                <w:sz w:val="20"/>
                <w:szCs w:val="20"/>
              </w:rPr>
            </w:pPr>
            <w:r w:rsidRPr="00B67D63">
              <w:rPr>
                <w:rFonts w:cstheme="minorHAnsi"/>
                <w:sz w:val="20"/>
                <w:szCs w:val="20"/>
              </w:rPr>
              <w:t>85</w:t>
            </w:r>
          </w:p>
          <w:p w14:paraId="3B417457" w14:textId="77777777" w:rsidR="00D72CC7" w:rsidRPr="00B67D63" w:rsidRDefault="00D72CC7" w:rsidP="00D72CC7">
            <w:pPr>
              <w:jc w:val="center"/>
              <w:rPr>
                <w:rFonts w:cstheme="minorHAnsi"/>
                <w:sz w:val="20"/>
                <w:szCs w:val="20"/>
              </w:rPr>
            </w:pPr>
          </w:p>
          <w:p w14:paraId="6455265C" w14:textId="7868C5B6" w:rsidR="00D72CC7" w:rsidRPr="00B67D63" w:rsidRDefault="00CE72EC" w:rsidP="00D72CC7">
            <w:pPr>
              <w:rPr>
                <w:rFonts w:cstheme="minorHAnsi"/>
                <w:sz w:val="20"/>
                <w:szCs w:val="20"/>
              </w:rPr>
            </w:pPr>
            <w:r w:rsidRPr="00B67D63">
              <w:rPr>
                <w:rFonts w:cstheme="minorHAnsi"/>
                <w:sz w:val="20"/>
                <w:szCs w:val="20"/>
              </w:rPr>
              <w:t xml:space="preserve">          </w:t>
            </w:r>
            <w:r w:rsidR="00D72CC7" w:rsidRPr="00B67D63">
              <w:rPr>
                <w:rFonts w:cstheme="minorHAnsi"/>
                <w:sz w:val="20"/>
                <w:szCs w:val="20"/>
              </w:rPr>
              <w:t>90</w:t>
            </w:r>
          </w:p>
          <w:p w14:paraId="6B680940" w14:textId="77777777" w:rsidR="007B2206" w:rsidRPr="00B67D63" w:rsidRDefault="007B2206" w:rsidP="00D72CC7">
            <w:pPr>
              <w:rPr>
                <w:rFonts w:cstheme="minorHAnsi"/>
                <w:sz w:val="20"/>
                <w:szCs w:val="20"/>
              </w:rPr>
            </w:pPr>
          </w:p>
          <w:p w14:paraId="273C3E06" w14:textId="77777777" w:rsidR="007B2206" w:rsidRPr="00B67D63" w:rsidRDefault="007B2206" w:rsidP="00D72CC7">
            <w:pPr>
              <w:rPr>
                <w:rFonts w:cstheme="minorHAnsi"/>
                <w:sz w:val="20"/>
                <w:szCs w:val="20"/>
              </w:rPr>
            </w:pPr>
          </w:p>
          <w:p w14:paraId="5127F37D" w14:textId="26653EBD" w:rsidR="007B2206" w:rsidRPr="00B67D63" w:rsidRDefault="007B2206" w:rsidP="00D72CC7">
            <w:pPr>
              <w:rPr>
                <w:rFonts w:cstheme="minorHAnsi"/>
                <w:sz w:val="20"/>
                <w:szCs w:val="20"/>
              </w:rPr>
            </w:pPr>
          </w:p>
          <w:p w14:paraId="2A32EC42" w14:textId="77777777" w:rsidR="007B2206" w:rsidRPr="00B67D63" w:rsidRDefault="007B2206" w:rsidP="00D72CC7">
            <w:pPr>
              <w:rPr>
                <w:rFonts w:cstheme="minorHAnsi"/>
                <w:sz w:val="20"/>
                <w:szCs w:val="20"/>
              </w:rPr>
            </w:pPr>
          </w:p>
          <w:p w14:paraId="1F808670" w14:textId="77777777" w:rsidR="007B2206" w:rsidRPr="00B67D63" w:rsidRDefault="007B2206" w:rsidP="00D72CC7">
            <w:pPr>
              <w:rPr>
                <w:rFonts w:cstheme="minorHAnsi"/>
                <w:sz w:val="20"/>
                <w:szCs w:val="20"/>
              </w:rPr>
            </w:pPr>
          </w:p>
          <w:p w14:paraId="36D3245F" w14:textId="77777777" w:rsidR="007B2206" w:rsidRPr="00B67D63" w:rsidRDefault="007B2206" w:rsidP="00D72CC7">
            <w:pPr>
              <w:rPr>
                <w:rFonts w:cstheme="minorHAnsi"/>
                <w:sz w:val="20"/>
                <w:szCs w:val="20"/>
              </w:rPr>
            </w:pPr>
          </w:p>
          <w:p w14:paraId="3DB31EF0" w14:textId="152490C9" w:rsidR="007B2206" w:rsidRPr="00B67D63" w:rsidRDefault="007B2206" w:rsidP="00D72CC7">
            <w:pPr>
              <w:rPr>
                <w:rFonts w:cstheme="minorHAnsi"/>
                <w:sz w:val="20"/>
                <w:szCs w:val="20"/>
                <w:lang w:val="sr-Latn-ME"/>
              </w:rPr>
            </w:pPr>
            <w:r w:rsidRPr="00B67D63">
              <w:rPr>
                <w:rFonts w:cstheme="minorHAnsi"/>
                <w:sz w:val="20"/>
                <w:szCs w:val="20"/>
              </w:rPr>
              <w:t>10</w:t>
            </w:r>
          </w:p>
        </w:tc>
      </w:tr>
      <w:tr w:rsidR="00B67D63" w:rsidRPr="00B67D63" w14:paraId="2C308706" w14:textId="77777777" w:rsidTr="00B67D63">
        <w:tc>
          <w:tcPr>
            <w:tcW w:w="2245" w:type="dxa"/>
            <w:tcBorders>
              <w:top w:val="single" w:sz="4" w:space="0" w:color="808080"/>
              <w:left w:val="single" w:sz="4" w:space="0" w:color="808080"/>
              <w:bottom w:val="single" w:sz="4" w:space="0" w:color="808080"/>
              <w:right w:val="single" w:sz="4" w:space="0" w:color="808080"/>
            </w:tcBorders>
            <w:shd w:val="clear" w:color="auto" w:fill="auto"/>
          </w:tcPr>
          <w:p w14:paraId="4F335FBB"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 xml:space="preserve">Unaprijeđeni administrativni kapaciteti u nadzoru nad tržištem </w:t>
            </w:r>
          </w:p>
        </w:tc>
        <w:tc>
          <w:tcPr>
            <w:tcW w:w="2520" w:type="dxa"/>
            <w:tcBorders>
              <w:top w:val="single" w:sz="4" w:space="0" w:color="808080"/>
              <w:left w:val="single" w:sz="4" w:space="0" w:color="808080"/>
              <w:bottom w:val="single" w:sz="4" w:space="0" w:color="808080"/>
              <w:right w:val="single" w:sz="4" w:space="0" w:color="808080"/>
            </w:tcBorders>
            <w:shd w:val="clear" w:color="auto" w:fill="auto"/>
          </w:tcPr>
          <w:p w14:paraId="00EC67DF"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Stepen izvršenja planova inspekcijskog nadzora (% od ukupnog)</w:t>
            </w:r>
          </w:p>
          <w:p w14:paraId="08598ED0" w14:textId="1CA06941" w:rsidR="00D72CC7" w:rsidRPr="00B67D63" w:rsidRDefault="00D72CC7" w:rsidP="00D72CC7">
            <w:pPr>
              <w:rPr>
                <w:rFonts w:cstheme="minorHAnsi"/>
                <w:sz w:val="20"/>
                <w:szCs w:val="20"/>
                <w:lang w:val="sr-Latn-ME"/>
              </w:rPr>
            </w:pPr>
            <w:r w:rsidRPr="00B67D63">
              <w:rPr>
                <w:rFonts w:cstheme="minorHAnsi"/>
                <w:sz w:val="20"/>
                <w:szCs w:val="20"/>
                <w:lang w:val="sr-Latn-ME"/>
              </w:rPr>
              <w:t>% Povećanja broja ins</w:t>
            </w:r>
            <w:r w:rsidR="00420684" w:rsidRPr="00B67D63">
              <w:rPr>
                <w:rFonts w:cstheme="minorHAnsi"/>
                <w:sz w:val="20"/>
                <w:szCs w:val="20"/>
                <w:lang w:val="sr-Latn-ME"/>
              </w:rPr>
              <w:t>p</w:t>
            </w:r>
            <w:r w:rsidRPr="00B67D63">
              <w:rPr>
                <w:rFonts w:cstheme="minorHAnsi"/>
                <w:sz w:val="20"/>
                <w:szCs w:val="20"/>
                <w:lang w:val="sr-Latn-ME"/>
              </w:rPr>
              <w:t>ektora</w:t>
            </w:r>
          </w:p>
          <w:p w14:paraId="6EC868E6" w14:textId="059F65BB" w:rsidR="00D72CC7" w:rsidRPr="00B67D63" w:rsidRDefault="00D72CC7" w:rsidP="00D72CC7">
            <w:pPr>
              <w:rPr>
                <w:rFonts w:cstheme="minorHAnsi"/>
                <w:sz w:val="20"/>
                <w:szCs w:val="20"/>
                <w:lang w:val="sr-Latn-ME"/>
              </w:rPr>
            </w:pPr>
            <w:r w:rsidRPr="00B67D63">
              <w:rPr>
                <w:rFonts w:cstheme="minorHAnsi"/>
                <w:sz w:val="20"/>
                <w:szCs w:val="20"/>
                <w:lang w:val="sr-Latn-ME"/>
              </w:rPr>
              <w:t xml:space="preserve">% povećanja obuka inspektora inspektora </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96D32C2"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UPC</w:t>
            </w:r>
          </w:p>
          <w:p w14:paraId="0D410DA1"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UIP</w:t>
            </w:r>
          </w:p>
        </w:tc>
        <w:tc>
          <w:tcPr>
            <w:tcW w:w="990" w:type="dxa"/>
            <w:tcBorders>
              <w:top w:val="single" w:sz="4" w:space="0" w:color="808080"/>
              <w:left w:val="single" w:sz="4" w:space="0" w:color="808080"/>
              <w:bottom w:val="single" w:sz="4" w:space="0" w:color="808080"/>
              <w:right w:val="single" w:sz="4" w:space="0" w:color="808080"/>
            </w:tcBorders>
            <w:shd w:val="clear" w:color="auto" w:fill="auto"/>
          </w:tcPr>
          <w:p w14:paraId="13B4821A" w14:textId="49FA426F" w:rsidR="00D72CC7" w:rsidRPr="00B67D63" w:rsidRDefault="00D72CC7" w:rsidP="00D72CC7">
            <w:pPr>
              <w:rPr>
                <w:rFonts w:cstheme="minorHAnsi"/>
                <w:sz w:val="20"/>
                <w:szCs w:val="20"/>
                <w:lang w:val="sr-Latn-ME"/>
              </w:rPr>
            </w:pP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77EC0C" w14:textId="1216D111" w:rsidR="00D72CC7" w:rsidRPr="00B67D63" w:rsidRDefault="00D72CC7" w:rsidP="00D72CC7">
            <w:pPr>
              <w:rPr>
                <w:rFonts w:cstheme="minorHAnsi"/>
                <w:sz w:val="20"/>
                <w:szCs w:val="20"/>
                <w:lang w:val="sr-Latn-ME"/>
              </w:rPr>
            </w:pPr>
            <w:r w:rsidRPr="00B67D63">
              <w:rPr>
                <w:rFonts w:cstheme="minorHAnsi"/>
                <w:sz w:val="20"/>
                <w:szCs w:val="20"/>
                <w:lang w:val="sr-Latn-ME"/>
              </w:rPr>
              <w:t>70</w:t>
            </w:r>
          </w:p>
          <w:p w14:paraId="40F93580" w14:textId="77777777" w:rsidR="00D72CC7" w:rsidRPr="00B67D63" w:rsidRDefault="00D72CC7" w:rsidP="00D72CC7">
            <w:pPr>
              <w:rPr>
                <w:rFonts w:cstheme="minorHAnsi"/>
                <w:sz w:val="20"/>
                <w:szCs w:val="20"/>
                <w:lang w:val="sr-Latn-ME"/>
              </w:rPr>
            </w:pPr>
          </w:p>
          <w:p w14:paraId="43FA2648" w14:textId="77777777" w:rsidR="00D72CC7" w:rsidRPr="00B67D63" w:rsidRDefault="00D72CC7" w:rsidP="00D72CC7">
            <w:pPr>
              <w:rPr>
                <w:rFonts w:cstheme="minorHAnsi"/>
                <w:sz w:val="20"/>
                <w:szCs w:val="20"/>
                <w:lang w:val="sr-Latn-ME"/>
              </w:rPr>
            </w:pPr>
          </w:p>
          <w:p w14:paraId="5EB89B0E" w14:textId="77777777" w:rsidR="00D72CC7" w:rsidRPr="00B67D63" w:rsidRDefault="00D72CC7" w:rsidP="00D72CC7">
            <w:pPr>
              <w:rPr>
                <w:rFonts w:cstheme="minorHAnsi"/>
                <w:sz w:val="20"/>
                <w:szCs w:val="20"/>
                <w:lang w:val="sr-Latn-ME"/>
              </w:rPr>
            </w:pPr>
          </w:p>
          <w:p w14:paraId="76F9269C" w14:textId="300F9F85" w:rsidR="00D72CC7" w:rsidRPr="00B67D63" w:rsidRDefault="00D72CC7" w:rsidP="00D72CC7">
            <w:pPr>
              <w:rPr>
                <w:rFonts w:cstheme="minorHAnsi"/>
                <w:sz w:val="20"/>
                <w:szCs w:val="20"/>
                <w:lang w:val="sr-Latn-ME"/>
              </w:rPr>
            </w:pPr>
            <w:r w:rsidRPr="00B67D63">
              <w:rPr>
                <w:rFonts w:cstheme="minorHAnsi"/>
                <w:sz w:val="20"/>
                <w:szCs w:val="20"/>
                <w:lang w:val="sr-Latn-ME"/>
              </w:rPr>
              <w:t>4</w:t>
            </w:r>
          </w:p>
          <w:p w14:paraId="11B1205E" w14:textId="77777777" w:rsidR="00D72CC7" w:rsidRPr="00B67D63" w:rsidRDefault="00D72CC7" w:rsidP="00D72CC7">
            <w:pPr>
              <w:rPr>
                <w:rFonts w:cstheme="minorHAnsi"/>
                <w:sz w:val="20"/>
                <w:szCs w:val="20"/>
                <w:lang w:val="sr-Latn-ME"/>
              </w:rPr>
            </w:pPr>
          </w:p>
          <w:p w14:paraId="77790482" w14:textId="77777777" w:rsidR="00D72CC7" w:rsidRPr="00B67D63" w:rsidRDefault="00D72CC7" w:rsidP="00D72CC7">
            <w:pPr>
              <w:rPr>
                <w:rFonts w:cstheme="minorHAnsi"/>
                <w:sz w:val="20"/>
                <w:szCs w:val="20"/>
                <w:lang w:val="sr-Latn-ME"/>
              </w:rPr>
            </w:pPr>
          </w:p>
          <w:p w14:paraId="0EEFE428" w14:textId="378F0382" w:rsidR="00D72CC7" w:rsidRPr="00B67D63" w:rsidRDefault="00D72CC7" w:rsidP="00D72CC7">
            <w:pPr>
              <w:rPr>
                <w:rFonts w:cstheme="minorHAnsi"/>
                <w:sz w:val="20"/>
                <w:szCs w:val="20"/>
                <w:lang w:val="sr-Latn-ME"/>
              </w:rPr>
            </w:pPr>
            <w:r w:rsidRPr="00B67D63">
              <w:rPr>
                <w:rFonts w:cstheme="minorHAnsi"/>
                <w:sz w:val="20"/>
                <w:szCs w:val="20"/>
                <w:lang w:val="sr-Latn-ME"/>
              </w:rPr>
              <w:t xml:space="preserve"> 10</w:t>
            </w:r>
          </w:p>
        </w:tc>
        <w:tc>
          <w:tcPr>
            <w:tcW w:w="1200" w:type="dxa"/>
            <w:tcBorders>
              <w:top w:val="single" w:sz="4" w:space="0" w:color="808080"/>
              <w:left w:val="single" w:sz="4" w:space="0" w:color="808080"/>
              <w:bottom w:val="single" w:sz="4" w:space="0" w:color="808080"/>
              <w:right w:val="single" w:sz="4" w:space="0" w:color="808080"/>
            </w:tcBorders>
            <w:shd w:val="clear" w:color="auto" w:fill="auto"/>
          </w:tcPr>
          <w:p w14:paraId="0CC41170" w14:textId="105F38B8" w:rsidR="00D72CC7" w:rsidRPr="00B67D63" w:rsidRDefault="00D72CC7" w:rsidP="00D72CC7">
            <w:pPr>
              <w:rPr>
                <w:rFonts w:cstheme="minorHAnsi"/>
                <w:sz w:val="20"/>
                <w:szCs w:val="20"/>
                <w:lang w:val="sr-Latn-ME"/>
              </w:rPr>
            </w:pPr>
            <w:r w:rsidRPr="00B67D63">
              <w:rPr>
                <w:rFonts w:cstheme="minorHAnsi"/>
                <w:sz w:val="20"/>
                <w:szCs w:val="20"/>
                <w:lang w:val="sr-Latn-ME"/>
              </w:rPr>
              <w:t>75</w:t>
            </w:r>
          </w:p>
          <w:p w14:paraId="4C3C3015" w14:textId="77777777" w:rsidR="00D72CC7" w:rsidRPr="00B67D63" w:rsidRDefault="00D72CC7" w:rsidP="00D72CC7">
            <w:pPr>
              <w:rPr>
                <w:rFonts w:cstheme="minorHAnsi"/>
                <w:sz w:val="20"/>
                <w:szCs w:val="20"/>
                <w:lang w:val="sr-Latn-ME"/>
              </w:rPr>
            </w:pPr>
          </w:p>
          <w:p w14:paraId="6B6B9566" w14:textId="77777777" w:rsidR="00D72CC7" w:rsidRPr="00B67D63" w:rsidRDefault="00D72CC7" w:rsidP="00D72CC7">
            <w:pPr>
              <w:rPr>
                <w:rFonts w:cstheme="minorHAnsi"/>
                <w:sz w:val="20"/>
                <w:szCs w:val="20"/>
                <w:lang w:val="sr-Latn-ME"/>
              </w:rPr>
            </w:pPr>
          </w:p>
          <w:p w14:paraId="16787A0E" w14:textId="77777777" w:rsidR="00D72CC7" w:rsidRPr="00B67D63" w:rsidRDefault="00D72CC7" w:rsidP="00D72CC7">
            <w:pPr>
              <w:rPr>
                <w:rFonts w:cstheme="minorHAnsi"/>
                <w:sz w:val="20"/>
                <w:szCs w:val="20"/>
                <w:lang w:val="sr-Latn-ME"/>
              </w:rPr>
            </w:pPr>
          </w:p>
          <w:p w14:paraId="3F0CA521" w14:textId="62677F64" w:rsidR="00D72CC7" w:rsidRPr="00B67D63" w:rsidRDefault="00D72CC7" w:rsidP="00D72CC7">
            <w:pPr>
              <w:rPr>
                <w:rFonts w:cstheme="minorHAnsi"/>
                <w:sz w:val="20"/>
                <w:szCs w:val="20"/>
                <w:lang w:val="sr-Latn-ME"/>
              </w:rPr>
            </w:pPr>
            <w:r w:rsidRPr="00B67D63">
              <w:rPr>
                <w:rFonts w:cstheme="minorHAnsi"/>
                <w:sz w:val="20"/>
                <w:szCs w:val="20"/>
                <w:lang w:val="sr-Latn-ME"/>
              </w:rPr>
              <w:t>3</w:t>
            </w:r>
          </w:p>
          <w:p w14:paraId="0835EF2A" w14:textId="77777777" w:rsidR="00D72CC7" w:rsidRPr="00B67D63" w:rsidRDefault="00D72CC7" w:rsidP="00D72CC7">
            <w:pPr>
              <w:rPr>
                <w:rFonts w:cstheme="minorHAnsi"/>
                <w:sz w:val="20"/>
                <w:szCs w:val="20"/>
                <w:lang w:val="sr-Latn-ME"/>
              </w:rPr>
            </w:pPr>
          </w:p>
          <w:p w14:paraId="5638DA5C" w14:textId="77777777" w:rsidR="00D72CC7" w:rsidRPr="00B67D63" w:rsidRDefault="00D72CC7" w:rsidP="00D72CC7">
            <w:pPr>
              <w:rPr>
                <w:rFonts w:cstheme="minorHAnsi"/>
                <w:sz w:val="20"/>
                <w:szCs w:val="20"/>
                <w:lang w:val="sr-Latn-ME"/>
              </w:rPr>
            </w:pPr>
          </w:p>
          <w:p w14:paraId="24109BAA" w14:textId="04866673" w:rsidR="00D72CC7" w:rsidRPr="00B67D63" w:rsidRDefault="00D72CC7" w:rsidP="00D72CC7">
            <w:pPr>
              <w:rPr>
                <w:rFonts w:cstheme="minorHAnsi"/>
                <w:sz w:val="20"/>
                <w:szCs w:val="20"/>
                <w:lang w:val="sr-Latn-ME"/>
              </w:rPr>
            </w:pPr>
            <w:r w:rsidRPr="00B67D63">
              <w:rPr>
                <w:rFonts w:cstheme="minorHAnsi"/>
                <w:sz w:val="20"/>
                <w:szCs w:val="20"/>
                <w:lang w:val="sr-Latn-ME"/>
              </w:rPr>
              <w:t>10</w:t>
            </w:r>
          </w:p>
        </w:tc>
      </w:tr>
      <w:tr w:rsidR="00B67D63" w:rsidRPr="00B67D63" w14:paraId="16C5A26F" w14:textId="77777777" w:rsidTr="00B67D63">
        <w:tc>
          <w:tcPr>
            <w:tcW w:w="2245" w:type="dxa"/>
            <w:tcBorders>
              <w:top w:val="single" w:sz="4" w:space="0" w:color="808080"/>
              <w:left w:val="single" w:sz="4" w:space="0" w:color="808080"/>
              <w:bottom w:val="single" w:sz="4" w:space="0" w:color="808080"/>
              <w:right w:val="single" w:sz="4" w:space="0" w:color="808080"/>
            </w:tcBorders>
            <w:shd w:val="clear" w:color="auto" w:fill="auto"/>
          </w:tcPr>
          <w:p w14:paraId="5CB8C8D8"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Smanjen broj prekršaja privrednih subjekata i ovlašćenih lica u privrednom poslovanju</w:t>
            </w:r>
          </w:p>
        </w:tc>
        <w:tc>
          <w:tcPr>
            <w:tcW w:w="2520" w:type="dxa"/>
            <w:tcBorders>
              <w:top w:val="single" w:sz="4" w:space="0" w:color="808080"/>
              <w:left w:val="single" w:sz="4" w:space="0" w:color="808080"/>
              <w:bottom w:val="single" w:sz="4" w:space="0" w:color="808080"/>
              <w:right w:val="single" w:sz="4" w:space="0" w:color="808080"/>
            </w:tcBorders>
            <w:shd w:val="clear" w:color="auto" w:fill="auto"/>
          </w:tcPr>
          <w:p w14:paraId="37FDF43D" w14:textId="60A7CC1B" w:rsidR="00D72CC7" w:rsidRPr="00B67D63" w:rsidRDefault="00D72CC7" w:rsidP="00D72CC7">
            <w:pPr>
              <w:rPr>
                <w:rFonts w:cstheme="minorHAnsi"/>
                <w:sz w:val="20"/>
                <w:szCs w:val="20"/>
                <w:lang w:val="sr-Latn-ME"/>
              </w:rPr>
            </w:pPr>
            <w:r w:rsidRPr="00B67D63">
              <w:rPr>
                <w:rFonts w:cstheme="minorHAnsi"/>
                <w:sz w:val="20"/>
                <w:szCs w:val="20"/>
                <w:lang w:val="sr-Latn-ME"/>
              </w:rPr>
              <w:t xml:space="preserve">% povećanja podnijetih prekršajnih naloga u poslovanju privrednih subjekata </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248FA5F9"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Privredni sud</w:t>
            </w:r>
          </w:p>
          <w:p w14:paraId="35DF04D2" w14:textId="77777777" w:rsidR="00D72CC7" w:rsidRPr="00B67D63" w:rsidRDefault="00D72CC7" w:rsidP="00D72CC7">
            <w:pPr>
              <w:rPr>
                <w:rFonts w:cstheme="minorHAnsi"/>
                <w:sz w:val="20"/>
                <w:szCs w:val="20"/>
                <w:lang w:val="sr-Latn-ME"/>
              </w:rPr>
            </w:pPr>
            <w:r w:rsidRPr="00B67D63">
              <w:rPr>
                <w:rFonts w:cstheme="minorHAnsi"/>
                <w:sz w:val="20"/>
                <w:szCs w:val="20"/>
                <w:lang w:val="sr-Latn-ME"/>
              </w:rPr>
              <w:t>Sud za prekršaje</w:t>
            </w:r>
          </w:p>
          <w:p w14:paraId="47C8AB14" w14:textId="77777777" w:rsidR="00D72CC7" w:rsidRPr="00B67D63" w:rsidRDefault="00D72CC7" w:rsidP="00D72CC7">
            <w:pPr>
              <w:rPr>
                <w:rFonts w:cstheme="minorHAnsi"/>
                <w:sz w:val="20"/>
                <w:szCs w:val="20"/>
                <w:lang w:val="sr-Latn-ME"/>
              </w:rPr>
            </w:pPr>
          </w:p>
        </w:tc>
        <w:tc>
          <w:tcPr>
            <w:tcW w:w="990" w:type="dxa"/>
            <w:tcBorders>
              <w:top w:val="single" w:sz="4" w:space="0" w:color="808080"/>
              <w:left w:val="single" w:sz="4" w:space="0" w:color="808080"/>
              <w:bottom w:val="single" w:sz="4" w:space="0" w:color="808080"/>
              <w:right w:val="single" w:sz="4" w:space="0" w:color="808080"/>
            </w:tcBorders>
            <w:shd w:val="clear" w:color="auto" w:fill="auto"/>
          </w:tcPr>
          <w:p w14:paraId="78580058" w14:textId="77777777" w:rsidR="00D72CC7" w:rsidRPr="00B67D63" w:rsidRDefault="00D72CC7" w:rsidP="00D72CC7">
            <w:pPr>
              <w:rPr>
                <w:rFonts w:cstheme="minorHAnsi"/>
                <w:sz w:val="20"/>
                <w:szCs w:val="20"/>
                <w:lang w:val="sr-Latn-ME"/>
              </w:rPr>
            </w:pP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63122741" w14:textId="35C76830" w:rsidR="00D72CC7" w:rsidRPr="00B67D63" w:rsidRDefault="009D1610" w:rsidP="00D72CC7">
            <w:pPr>
              <w:rPr>
                <w:rFonts w:cstheme="minorHAnsi"/>
                <w:sz w:val="20"/>
                <w:szCs w:val="20"/>
                <w:lang w:val="sr-Latn-ME"/>
              </w:rPr>
            </w:pPr>
            <w:r w:rsidRPr="00B67D63">
              <w:rPr>
                <w:rFonts w:cstheme="minorHAnsi"/>
                <w:sz w:val="20"/>
                <w:szCs w:val="20"/>
                <w:lang w:val="sr-Latn-ME"/>
              </w:rPr>
              <w:t>7</w:t>
            </w:r>
          </w:p>
        </w:tc>
        <w:tc>
          <w:tcPr>
            <w:tcW w:w="1200" w:type="dxa"/>
            <w:tcBorders>
              <w:top w:val="single" w:sz="4" w:space="0" w:color="808080"/>
              <w:left w:val="single" w:sz="4" w:space="0" w:color="808080"/>
              <w:bottom w:val="single" w:sz="4" w:space="0" w:color="808080"/>
              <w:right w:val="single" w:sz="4" w:space="0" w:color="808080"/>
            </w:tcBorders>
            <w:shd w:val="clear" w:color="auto" w:fill="auto"/>
          </w:tcPr>
          <w:p w14:paraId="4A78C90C" w14:textId="2EADD105" w:rsidR="00D72CC7" w:rsidRPr="00B67D63" w:rsidRDefault="009D1610" w:rsidP="00D72CC7">
            <w:pPr>
              <w:rPr>
                <w:rFonts w:cstheme="minorHAnsi"/>
                <w:sz w:val="20"/>
                <w:szCs w:val="20"/>
                <w:lang w:val="sr-Latn-ME"/>
              </w:rPr>
            </w:pPr>
            <w:r w:rsidRPr="00B67D63">
              <w:rPr>
                <w:rFonts w:cstheme="minorHAnsi"/>
                <w:sz w:val="20"/>
                <w:szCs w:val="20"/>
                <w:lang w:val="sr-Latn-ME"/>
              </w:rPr>
              <w:t>9</w:t>
            </w:r>
          </w:p>
        </w:tc>
      </w:tr>
    </w:tbl>
    <w:bookmarkEnd w:id="37"/>
    <w:bookmarkEnd w:id="38"/>
    <w:bookmarkEnd w:id="40"/>
    <w:p w14:paraId="383C38DA" w14:textId="7CA91FD2" w:rsidR="001E5BF1" w:rsidRPr="00021CDC" w:rsidRDefault="001E5BF1" w:rsidP="001E5BF1">
      <w:pPr>
        <w:rPr>
          <w:b/>
          <w:bCs/>
          <w:color w:val="1F3864" w:themeColor="accent1" w:themeShade="80"/>
          <w:sz w:val="24"/>
          <w:szCs w:val="24"/>
          <w:lang w:val="sr-Latn-ME"/>
        </w:rPr>
      </w:pPr>
      <w:r w:rsidRPr="00AA1E48">
        <w:rPr>
          <w:b/>
          <w:bCs/>
          <w:color w:val="1F3864" w:themeColor="accent1" w:themeShade="80"/>
          <w:sz w:val="24"/>
          <w:szCs w:val="24"/>
        </w:rPr>
        <w:lastRenderedPageBreak/>
        <w:t>O</w:t>
      </w:r>
      <w:r w:rsidR="00D72CC7">
        <w:rPr>
          <w:b/>
          <w:bCs/>
          <w:color w:val="1F3864" w:themeColor="accent1" w:themeShade="80"/>
          <w:sz w:val="24"/>
          <w:szCs w:val="24"/>
        </w:rPr>
        <w:t>C</w:t>
      </w:r>
      <w:r w:rsidRPr="00021CDC">
        <w:rPr>
          <w:b/>
          <w:bCs/>
          <w:color w:val="1F3864" w:themeColor="accent1" w:themeShade="80"/>
          <w:sz w:val="24"/>
          <w:szCs w:val="24"/>
          <w:lang w:val="sr-Latn-ME"/>
        </w:rPr>
        <w:t xml:space="preserve"> 5- </w:t>
      </w:r>
      <w:proofErr w:type="spellStart"/>
      <w:r w:rsidRPr="00AA1E48">
        <w:rPr>
          <w:b/>
          <w:bCs/>
          <w:color w:val="1F3864" w:themeColor="accent1" w:themeShade="80"/>
          <w:sz w:val="24"/>
          <w:szCs w:val="24"/>
        </w:rPr>
        <w:t>Smanjenje</w:t>
      </w:r>
      <w:proofErr w:type="spellEnd"/>
      <w:r w:rsidRPr="00021CDC">
        <w:rPr>
          <w:b/>
          <w:bCs/>
          <w:color w:val="1F3864" w:themeColor="accent1" w:themeShade="80"/>
          <w:sz w:val="24"/>
          <w:szCs w:val="24"/>
          <w:lang w:val="sr-Latn-ME"/>
        </w:rPr>
        <w:t xml:space="preserve"> </w:t>
      </w:r>
      <w:proofErr w:type="spellStart"/>
      <w:r w:rsidRPr="00AA1E48">
        <w:rPr>
          <w:b/>
          <w:bCs/>
          <w:color w:val="1F3864" w:themeColor="accent1" w:themeShade="80"/>
          <w:sz w:val="24"/>
          <w:szCs w:val="24"/>
        </w:rPr>
        <w:t>dru</w:t>
      </w:r>
      <w:proofErr w:type="spellEnd"/>
      <w:r w:rsidRPr="00021CDC">
        <w:rPr>
          <w:b/>
          <w:bCs/>
          <w:color w:val="1F3864" w:themeColor="accent1" w:themeShade="80"/>
          <w:sz w:val="24"/>
          <w:szCs w:val="24"/>
          <w:lang w:val="sr-Latn-ME"/>
        </w:rPr>
        <w:t>š</w:t>
      </w:r>
      <w:proofErr w:type="spellStart"/>
      <w:r w:rsidRPr="00AA1E48">
        <w:rPr>
          <w:b/>
          <w:bCs/>
          <w:color w:val="1F3864" w:themeColor="accent1" w:themeShade="80"/>
          <w:sz w:val="24"/>
          <w:szCs w:val="24"/>
        </w:rPr>
        <w:t>tvene</w:t>
      </w:r>
      <w:proofErr w:type="spellEnd"/>
      <w:r w:rsidRPr="00021CDC">
        <w:rPr>
          <w:b/>
          <w:bCs/>
          <w:color w:val="1F3864" w:themeColor="accent1" w:themeShade="80"/>
          <w:sz w:val="24"/>
          <w:szCs w:val="24"/>
          <w:lang w:val="sr-Latn-ME"/>
        </w:rPr>
        <w:t xml:space="preserve"> </w:t>
      </w:r>
      <w:proofErr w:type="spellStart"/>
      <w:r w:rsidRPr="00AA1E48">
        <w:rPr>
          <w:b/>
          <w:bCs/>
          <w:color w:val="1F3864" w:themeColor="accent1" w:themeShade="80"/>
          <w:sz w:val="24"/>
          <w:szCs w:val="24"/>
        </w:rPr>
        <w:t>prihvatljivosti</w:t>
      </w:r>
      <w:proofErr w:type="spellEnd"/>
      <w:r w:rsidRPr="00021CDC">
        <w:rPr>
          <w:b/>
          <w:bCs/>
          <w:color w:val="1F3864" w:themeColor="accent1" w:themeShade="80"/>
          <w:sz w:val="24"/>
          <w:szCs w:val="24"/>
          <w:lang w:val="sr-Latn-ME"/>
        </w:rPr>
        <w:t xml:space="preserve"> </w:t>
      </w:r>
      <w:proofErr w:type="spellStart"/>
      <w:r w:rsidRPr="00AA1E48">
        <w:rPr>
          <w:b/>
          <w:bCs/>
          <w:color w:val="1F3864" w:themeColor="accent1" w:themeShade="80"/>
          <w:sz w:val="24"/>
          <w:szCs w:val="24"/>
        </w:rPr>
        <w:t>neformalne</w:t>
      </w:r>
      <w:proofErr w:type="spellEnd"/>
      <w:r w:rsidRPr="00021CDC">
        <w:rPr>
          <w:b/>
          <w:bCs/>
          <w:color w:val="1F3864" w:themeColor="accent1" w:themeShade="80"/>
          <w:sz w:val="24"/>
          <w:szCs w:val="24"/>
          <w:lang w:val="sr-Latn-ME"/>
        </w:rPr>
        <w:t xml:space="preserve"> </w:t>
      </w:r>
      <w:proofErr w:type="spellStart"/>
      <w:r w:rsidRPr="00AA1E48">
        <w:rPr>
          <w:b/>
          <w:bCs/>
          <w:color w:val="1F3864" w:themeColor="accent1" w:themeShade="80"/>
          <w:sz w:val="24"/>
          <w:szCs w:val="24"/>
        </w:rPr>
        <w:t>ekonomije</w:t>
      </w:r>
      <w:proofErr w:type="spellEnd"/>
      <w:r w:rsidRPr="00AA1E48">
        <w:rPr>
          <w:b/>
          <w:bCs/>
          <w:color w:val="1F3864" w:themeColor="accent1" w:themeShade="80"/>
          <w:sz w:val="24"/>
          <w:szCs w:val="24"/>
        </w:rPr>
        <w:t> </w:t>
      </w:r>
    </w:p>
    <w:p w14:paraId="3C5DC6DE" w14:textId="25237EDD" w:rsidR="00544DD4" w:rsidRPr="00021CDC" w:rsidRDefault="00544DD4" w:rsidP="006F3F60">
      <w:pPr>
        <w:jc w:val="both"/>
        <w:rPr>
          <w:sz w:val="24"/>
          <w:szCs w:val="24"/>
          <w:lang w:val="pl-PL"/>
        </w:rPr>
      </w:pPr>
      <w:r w:rsidRPr="00021CDC">
        <w:rPr>
          <w:sz w:val="24"/>
          <w:szCs w:val="24"/>
          <w:lang w:val="pl-PL"/>
        </w:rPr>
        <w:t>Negativne konsekvence nef</w:t>
      </w:r>
      <w:r w:rsidR="00A85074">
        <w:rPr>
          <w:sz w:val="24"/>
          <w:szCs w:val="24"/>
          <w:lang w:val="pl-PL"/>
        </w:rPr>
        <w:t>o</w:t>
      </w:r>
      <w:r w:rsidRPr="00021CDC">
        <w:rPr>
          <w:sz w:val="24"/>
          <w:szCs w:val="24"/>
          <w:lang w:val="pl-PL"/>
        </w:rPr>
        <w:t xml:space="preserve">rmalne ekonomije su često dobro shvaćene od strane akademske zajednice </w:t>
      </w:r>
      <w:r w:rsidR="00B161CD" w:rsidRPr="00021CDC">
        <w:rPr>
          <w:sz w:val="24"/>
          <w:szCs w:val="24"/>
          <w:lang w:val="pl-PL"/>
        </w:rPr>
        <w:t>i</w:t>
      </w:r>
      <w:r w:rsidRPr="00021CDC">
        <w:rPr>
          <w:sz w:val="24"/>
          <w:szCs w:val="24"/>
          <w:lang w:val="pl-PL"/>
        </w:rPr>
        <w:t xml:space="preserve"> vlade, ali one često nijesu dovoljno shvaćene od strane šire javnosti.</w:t>
      </w:r>
      <w:r w:rsidR="00A56EE4" w:rsidRPr="00021CDC">
        <w:rPr>
          <w:sz w:val="24"/>
          <w:szCs w:val="24"/>
          <w:lang w:val="pl-PL"/>
        </w:rPr>
        <w:t xml:space="preserve"> </w:t>
      </w:r>
      <w:r w:rsidRPr="00021CDC">
        <w:rPr>
          <w:sz w:val="24"/>
          <w:szCs w:val="24"/>
          <w:lang w:val="pl-PL"/>
        </w:rPr>
        <w:t>Istraživanja su pokazala da su različiti profili poreskih obveznika u čak u razvijenim zemljama, pokazali sklonost ka većim gotovinskim plaćanjima kako bi izbjegli dio poreskih obaveza. Dodatno su pokazala, da građani tolerišu takve oblike poslovanja.</w:t>
      </w:r>
      <w:r w:rsidR="009A5A8F" w:rsidRPr="00021CDC">
        <w:rPr>
          <w:sz w:val="24"/>
          <w:szCs w:val="24"/>
          <w:lang w:val="pl-PL"/>
        </w:rPr>
        <w:t xml:space="preserve"> U tom smislu se u okviru ovog operativnog cilja podstiče intenziviranje bezgotovinskih plaćanja </w:t>
      </w:r>
      <w:r w:rsidR="004A4044" w:rsidRPr="00021CDC">
        <w:rPr>
          <w:sz w:val="24"/>
          <w:szCs w:val="24"/>
          <w:lang w:val="pl-PL"/>
        </w:rPr>
        <w:t>i</w:t>
      </w:r>
      <w:r w:rsidR="009A5A8F" w:rsidRPr="00021CDC">
        <w:rPr>
          <w:sz w:val="24"/>
          <w:szCs w:val="24"/>
          <w:lang w:val="pl-PL"/>
        </w:rPr>
        <w:t xml:space="preserve"> u javnom </w:t>
      </w:r>
      <w:r w:rsidR="004A4044" w:rsidRPr="00021CDC">
        <w:rPr>
          <w:sz w:val="24"/>
          <w:szCs w:val="24"/>
          <w:lang w:val="pl-PL"/>
        </w:rPr>
        <w:t>i</w:t>
      </w:r>
      <w:r w:rsidR="009A5A8F" w:rsidRPr="00021CDC">
        <w:rPr>
          <w:sz w:val="24"/>
          <w:szCs w:val="24"/>
          <w:lang w:val="pl-PL"/>
        </w:rPr>
        <w:t xml:space="preserve"> u privatnom sektoru. </w:t>
      </w:r>
    </w:p>
    <w:p w14:paraId="672F0552" w14:textId="458D6FAF" w:rsidR="00EB7A8B" w:rsidRPr="00EB7A8B" w:rsidRDefault="009A5A8F" w:rsidP="00EB7A8B">
      <w:pPr>
        <w:jc w:val="both"/>
        <w:rPr>
          <w:sz w:val="24"/>
          <w:szCs w:val="24"/>
          <w:lang w:val="sr-Latn-ME"/>
        </w:rPr>
      </w:pPr>
      <w:r w:rsidRPr="00A02D39">
        <w:rPr>
          <w:sz w:val="24"/>
          <w:szCs w:val="24"/>
          <w:lang w:val="sr-Latn-ME"/>
        </w:rPr>
        <w:t>Stimulativne aktivnosti za ostvarenje ovog o</w:t>
      </w:r>
      <w:r w:rsidR="007B2206">
        <w:rPr>
          <w:sz w:val="24"/>
          <w:szCs w:val="24"/>
          <w:lang w:val="sr-Latn-ME"/>
        </w:rPr>
        <w:t>pe</w:t>
      </w:r>
      <w:r w:rsidRPr="00A02D39">
        <w:rPr>
          <w:sz w:val="24"/>
          <w:szCs w:val="24"/>
          <w:lang w:val="sr-Latn-ME"/>
        </w:rPr>
        <w:t xml:space="preserve">rativnog cilja </w:t>
      </w:r>
      <w:r w:rsidR="004A4044" w:rsidRPr="00A02D39">
        <w:rPr>
          <w:sz w:val="24"/>
          <w:szCs w:val="24"/>
          <w:lang w:val="sr-Latn-ME"/>
        </w:rPr>
        <w:t xml:space="preserve">podrazumijeva instaliranje POS terminala kod organa državne uprave i lokalne samouprave gdjegod se plaćaju takse, naknade, kazne i sl, a da </w:t>
      </w:r>
      <w:r w:rsidR="00A56EE4">
        <w:rPr>
          <w:sz w:val="24"/>
          <w:szCs w:val="24"/>
          <w:lang w:val="sr-Latn-ME"/>
        </w:rPr>
        <w:t xml:space="preserve">se ne mora </w:t>
      </w:r>
      <w:r w:rsidR="004A4044" w:rsidRPr="00A02D39">
        <w:rPr>
          <w:sz w:val="24"/>
          <w:szCs w:val="24"/>
          <w:lang w:val="sr-Latn-ME"/>
        </w:rPr>
        <w:t>odlaziti u banku,  ali i kod većeg broja malih preduzeća i preduzetnika koji svoje usluge uglavnom naplaćuju u gotovini. U tom kontekstu je potrebno nastaviti sa politikom olakšica</w:t>
      </w:r>
      <w:r w:rsidR="00AB2DF8" w:rsidRPr="00A02D39">
        <w:rPr>
          <w:sz w:val="24"/>
          <w:szCs w:val="24"/>
          <w:lang w:val="sr-Latn-ME"/>
        </w:rPr>
        <w:t xml:space="preserve"> za veća bezgotovniska plaćanja u malim i srednjim pre</w:t>
      </w:r>
      <w:r w:rsidR="00460990">
        <w:rPr>
          <w:sz w:val="24"/>
          <w:szCs w:val="24"/>
          <w:lang w:val="sr-Latn-ME"/>
        </w:rPr>
        <w:t>d</w:t>
      </w:r>
      <w:r w:rsidR="00AB2DF8" w:rsidRPr="00A02D39">
        <w:rPr>
          <w:sz w:val="24"/>
          <w:szCs w:val="24"/>
          <w:lang w:val="sr-Latn-ME"/>
        </w:rPr>
        <w:t>uzećima i kod preduzetnika, sa fokusom na njihovu održivost po isteku podsticajnih mjera.</w:t>
      </w:r>
    </w:p>
    <w:p w14:paraId="2DD241A8" w14:textId="239E1ED1" w:rsidR="00AB2DF8" w:rsidRPr="006F03C5" w:rsidRDefault="00EB7A8B" w:rsidP="006F3F60">
      <w:pPr>
        <w:jc w:val="both"/>
        <w:rPr>
          <w:sz w:val="24"/>
          <w:szCs w:val="24"/>
          <w:lang w:val="sr-Latn-ME"/>
        </w:rPr>
      </w:pPr>
      <w:r w:rsidRPr="00EB7A8B">
        <w:rPr>
          <w:sz w:val="24"/>
          <w:szCs w:val="24"/>
          <w:lang w:val="sr-Latn-ME"/>
        </w:rPr>
        <w:t xml:space="preserve">Dodatno, radi postizanja ovog cilja, sprovešće se aktivnosti podizanja svijesti i dalje edukacije stejkholdera i građana o negativnim stranama neformalne ekonomije, kroz upotrebu gotovine. Ovdje je cilj da se podijele najbolje prakse kada su u pitanju aktivnosti podizanja svijesti svih </w:t>
      </w:r>
      <w:r w:rsidRPr="006F03C5">
        <w:rPr>
          <w:sz w:val="24"/>
          <w:szCs w:val="24"/>
          <w:lang w:val="sr-Latn-ME"/>
        </w:rPr>
        <w:t xml:space="preserve">zainteresovanih strana za smanjenje upotrebe gotovine u transakcijama. </w:t>
      </w:r>
    </w:p>
    <w:p w14:paraId="406287BB" w14:textId="187E8DD2" w:rsidR="00EB7A8B" w:rsidRPr="007459FE" w:rsidRDefault="00EB7A8B" w:rsidP="00EB7A8B">
      <w:pPr>
        <w:jc w:val="both"/>
        <w:rPr>
          <w:sz w:val="24"/>
          <w:szCs w:val="24"/>
          <w:lang w:val="pl-PL"/>
        </w:rPr>
      </w:pPr>
      <w:proofErr w:type="spellStart"/>
      <w:r w:rsidRPr="006F03C5">
        <w:rPr>
          <w:sz w:val="24"/>
          <w:szCs w:val="24"/>
        </w:rPr>
        <w:t>Takodje</w:t>
      </w:r>
      <w:proofErr w:type="spellEnd"/>
      <w:r w:rsidRPr="007459FE">
        <w:rPr>
          <w:sz w:val="24"/>
          <w:szCs w:val="24"/>
          <w:lang w:val="sr-Latn-ME"/>
        </w:rPr>
        <w:t xml:space="preserve">, </w:t>
      </w:r>
      <w:proofErr w:type="spellStart"/>
      <w:r w:rsidRPr="006F03C5">
        <w:rPr>
          <w:sz w:val="24"/>
          <w:szCs w:val="24"/>
        </w:rPr>
        <w:t>va</w:t>
      </w:r>
      <w:proofErr w:type="spellEnd"/>
      <w:r w:rsidRPr="007459FE">
        <w:rPr>
          <w:sz w:val="24"/>
          <w:szCs w:val="24"/>
          <w:lang w:val="sr-Latn-ME"/>
        </w:rPr>
        <w:t>ž</w:t>
      </w:r>
      <w:r w:rsidRPr="006F03C5">
        <w:rPr>
          <w:sz w:val="24"/>
          <w:szCs w:val="24"/>
        </w:rPr>
        <w:t>nu</w:t>
      </w:r>
      <w:r w:rsidRPr="007459FE">
        <w:rPr>
          <w:sz w:val="24"/>
          <w:szCs w:val="24"/>
          <w:lang w:val="sr-Latn-ME"/>
        </w:rPr>
        <w:t xml:space="preserve"> </w:t>
      </w:r>
      <w:proofErr w:type="spellStart"/>
      <w:r w:rsidRPr="006F03C5">
        <w:rPr>
          <w:sz w:val="24"/>
          <w:szCs w:val="24"/>
        </w:rPr>
        <w:t>ulogu</w:t>
      </w:r>
      <w:proofErr w:type="spellEnd"/>
      <w:r w:rsidRPr="007459FE">
        <w:rPr>
          <w:sz w:val="24"/>
          <w:szCs w:val="24"/>
          <w:lang w:val="sr-Latn-ME"/>
        </w:rPr>
        <w:t xml:space="preserve"> </w:t>
      </w:r>
      <w:proofErr w:type="spellStart"/>
      <w:r w:rsidRPr="006F03C5">
        <w:rPr>
          <w:sz w:val="24"/>
          <w:szCs w:val="24"/>
        </w:rPr>
        <w:t>ima</w:t>
      </w:r>
      <w:proofErr w:type="spellEnd"/>
      <w:r w:rsidRPr="007459FE">
        <w:rPr>
          <w:sz w:val="24"/>
          <w:szCs w:val="24"/>
          <w:lang w:val="sr-Latn-ME"/>
        </w:rPr>
        <w:t xml:space="preserve"> </w:t>
      </w:r>
      <w:proofErr w:type="spellStart"/>
      <w:r w:rsidRPr="006F03C5">
        <w:rPr>
          <w:sz w:val="24"/>
          <w:szCs w:val="24"/>
        </w:rPr>
        <w:t>i</w:t>
      </w:r>
      <w:proofErr w:type="spellEnd"/>
      <w:r w:rsidRPr="007459FE">
        <w:rPr>
          <w:sz w:val="24"/>
          <w:szCs w:val="24"/>
          <w:lang w:val="sr-Latn-ME"/>
        </w:rPr>
        <w:t xml:space="preserve"> </w:t>
      </w:r>
      <w:proofErr w:type="spellStart"/>
      <w:r w:rsidRPr="006F03C5">
        <w:rPr>
          <w:sz w:val="24"/>
          <w:szCs w:val="24"/>
        </w:rPr>
        <w:t>uvo</w:t>
      </w:r>
      <w:proofErr w:type="spellEnd"/>
      <w:r w:rsidRPr="007459FE">
        <w:rPr>
          <w:sz w:val="24"/>
          <w:szCs w:val="24"/>
          <w:lang w:val="sr-Latn-ME"/>
        </w:rPr>
        <w:t>đ</w:t>
      </w:r>
      <w:proofErr w:type="spellStart"/>
      <w:r w:rsidRPr="006F03C5">
        <w:rPr>
          <w:sz w:val="24"/>
          <w:szCs w:val="24"/>
        </w:rPr>
        <w:t>enje</w:t>
      </w:r>
      <w:proofErr w:type="spellEnd"/>
      <w:r w:rsidRPr="007459FE">
        <w:rPr>
          <w:sz w:val="24"/>
          <w:szCs w:val="24"/>
          <w:lang w:val="sr-Latn-ME"/>
        </w:rPr>
        <w:t xml:space="preserve"> </w:t>
      </w:r>
      <w:proofErr w:type="spellStart"/>
      <w:r w:rsidRPr="006F03C5">
        <w:rPr>
          <w:sz w:val="24"/>
          <w:szCs w:val="24"/>
        </w:rPr>
        <w:t>internacionalnih</w:t>
      </w:r>
      <w:proofErr w:type="spellEnd"/>
      <w:r w:rsidRPr="007459FE">
        <w:rPr>
          <w:sz w:val="24"/>
          <w:szCs w:val="24"/>
          <w:lang w:val="sr-Latn-ME"/>
        </w:rPr>
        <w:t xml:space="preserve"> </w:t>
      </w:r>
      <w:proofErr w:type="spellStart"/>
      <w:r w:rsidRPr="006F03C5">
        <w:rPr>
          <w:sz w:val="24"/>
          <w:szCs w:val="24"/>
        </w:rPr>
        <w:t>platnih</w:t>
      </w:r>
      <w:proofErr w:type="spellEnd"/>
      <w:r w:rsidRPr="007459FE">
        <w:rPr>
          <w:sz w:val="24"/>
          <w:szCs w:val="24"/>
          <w:lang w:val="sr-Latn-ME"/>
        </w:rPr>
        <w:t xml:space="preserve"> </w:t>
      </w:r>
      <w:proofErr w:type="spellStart"/>
      <w:r w:rsidRPr="006F03C5">
        <w:rPr>
          <w:sz w:val="24"/>
          <w:szCs w:val="24"/>
        </w:rPr>
        <w:t>platformi</w:t>
      </w:r>
      <w:proofErr w:type="spellEnd"/>
      <w:r w:rsidRPr="007459FE">
        <w:rPr>
          <w:sz w:val="24"/>
          <w:szCs w:val="24"/>
          <w:lang w:val="sr-Latn-ME"/>
        </w:rPr>
        <w:t xml:space="preserve"> </w:t>
      </w:r>
      <w:proofErr w:type="spellStart"/>
      <w:r w:rsidRPr="006F03C5">
        <w:rPr>
          <w:sz w:val="24"/>
          <w:szCs w:val="24"/>
        </w:rPr>
        <w:t>i</w:t>
      </w:r>
      <w:proofErr w:type="spellEnd"/>
      <w:r w:rsidRPr="007459FE">
        <w:rPr>
          <w:sz w:val="24"/>
          <w:szCs w:val="24"/>
          <w:lang w:val="sr-Latn-ME"/>
        </w:rPr>
        <w:t xml:space="preserve"> </w:t>
      </w:r>
      <w:proofErr w:type="spellStart"/>
      <w:r w:rsidRPr="006F03C5">
        <w:rPr>
          <w:sz w:val="24"/>
          <w:szCs w:val="24"/>
        </w:rPr>
        <w:t>finansijskih</w:t>
      </w:r>
      <w:proofErr w:type="spellEnd"/>
      <w:r w:rsidRPr="007459FE">
        <w:rPr>
          <w:sz w:val="24"/>
          <w:szCs w:val="24"/>
          <w:lang w:val="sr-Latn-ME"/>
        </w:rPr>
        <w:t xml:space="preserve"> </w:t>
      </w:r>
      <w:proofErr w:type="spellStart"/>
      <w:r w:rsidRPr="006F03C5">
        <w:rPr>
          <w:sz w:val="24"/>
          <w:szCs w:val="24"/>
        </w:rPr>
        <w:t>inovacija</w:t>
      </w:r>
      <w:proofErr w:type="spellEnd"/>
      <w:r w:rsidRPr="007459FE">
        <w:rPr>
          <w:sz w:val="24"/>
          <w:szCs w:val="24"/>
          <w:lang w:val="sr-Latn-ME"/>
        </w:rPr>
        <w:t xml:space="preserve"> </w:t>
      </w:r>
      <w:proofErr w:type="spellStart"/>
      <w:r w:rsidRPr="006F03C5">
        <w:rPr>
          <w:sz w:val="24"/>
          <w:szCs w:val="24"/>
        </w:rPr>
        <w:t>kako</w:t>
      </w:r>
      <w:proofErr w:type="spellEnd"/>
      <w:r w:rsidRPr="007459FE">
        <w:rPr>
          <w:sz w:val="24"/>
          <w:szCs w:val="24"/>
          <w:lang w:val="sr-Latn-ME"/>
        </w:rPr>
        <w:t xml:space="preserve"> </w:t>
      </w:r>
      <w:r w:rsidRPr="006F03C5">
        <w:rPr>
          <w:sz w:val="24"/>
          <w:szCs w:val="24"/>
        </w:rPr>
        <w:t>bi</w:t>
      </w:r>
      <w:r w:rsidRPr="007459FE">
        <w:rPr>
          <w:sz w:val="24"/>
          <w:szCs w:val="24"/>
          <w:lang w:val="sr-Latn-ME"/>
        </w:rPr>
        <w:t xml:space="preserve"> </w:t>
      </w:r>
      <w:r w:rsidRPr="006F03C5">
        <w:rPr>
          <w:sz w:val="24"/>
          <w:szCs w:val="24"/>
        </w:rPr>
        <w:t>se</w:t>
      </w:r>
      <w:r w:rsidRPr="007459FE">
        <w:rPr>
          <w:sz w:val="24"/>
          <w:szCs w:val="24"/>
          <w:lang w:val="sr-Latn-ME"/>
        </w:rPr>
        <w:t xml:space="preserve"> </w:t>
      </w:r>
      <w:proofErr w:type="spellStart"/>
      <w:r w:rsidRPr="006F03C5">
        <w:rPr>
          <w:sz w:val="24"/>
          <w:szCs w:val="24"/>
        </w:rPr>
        <w:t>dala</w:t>
      </w:r>
      <w:proofErr w:type="spellEnd"/>
      <w:r w:rsidRPr="007459FE">
        <w:rPr>
          <w:sz w:val="24"/>
          <w:szCs w:val="24"/>
          <w:lang w:val="sr-Latn-ME"/>
        </w:rPr>
        <w:t xml:space="preserve"> </w:t>
      </w:r>
      <w:proofErr w:type="spellStart"/>
      <w:r w:rsidRPr="006F03C5">
        <w:rPr>
          <w:sz w:val="24"/>
          <w:szCs w:val="24"/>
        </w:rPr>
        <w:t>mogu</w:t>
      </w:r>
      <w:proofErr w:type="spellEnd"/>
      <w:r w:rsidRPr="007459FE">
        <w:rPr>
          <w:sz w:val="24"/>
          <w:szCs w:val="24"/>
          <w:lang w:val="sr-Latn-ME"/>
        </w:rPr>
        <w:t>ć</w:t>
      </w:r>
      <w:proofErr w:type="spellStart"/>
      <w:r w:rsidRPr="006F03C5">
        <w:rPr>
          <w:sz w:val="24"/>
          <w:szCs w:val="24"/>
        </w:rPr>
        <w:t>nost</w:t>
      </w:r>
      <w:proofErr w:type="spellEnd"/>
      <w:r w:rsidRPr="007459FE">
        <w:rPr>
          <w:sz w:val="24"/>
          <w:szCs w:val="24"/>
          <w:lang w:val="sr-Latn-ME"/>
        </w:rPr>
        <w:t xml:space="preserve"> </w:t>
      </w:r>
      <w:proofErr w:type="spellStart"/>
      <w:r w:rsidRPr="006F03C5">
        <w:rPr>
          <w:sz w:val="24"/>
          <w:szCs w:val="24"/>
        </w:rPr>
        <w:t>velikom</w:t>
      </w:r>
      <w:proofErr w:type="spellEnd"/>
      <w:r w:rsidRPr="007459FE">
        <w:rPr>
          <w:sz w:val="24"/>
          <w:szCs w:val="24"/>
          <w:lang w:val="sr-Latn-ME"/>
        </w:rPr>
        <w:t xml:space="preserve"> </w:t>
      </w:r>
      <w:proofErr w:type="spellStart"/>
      <w:r w:rsidRPr="006F03C5">
        <w:rPr>
          <w:sz w:val="24"/>
          <w:szCs w:val="24"/>
        </w:rPr>
        <w:t>broju</w:t>
      </w:r>
      <w:proofErr w:type="spellEnd"/>
      <w:r w:rsidRPr="007459FE">
        <w:rPr>
          <w:sz w:val="24"/>
          <w:szCs w:val="24"/>
          <w:lang w:val="sr-Latn-ME"/>
        </w:rPr>
        <w:t xml:space="preserve"> </w:t>
      </w:r>
      <w:proofErr w:type="spellStart"/>
      <w:r w:rsidRPr="006F03C5">
        <w:rPr>
          <w:sz w:val="24"/>
          <w:szCs w:val="24"/>
        </w:rPr>
        <w:t>pru</w:t>
      </w:r>
      <w:proofErr w:type="spellEnd"/>
      <w:r w:rsidRPr="007459FE">
        <w:rPr>
          <w:sz w:val="24"/>
          <w:szCs w:val="24"/>
          <w:lang w:val="sr-Latn-ME"/>
        </w:rPr>
        <w:t>ž</w:t>
      </w:r>
      <w:proofErr w:type="spellStart"/>
      <w:r w:rsidRPr="006F03C5">
        <w:rPr>
          <w:sz w:val="24"/>
          <w:szCs w:val="24"/>
        </w:rPr>
        <w:t>aoca</w:t>
      </w:r>
      <w:proofErr w:type="spellEnd"/>
      <w:r w:rsidRPr="007459FE">
        <w:rPr>
          <w:sz w:val="24"/>
          <w:szCs w:val="24"/>
          <w:lang w:val="sr-Latn-ME"/>
        </w:rPr>
        <w:t xml:space="preserve"> </w:t>
      </w:r>
      <w:proofErr w:type="spellStart"/>
      <w:r w:rsidRPr="006F03C5">
        <w:rPr>
          <w:sz w:val="24"/>
          <w:szCs w:val="24"/>
        </w:rPr>
        <w:t>usluga</w:t>
      </w:r>
      <w:proofErr w:type="spellEnd"/>
      <w:r w:rsidRPr="007459FE">
        <w:rPr>
          <w:sz w:val="24"/>
          <w:szCs w:val="24"/>
          <w:lang w:val="sr-Latn-ME"/>
        </w:rPr>
        <w:t xml:space="preserve"> </w:t>
      </w:r>
      <w:proofErr w:type="spellStart"/>
      <w:r w:rsidRPr="006F03C5">
        <w:rPr>
          <w:sz w:val="24"/>
          <w:szCs w:val="24"/>
        </w:rPr>
        <w:t>iz</w:t>
      </w:r>
      <w:proofErr w:type="spellEnd"/>
      <w:r w:rsidRPr="007459FE">
        <w:rPr>
          <w:sz w:val="24"/>
          <w:szCs w:val="24"/>
          <w:lang w:val="sr-Latn-ME"/>
        </w:rPr>
        <w:t xml:space="preserve"> </w:t>
      </w:r>
      <w:proofErr w:type="spellStart"/>
      <w:r w:rsidRPr="006F03C5">
        <w:rPr>
          <w:sz w:val="24"/>
          <w:szCs w:val="24"/>
        </w:rPr>
        <w:t>C</w:t>
      </w:r>
      <w:r w:rsidR="006622F7" w:rsidRPr="006F03C5">
        <w:rPr>
          <w:sz w:val="24"/>
          <w:szCs w:val="24"/>
        </w:rPr>
        <w:t>rne</w:t>
      </w:r>
      <w:proofErr w:type="spellEnd"/>
      <w:r w:rsidR="006622F7" w:rsidRPr="007459FE">
        <w:rPr>
          <w:sz w:val="24"/>
          <w:szCs w:val="24"/>
          <w:lang w:val="sr-Latn-ME"/>
        </w:rPr>
        <w:t xml:space="preserve"> </w:t>
      </w:r>
      <w:r w:rsidR="006622F7" w:rsidRPr="006F03C5">
        <w:rPr>
          <w:sz w:val="24"/>
          <w:szCs w:val="24"/>
        </w:rPr>
        <w:t>Gore</w:t>
      </w:r>
      <w:r w:rsidRPr="007459FE">
        <w:rPr>
          <w:sz w:val="24"/>
          <w:szCs w:val="24"/>
          <w:lang w:val="sr-Latn-ME"/>
        </w:rPr>
        <w:t xml:space="preserve"> </w:t>
      </w:r>
      <w:proofErr w:type="spellStart"/>
      <w:r w:rsidRPr="006F03C5">
        <w:rPr>
          <w:sz w:val="24"/>
          <w:szCs w:val="24"/>
        </w:rPr>
        <w:t>na</w:t>
      </w:r>
      <w:proofErr w:type="spellEnd"/>
      <w:r w:rsidRPr="007459FE">
        <w:rPr>
          <w:sz w:val="24"/>
          <w:szCs w:val="24"/>
          <w:lang w:val="sr-Latn-ME"/>
        </w:rPr>
        <w:t xml:space="preserve"> </w:t>
      </w:r>
      <w:proofErr w:type="spellStart"/>
      <w:r w:rsidRPr="006F03C5">
        <w:rPr>
          <w:sz w:val="24"/>
          <w:szCs w:val="24"/>
        </w:rPr>
        <w:t>internacionalnim</w:t>
      </w:r>
      <w:proofErr w:type="spellEnd"/>
      <w:r w:rsidRPr="007459FE">
        <w:rPr>
          <w:sz w:val="24"/>
          <w:szCs w:val="24"/>
          <w:lang w:val="sr-Latn-ME"/>
        </w:rPr>
        <w:t xml:space="preserve"> </w:t>
      </w:r>
      <w:r w:rsidRPr="006F03C5">
        <w:rPr>
          <w:sz w:val="24"/>
          <w:szCs w:val="24"/>
        </w:rPr>
        <w:t>tr</w:t>
      </w:r>
      <w:r w:rsidRPr="007459FE">
        <w:rPr>
          <w:sz w:val="24"/>
          <w:szCs w:val="24"/>
          <w:lang w:val="sr-Latn-ME"/>
        </w:rPr>
        <w:t>ž</w:t>
      </w:r>
      <w:proofErr w:type="spellStart"/>
      <w:r w:rsidRPr="006F03C5">
        <w:rPr>
          <w:sz w:val="24"/>
          <w:szCs w:val="24"/>
        </w:rPr>
        <w:t>i</w:t>
      </w:r>
      <w:proofErr w:type="spellEnd"/>
      <w:r w:rsidRPr="007459FE">
        <w:rPr>
          <w:sz w:val="24"/>
          <w:szCs w:val="24"/>
          <w:lang w:val="sr-Latn-ME"/>
        </w:rPr>
        <w:t>š</w:t>
      </w:r>
      <w:proofErr w:type="spellStart"/>
      <w:r w:rsidRPr="006F03C5">
        <w:rPr>
          <w:sz w:val="24"/>
          <w:szCs w:val="24"/>
        </w:rPr>
        <w:t>tima</w:t>
      </w:r>
      <w:proofErr w:type="spellEnd"/>
      <w:r w:rsidRPr="007459FE">
        <w:rPr>
          <w:sz w:val="24"/>
          <w:szCs w:val="24"/>
          <w:lang w:val="sr-Latn-ME"/>
        </w:rPr>
        <w:t xml:space="preserve"> </w:t>
      </w:r>
      <w:r w:rsidRPr="006F03C5">
        <w:rPr>
          <w:sz w:val="24"/>
          <w:szCs w:val="24"/>
        </w:rPr>
        <w:t>da</w:t>
      </w:r>
      <w:r w:rsidRPr="007459FE">
        <w:rPr>
          <w:sz w:val="24"/>
          <w:szCs w:val="24"/>
          <w:lang w:val="sr-Latn-ME"/>
        </w:rPr>
        <w:t xml:space="preserve"> </w:t>
      </w:r>
      <w:proofErr w:type="spellStart"/>
      <w:r w:rsidRPr="006F03C5">
        <w:rPr>
          <w:sz w:val="24"/>
          <w:szCs w:val="24"/>
        </w:rPr>
        <w:t>konkurentno</w:t>
      </w:r>
      <w:proofErr w:type="spellEnd"/>
      <w:r w:rsidRPr="007459FE">
        <w:rPr>
          <w:sz w:val="24"/>
          <w:szCs w:val="24"/>
          <w:lang w:val="sr-Latn-ME"/>
        </w:rPr>
        <w:t xml:space="preserve"> </w:t>
      </w:r>
      <w:proofErr w:type="spellStart"/>
      <w:r w:rsidRPr="006F03C5">
        <w:rPr>
          <w:sz w:val="24"/>
          <w:szCs w:val="24"/>
        </w:rPr>
        <w:t>i</w:t>
      </w:r>
      <w:proofErr w:type="spellEnd"/>
      <w:r w:rsidRPr="007459FE">
        <w:rPr>
          <w:sz w:val="24"/>
          <w:szCs w:val="24"/>
          <w:lang w:val="sr-Latn-ME"/>
        </w:rPr>
        <w:t xml:space="preserve"> </w:t>
      </w:r>
      <w:proofErr w:type="spellStart"/>
      <w:r w:rsidRPr="006F03C5">
        <w:rPr>
          <w:sz w:val="24"/>
          <w:szCs w:val="24"/>
        </w:rPr>
        <w:t>legalno</w:t>
      </w:r>
      <w:proofErr w:type="spellEnd"/>
      <w:r w:rsidRPr="007459FE">
        <w:rPr>
          <w:sz w:val="24"/>
          <w:szCs w:val="24"/>
          <w:lang w:val="sr-Latn-ME"/>
        </w:rPr>
        <w:t xml:space="preserve"> </w:t>
      </w:r>
      <w:proofErr w:type="spellStart"/>
      <w:r w:rsidRPr="006F03C5">
        <w:rPr>
          <w:sz w:val="24"/>
          <w:szCs w:val="24"/>
        </w:rPr>
        <w:t>posluju</w:t>
      </w:r>
      <w:proofErr w:type="spellEnd"/>
      <w:r w:rsidRPr="007459FE">
        <w:rPr>
          <w:sz w:val="24"/>
          <w:szCs w:val="24"/>
          <w:lang w:val="sr-Latn-ME"/>
        </w:rPr>
        <w:t xml:space="preserve"> (</w:t>
      </w:r>
      <w:r w:rsidRPr="006F03C5">
        <w:rPr>
          <w:sz w:val="24"/>
          <w:szCs w:val="24"/>
        </w:rPr>
        <w:t>PAYPAL</w:t>
      </w:r>
      <w:r w:rsidRPr="007459FE">
        <w:rPr>
          <w:sz w:val="24"/>
          <w:szCs w:val="24"/>
          <w:lang w:val="sr-Latn-ME"/>
        </w:rPr>
        <w:t xml:space="preserve"> </w:t>
      </w:r>
      <w:proofErr w:type="spellStart"/>
      <w:r w:rsidR="00460990">
        <w:rPr>
          <w:sz w:val="24"/>
          <w:szCs w:val="24"/>
        </w:rPr>
        <w:t>i</w:t>
      </w:r>
      <w:proofErr w:type="spellEnd"/>
      <w:r w:rsidRPr="007459FE">
        <w:rPr>
          <w:sz w:val="24"/>
          <w:szCs w:val="24"/>
          <w:lang w:val="sr-Latn-ME"/>
        </w:rPr>
        <w:t xml:space="preserve"> </w:t>
      </w:r>
      <w:proofErr w:type="spellStart"/>
      <w:r w:rsidRPr="006F03C5">
        <w:rPr>
          <w:sz w:val="24"/>
          <w:szCs w:val="24"/>
        </w:rPr>
        <w:t>dr</w:t>
      </w:r>
      <w:proofErr w:type="spellEnd"/>
      <w:r w:rsidRPr="007459FE">
        <w:rPr>
          <w:sz w:val="24"/>
          <w:szCs w:val="24"/>
          <w:lang w:val="sr-Latn-ME"/>
        </w:rPr>
        <w:t xml:space="preserve">.). </w:t>
      </w:r>
      <w:r w:rsidRPr="007459FE">
        <w:rPr>
          <w:sz w:val="24"/>
          <w:szCs w:val="24"/>
          <w:lang w:val="pl-PL"/>
        </w:rPr>
        <w:t xml:space="preserve">Dodatno, potrebno je dodatno kreirati nova zakonska rešenja i usklađivati se sa MICA regulativom. </w:t>
      </w:r>
    </w:p>
    <w:p w14:paraId="457E936D" w14:textId="0FB31319" w:rsidR="00341AD6" w:rsidRDefault="00D062FC" w:rsidP="007B2206">
      <w:pPr>
        <w:jc w:val="both"/>
        <w:rPr>
          <w:sz w:val="24"/>
          <w:szCs w:val="24"/>
          <w:lang w:val="sr-Latn-ME"/>
        </w:rPr>
      </w:pPr>
      <w:r>
        <w:rPr>
          <w:sz w:val="24"/>
          <w:szCs w:val="24"/>
          <w:lang w:val="sr-Latn-ME"/>
        </w:rPr>
        <w:t>Tako</w:t>
      </w:r>
      <w:r w:rsidR="009530C2">
        <w:rPr>
          <w:sz w:val="24"/>
          <w:szCs w:val="24"/>
          <w:lang w:val="sr-Latn-ME"/>
        </w:rPr>
        <w:t>dj</w:t>
      </w:r>
      <w:r>
        <w:rPr>
          <w:sz w:val="24"/>
          <w:szCs w:val="24"/>
          <w:lang w:val="sr-Latn-ME"/>
        </w:rPr>
        <w:t xml:space="preserve">e, </w:t>
      </w:r>
      <w:r w:rsidRPr="009530C2">
        <w:rPr>
          <w:sz w:val="24"/>
          <w:szCs w:val="24"/>
          <w:lang w:val="sr-Latn-ME"/>
        </w:rPr>
        <w:t>privredni subjekti koji uredno izmiruju poreske i druge obaveze su nedovoljno stimulisani u odnosu na drugu kategoriju subjekata. Potrebno je dizajnirati mehanizme, koji će se temeljiti na kombinaciji kvantitativnih i kvalitativnih elemenata</w:t>
      </w:r>
      <w:r w:rsidRPr="00D062FC">
        <w:rPr>
          <w:sz w:val="24"/>
          <w:szCs w:val="24"/>
          <w:lang w:val="sr-Latn-ME"/>
        </w:rPr>
        <w:t>, a čija će primjena dovesti do sistema bodovanja i prepoznavanja najboljih</w:t>
      </w:r>
      <w:r w:rsidR="009530C2">
        <w:rPr>
          <w:sz w:val="24"/>
          <w:szCs w:val="24"/>
          <w:lang w:val="sr-Latn-ME"/>
        </w:rPr>
        <w:t>.</w:t>
      </w:r>
    </w:p>
    <w:p w14:paraId="074D5F9D" w14:textId="77777777" w:rsidR="00B67D63" w:rsidRDefault="00B67D63" w:rsidP="007B2206">
      <w:pPr>
        <w:jc w:val="both"/>
        <w:rPr>
          <w:sz w:val="24"/>
          <w:szCs w:val="24"/>
          <w:lang w:val="sr-Latn-ME"/>
        </w:rPr>
      </w:pPr>
    </w:p>
    <w:p w14:paraId="17AEECE6" w14:textId="77777777" w:rsidR="00B67D63" w:rsidRDefault="00B67D63" w:rsidP="007B2206">
      <w:pPr>
        <w:jc w:val="both"/>
        <w:rPr>
          <w:sz w:val="24"/>
          <w:szCs w:val="24"/>
          <w:lang w:val="sr-Latn-ME"/>
        </w:rPr>
      </w:pPr>
    </w:p>
    <w:p w14:paraId="0374D2F6" w14:textId="77777777" w:rsidR="00B67D63" w:rsidRDefault="00B67D63" w:rsidP="007B2206">
      <w:pPr>
        <w:jc w:val="both"/>
        <w:rPr>
          <w:sz w:val="24"/>
          <w:szCs w:val="24"/>
          <w:lang w:val="sr-Latn-ME"/>
        </w:rPr>
      </w:pPr>
    </w:p>
    <w:p w14:paraId="027074D1" w14:textId="77777777" w:rsidR="00B67D63" w:rsidRDefault="00B67D63" w:rsidP="007B2206">
      <w:pPr>
        <w:jc w:val="both"/>
        <w:rPr>
          <w:sz w:val="24"/>
          <w:szCs w:val="24"/>
          <w:lang w:val="sr-Latn-ME"/>
        </w:rPr>
      </w:pPr>
    </w:p>
    <w:p w14:paraId="606B7169" w14:textId="77777777" w:rsidR="00B67D63" w:rsidRDefault="00B67D63" w:rsidP="007B2206">
      <w:pPr>
        <w:jc w:val="both"/>
        <w:rPr>
          <w:sz w:val="24"/>
          <w:szCs w:val="24"/>
          <w:lang w:val="sr-Latn-ME"/>
        </w:rPr>
      </w:pPr>
    </w:p>
    <w:p w14:paraId="258649EF" w14:textId="77777777" w:rsidR="00B67D63" w:rsidRDefault="00B67D63" w:rsidP="007B2206">
      <w:pPr>
        <w:jc w:val="both"/>
        <w:rPr>
          <w:sz w:val="24"/>
          <w:szCs w:val="24"/>
          <w:lang w:val="sr-Latn-ME"/>
        </w:rPr>
      </w:pPr>
    </w:p>
    <w:p w14:paraId="73FC9EE0" w14:textId="77777777" w:rsidR="00B67D63" w:rsidRDefault="00B67D63" w:rsidP="007B2206">
      <w:pPr>
        <w:jc w:val="both"/>
        <w:rPr>
          <w:sz w:val="24"/>
          <w:szCs w:val="24"/>
          <w:lang w:val="sr-Latn-ME"/>
        </w:rPr>
      </w:pPr>
    </w:p>
    <w:p w14:paraId="15656AB3" w14:textId="77777777" w:rsidR="00B67D63" w:rsidRPr="007B2206" w:rsidRDefault="00B67D63" w:rsidP="007B2206">
      <w:pPr>
        <w:jc w:val="both"/>
        <w:rPr>
          <w:sz w:val="24"/>
          <w:szCs w:val="24"/>
          <w:lang w:val="sr-Latn-ME"/>
        </w:rPr>
      </w:pPr>
    </w:p>
    <w:tbl>
      <w:tblPr>
        <w:tblW w:w="95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525"/>
        <w:gridCol w:w="1470"/>
        <w:gridCol w:w="1620"/>
        <w:gridCol w:w="1890"/>
        <w:gridCol w:w="1620"/>
        <w:gridCol w:w="1440"/>
      </w:tblGrid>
      <w:tr w:rsidR="00AA1E48" w:rsidRPr="00391D03" w14:paraId="777240C5" w14:textId="77777777" w:rsidTr="00C32F60">
        <w:tc>
          <w:tcPr>
            <w:tcW w:w="9565" w:type="dxa"/>
            <w:gridSpan w:val="6"/>
            <w:shd w:val="clear" w:color="auto" w:fill="BDD6EE" w:themeFill="accent5" w:themeFillTint="66"/>
          </w:tcPr>
          <w:p w14:paraId="2AAF9C46" w14:textId="731C9300" w:rsidR="00341AD6" w:rsidRPr="00021CDC" w:rsidRDefault="00341AD6" w:rsidP="00341AD6">
            <w:pPr>
              <w:rPr>
                <w:b/>
                <w:bCs/>
                <w:lang w:val="sr-Latn-ME"/>
              </w:rPr>
            </w:pPr>
            <w:bookmarkStart w:id="41" w:name="_Hlk141369867"/>
            <w:r w:rsidRPr="00AA1E48">
              <w:rPr>
                <w:b/>
                <w:bCs/>
              </w:rPr>
              <w:lastRenderedPageBreak/>
              <w:t>O</w:t>
            </w:r>
            <w:r w:rsidR="00D72CC7">
              <w:rPr>
                <w:b/>
                <w:bCs/>
              </w:rPr>
              <w:t>C</w:t>
            </w:r>
            <w:r w:rsidRPr="00021CDC">
              <w:rPr>
                <w:b/>
                <w:bCs/>
                <w:lang w:val="sr-Latn-ME"/>
              </w:rPr>
              <w:t xml:space="preserve"> </w:t>
            </w:r>
            <w:r w:rsidR="006428A5" w:rsidRPr="00021CDC">
              <w:rPr>
                <w:b/>
                <w:bCs/>
                <w:lang w:val="sr-Latn-ME"/>
              </w:rPr>
              <w:t>5</w:t>
            </w:r>
            <w:r w:rsidRPr="00021CDC">
              <w:rPr>
                <w:b/>
                <w:bCs/>
                <w:lang w:val="sr-Latn-ME"/>
              </w:rPr>
              <w:t xml:space="preserve">- </w:t>
            </w:r>
            <w:proofErr w:type="spellStart"/>
            <w:r w:rsidR="00B27EAA" w:rsidRPr="00AA1E48">
              <w:rPr>
                <w:b/>
                <w:bCs/>
              </w:rPr>
              <w:t>Smanjenje</w:t>
            </w:r>
            <w:proofErr w:type="spellEnd"/>
            <w:r w:rsidR="00B27EAA" w:rsidRPr="00021CDC">
              <w:rPr>
                <w:b/>
                <w:bCs/>
                <w:lang w:val="sr-Latn-ME"/>
              </w:rPr>
              <w:t xml:space="preserve"> </w:t>
            </w:r>
            <w:proofErr w:type="spellStart"/>
            <w:r w:rsidR="00B27EAA" w:rsidRPr="00AA1E48">
              <w:rPr>
                <w:b/>
                <w:bCs/>
              </w:rPr>
              <w:t>dru</w:t>
            </w:r>
            <w:proofErr w:type="spellEnd"/>
            <w:r w:rsidR="00B27EAA" w:rsidRPr="00021CDC">
              <w:rPr>
                <w:b/>
                <w:bCs/>
                <w:lang w:val="sr-Latn-ME"/>
              </w:rPr>
              <w:t>š</w:t>
            </w:r>
            <w:proofErr w:type="spellStart"/>
            <w:r w:rsidR="00B27EAA" w:rsidRPr="00AA1E48">
              <w:rPr>
                <w:b/>
                <w:bCs/>
              </w:rPr>
              <w:t>tvene</w:t>
            </w:r>
            <w:proofErr w:type="spellEnd"/>
            <w:r w:rsidR="00B27EAA" w:rsidRPr="00021CDC">
              <w:rPr>
                <w:b/>
                <w:bCs/>
                <w:lang w:val="sr-Latn-ME"/>
              </w:rPr>
              <w:t xml:space="preserve"> </w:t>
            </w:r>
            <w:proofErr w:type="spellStart"/>
            <w:r w:rsidR="00B27EAA" w:rsidRPr="00AA1E48">
              <w:rPr>
                <w:b/>
                <w:bCs/>
              </w:rPr>
              <w:t>prihvatljivosti</w:t>
            </w:r>
            <w:proofErr w:type="spellEnd"/>
            <w:r w:rsidR="00B27EAA" w:rsidRPr="00021CDC">
              <w:rPr>
                <w:b/>
                <w:bCs/>
                <w:lang w:val="sr-Latn-ME"/>
              </w:rPr>
              <w:t xml:space="preserve"> </w:t>
            </w:r>
            <w:proofErr w:type="spellStart"/>
            <w:r w:rsidR="00B27EAA" w:rsidRPr="00AA1E48">
              <w:rPr>
                <w:b/>
                <w:bCs/>
              </w:rPr>
              <w:t>neformalne</w:t>
            </w:r>
            <w:proofErr w:type="spellEnd"/>
            <w:r w:rsidR="00B27EAA" w:rsidRPr="00021CDC">
              <w:rPr>
                <w:b/>
                <w:bCs/>
                <w:lang w:val="sr-Latn-ME"/>
              </w:rPr>
              <w:t xml:space="preserve"> </w:t>
            </w:r>
            <w:proofErr w:type="spellStart"/>
            <w:r w:rsidR="00B27EAA" w:rsidRPr="00AA1E48">
              <w:rPr>
                <w:b/>
                <w:bCs/>
              </w:rPr>
              <w:t>ekonomije</w:t>
            </w:r>
            <w:proofErr w:type="spellEnd"/>
            <w:r w:rsidRPr="00AA1E48">
              <w:rPr>
                <w:b/>
                <w:bCs/>
              </w:rPr>
              <w:t> </w:t>
            </w:r>
          </w:p>
          <w:bookmarkEnd w:id="41"/>
          <w:p w14:paraId="2E0B02AC" w14:textId="77777777" w:rsidR="00341AD6" w:rsidRPr="00AA1E48" w:rsidRDefault="00341AD6" w:rsidP="00341AD6">
            <w:pPr>
              <w:rPr>
                <w:b/>
                <w:bCs/>
                <w:highlight w:val="yellow"/>
                <w:lang w:val="sr-Latn-ME"/>
              </w:rPr>
            </w:pPr>
          </w:p>
        </w:tc>
      </w:tr>
      <w:tr w:rsidR="00AA1E48" w:rsidRPr="00AA1E48" w14:paraId="37D9D695" w14:textId="77777777" w:rsidTr="00C32F60">
        <w:tc>
          <w:tcPr>
            <w:tcW w:w="1525" w:type="dxa"/>
            <w:shd w:val="clear" w:color="auto" w:fill="BDD6EE" w:themeFill="accent5" w:themeFillTint="66"/>
          </w:tcPr>
          <w:p w14:paraId="752BBFEC" w14:textId="77777777" w:rsidR="00341AD6" w:rsidRPr="00AA1E48" w:rsidRDefault="00341AD6" w:rsidP="00341AD6">
            <w:pPr>
              <w:rPr>
                <w:b/>
                <w:bCs/>
                <w:lang w:val="sr-Latn-ME"/>
              </w:rPr>
            </w:pPr>
            <w:r w:rsidRPr="00AA1E48">
              <w:rPr>
                <w:b/>
                <w:bCs/>
                <w:lang w:val="sr-Latn-ME"/>
              </w:rPr>
              <w:t>Učinak</w:t>
            </w:r>
          </w:p>
        </w:tc>
        <w:tc>
          <w:tcPr>
            <w:tcW w:w="1470" w:type="dxa"/>
            <w:shd w:val="clear" w:color="auto" w:fill="BDD6EE" w:themeFill="accent5" w:themeFillTint="66"/>
          </w:tcPr>
          <w:p w14:paraId="2A6EB267" w14:textId="77777777" w:rsidR="00341AD6" w:rsidRPr="00AA1E48" w:rsidRDefault="00341AD6" w:rsidP="00341AD6">
            <w:pPr>
              <w:rPr>
                <w:b/>
                <w:bCs/>
                <w:lang w:val="sr-Latn-ME"/>
              </w:rPr>
            </w:pPr>
            <w:r w:rsidRPr="00AA1E48">
              <w:rPr>
                <w:b/>
                <w:bCs/>
                <w:lang w:val="sr-Latn-ME"/>
              </w:rPr>
              <w:t>Indikator učinka (outcome indicator)</w:t>
            </w:r>
          </w:p>
        </w:tc>
        <w:tc>
          <w:tcPr>
            <w:tcW w:w="1620" w:type="dxa"/>
            <w:shd w:val="clear" w:color="auto" w:fill="BDD6EE" w:themeFill="accent5" w:themeFillTint="66"/>
          </w:tcPr>
          <w:p w14:paraId="73BEE205" w14:textId="77777777" w:rsidR="00341AD6" w:rsidRPr="00AA1E48" w:rsidRDefault="00341AD6" w:rsidP="00341AD6">
            <w:pPr>
              <w:rPr>
                <w:b/>
                <w:bCs/>
                <w:lang w:val="sr-Latn-ME"/>
              </w:rPr>
            </w:pPr>
            <w:r w:rsidRPr="00AA1E48">
              <w:rPr>
                <w:b/>
                <w:bCs/>
                <w:lang w:val="sr-Latn-ME"/>
              </w:rPr>
              <w:t>Izvor verifikacije</w:t>
            </w:r>
          </w:p>
        </w:tc>
        <w:tc>
          <w:tcPr>
            <w:tcW w:w="1890" w:type="dxa"/>
            <w:shd w:val="clear" w:color="auto" w:fill="BDD6EE" w:themeFill="accent5" w:themeFillTint="66"/>
          </w:tcPr>
          <w:p w14:paraId="7CF1DA64" w14:textId="77777777" w:rsidR="00341AD6" w:rsidRPr="00AA1E48" w:rsidRDefault="00341AD6" w:rsidP="00341AD6">
            <w:pPr>
              <w:rPr>
                <w:b/>
                <w:bCs/>
                <w:lang w:val="sr-Latn-ME"/>
              </w:rPr>
            </w:pPr>
            <w:r w:rsidRPr="00AA1E48">
              <w:rPr>
                <w:b/>
                <w:bCs/>
                <w:lang w:val="sr-Latn-ME"/>
              </w:rPr>
              <w:t>Početna vrijednost 2022.</w:t>
            </w:r>
          </w:p>
        </w:tc>
        <w:tc>
          <w:tcPr>
            <w:tcW w:w="1620" w:type="dxa"/>
            <w:shd w:val="clear" w:color="auto" w:fill="BDD6EE" w:themeFill="accent5" w:themeFillTint="66"/>
          </w:tcPr>
          <w:p w14:paraId="655422D7" w14:textId="77777777" w:rsidR="00341AD6" w:rsidRPr="00AA1E48" w:rsidRDefault="00341AD6" w:rsidP="00341AD6">
            <w:pPr>
              <w:rPr>
                <w:b/>
                <w:bCs/>
                <w:lang w:val="sr-Latn-ME"/>
              </w:rPr>
            </w:pPr>
            <w:r w:rsidRPr="00AA1E48">
              <w:rPr>
                <w:b/>
                <w:bCs/>
                <w:lang w:val="sr-Latn-ME"/>
              </w:rPr>
              <w:t>Vrijednost u 2025.</w:t>
            </w:r>
          </w:p>
        </w:tc>
        <w:tc>
          <w:tcPr>
            <w:tcW w:w="1440" w:type="dxa"/>
            <w:shd w:val="clear" w:color="auto" w:fill="BDD6EE" w:themeFill="accent5" w:themeFillTint="66"/>
          </w:tcPr>
          <w:p w14:paraId="67C97D53" w14:textId="77777777" w:rsidR="00341AD6" w:rsidRPr="00AA1E48" w:rsidRDefault="00341AD6" w:rsidP="00341AD6">
            <w:pPr>
              <w:rPr>
                <w:b/>
                <w:bCs/>
                <w:lang w:val="sr-Latn-ME"/>
              </w:rPr>
            </w:pPr>
            <w:r w:rsidRPr="00AA1E48">
              <w:rPr>
                <w:b/>
                <w:bCs/>
                <w:lang w:val="sr-Latn-ME"/>
              </w:rPr>
              <w:t>Ciljna vrijednost 2026.</w:t>
            </w:r>
          </w:p>
        </w:tc>
      </w:tr>
      <w:tr w:rsidR="00341AD6" w:rsidRPr="00756CAA" w14:paraId="713881EA" w14:textId="77777777" w:rsidTr="00C32F60">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6DA70822" w14:textId="7ADBC5D5" w:rsidR="00341AD6" w:rsidRPr="00756CAA" w:rsidRDefault="00341AD6" w:rsidP="00341AD6">
            <w:pPr>
              <w:rPr>
                <w:sz w:val="20"/>
                <w:szCs w:val="20"/>
                <w:lang w:val="sr-Latn-ME"/>
              </w:rPr>
            </w:pPr>
            <w:r w:rsidRPr="00756CAA">
              <w:rPr>
                <w:sz w:val="20"/>
                <w:szCs w:val="20"/>
                <w:lang w:val="sr-Latn-ME"/>
              </w:rPr>
              <w:t xml:space="preserve">Poboljšana informisanost javnosti o negativnim efektima neformalne ekonomije </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16C62DA3" w14:textId="098F44AB" w:rsidR="00341AD6" w:rsidRPr="00756CAA" w:rsidRDefault="009D1610" w:rsidP="00341AD6">
            <w:pPr>
              <w:rPr>
                <w:sz w:val="20"/>
                <w:szCs w:val="20"/>
                <w:lang w:val="sr-Latn-ME"/>
              </w:rPr>
            </w:pPr>
            <w:r w:rsidRPr="00756CAA">
              <w:rPr>
                <w:sz w:val="20"/>
                <w:szCs w:val="20"/>
                <w:lang w:val="sr-Latn-ME"/>
              </w:rPr>
              <w:t xml:space="preserve">% </w:t>
            </w:r>
            <w:r w:rsidR="00A0312E" w:rsidRPr="00756CAA">
              <w:rPr>
                <w:sz w:val="20"/>
                <w:szCs w:val="20"/>
                <w:lang w:val="sr-Latn-ME"/>
              </w:rPr>
              <w:t xml:space="preserve">povećanja broja </w:t>
            </w:r>
            <w:r w:rsidR="00E525AB" w:rsidRPr="00756CAA">
              <w:rPr>
                <w:sz w:val="20"/>
                <w:szCs w:val="20"/>
                <w:lang w:val="sr-Latn-ME"/>
              </w:rPr>
              <w:t xml:space="preserve">organizovanih </w:t>
            </w:r>
            <w:r w:rsidR="00B161CD" w:rsidRPr="00756CAA">
              <w:rPr>
                <w:sz w:val="20"/>
                <w:szCs w:val="20"/>
                <w:lang w:val="sr-Latn-ME"/>
              </w:rPr>
              <w:t>kampanja u jednoj godini</w:t>
            </w:r>
            <w:r w:rsidR="00341AD6" w:rsidRPr="00756CAA">
              <w:rPr>
                <w:sz w:val="20"/>
                <w:szCs w:val="20"/>
                <w:lang w:val="sr-Latn-ME"/>
              </w:rPr>
              <w:t xml:space="preserve"> </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BD18CDF" w14:textId="77777777" w:rsidR="00341AD6" w:rsidRPr="00756CAA" w:rsidRDefault="00341AD6" w:rsidP="00341AD6">
            <w:pPr>
              <w:rPr>
                <w:sz w:val="20"/>
                <w:szCs w:val="20"/>
                <w:lang w:val="sr-Latn-ME"/>
              </w:rPr>
            </w:pPr>
            <w:r w:rsidRPr="00756CAA">
              <w:rPr>
                <w:sz w:val="20"/>
                <w:szCs w:val="20"/>
                <w:lang w:val="sr-Latn-ME"/>
              </w:rPr>
              <w:t>UPC</w:t>
            </w:r>
          </w:p>
          <w:p w14:paraId="41162BDE" w14:textId="77777777" w:rsidR="00341AD6" w:rsidRPr="00756CAA" w:rsidRDefault="00341AD6" w:rsidP="00341AD6">
            <w:pPr>
              <w:rPr>
                <w:sz w:val="20"/>
                <w:szCs w:val="20"/>
                <w:lang w:val="sr-Latn-ME"/>
              </w:rPr>
            </w:pPr>
            <w:r w:rsidRPr="00756CAA">
              <w:rPr>
                <w:sz w:val="20"/>
                <w:szCs w:val="20"/>
                <w:lang w:val="sr-Latn-ME"/>
              </w:rPr>
              <w:t>UIP</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0A9DA9DC" w14:textId="17C5A470" w:rsidR="00341AD6" w:rsidRPr="00756CAA" w:rsidRDefault="00A0312E" w:rsidP="00341AD6">
            <w:pPr>
              <w:rPr>
                <w:sz w:val="20"/>
                <w:szCs w:val="20"/>
                <w:lang w:val="sr-Latn-ME"/>
              </w:rPr>
            </w:pPr>
            <w:r w:rsidRPr="00756CAA">
              <w:rPr>
                <w:sz w:val="20"/>
                <w:szCs w:val="20"/>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D8A17F7" w14:textId="3DBC1827" w:rsidR="00341AD6" w:rsidRPr="00756CAA" w:rsidRDefault="00A0312E" w:rsidP="00341AD6">
            <w:pPr>
              <w:rPr>
                <w:sz w:val="20"/>
                <w:szCs w:val="20"/>
                <w:lang w:val="sr-Latn-ME"/>
              </w:rPr>
            </w:pPr>
            <w:r w:rsidRPr="00756CAA">
              <w:rPr>
                <w:sz w:val="20"/>
                <w:szCs w:val="20"/>
                <w:lang w:val="sr-Latn-ME"/>
              </w:rPr>
              <w:t>3</w:t>
            </w:r>
            <w:r w:rsidR="00341AD6" w:rsidRPr="00756CAA">
              <w:rPr>
                <w:sz w:val="20"/>
                <w:szCs w:val="20"/>
                <w:lang w:val="sr-Latn-ME"/>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15C63DAB" w14:textId="21986ECE" w:rsidR="00341AD6" w:rsidRPr="00756CAA" w:rsidRDefault="00A0312E" w:rsidP="00341AD6">
            <w:pPr>
              <w:rPr>
                <w:sz w:val="20"/>
                <w:szCs w:val="20"/>
                <w:lang w:val="sr-Latn-ME"/>
              </w:rPr>
            </w:pPr>
            <w:r w:rsidRPr="00756CAA">
              <w:rPr>
                <w:sz w:val="20"/>
                <w:szCs w:val="20"/>
                <w:lang w:val="sr-Latn-ME"/>
              </w:rPr>
              <w:t>2</w:t>
            </w:r>
            <w:r w:rsidR="00341AD6" w:rsidRPr="00756CAA">
              <w:rPr>
                <w:sz w:val="20"/>
                <w:szCs w:val="20"/>
                <w:lang w:val="sr-Latn-ME"/>
              </w:rPr>
              <w:t>5</w:t>
            </w:r>
          </w:p>
        </w:tc>
      </w:tr>
      <w:tr w:rsidR="00D72CC7" w:rsidRPr="00756CAA" w14:paraId="1ACEF0D3" w14:textId="77777777" w:rsidTr="00C32F60">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1B198FF9" w14:textId="3AF141E7" w:rsidR="00D72CC7" w:rsidRPr="00756CAA" w:rsidRDefault="00D72CC7" w:rsidP="00D72CC7">
            <w:pPr>
              <w:rPr>
                <w:sz w:val="20"/>
                <w:szCs w:val="20"/>
                <w:lang w:val="sr-Latn-ME"/>
              </w:rPr>
            </w:pPr>
            <w:r w:rsidRPr="00756CAA">
              <w:rPr>
                <w:sz w:val="20"/>
                <w:szCs w:val="20"/>
                <w:lang w:val="sr-Latn-ME"/>
              </w:rPr>
              <w:t>Funkcionalan sistem za elektronsko plaćanje administrativnih taksi i svih javnih nameta</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3EB50266" w14:textId="547A2132" w:rsidR="00D72CC7" w:rsidRPr="00756CAA" w:rsidRDefault="00D72CC7" w:rsidP="00D72CC7">
            <w:pPr>
              <w:rPr>
                <w:sz w:val="20"/>
                <w:szCs w:val="20"/>
                <w:lang w:val="sr-Latn-ME"/>
              </w:rPr>
            </w:pPr>
            <w:r w:rsidRPr="00756CAA">
              <w:rPr>
                <w:sz w:val="20"/>
                <w:szCs w:val="20"/>
                <w:lang w:val="sr-Latn-ME"/>
              </w:rPr>
              <w:t>% javnih nameta plaćenih elektronskim putem</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C5852AE" w14:textId="77777777" w:rsidR="00D72CC7" w:rsidRPr="00756CAA" w:rsidRDefault="00D72CC7" w:rsidP="00D72CC7">
            <w:pPr>
              <w:rPr>
                <w:sz w:val="20"/>
                <w:szCs w:val="20"/>
                <w:lang w:val="sr-Latn-ME"/>
              </w:rPr>
            </w:pPr>
            <w:r w:rsidRPr="00756CAA">
              <w:rPr>
                <w:sz w:val="20"/>
                <w:szCs w:val="20"/>
                <w:lang w:val="sr-Latn-ME"/>
              </w:rPr>
              <w:t>MJU</w:t>
            </w:r>
          </w:p>
          <w:p w14:paraId="4129CCB6" w14:textId="1368BD0C" w:rsidR="00D72CC7" w:rsidRPr="00756CAA" w:rsidRDefault="00D72CC7" w:rsidP="00D72CC7">
            <w:pPr>
              <w:rPr>
                <w:sz w:val="20"/>
                <w:szCs w:val="20"/>
                <w:lang w:val="sr-Latn-ME"/>
              </w:rPr>
            </w:pPr>
            <w:r w:rsidRPr="00756CAA">
              <w:rPr>
                <w:sz w:val="20"/>
                <w:szCs w:val="20"/>
                <w:lang w:val="sr-Latn-ME"/>
              </w:rPr>
              <w:t>MF</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7B9F2ACB" w14:textId="268B5708" w:rsidR="00D72CC7" w:rsidRPr="00756CAA" w:rsidRDefault="007237BF" w:rsidP="00D72CC7">
            <w:pPr>
              <w:rPr>
                <w:sz w:val="20"/>
                <w:szCs w:val="20"/>
                <w:lang w:val="sr-Latn-ME"/>
              </w:rPr>
            </w:pPr>
            <w:r w:rsidRPr="00756CAA">
              <w:rPr>
                <w:sz w:val="20"/>
                <w:szCs w:val="20"/>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2439B54B" w14:textId="58F5BAD7" w:rsidR="00D72CC7" w:rsidRPr="00756CAA" w:rsidRDefault="00D72CC7" w:rsidP="00D72CC7">
            <w:pPr>
              <w:rPr>
                <w:sz w:val="20"/>
                <w:szCs w:val="20"/>
                <w:lang w:val="sr-Latn-ME"/>
              </w:rPr>
            </w:pPr>
            <w:r w:rsidRPr="00756CAA">
              <w:rPr>
                <w:sz w:val="20"/>
                <w:szCs w:val="20"/>
                <w:lang w:val="sr-Latn-ME"/>
              </w:rPr>
              <w:t>25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54ECC859" w14:textId="458FACAC" w:rsidR="00D72CC7" w:rsidRPr="00756CAA" w:rsidRDefault="00D72CC7" w:rsidP="00D72CC7">
            <w:pPr>
              <w:rPr>
                <w:sz w:val="20"/>
                <w:szCs w:val="20"/>
                <w:lang w:val="sr-Latn-ME"/>
              </w:rPr>
            </w:pPr>
            <w:r w:rsidRPr="00756CAA">
              <w:rPr>
                <w:sz w:val="20"/>
                <w:szCs w:val="20"/>
                <w:lang w:val="sr-Latn-ME"/>
              </w:rPr>
              <w:t>40</w:t>
            </w:r>
          </w:p>
        </w:tc>
      </w:tr>
      <w:tr w:rsidR="00D72CC7" w:rsidRPr="00756CAA" w14:paraId="22AA1D4D" w14:textId="77777777" w:rsidTr="00C32F60">
        <w:tc>
          <w:tcPr>
            <w:tcW w:w="1525" w:type="dxa"/>
            <w:tcBorders>
              <w:top w:val="single" w:sz="4" w:space="0" w:color="808080"/>
              <w:left w:val="single" w:sz="4" w:space="0" w:color="808080"/>
              <w:bottom w:val="single" w:sz="4" w:space="0" w:color="808080"/>
              <w:right w:val="single" w:sz="4" w:space="0" w:color="808080"/>
            </w:tcBorders>
            <w:shd w:val="clear" w:color="auto" w:fill="auto"/>
          </w:tcPr>
          <w:p w14:paraId="1FDCE213" w14:textId="0FE4F992" w:rsidR="00D72CC7" w:rsidRPr="00756CAA" w:rsidRDefault="00D72CC7" w:rsidP="00D72CC7">
            <w:pPr>
              <w:rPr>
                <w:sz w:val="20"/>
                <w:szCs w:val="20"/>
                <w:lang w:val="sr-Latn-ME"/>
              </w:rPr>
            </w:pPr>
            <w:r w:rsidRPr="00756CAA">
              <w:rPr>
                <w:sz w:val="20"/>
                <w:szCs w:val="20"/>
                <w:lang w:val="sr-Latn-ME"/>
              </w:rPr>
              <w:t xml:space="preserve">Povećan stepen bezgotovinskog plaćanja </w:t>
            </w:r>
          </w:p>
        </w:tc>
        <w:tc>
          <w:tcPr>
            <w:tcW w:w="1470" w:type="dxa"/>
            <w:tcBorders>
              <w:top w:val="single" w:sz="4" w:space="0" w:color="808080"/>
              <w:left w:val="single" w:sz="4" w:space="0" w:color="808080"/>
              <w:bottom w:val="single" w:sz="4" w:space="0" w:color="808080"/>
              <w:right w:val="single" w:sz="4" w:space="0" w:color="808080"/>
            </w:tcBorders>
            <w:shd w:val="clear" w:color="auto" w:fill="auto"/>
          </w:tcPr>
          <w:p w14:paraId="77D9B450" w14:textId="0A087B17" w:rsidR="00D72CC7" w:rsidRPr="00756CAA" w:rsidRDefault="00D72CC7" w:rsidP="00D72CC7">
            <w:pPr>
              <w:rPr>
                <w:sz w:val="20"/>
                <w:szCs w:val="20"/>
                <w:lang w:val="sr-Latn-ME"/>
              </w:rPr>
            </w:pPr>
            <w:r w:rsidRPr="00756CAA">
              <w:rPr>
                <w:sz w:val="20"/>
                <w:szCs w:val="20"/>
                <w:lang w:val="sr-Latn-ME"/>
              </w:rPr>
              <w:t>% povećanja transakcija na posterminalima</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ACE8949" w14:textId="07F5F36C" w:rsidR="00D72CC7" w:rsidRPr="00756CAA" w:rsidRDefault="00D72CC7" w:rsidP="00D72CC7">
            <w:pPr>
              <w:rPr>
                <w:sz w:val="20"/>
                <w:szCs w:val="20"/>
                <w:lang w:val="sr-Latn-ME"/>
              </w:rPr>
            </w:pPr>
            <w:r w:rsidRPr="00756CAA">
              <w:rPr>
                <w:sz w:val="20"/>
                <w:szCs w:val="20"/>
                <w:lang w:val="sr-Latn-ME"/>
              </w:rPr>
              <w:t>CBCG</w:t>
            </w:r>
          </w:p>
        </w:tc>
        <w:tc>
          <w:tcPr>
            <w:tcW w:w="1890" w:type="dxa"/>
            <w:tcBorders>
              <w:top w:val="single" w:sz="4" w:space="0" w:color="808080"/>
              <w:left w:val="single" w:sz="4" w:space="0" w:color="808080"/>
              <w:bottom w:val="single" w:sz="4" w:space="0" w:color="808080"/>
              <w:right w:val="single" w:sz="4" w:space="0" w:color="808080"/>
            </w:tcBorders>
            <w:shd w:val="clear" w:color="auto" w:fill="auto"/>
          </w:tcPr>
          <w:p w14:paraId="70758564" w14:textId="5D8755E0" w:rsidR="00D72CC7" w:rsidRPr="00756CAA" w:rsidRDefault="00D72CC7" w:rsidP="00D72CC7">
            <w:pPr>
              <w:rPr>
                <w:sz w:val="20"/>
                <w:szCs w:val="20"/>
                <w:lang w:val="sr-Latn-ME"/>
              </w:rPr>
            </w:pP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78B3F4B" w14:textId="7688B3D7" w:rsidR="00D72CC7" w:rsidRPr="00756CAA" w:rsidRDefault="00D72CC7" w:rsidP="00D72CC7">
            <w:pPr>
              <w:rPr>
                <w:sz w:val="20"/>
                <w:szCs w:val="20"/>
                <w:lang w:val="sr-Latn-ME"/>
              </w:rPr>
            </w:pPr>
            <w:r w:rsidRPr="00756CAA">
              <w:rPr>
                <w:sz w:val="20"/>
                <w:szCs w:val="20"/>
                <w:lang w:val="sr-Latn-ME"/>
              </w:rPr>
              <w:t>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640804B9" w14:textId="756826F4" w:rsidR="00D72CC7" w:rsidRPr="00756CAA" w:rsidRDefault="00D72CC7" w:rsidP="00D72CC7">
            <w:pPr>
              <w:rPr>
                <w:sz w:val="20"/>
                <w:szCs w:val="20"/>
                <w:lang w:val="sr-Latn-ME"/>
              </w:rPr>
            </w:pPr>
            <w:r w:rsidRPr="00756CAA">
              <w:rPr>
                <w:sz w:val="20"/>
                <w:szCs w:val="20"/>
                <w:lang w:val="sr-Latn-ME"/>
              </w:rPr>
              <w:t>2</w:t>
            </w:r>
          </w:p>
        </w:tc>
      </w:tr>
    </w:tbl>
    <w:p w14:paraId="16409C93" w14:textId="77777777" w:rsidR="005A5C62" w:rsidRDefault="005A5C62" w:rsidP="00123FE9">
      <w:pPr>
        <w:rPr>
          <w:highlight w:val="yellow"/>
          <w:lang w:val="pl-PL"/>
        </w:rPr>
      </w:pPr>
    </w:p>
    <w:p w14:paraId="265DE3FF" w14:textId="77777777" w:rsidR="00B67D63" w:rsidRDefault="00B67D63" w:rsidP="00123FE9">
      <w:pPr>
        <w:rPr>
          <w:highlight w:val="yellow"/>
          <w:lang w:val="pl-PL"/>
        </w:rPr>
      </w:pPr>
    </w:p>
    <w:p w14:paraId="74964F21" w14:textId="77777777" w:rsidR="00B67D63" w:rsidRDefault="00B67D63" w:rsidP="00123FE9">
      <w:pPr>
        <w:rPr>
          <w:highlight w:val="yellow"/>
          <w:lang w:val="pl-PL"/>
        </w:rPr>
      </w:pPr>
    </w:p>
    <w:p w14:paraId="77B62A59" w14:textId="77777777" w:rsidR="00B67D63" w:rsidRDefault="00B67D63" w:rsidP="00123FE9">
      <w:pPr>
        <w:rPr>
          <w:highlight w:val="yellow"/>
          <w:lang w:val="pl-PL"/>
        </w:rPr>
      </w:pPr>
    </w:p>
    <w:p w14:paraId="4ED319AF" w14:textId="77777777" w:rsidR="00B67D63" w:rsidRDefault="00B67D63" w:rsidP="00123FE9">
      <w:pPr>
        <w:rPr>
          <w:highlight w:val="yellow"/>
          <w:lang w:val="pl-PL"/>
        </w:rPr>
      </w:pPr>
    </w:p>
    <w:p w14:paraId="52CF896F" w14:textId="77777777" w:rsidR="00B67D63" w:rsidRDefault="00B67D63" w:rsidP="00123FE9">
      <w:pPr>
        <w:rPr>
          <w:highlight w:val="yellow"/>
          <w:lang w:val="pl-PL"/>
        </w:rPr>
      </w:pPr>
    </w:p>
    <w:p w14:paraId="37B5291F" w14:textId="77777777" w:rsidR="00B67D63" w:rsidRDefault="00B67D63" w:rsidP="00123FE9">
      <w:pPr>
        <w:rPr>
          <w:highlight w:val="yellow"/>
          <w:lang w:val="pl-PL"/>
        </w:rPr>
      </w:pPr>
    </w:p>
    <w:p w14:paraId="7BA2023A" w14:textId="77777777" w:rsidR="00B67D63" w:rsidRDefault="00B67D63" w:rsidP="00123FE9">
      <w:pPr>
        <w:rPr>
          <w:highlight w:val="yellow"/>
          <w:lang w:val="pl-PL"/>
        </w:rPr>
      </w:pPr>
    </w:p>
    <w:p w14:paraId="33193E9B" w14:textId="77777777" w:rsidR="00B67D63" w:rsidRDefault="00B67D63" w:rsidP="00123FE9">
      <w:pPr>
        <w:rPr>
          <w:highlight w:val="yellow"/>
          <w:lang w:val="pl-PL"/>
        </w:rPr>
      </w:pPr>
    </w:p>
    <w:p w14:paraId="43F1E0B2" w14:textId="77777777" w:rsidR="00B67D63" w:rsidRDefault="00B67D63" w:rsidP="00123FE9">
      <w:pPr>
        <w:rPr>
          <w:highlight w:val="yellow"/>
          <w:lang w:val="pl-PL"/>
        </w:rPr>
      </w:pPr>
    </w:p>
    <w:p w14:paraId="1C0C5292" w14:textId="77777777" w:rsidR="00B67D63" w:rsidRDefault="00B67D63" w:rsidP="00123FE9">
      <w:pPr>
        <w:rPr>
          <w:highlight w:val="yellow"/>
          <w:lang w:val="pl-PL"/>
        </w:rPr>
      </w:pPr>
    </w:p>
    <w:p w14:paraId="20E062A5" w14:textId="396218F0" w:rsidR="00756CAA" w:rsidRDefault="0042027A" w:rsidP="00756CAA">
      <w:pPr>
        <w:pStyle w:val="Heading1"/>
        <w:rPr>
          <w:lang w:val="pl-PL"/>
        </w:rPr>
      </w:pPr>
      <w:bookmarkStart w:id="42" w:name="_Toc147990154"/>
      <w:r w:rsidRPr="00021CDC">
        <w:rPr>
          <w:lang w:val="pl-PL"/>
        </w:rPr>
        <w:lastRenderedPageBreak/>
        <w:t>4.</w:t>
      </w:r>
      <w:r w:rsidR="00F42C15" w:rsidRPr="00021CDC">
        <w:rPr>
          <w:lang w:val="pl-PL"/>
        </w:rPr>
        <w:t>FINANSIRANJE</w:t>
      </w:r>
      <w:bookmarkEnd w:id="42"/>
      <w:r w:rsidR="00F42C15" w:rsidRPr="00021CDC">
        <w:rPr>
          <w:lang w:val="pl-PL"/>
        </w:rPr>
        <w:t xml:space="preserve"> </w:t>
      </w:r>
    </w:p>
    <w:p w14:paraId="4F6B770F" w14:textId="77777777" w:rsidR="00756CAA" w:rsidRPr="00756CAA" w:rsidRDefault="00756CAA" w:rsidP="00756CAA">
      <w:pPr>
        <w:rPr>
          <w:lang w:val="pl-PL"/>
        </w:rPr>
      </w:pPr>
    </w:p>
    <w:p w14:paraId="1AA8C32B" w14:textId="52FA1164" w:rsidR="000F44B4" w:rsidRPr="00021CDC" w:rsidRDefault="000F44B4" w:rsidP="00B27C3F">
      <w:pPr>
        <w:jc w:val="both"/>
        <w:rPr>
          <w:sz w:val="24"/>
          <w:szCs w:val="24"/>
          <w:lang w:val="pl-PL"/>
        </w:rPr>
      </w:pPr>
      <w:r w:rsidRPr="00B01395">
        <w:rPr>
          <w:sz w:val="24"/>
          <w:szCs w:val="24"/>
          <w:lang w:val="sr-Latn-ME"/>
        </w:rPr>
        <w:t xml:space="preserve">Finansiranje </w:t>
      </w:r>
      <w:r w:rsidR="00C97D16" w:rsidRPr="00B01395">
        <w:rPr>
          <w:sz w:val="24"/>
          <w:szCs w:val="24"/>
          <w:lang w:val="sr-Latn-ME"/>
        </w:rPr>
        <w:t>op</w:t>
      </w:r>
      <w:r w:rsidR="00460990">
        <w:rPr>
          <w:sz w:val="24"/>
          <w:szCs w:val="24"/>
          <w:lang w:val="sr-Latn-ME"/>
        </w:rPr>
        <w:t>e</w:t>
      </w:r>
      <w:r w:rsidR="00C97D16" w:rsidRPr="00B01395">
        <w:rPr>
          <w:sz w:val="24"/>
          <w:szCs w:val="24"/>
          <w:lang w:val="sr-Latn-ME"/>
        </w:rPr>
        <w:t>rativnih ciljeva za imp</w:t>
      </w:r>
      <w:r w:rsidR="00414BCB">
        <w:rPr>
          <w:sz w:val="24"/>
          <w:szCs w:val="24"/>
          <w:lang w:val="sr-Latn-ME"/>
        </w:rPr>
        <w:t>le</w:t>
      </w:r>
      <w:r w:rsidR="00C97D16" w:rsidRPr="00B01395">
        <w:rPr>
          <w:sz w:val="24"/>
          <w:szCs w:val="24"/>
          <w:lang w:val="sr-Latn-ME"/>
        </w:rPr>
        <w:t xml:space="preserve">metaciju Programa </w:t>
      </w:r>
      <w:r w:rsidRPr="00B01395">
        <w:rPr>
          <w:sz w:val="24"/>
          <w:szCs w:val="24"/>
          <w:lang w:val="sr-Latn-ME"/>
        </w:rPr>
        <w:t>će zavisiti od godišnjeg Zakona o budžetu Crne Gore, godišnjih budžeta JLS, kredita, EU i IPA fondova</w:t>
      </w:r>
      <w:r w:rsidR="00C97D16" w:rsidRPr="00B01395">
        <w:rPr>
          <w:sz w:val="24"/>
          <w:szCs w:val="24"/>
          <w:lang w:val="sr-Latn-ME"/>
        </w:rPr>
        <w:t xml:space="preserve"> </w:t>
      </w:r>
      <w:r w:rsidRPr="00B01395">
        <w:rPr>
          <w:sz w:val="24"/>
          <w:szCs w:val="24"/>
          <w:lang w:val="sr-Latn-ME"/>
        </w:rPr>
        <w:t xml:space="preserve">i ostalih donacija, što će biti planirano </w:t>
      </w:r>
      <w:r w:rsidR="00C97D16" w:rsidRPr="00B01395">
        <w:rPr>
          <w:sz w:val="24"/>
          <w:szCs w:val="24"/>
          <w:lang w:val="sr-Latn-ME"/>
        </w:rPr>
        <w:t>sednjoročnim Akcionim planom</w:t>
      </w:r>
      <w:r w:rsidRPr="00B01395">
        <w:rPr>
          <w:sz w:val="24"/>
          <w:szCs w:val="24"/>
          <w:lang w:val="sr-Latn-ME"/>
        </w:rPr>
        <w:t>.</w:t>
      </w:r>
      <w:r w:rsidRPr="00021CDC">
        <w:rPr>
          <w:sz w:val="24"/>
          <w:szCs w:val="24"/>
          <w:lang w:val="pl-PL"/>
        </w:rPr>
        <w:t xml:space="preserve"> </w:t>
      </w:r>
    </w:p>
    <w:p w14:paraId="3103947B" w14:textId="4EECEB27" w:rsidR="00EE1471" w:rsidRDefault="000F44B4" w:rsidP="004C5951">
      <w:pPr>
        <w:rPr>
          <w:sz w:val="24"/>
          <w:szCs w:val="24"/>
          <w:lang w:val="sr-Latn-ME"/>
        </w:rPr>
      </w:pPr>
      <w:r w:rsidRPr="00B01395">
        <w:rPr>
          <w:sz w:val="24"/>
          <w:szCs w:val="24"/>
          <w:lang w:val="sr-Latn-ME"/>
        </w:rPr>
        <w:t>Naime, za sprovođenje Akcionog plana za 202</w:t>
      </w:r>
      <w:r w:rsidR="00C97D16" w:rsidRPr="00B01395">
        <w:rPr>
          <w:sz w:val="24"/>
          <w:szCs w:val="24"/>
          <w:lang w:val="sr-Latn-ME"/>
        </w:rPr>
        <w:t>4-2026</w:t>
      </w:r>
      <w:r w:rsidRPr="00B01395">
        <w:rPr>
          <w:sz w:val="24"/>
          <w:szCs w:val="24"/>
          <w:lang w:val="sr-Latn-ME"/>
        </w:rPr>
        <w:t xml:space="preserve">. godinu predložen je finansijski okvir </w:t>
      </w:r>
      <w:r w:rsidR="004C5951">
        <w:rPr>
          <w:sz w:val="24"/>
          <w:szCs w:val="24"/>
          <w:lang w:val="sr-Latn-ME"/>
        </w:rPr>
        <w:t xml:space="preserve">iz sljedećih izvora: </w:t>
      </w:r>
      <w:r w:rsidRPr="00EE1471">
        <w:rPr>
          <w:sz w:val="24"/>
          <w:szCs w:val="24"/>
          <w:lang w:val="sr-Latn-ME"/>
        </w:rPr>
        <w:t>nacionalni budžet</w:t>
      </w:r>
      <w:r w:rsidR="004C5951">
        <w:rPr>
          <w:sz w:val="24"/>
          <w:szCs w:val="24"/>
          <w:lang w:val="sr-Latn-ME"/>
        </w:rPr>
        <w:t xml:space="preserve">, </w:t>
      </w:r>
      <w:r w:rsidRPr="00EE1471">
        <w:rPr>
          <w:sz w:val="24"/>
          <w:szCs w:val="24"/>
          <w:lang w:val="sr-Latn-ME"/>
        </w:rPr>
        <w:t>IPA</w:t>
      </w:r>
      <w:r w:rsidR="004C5951">
        <w:rPr>
          <w:sz w:val="24"/>
          <w:szCs w:val="24"/>
          <w:lang w:val="sr-Latn-ME"/>
        </w:rPr>
        <w:t xml:space="preserve">, </w:t>
      </w:r>
      <w:r w:rsidRPr="00EE1471">
        <w:rPr>
          <w:sz w:val="24"/>
          <w:szCs w:val="24"/>
          <w:lang w:val="sr-Latn-ME"/>
        </w:rPr>
        <w:t>donatorski programi</w:t>
      </w:r>
      <w:r w:rsidR="004C5951">
        <w:rPr>
          <w:sz w:val="24"/>
          <w:szCs w:val="24"/>
          <w:lang w:val="sr-Latn-ME"/>
        </w:rPr>
        <w:t xml:space="preserve">, </w:t>
      </w:r>
      <w:r w:rsidRPr="00EE1471">
        <w:rPr>
          <w:sz w:val="24"/>
          <w:szCs w:val="24"/>
          <w:lang w:val="sr-Latn-ME"/>
        </w:rPr>
        <w:t>privatni sektor</w:t>
      </w:r>
      <w:r w:rsidR="004C5951">
        <w:rPr>
          <w:sz w:val="24"/>
          <w:szCs w:val="24"/>
          <w:lang w:val="sr-Latn-ME"/>
        </w:rPr>
        <w:t>.</w:t>
      </w:r>
    </w:p>
    <w:p w14:paraId="7E7E7484" w14:textId="77777777" w:rsidR="00756CAA" w:rsidRDefault="00756CAA" w:rsidP="004C5951">
      <w:pPr>
        <w:rPr>
          <w:sz w:val="24"/>
          <w:szCs w:val="24"/>
          <w:lang w:val="sr-Latn-ME"/>
        </w:rPr>
      </w:pPr>
    </w:p>
    <w:p w14:paraId="18B977DE" w14:textId="750028CB" w:rsidR="000F44B4" w:rsidRPr="00686BAF" w:rsidRDefault="005F41C3" w:rsidP="0042027A">
      <w:pPr>
        <w:pStyle w:val="Heading1"/>
        <w:rPr>
          <w:lang w:val="sr-Latn-ME"/>
        </w:rPr>
      </w:pPr>
      <w:bookmarkStart w:id="43" w:name="_Toc147990155"/>
      <w:r w:rsidRPr="00021CDC">
        <w:rPr>
          <w:lang w:val="sr-Latn-ME"/>
        </w:rPr>
        <w:t>5</w:t>
      </w:r>
      <w:r w:rsidR="0042027A" w:rsidRPr="00021CDC">
        <w:rPr>
          <w:lang w:val="sr-Latn-ME"/>
        </w:rPr>
        <w:t>.</w:t>
      </w:r>
      <w:r w:rsidR="00EE1471" w:rsidRPr="0042027A">
        <w:t>MONITORING</w:t>
      </w:r>
      <w:r w:rsidR="00EE1471" w:rsidRPr="00021CDC">
        <w:rPr>
          <w:lang w:val="sr-Latn-ME"/>
        </w:rPr>
        <w:t xml:space="preserve">, </w:t>
      </w:r>
      <w:r w:rsidR="00EE1471" w:rsidRPr="0042027A">
        <w:t>IZVJE</w:t>
      </w:r>
      <w:r w:rsidR="00EE1471" w:rsidRPr="00021CDC">
        <w:rPr>
          <w:lang w:val="sr-Latn-ME"/>
        </w:rPr>
        <w:t>Š</w:t>
      </w:r>
      <w:r w:rsidR="00EE1471" w:rsidRPr="0042027A">
        <w:t>TAVANJE</w:t>
      </w:r>
      <w:r w:rsidR="00EE1471" w:rsidRPr="00021CDC">
        <w:rPr>
          <w:lang w:val="sr-Latn-ME"/>
        </w:rPr>
        <w:t xml:space="preserve"> </w:t>
      </w:r>
      <w:r w:rsidR="00EE1471" w:rsidRPr="0042027A">
        <w:t>I</w:t>
      </w:r>
      <w:r w:rsidR="00EE1471" w:rsidRPr="00021CDC">
        <w:rPr>
          <w:lang w:val="sr-Latn-ME"/>
        </w:rPr>
        <w:t xml:space="preserve"> </w:t>
      </w:r>
      <w:r w:rsidR="00EE1471" w:rsidRPr="0042027A">
        <w:t>EVALUACIJA</w:t>
      </w:r>
      <w:bookmarkEnd w:id="43"/>
    </w:p>
    <w:p w14:paraId="0E887CA1" w14:textId="48A7E28E" w:rsidR="00D72CC7" w:rsidRPr="00686BAF" w:rsidRDefault="00D72CC7" w:rsidP="00D72CC7">
      <w:pPr>
        <w:jc w:val="both"/>
        <w:rPr>
          <w:sz w:val="24"/>
          <w:szCs w:val="24"/>
          <w:lang w:val="pl-PL"/>
        </w:rPr>
      </w:pPr>
      <w:proofErr w:type="spellStart"/>
      <w:r w:rsidRPr="00D72CC7">
        <w:rPr>
          <w:sz w:val="24"/>
          <w:szCs w:val="24"/>
        </w:rPr>
        <w:t>Komisija</w:t>
      </w:r>
      <w:proofErr w:type="spellEnd"/>
      <w:r w:rsidRPr="00686BAF">
        <w:rPr>
          <w:sz w:val="24"/>
          <w:szCs w:val="24"/>
          <w:lang w:val="sr-Latn-ME"/>
        </w:rPr>
        <w:t xml:space="preserve"> </w:t>
      </w:r>
      <w:r w:rsidRPr="00D72CC7">
        <w:rPr>
          <w:sz w:val="24"/>
          <w:szCs w:val="24"/>
        </w:rPr>
        <w:t>za</w:t>
      </w:r>
      <w:r w:rsidRPr="00686BAF">
        <w:rPr>
          <w:sz w:val="24"/>
          <w:szCs w:val="24"/>
          <w:lang w:val="sr-Latn-ME"/>
        </w:rPr>
        <w:t xml:space="preserve"> </w:t>
      </w:r>
      <w:proofErr w:type="spellStart"/>
      <w:r w:rsidRPr="00D72CC7">
        <w:rPr>
          <w:sz w:val="24"/>
          <w:szCs w:val="24"/>
        </w:rPr>
        <w:t>suzbijanje</w:t>
      </w:r>
      <w:proofErr w:type="spellEnd"/>
      <w:r w:rsidRPr="00686BAF">
        <w:rPr>
          <w:sz w:val="24"/>
          <w:szCs w:val="24"/>
          <w:lang w:val="sr-Latn-ME"/>
        </w:rPr>
        <w:t xml:space="preserve"> </w:t>
      </w:r>
      <w:proofErr w:type="spellStart"/>
      <w:r w:rsidRPr="00D72CC7">
        <w:rPr>
          <w:sz w:val="24"/>
          <w:szCs w:val="24"/>
        </w:rPr>
        <w:t>neformalne</w:t>
      </w:r>
      <w:proofErr w:type="spellEnd"/>
      <w:r w:rsidRPr="00686BAF">
        <w:rPr>
          <w:sz w:val="24"/>
          <w:szCs w:val="24"/>
          <w:lang w:val="sr-Latn-ME"/>
        </w:rPr>
        <w:t xml:space="preserve"> </w:t>
      </w:r>
      <w:proofErr w:type="spellStart"/>
      <w:r w:rsidRPr="00D72CC7">
        <w:rPr>
          <w:sz w:val="24"/>
          <w:szCs w:val="24"/>
        </w:rPr>
        <w:t>ekonomije</w:t>
      </w:r>
      <w:proofErr w:type="spellEnd"/>
      <w:r w:rsidRPr="00686BAF">
        <w:rPr>
          <w:sz w:val="24"/>
          <w:szCs w:val="24"/>
          <w:lang w:val="sr-Latn-ME"/>
        </w:rPr>
        <w:t xml:space="preserve">, </w:t>
      </w:r>
      <w:proofErr w:type="spellStart"/>
      <w:r w:rsidRPr="00D72CC7">
        <w:rPr>
          <w:sz w:val="24"/>
          <w:szCs w:val="24"/>
        </w:rPr>
        <w:t>sa</w:t>
      </w:r>
      <w:proofErr w:type="spellEnd"/>
      <w:r w:rsidRPr="00686BAF">
        <w:rPr>
          <w:sz w:val="24"/>
          <w:szCs w:val="24"/>
          <w:lang w:val="sr-Latn-ME"/>
        </w:rPr>
        <w:t xml:space="preserve"> </w:t>
      </w:r>
      <w:proofErr w:type="spellStart"/>
      <w:r w:rsidRPr="00D72CC7">
        <w:rPr>
          <w:sz w:val="24"/>
          <w:szCs w:val="24"/>
        </w:rPr>
        <w:t>sekretarijatom</w:t>
      </w:r>
      <w:proofErr w:type="spellEnd"/>
      <w:r w:rsidRPr="00686BAF">
        <w:rPr>
          <w:sz w:val="24"/>
          <w:szCs w:val="24"/>
          <w:lang w:val="sr-Latn-ME"/>
        </w:rPr>
        <w:t xml:space="preserve"> </w:t>
      </w:r>
      <w:proofErr w:type="spellStart"/>
      <w:r w:rsidRPr="00D72CC7">
        <w:rPr>
          <w:sz w:val="24"/>
          <w:szCs w:val="24"/>
        </w:rPr>
        <w:t>iz</w:t>
      </w:r>
      <w:proofErr w:type="spellEnd"/>
      <w:r w:rsidRPr="00686BAF">
        <w:rPr>
          <w:sz w:val="24"/>
          <w:szCs w:val="24"/>
          <w:lang w:val="sr-Latn-ME"/>
        </w:rPr>
        <w:t xml:space="preserve"> </w:t>
      </w:r>
      <w:proofErr w:type="spellStart"/>
      <w:r w:rsidRPr="00D72CC7">
        <w:rPr>
          <w:sz w:val="24"/>
          <w:szCs w:val="24"/>
        </w:rPr>
        <w:t>Ministarstva</w:t>
      </w:r>
      <w:proofErr w:type="spellEnd"/>
      <w:r w:rsidRPr="00686BAF">
        <w:rPr>
          <w:sz w:val="24"/>
          <w:szCs w:val="24"/>
          <w:lang w:val="sr-Latn-ME"/>
        </w:rPr>
        <w:t xml:space="preserve"> </w:t>
      </w:r>
      <w:proofErr w:type="spellStart"/>
      <w:r w:rsidRPr="00D72CC7">
        <w:rPr>
          <w:sz w:val="24"/>
          <w:szCs w:val="24"/>
        </w:rPr>
        <w:t>finansija</w:t>
      </w:r>
      <w:proofErr w:type="spellEnd"/>
      <w:r w:rsidRPr="00686BAF">
        <w:rPr>
          <w:sz w:val="24"/>
          <w:szCs w:val="24"/>
          <w:lang w:val="sr-Latn-ME"/>
        </w:rPr>
        <w:t xml:space="preserve"> (</w:t>
      </w:r>
      <w:r w:rsidRPr="00D72CC7">
        <w:rPr>
          <w:sz w:val="24"/>
          <w:szCs w:val="24"/>
        </w:rPr>
        <w:t>MF</w:t>
      </w:r>
      <w:r w:rsidRPr="00686BAF">
        <w:rPr>
          <w:sz w:val="24"/>
          <w:szCs w:val="24"/>
          <w:lang w:val="sr-Latn-ME"/>
        </w:rPr>
        <w:t xml:space="preserve">), </w:t>
      </w:r>
      <w:proofErr w:type="spellStart"/>
      <w:r w:rsidRPr="00D72CC7">
        <w:rPr>
          <w:sz w:val="24"/>
          <w:szCs w:val="24"/>
        </w:rPr>
        <w:t>zadu</w:t>
      </w:r>
      <w:proofErr w:type="spellEnd"/>
      <w:r w:rsidRPr="00686BAF">
        <w:rPr>
          <w:sz w:val="24"/>
          <w:szCs w:val="24"/>
          <w:lang w:val="sr-Latn-ME"/>
        </w:rPr>
        <w:t>ž</w:t>
      </w:r>
      <w:proofErr w:type="spellStart"/>
      <w:r w:rsidRPr="00D72CC7">
        <w:rPr>
          <w:sz w:val="24"/>
          <w:szCs w:val="24"/>
        </w:rPr>
        <w:t>ena</w:t>
      </w:r>
      <w:proofErr w:type="spellEnd"/>
      <w:r w:rsidRPr="00686BAF">
        <w:rPr>
          <w:sz w:val="24"/>
          <w:szCs w:val="24"/>
          <w:lang w:val="sr-Latn-ME"/>
        </w:rPr>
        <w:t xml:space="preserve"> </w:t>
      </w:r>
      <w:r w:rsidRPr="00D72CC7">
        <w:rPr>
          <w:sz w:val="24"/>
          <w:szCs w:val="24"/>
        </w:rPr>
        <w:t>je</w:t>
      </w:r>
      <w:r w:rsidRPr="00686BAF">
        <w:rPr>
          <w:sz w:val="24"/>
          <w:szCs w:val="24"/>
          <w:lang w:val="sr-Latn-ME"/>
        </w:rPr>
        <w:t xml:space="preserve"> </w:t>
      </w:r>
      <w:r w:rsidRPr="00D72CC7">
        <w:rPr>
          <w:sz w:val="24"/>
          <w:szCs w:val="24"/>
        </w:rPr>
        <w:t>za</w:t>
      </w:r>
      <w:r w:rsidRPr="00686BAF">
        <w:rPr>
          <w:sz w:val="24"/>
          <w:szCs w:val="24"/>
          <w:lang w:val="sr-Latn-ME"/>
        </w:rPr>
        <w:t xml:space="preserve"> </w:t>
      </w:r>
      <w:proofErr w:type="spellStart"/>
      <w:r w:rsidRPr="00D72CC7">
        <w:rPr>
          <w:sz w:val="24"/>
          <w:szCs w:val="24"/>
        </w:rPr>
        <w:t>koordinaciju</w:t>
      </w:r>
      <w:proofErr w:type="spellEnd"/>
      <w:r w:rsidRPr="00686BAF">
        <w:rPr>
          <w:sz w:val="24"/>
          <w:szCs w:val="24"/>
          <w:lang w:val="sr-Latn-ME"/>
        </w:rPr>
        <w:t xml:space="preserve">, </w:t>
      </w:r>
      <w:r w:rsidRPr="00D72CC7">
        <w:rPr>
          <w:sz w:val="24"/>
          <w:szCs w:val="24"/>
        </w:rPr>
        <w:t>monitoring</w:t>
      </w:r>
      <w:r w:rsidRPr="00686BAF">
        <w:rPr>
          <w:sz w:val="24"/>
          <w:szCs w:val="24"/>
          <w:lang w:val="sr-Latn-ME"/>
        </w:rPr>
        <w:t xml:space="preserve"> </w:t>
      </w:r>
      <w:proofErr w:type="spellStart"/>
      <w:r w:rsidRPr="00D72CC7">
        <w:rPr>
          <w:sz w:val="24"/>
          <w:szCs w:val="24"/>
        </w:rPr>
        <w:t>i</w:t>
      </w:r>
      <w:proofErr w:type="spellEnd"/>
      <w:r w:rsidRPr="00686BAF">
        <w:rPr>
          <w:sz w:val="24"/>
          <w:szCs w:val="24"/>
          <w:lang w:val="sr-Latn-ME"/>
        </w:rPr>
        <w:t xml:space="preserve"> </w:t>
      </w:r>
      <w:proofErr w:type="spellStart"/>
      <w:r w:rsidRPr="00D72CC7">
        <w:rPr>
          <w:sz w:val="24"/>
          <w:szCs w:val="24"/>
        </w:rPr>
        <w:t>izvje</w:t>
      </w:r>
      <w:proofErr w:type="spellEnd"/>
      <w:r w:rsidRPr="00686BAF">
        <w:rPr>
          <w:sz w:val="24"/>
          <w:szCs w:val="24"/>
          <w:lang w:val="sr-Latn-ME"/>
        </w:rPr>
        <w:t>š</w:t>
      </w:r>
      <w:proofErr w:type="spellStart"/>
      <w:r w:rsidRPr="00D72CC7">
        <w:rPr>
          <w:sz w:val="24"/>
          <w:szCs w:val="24"/>
        </w:rPr>
        <w:t>tavanje</w:t>
      </w:r>
      <w:proofErr w:type="spellEnd"/>
      <w:r w:rsidRPr="00686BAF">
        <w:rPr>
          <w:sz w:val="24"/>
          <w:szCs w:val="24"/>
          <w:lang w:val="sr-Latn-ME"/>
        </w:rPr>
        <w:t xml:space="preserve"> </w:t>
      </w:r>
      <w:r w:rsidRPr="00D72CC7">
        <w:rPr>
          <w:sz w:val="24"/>
          <w:szCs w:val="24"/>
        </w:rPr>
        <w:t>o</w:t>
      </w:r>
      <w:r w:rsidRPr="00686BAF">
        <w:rPr>
          <w:sz w:val="24"/>
          <w:szCs w:val="24"/>
          <w:lang w:val="sr-Latn-ME"/>
        </w:rPr>
        <w:t xml:space="preserve"> </w:t>
      </w:r>
      <w:proofErr w:type="spellStart"/>
      <w:r w:rsidRPr="00D72CC7">
        <w:rPr>
          <w:sz w:val="24"/>
          <w:szCs w:val="24"/>
        </w:rPr>
        <w:t>ostvarenim</w:t>
      </w:r>
      <w:proofErr w:type="spellEnd"/>
      <w:r w:rsidRPr="00686BAF">
        <w:rPr>
          <w:sz w:val="24"/>
          <w:szCs w:val="24"/>
          <w:lang w:val="sr-Latn-ME"/>
        </w:rPr>
        <w:t xml:space="preserve"> </w:t>
      </w:r>
      <w:proofErr w:type="spellStart"/>
      <w:r w:rsidRPr="00D72CC7">
        <w:rPr>
          <w:sz w:val="24"/>
          <w:szCs w:val="24"/>
        </w:rPr>
        <w:t>rezultatima</w:t>
      </w:r>
      <w:proofErr w:type="spellEnd"/>
      <w:r w:rsidRPr="00686BAF">
        <w:rPr>
          <w:sz w:val="24"/>
          <w:szCs w:val="24"/>
          <w:lang w:val="sr-Latn-ME"/>
        </w:rPr>
        <w:t xml:space="preserve"> </w:t>
      </w:r>
      <w:proofErr w:type="spellStart"/>
      <w:r w:rsidRPr="00D72CC7">
        <w:rPr>
          <w:sz w:val="24"/>
          <w:szCs w:val="24"/>
        </w:rPr>
        <w:t>implementacije</w:t>
      </w:r>
      <w:proofErr w:type="spellEnd"/>
      <w:r w:rsidRPr="00686BAF">
        <w:rPr>
          <w:sz w:val="24"/>
          <w:szCs w:val="24"/>
          <w:lang w:val="sr-Latn-ME"/>
        </w:rPr>
        <w:t xml:space="preserve"> </w:t>
      </w:r>
      <w:proofErr w:type="spellStart"/>
      <w:r w:rsidRPr="00D72CC7">
        <w:rPr>
          <w:sz w:val="24"/>
          <w:szCs w:val="24"/>
        </w:rPr>
        <w:t>aktivnosti</w:t>
      </w:r>
      <w:proofErr w:type="spellEnd"/>
      <w:r w:rsidRPr="00686BAF">
        <w:rPr>
          <w:sz w:val="24"/>
          <w:szCs w:val="24"/>
          <w:lang w:val="sr-Latn-ME"/>
        </w:rPr>
        <w:t xml:space="preserve"> </w:t>
      </w:r>
      <w:proofErr w:type="spellStart"/>
      <w:r w:rsidRPr="00D72CC7">
        <w:rPr>
          <w:sz w:val="24"/>
          <w:szCs w:val="24"/>
        </w:rPr>
        <w:t>planiranih</w:t>
      </w:r>
      <w:proofErr w:type="spellEnd"/>
      <w:r w:rsidRPr="00686BAF">
        <w:rPr>
          <w:sz w:val="24"/>
          <w:szCs w:val="24"/>
          <w:lang w:val="sr-Latn-ME"/>
        </w:rPr>
        <w:t xml:space="preserve"> </w:t>
      </w:r>
      <w:proofErr w:type="spellStart"/>
      <w:r w:rsidRPr="00D72CC7">
        <w:rPr>
          <w:sz w:val="24"/>
          <w:szCs w:val="24"/>
        </w:rPr>
        <w:t>Programom</w:t>
      </w:r>
      <w:proofErr w:type="spellEnd"/>
      <w:r w:rsidRPr="00686BAF">
        <w:rPr>
          <w:sz w:val="24"/>
          <w:szCs w:val="24"/>
          <w:lang w:val="sr-Latn-ME"/>
        </w:rPr>
        <w:t xml:space="preserve"> </w:t>
      </w:r>
      <w:proofErr w:type="spellStart"/>
      <w:r w:rsidRPr="00D72CC7">
        <w:rPr>
          <w:sz w:val="24"/>
          <w:szCs w:val="24"/>
        </w:rPr>
        <w:t>suzbijanja</w:t>
      </w:r>
      <w:proofErr w:type="spellEnd"/>
      <w:r w:rsidRPr="00686BAF">
        <w:rPr>
          <w:sz w:val="24"/>
          <w:szCs w:val="24"/>
          <w:lang w:val="sr-Latn-ME"/>
        </w:rPr>
        <w:t xml:space="preserve"> </w:t>
      </w:r>
      <w:proofErr w:type="spellStart"/>
      <w:r w:rsidRPr="00D72CC7">
        <w:rPr>
          <w:sz w:val="24"/>
          <w:szCs w:val="24"/>
        </w:rPr>
        <w:t>neformalne</w:t>
      </w:r>
      <w:proofErr w:type="spellEnd"/>
      <w:r w:rsidRPr="00686BAF">
        <w:rPr>
          <w:sz w:val="24"/>
          <w:szCs w:val="24"/>
          <w:lang w:val="sr-Latn-ME"/>
        </w:rPr>
        <w:t xml:space="preserve"> </w:t>
      </w:r>
      <w:proofErr w:type="spellStart"/>
      <w:r w:rsidRPr="00D72CC7">
        <w:rPr>
          <w:sz w:val="24"/>
          <w:szCs w:val="24"/>
        </w:rPr>
        <w:t>ekonomije</w:t>
      </w:r>
      <w:proofErr w:type="spellEnd"/>
      <w:r w:rsidRPr="00686BAF">
        <w:rPr>
          <w:sz w:val="24"/>
          <w:szCs w:val="24"/>
          <w:lang w:val="sr-Latn-ME"/>
        </w:rPr>
        <w:t xml:space="preserve">. </w:t>
      </w:r>
      <w:r w:rsidRPr="00D72CC7">
        <w:rPr>
          <w:sz w:val="24"/>
          <w:szCs w:val="24"/>
        </w:rPr>
        <w:t>Na</w:t>
      </w:r>
      <w:r w:rsidRPr="00686BAF">
        <w:rPr>
          <w:sz w:val="24"/>
          <w:szCs w:val="24"/>
          <w:lang w:val="sr-Latn-ME"/>
        </w:rPr>
        <w:t xml:space="preserve"> </w:t>
      </w:r>
      <w:proofErr w:type="spellStart"/>
      <w:r w:rsidRPr="00D72CC7">
        <w:rPr>
          <w:sz w:val="24"/>
          <w:szCs w:val="24"/>
        </w:rPr>
        <w:t>osnovu</w:t>
      </w:r>
      <w:proofErr w:type="spellEnd"/>
      <w:r w:rsidRPr="00686BAF">
        <w:rPr>
          <w:sz w:val="24"/>
          <w:szCs w:val="24"/>
          <w:lang w:val="sr-Latn-ME"/>
        </w:rPr>
        <w:t xml:space="preserve"> </w:t>
      </w:r>
      <w:proofErr w:type="spellStart"/>
      <w:r w:rsidRPr="00D72CC7">
        <w:rPr>
          <w:sz w:val="24"/>
          <w:szCs w:val="24"/>
        </w:rPr>
        <w:t>dostavljenih</w:t>
      </w:r>
      <w:proofErr w:type="spellEnd"/>
      <w:r w:rsidRPr="00686BAF">
        <w:rPr>
          <w:sz w:val="24"/>
          <w:szCs w:val="24"/>
          <w:lang w:val="sr-Latn-ME"/>
        </w:rPr>
        <w:t xml:space="preserve"> </w:t>
      </w:r>
      <w:proofErr w:type="spellStart"/>
      <w:r w:rsidRPr="00D72CC7">
        <w:rPr>
          <w:sz w:val="24"/>
          <w:szCs w:val="24"/>
        </w:rPr>
        <w:t>izvje</w:t>
      </w:r>
      <w:proofErr w:type="spellEnd"/>
      <w:r w:rsidRPr="00686BAF">
        <w:rPr>
          <w:sz w:val="24"/>
          <w:szCs w:val="24"/>
          <w:lang w:val="sr-Latn-ME"/>
        </w:rPr>
        <w:t>š</w:t>
      </w:r>
      <w:proofErr w:type="spellStart"/>
      <w:r w:rsidRPr="00D72CC7">
        <w:rPr>
          <w:sz w:val="24"/>
          <w:szCs w:val="24"/>
        </w:rPr>
        <w:t>taja</w:t>
      </w:r>
      <w:proofErr w:type="spellEnd"/>
      <w:r w:rsidRPr="00686BAF">
        <w:rPr>
          <w:sz w:val="24"/>
          <w:szCs w:val="24"/>
          <w:lang w:val="sr-Latn-ME"/>
        </w:rPr>
        <w:t xml:space="preserve"> </w:t>
      </w:r>
      <w:r w:rsidRPr="00D72CC7">
        <w:rPr>
          <w:sz w:val="24"/>
          <w:szCs w:val="24"/>
        </w:rPr>
        <w:t>od</w:t>
      </w:r>
      <w:r w:rsidRPr="00686BAF">
        <w:rPr>
          <w:sz w:val="24"/>
          <w:szCs w:val="24"/>
          <w:lang w:val="sr-Latn-ME"/>
        </w:rPr>
        <w:t xml:space="preserve"> </w:t>
      </w:r>
      <w:proofErr w:type="spellStart"/>
      <w:r w:rsidRPr="00D72CC7">
        <w:rPr>
          <w:sz w:val="24"/>
          <w:szCs w:val="24"/>
        </w:rPr>
        <w:t>strane</w:t>
      </w:r>
      <w:proofErr w:type="spellEnd"/>
      <w:r w:rsidRPr="00686BAF">
        <w:rPr>
          <w:sz w:val="24"/>
          <w:szCs w:val="24"/>
          <w:lang w:val="sr-Latn-ME"/>
        </w:rPr>
        <w:t xml:space="preserve"> </w:t>
      </w:r>
      <w:proofErr w:type="spellStart"/>
      <w:r w:rsidRPr="00D72CC7">
        <w:rPr>
          <w:sz w:val="24"/>
          <w:szCs w:val="24"/>
        </w:rPr>
        <w:t>radnih</w:t>
      </w:r>
      <w:proofErr w:type="spellEnd"/>
      <w:r w:rsidRPr="00686BAF">
        <w:rPr>
          <w:sz w:val="24"/>
          <w:szCs w:val="24"/>
          <w:lang w:val="sr-Latn-ME"/>
        </w:rPr>
        <w:t xml:space="preserve"> </w:t>
      </w:r>
      <w:proofErr w:type="spellStart"/>
      <w:r w:rsidRPr="00D72CC7">
        <w:rPr>
          <w:sz w:val="24"/>
          <w:szCs w:val="24"/>
        </w:rPr>
        <w:t>timova</w:t>
      </w:r>
      <w:proofErr w:type="spellEnd"/>
      <w:r w:rsidRPr="00686BAF">
        <w:rPr>
          <w:sz w:val="24"/>
          <w:szCs w:val="24"/>
          <w:lang w:val="sr-Latn-ME"/>
        </w:rPr>
        <w:t xml:space="preserve">, </w:t>
      </w:r>
      <w:proofErr w:type="spellStart"/>
      <w:r w:rsidRPr="00D72CC7">
        <w:rPr>
          <w:sz w:val="24"/>
          <w:szCs w:val="24"/>
        </w:rPr>
        <w:t>sekretarijat</w:t>
      </w:r>
      <w:proofErr w:type="spellEnd"/>
      <w:r w:rsidRPr="00686BAF">
        <w:rPr>
          <w:sz w:val="24"/>
          <w:szCs w:val="24"/>
          <w:lang w:val="sr-Latn-ME"/>
        </w:rPr>
        <w:t xml:space="preserve"> </w:t>
      </w:r>
      <w:proofErr w:type="spellStart"/>
      <w:r w:rsidRPr="00D72CC7">
        <w:rPr>
          <w:sz w:val="24"/>
          <w:szCs w:val="24"/>
        </w:rPr>
        <w:t>Komisije</w:t>
      </w:r>
      <w:proofErr w:type="spellEnd"/>
      <w:r w:rsidR="007B2206" w:rsidRPr="00686BAF">
        <w:rPr>
          <w:sz w:val="24"/>
          <w:szCs w:val="24"/>
          <w:lang w:val="sr-Latn-ME"/>
        </w:rPr>
        <w:t>/</w:t>
      </w:r>
      <w:proofErr w:type="spellStart"/>
      <w:r w:rsidR="007B2206">
        <w:rPr>
          <w:sz w:val="24"/>
          <w:szCs w:val="24"/>
        </w:rPr>
        <w:t>Ministarstvo</w:t>
      </w:r>
      <w:proofErr w:type="spellEnd"/>
      <w:r w:rsidR="007B2206" w:rsidRPr="00686BAF">
        <w:rPr>
          <w:sz w:val="24"/>
          <w:szCs w:val="24"/>
          <w:lang w:val="sr-Latn-ME"/>
        </w:rPr>
        <w:t xml:space="preserve"> </w:t>
      </w:r>
      <w:proofErr w:type="spellStart"/>
      <w:r w:rsidR="007B2206">
        <w:rPr>
          <w:sz w:val="24"/>
          <w:szCs w:val="24"/>
        </w:rPr>
        <w:t>finansija</w:t>
      </w:r>
      <w:proofErr w:type="spellEnd"/>
      <w:r w:rsidRPr="00686BAF">
        <w:rPr>
          <w:sz w:val="24"/>
          <w:szCs w:val="24"/>
          <w:lang w:val="sr-Latn-ME"/>
        </w:rPr>
        <w:t xml:space="preserve"> ć</w:t>
      </w:r>
      <w:r w:rsidRPr="00D72CC7">
        <w:rPr>
          <w:sz w:val="24"/>
          <w:szCs w:val="24"/>
        </w:rPr>
        <w:t>e</w:t>
      </w:r>
      <w:r w:rsidRPr="00686BAF">
        <w:rPr>
          <w:sz w:val="24"/>
          <w:szCs w:val="24"/>
          <w:lang w:val="sr-Latn-ME"/>
        </w:rPr>
        <w:t xml:space="preserve"> </w:t>
      </w:r>
      <w:r w:rsidRPr="00D72CC7">
        <w:rPr>
          <w:sz w:val="24"/>
          <w:szCs w:val="24"/>
        </w:rPr>
        <w:t>u</w:t>
      </w:r>
      <w:r w:rsidRPr="00686BAF">
        <w:rPr>
          <w:sz w:val="24"/>
          <w:szCs w:val="24"/>
          <w:lang w:val="sr-Latn-ME"/>
        </w:rPr>
        <w:t xml:space="preserve"> </w:t>
      </w:r>
      <w:proofErr w:type="spellStart"/>
      <w:r w:rsidRPr="00D72CC7">
        <w:rPr>
          <w:sz w:val="24"/>
          <w:szCs w:val="24"/>
        </w:rPr>
        <w:t>saradnji</w:t>
      </w:r>
      <w:proofErr w:type="spellEnd"/>
      <w:r w:rsidRPr="00686BAF">
        <w:rPr>
          <w:sz w:val="24"/>
          <w:szCs w:val="24"/>
          <w:lang w:val="sr-Latn-ME"/>
        </w:rPr>
        <w:t xml:space="preserve"> </w:t>
      </w:r>
      <w:proofErr w:type="spellStart"/>
      <w:r w:rsidRPr="00D72CC7">
        <w:rPr>
          <w:sz w:val="24"/>
          <w:szCs w:val="24"/>
        </w:rPr>
        <w:t>sa</w:t>
      </w:r>
      <w:proofErr w:type="spellEnd"/>
      <w:r w:rsidRPr="00686BAF">
        <w:rPr>
          <w:sz w:val="24"/>
          <w:szCs w:val="24"/>
          <w:lang w:val="sr-Latn-ME"/>
        </w:rPr>
        <w:t xml:space="preserve"> </w:t>
      </w:r>
      <w:proofErr w:type="spellStart"/>
      <w:r w:rsidRPr="00D72CC7">
        <w:rPr>
          <w:sz w:val="24"/>
          <w:szCs w:val="24"/>
        </w:rPr>
        <w:t>svim</w:t>
      </w:r>
      <w:proofErr w:type="spellEnd"/>
      <w:r w:rsidRPr="00686BAF">
        <w:rPr>
          <w:sz w:val="24"/>
          <w:szCs w:val="24"/>
          <w:lang w:val="sr-Latn-ME"/>
        </w:rPr>
        <w:t xml:space="preserve"> </w:t>
      </w:r>
      <w:proofErr w:type="spellStart"/>
      <w:r w:rsidRPr="00D72CC7">
        <w:rPr>
          <w:sz w:val="24"/>
          <w:szCs w:val="24"/>
        </w:rPr>
        <w:t>relevantnim</w:t>
      </w:r>
      <w:proofErr w:type="spellEnd"/>
      <w:r w:rsidRPr="00686BAF">
        <w:rPr>
          <w:sz w:val="24"/>
          <w:szCs w:val="24"/>
          <w:lang w:val="sr-Latn-ME"/>
        </w:rPr>
        <w:t xml:space="preserve"> </w:t>
      </w:r>
      <w:proofErr w:type="spellStart"/>
      <w:r w:rsidRPr="00D72CC7">
        <w:rPr>
          <w:sz w:val="24"/>
          <w:szCs w:val="24"/>
        </w:rPr>
        <w:t>institucijama</w:t>
      </w:r>
      <w:proofErr w:type="spellEnd"/>
      <w:r w:rsidRPr="00686BAF">
        <w:rPr>
          <w:sz w:val="24"/>
          <w:szCs w:val="24"/>
          <w:lang w:val="sr-Latn-ME"/>
        </w:rPr>
        <w:t xml:space="preserve"> </w:t>
      </w:r>
      <w:proofErr w:type="spellStart"/>
      <w:r w:rsidRPr="00D72CC7">
        <w:rPr>
          <w:sz w:val="24"/>
          <w:szCs w:val="24"/>
        </w:rPr>
        <w:t>pripremati</w:t>
      </w:r>
      <w:proofErr w:type="spellEnd"/>
      <w:r w:rsidRPr="00686BAF">
        <w:rPr>
          <w:sz w:val="24"/>
          <w:szCs w:val="24"/>
          <w:lang w:val="sr-Latn-ME"/>
        </w:rPr>
        <w:t xml:space="preserve"> </w:t>
      </w:r>
      <w:proofErr w:type="spellStart"/>
      <w:r w:rsidRPr="00D72CC7">
        <w:rPr>
          <w:sz w:val="24"/>
          <w:szCs w:val="24"/>
        </w:rPr>
        <w:t>polugodi</w:t>
      </w:r>
      <w:proofErr w:type="spellEnd"/>
      <w:r w:rsidRPr="00686BAF">
        <w:rPr>
          <w:sz w:val="24"/>
          <w:szCs w:val="24"/>
          <w:lang w:val="sr-Latn-ME"/>
        </w:rPr>
        <w:t>š</w:t>
      </w:r>
      <w:proofErr w:type="spellStart"/>
      <w:r w:rsidRPr="00D72CC7">
        <w:rPr>
          <w:sz w:val="24"/>
          <w:szCs w:val="24"/>
        </w:rPr>
        <w:t>nje</w:t>
      </w:r>
      <w:proofErr w:type="spellEnd"/>
      <w:r w:rsidRPr="00686BAF">
        <w:rPr>
          <w:sz w:val="24"/>
          <w:szCs w:val="24"/>
          <w:lang w:val="sr-Latn-ME"/>
        </w:rPr>
        <w:t xml:space="preserve"> </w:t>
      </w:r>
      <w:proofErr w:type="spellStart"/>
      <w:r w:rsidRPr="00D72CC7">
        <w:rPr>
          <w:sz w:val="24"/>
          <w:szCs w:val="24"/>
        </w:rPr>
        <w:t>izvje</w:t>
      </w:r>
      <w:proofErr w:type="spellEnd"/>
      <w:r w:rsidRPr="00686BAF">
        <w:rPr>
          <w:sz w:val="24"/>
          <w:szCs w:val="24"/>
          <w:lang w:val="sr-Latn-ME"/>
        </w:rPr>
        <w:t>š</w:t>
      </w:r>
      <w:proofErr w:type="spellStart"/>
      <w:r w:rsidRPr="00D72CC7">
        <w:rPr>
          <w:sz w:val="24"/>
          <w:szCs w:val="24"/>
        </w:rPr>
        <w:t>taje</w:t>
      </w:r>
      <w:proofErr w:type="spellEnd"/>
      <w:r w:rsidRPr="00686BAF">
        <w:rPr>
          <w:sz w:val="24"/>
          <w:szCs w:val="24"/>
          <w:lang w:val="sr-Latn-ME"/>
        </w:rPr>
        <w:t xml:space="preserve"> </w:t>
      </w:r>
      <w:r w:rsidRPr="00D72CC7">
        <w:rPr>
          <w:sz w:val="24"/>
          <w:szCs w:val="24"/>
        </w:rPr>
        <w:t>o</w:t>
      </w:r>
      <w:r w:rsidRPr="00686BAF">
        <w:rPr>
          <w:sz w:val="24"/>
          <w:szCs w:val="24"/>
          <w:lang w:val="sr-Latn-ME"/>
        </w:rPr>
        <w:t xml:space="preserve"> </w:t>
      </w:r>
      <w:proofErr w:type="spellStart"/>
      <w:r w:rsidRPr="00D72CC7">
        <w:rPr>
          <w:sz w:val="24"/>
          <w:szCs w:val="24"/>
        </w:rPr>
        <w:t>realizaciji</w:t>
      </w:r>
      <w:proofErr w:type="spellEnd"/>
      <w:r w:rsidRPr="00686BAF">
        <w:rPr>
          <w:sz w:val="24"/>
          <w:szCs w:val="24"/>
          <w:lang w:val="sr-Latn-ME"/>
        </w:rPr>
        <w:t xml:space="preserve"> </w:t>
      </w:r>
      <w:proofErr w:type="spellStart"/>
      <w:r w:rsidRPr="00D72CC7">
        <w:rPr>
          <w:sz w:val="24"/>
          <w:szCs w:val="24"/>
        </w:rPr>
        <w:t>Programa</w:t>
      </w:r>
      <w:proofErr w:type="spellEnd"/>
      <w:r w:rsidRPr="00686BAF">
        <w:rPr>
          <w:sz w:val="24"/>
          <w:szCs w:val="24"/>
          <w:lang w:val="sr-Latn-ME"/>
        </w:rPr>
        <w:t xml:space="preserve"> </w:t>
      </w:r>
      <w:proofErr w:type="spellStart"/>
      <w:r w:rsidRPr="00D72CC7">
        <w:rPr>
          <w:sz w:val="24"/>
          <w:szCs w:val="24"/>
        </w:rPr>
        <w:t>i</w:t>
      </w:r>
      <w:proofErr w:type="spellEnd"/>
      <w:r w:rsidRPr="00686BAF">
        <w:rPr>
          <w:sz w:val="24"/>
          <w:szCs w:val="24"/>
          <w:lang w:val="sr-Latn-ME"/>
        </w:rPr>
        <w:t xml:space="preserve"> </w:t>
      </w:r>
      <w:proofErr w:type="spellStart"/>
      <w:r w:rsidRPr="00D72CC7">
        <w:rPr>
          <w:sz w:val="24"/>
          <w:szCs w:val="24"/>
        </w:rPr>
        <w:t>Akcionog</w:t>
      </w:r>
      <w:proofErr w:type="spellEnd"/>
      <w:r w:rsidRPr="00686BAF">
        <w:rPr>
          <w:sz w:val="24"/>
          <w:szCs w:val="24"/>
          <w:lang w:val="sr-Latn-ME"/>
        </w:rPr>
        <w:t xml:space="preserve"> </w:t>
      </w:r>
      <w:r w:rsidRPr="00D72CC7">
        <w:rPr>
          <w:sz w:val="24"/>
          <w:szCs w:val="24"/>
        </w:rPr>
        <w:t>plana</w:t>
      </w:r>
      <w:r w:rsidRPr="00686BAF">
        <w:rPr>
          <w:sz w:val="24"/>
          <w:szCs w:val="24"/>
          <w:lang w:val="sr-Latn-ME"/>
        </w:rPr>
        <w:t xml:space="preserve"> </w:t>
      </w:r>
      <w:r w:rsidRPr="00D72CC7">
        <w:rPr>
          <w:sz w:val="24"/>
          <w:szCs w:val="24"/>
        </w:rPr>
        <w:t>za</w:t>
      </w:r>
      <w:r w:rsidRPr="00686BAF">
        <w:rPr>
          <w:sz w:val="24"/>
          <w:szCs w:val="24"/>
          <w:lang w:val="sr-Latn-ME"/>
        </w:rPr>
        <w:t xml:space="preserve"> </w:t>
      </w:r>
      <w:proofErr w:type="spellStart"/>
      <w:r w:rsidRPr="00D72CC7">
        <w:rPr>
          <w:sz w:val="24"/>
          <w:szCs w:val="24"/>
        </w:rPr>
        <w:t>njegovu</w:t>
      </w:r>
      <w:proofErr w:type="spellEnd"/>
      <w:r w:rsidRPr="00686BAF">
        <w:rPr>
          <w:sz w:val="24"/>
          <w:szCs w:val="24"/>
          <w:lang w:val="sr-Latn-ME"/>
        </w:rPr>
        <w:t xml:space="preserve"> </w:t>
      </w:r>
      <w:proofErr w:type="spellStart"/>
      <w:r w:rsidRPr="00D72CC7">
        <w:rPr>
          <w:sz w:val="24"/>
          <w:szCs w:val="24"/>
        </w:rPr>
        <w:t>implementaciju</w:t>
      </w:r>
      <w:proofErr w:type="spellEnd"/>
      <w:r w:rsidRPr="00686BAF">
        <w:rPr>
          <w:sz w:val="24"/>
          <w:szCs w:val="24"/>
          <w:lang w:val="sr-Latn-ME"/>
        </w:rPr>
        <w:t xml:space="preserve">. </w:t>
      </w:r>
      <w:r w:rsidRPr="00686BAF">
        <w:rPr>
          <w:sz w:val="24"/>
          <w:szCs w:val="24"/>
          <w:lang w:val="pl-PL"/>
        </w:rPr>
        <w:t>Takođe, u skladu sa dobrom praksom, Komisija i Ministarstvo finansija, odnosno sekretarijat Komisije biće zaduženi za komunikaciju i dijalog sa relevantnim međunarodnim partnerima u vezi sa  implementacijom i napretkom u ostvarivanju reformskih ciljeva.</w:t>
      </w:r>
    </w:p>
    <w:p w14:paraId="2521DFF7" w14:textId="755DEE39" w:rsidR="00D72CC7" w:rsidRPr="00686BAF" w:rsidRDefault="007B2206" w:rsidP="00D72CC7">
      <w:pPr>
        <w:jc w:val="both"/>
        <w:rPr>
          <w:sz w:val="24"/>
          <w:szCs w:val="24"/>
          <w:lang w:val="pl-PL"/>
        </w:rPr>
      </w:pPr>
      <w:r w:rsidRPr="00686BAF">
        <w:rPr>
          <w:sz w:val="24"/>
          <w:szCs w:val="24"/>
          <w:lang w:val="pl-PL"/>
        </w:rPr>
        <w:t xml:space="preserve">Komisija, odnosno </w:t>
      </w:r>
      <w:r w:rsidR="00460990" w:rsidRPr="00686BAF">
        <w:rPr>
          <w:sz w:val="24"/>
          <w:szCs w:val="24"/>
          <w:lang w:val="pl-PL"/>
        </w:rPr>
        <w:t>MF</w:t>
      </w:r>
      <w:r w:rsidR="00D72CC7" w:rsidRPr="00686BAF">
        <w:rPr>
          <w:sz w:val="24"/>
          <w:szCs w:val="24"/>
          <w:lang w:val="pl-PL"/>
        </w:rPr>
        <w:t>može po potrebi sačinjavati i kvartalne izvještaje i periodične informacije o implementaciji Programa i Akcionog plana.</w:t>
      </w:r>
    </w:p>
    <w:p w14:paraId="1F99D868" w14:textId="77777777" w:rsidR="00D72CC7" w:rsidRPr="00686BAF" w:rsidRDefault="00D72CC7" w:rsidP="00D72CC7">
      <w:pPr>
        <w:jc w:val="both"/>
        <w:rPr>
          <w:sz w:val="24"/>
          <w:szCs w:val="24"/>
          <w:lang w:val="pl-PL"/>
        </w:rPr>
      </w:pPr>
      <w:r w:rsidRPr="00686BAF">
        <w:rPr>
          <w:sz w:val="24"/>
          <w:szCs w:val="24"/>
          <w:lang w:val="pl-PL"/>
        </w:rPr>
        <w:t xml:space="preserve">Monitoringom će se obezbijediti redovno prikupljanje i analiza podataka o postizanju ciljeva i rezultata u toku sprovođenja aktivnosti. Fokus će biti na Akcionom planu, a Izvještaj o monitoringu sprovođenja aktivnosti se baviti indikatorima rezultata sa osvrtom na indikatore učinka, ukoliko ti podaci budu dostupni za izvještajni period. Dodatno, predviđena je i ex post analiza efekata i učinka po završetku sprovođenja PSNE 2022-2026., koja će takođe predstavljati i osnov za donošenje narednog PSNE. </w:t>
      </w:r>
    </w:p>
    <w:p w14:paraId="6C0FC0CE" w14:textId="77777777" w:rsidR="00D72CC7" w:rsidRPr="00686BAF" w:rsidRDefault="00D72CC7" w:rsidP="00D72CC7">
      <w:pPr>
        <w:jc w:val="both"/>
        <w:rPr>
          <w:sz w:val="24"/>
          <w:szCs w:val="24"/>
          <w:lang w:val="pl-PL"/>
        </w:rPr>
      </w:pPr>
      <w:r w:rsidRPr="00686BAF">
        <w:rPr>
          <w:sz w:val="24"/>
          <w:szCs w:val="24"/>
          <w:lang w:val="pl-PL"/>
        </w:rPr>
        <w:t>Evaluacija Programa će se obavljati od strane eksternih evaluatora. U skladu sa prirodom dinamike implementacije i stepena dostizanja postavljenih ciljeva, evaluacija se može sprovesti u periodu nakon 2027.godine.</w:t>
      </w:r>
    </w:p>
    <w:p w14:paraId="2E9468E2" w14:textId="58D5B4A4" w:rsidR="00D72CC7" w:rsidRPr="00686BAF" w:rsidRDefault="00D72CC7" w:rsidP="001D0030">
      <w:pPr>
        <w:jc w:val="both"/>
        <w:rPr>
          <w:sz w:val="24"/>
          <w:szCs w:val="24"/>
          <w:lang w:val="pl-PL"/>
        </w:rPr>
      </w:pPr>
      <w:r w:rsidRPr="00686BAF">
        <w:rPr>
          <w:sz w:val="24"/>
          <w:szCs w:val="24"/>
          <w:lang w:val="pl-PL"/>
        </w:rPr>
        <w:t xml:space="preserve">Evaluacija će se fokusirati prevashodno na indikatore učinka. Vlada Crne Gore će kroz Program ekonomskih reformi uvrstiti mjere na suzbijanju sive ekonomije iz ovog </w:t>
      </w:r>
      <w:r w:rsidR="00460990" w:rsidRPr="00686BAF">
        <w:rPr>
          <w:sz w:val="24"/>
          <w:szCs w:val="24"/>
          <w:lang w:val="pl-PL"/>
        </w:rPr>
        <w:t>p</w:t>
      </w:r>
      <w:r w:rsidRPr="00686BAF">
        <w:rPr>
          <w:sz w:val="24"/>
          <w:szCs w:val="24"/>
          <w:lang w:val="pl-PL"/>
        </w:rPr>
        <w:t>rograma, i informisati EK o napretku ostvarenom u implementaciji Programa</w:t>
      </w:r>
      <w:r w:rsidR="00460990" w:rsidRPr="00686BAF">
        <w:rPr>
          <w:sz w:val="24"/>
          <w:szCs w:val="24"/>
          <w:lang w:val="pl-PL"/>
        </w:rPr>
        <w:t>.</w:t>
      </w:r>
      <w:r w:rsidRPr="00686BAF">
        <w:rPr>
          <w:sz w:val="24"/>
          <w:szCs w:val="24"/>
          <w:lang w:val="pl-PL"/>
        </w:rPr>
        <w:t xml:space="preserve"> </w:t>
      </w:r>
    </w:p>
    <w:p w14:paraId="0FF30784" w14:textId="239DFF70" w:rsidR="00EE1471" w:rsidRPr="005F41C3" w:rsidRDefault="005F41C3" w:rsidP="005F41C3">
      <w:pPr>
        <w:pStyle w:val="Heading1"/>
        <w:rPr>
          <w:lang w:val="sr-Latn-ME"/>
        </w:rPr>
      </w:pPr>
      <w:bookmarkStart w:id="44" w:name="_Toc147990156"/>
      <w:r w:rsidRPr="00021CDC">
        <w:rPr>
          <w:lang w:val="pl-PL"/>
        </w:rPr>
        <w:lastRenderedPageBreak/>
        <w:t>6.</w:t>
      </w:r>
      <w:r w:rsidR="00EE1471" w:rsidRPr="00021CDC">
        <w:rPr>
          <w:lang w:val="pl-PL"/>
        </w:rPr>
        <w:t>INFORMACIJA ZA JAVNOST O CILJEVIMA I OČEKIVANIM UČINCIMA PROGRAMA U SKLADU SA KOMUNIKACIONOM STRATEGIJOM VLADE</w:t>
      </w:r>
      <w:bookmarkEnd w:id="44"/>
    </w:p>
    <w:p w14:paraId="0D4C5B4C" w14:textId="77777777" w:rsidR="00D72CC7" w:rsidRDefault="00D72CC7" w:rsidP="00D72CC7">
      <w:pPr>
        <w:jc w:val="both"/>
        <w:rPr>
          <w:sz w:val="24"/>
          <w:szCs w:val="24"/>
          <w:lang w:val="sr-Latn-ME"/>
        </w:rPr>
      </w:pPr>
    </w:p>
    <w:p w14:paraId="64CDE939" w14:textId="6D6315E8" w:rsidR="00D72CC7" w:rsidRPr="00D72CC7" w:rsidRDefault="00D72CC7" w:rsidP="00D72CC7">
      <w:pPr>
        <w:jc w:val="both"/>
        <w:rPr>
          <w:sz w:val="24"/>
          <w:szCs w:val="24"/>
          <w:lang w:val="sr-Latn-ME"/>
        </w:rPr>
      </w:pPr>
      <w:r w:rsidRPr="00D72CC7">
        <w:rPr>
          <w:sz w:val="24"/>
          <w:szCs w:val="24"/>
          <w:lang w:val="sr-Latn-ME"/>
        </w:rPr>
        <w:t>Komunikacija politike omogućuje da svi akteri i javnost razumiju cikluse politike, identifkovane ciljeve kao i planirane rezultate.</w:t>
      </w:r>
    </w:p>
    <w:p w14:paraId="4A791981" w14:textId="77777777" w:rsidR="00D72CC7" w:rsidRPr="00D72CC7" w:rsidRDefault="00D72CC7" w:rsidP="00D72CC7">
      <w:pPr>
        <w:jc w:val="both"/>
        <w:rPr>
          <w:sz w:val="24"/>
          <w:szCs w:val="24"/>
          <w:lang w:val="sr-Latn-ME"/>
        </w:rPr>
      </w:pPr>
      <w:r w:rsidRPr="00D72CC7">
        <w:rPr>
          <w:sz w:val="24"/>
          <w:szCs w:val="24"/>
          <w:lang w:val="sr-Latn-ME"/>
        </w:rPr>
        <w:t>Efikasan sistem komunikacije za uspostavljanje sistema monitoringa politike je važan element za kreiranje neophodnih instrumenata praćenja ostvarivanja politike i ocjene ostvarenih efekata tokom svih godina realizacije Programa.</w:t>
      </w:r>
    </w:p>
    <w:p w14:paraId="22D455FD" w14:textId="77777777" w:rsidR="00D72CC7" w:rsidRPr="00D72CC7" w:rsidRDefault="00D72CC7" w:rsidP="00D72CC7">
      <w:pPr>
        <w:jc w:val="both"/>
        <w:rPr>
          <w:sz w:val="24"/>
          <w:szCs w:val="24"/>
          <w:lang w:val="sr-Latn-ME"/>
        </w:rPr>
      </w:pPr>
      <w:r w:rsidRPr="00D72CC7">
        <w:rPr>
          <w:sz w:val="24"/>
          <w:szCs w:val="24"/>
          <w:lang w:val="sr-Latn-ME"/>
        </w:rPr>
        <w:t xml:space="preserve">Naime, u cilju obezbjeđivanja uslova za efikasnu i efektivnu implementaciju Programa, proces komunikacije politike ključnih aktera svih sektora, naučne zajednice i cjelokupne javnosti je od strateškog značaja, posebno imajući u vidu ulogu i značaj koordinacije implementacije politike. </w:t>
      </w:r>
    </w:p>
    <w:p w14:paraId="46F38282" w14:textId="77777777" w:rsidR="00D72CC7" w:rsidRPr="00D72CC7" w:rsidRDefault="00D72CC7" w:rsidP="00D72CC7">
      <w:pPr>
        <w:jc w:val="both"/>
        <w:rPr>
          <w:sz w:val="24"/>
          <w:szCs w:val="24"/>
          <w:lang w:val="sr-Latn-ME"/>
        </w:rPr>
      </w:pPr>
      <w:r w:rsidRPr="00D72CC7">
        <w:rPr>
          <w:sz w:val="24"/>
          <w:szCs w:val="24"/>
          <w:lang w:val="sr-Latn-ME"/>
        </w:rPr>
        <w:t xml:space="preserve">Imajući u vidu najbolje prakse, proces komunikacije treba da se zasniva na obezbjeđivanju neophodnih, korisnih informacija koje će biti usmjerene na način da budu javno dostupne, kreiraju akciju, pomažu u rješavanju problema, podižu svijest o negativnim efektima neformalne ekonomije i ujedno imaju važnost i specifične posljedice. </w:t>
      </w:r>
    </w:p>
    <w:p w14:paraId="1FF19458" w14:textId="77777777" w:rsidR="005A5C62" w:rsidRDefault="005A5C62" w:rsidP="002675FC">
      <w:pPr>
        <w:rPr>
          <w:sz w:val="24"/>
          <w:szCs w:val="24"/>
          <w:lang w:val="sr-Latn-ME"/>
        </w:rPr>
      </w:pPr>
    </w:p>
    <w:p w14:paraId="689E36F9" w14:textId="77777777" w:rsidR="00B67D63" w:rsidRDefault="00B67D63" w:rsidP="002675FC">
      <w:pPr>
        <w:rPr>
          <w:sz w:val="24"/>
          <w:szCs w:val="24"/>
          <w:lang w:val="sr-Latn-ME"/>
        </w:rPr>
      </w:pPr>
    </w:p>
    <w:p w14:paraId="439C54CE" w14:textId="77777777" w:rsidR="00B67D63" w:rsidRDefault="00B67D63" w:rsidP="002675FC">
      <w:pPr>
        <w:rPr>
          <w:sz w:val="24"/>
          <w:szCs w:val="24"/>
          <w:lang w:val="sr-Latn-ME"/>
        </w:rPr>
      </w:pPr>
    </w:p>
    <w:p w14:paraId="5415B51A" w14:textId="77777777" w:rsidR="00B67D63" w:rsidRDefault="00B67D63" w:rsidP="002675FC">
      <w:pPr>
        <w:rPr>
          <w:sz w:val="24"/>
          <w:szCs w:val="24"/>
          <w:lang w:val="sr-Latn-ME"/>
        </w:rPr>
      </w:pPr>
    </w:p>
    <w:p w14:paraId="43FE3456" w14:textId="77777777" w:rsidR="00B67D63" w:rsidRDefault="00B67D63" w:rsidP="002675FC">
      <w:pPr>
        <w:rPr>
          <w:sz w:val="24"/>
          <w:szCs w:val="24"/>
          <w:lang w:val="sr-Latn-ME"/>
        </w:rPr>
      </w:pPr>
    </w:p>
    <w:p w14:paraId="4E394278" w14:textId="77777777" w:rsidR="00B67D63" w:rsidRDefault="00B67D63" w:rsidP="002675FC">
      <w:pPr>
        <w:rPr>
          <w:sz w:val="24"/>
          <w:szCs w:val="24"/>
          <w:lang w:val="sr-Latn-ME"/>
        </w:rPr>
      </w:pPr>
    </w:p>
    <w:p w14:paraId="11CA09E1" w14:textId="77777777" w:rsidR="00B67D63" w:rsidRDefault="00B67D63" w:rsidP="002675FC">
      <w:pPr>
        <w:rPr>
          <w:sz w:val="24"/>
          <w:szCs w:val="24"/>
          <w:lang w:val="sr-Latn-ME"/>
        </w:rPr>
      </w:pPr>
    </w:p>
    <w:p w14:paraId="3C9B727A" w14:textId="77777777" w:rsidR="00B67D63" w:rsidRDefault="00B67D63" w:rsidP="002675FC">
      <w:pPr>
        <w:rPr>
          <w:sz w:val="24"/>
          <w:szCs w:val="24"/>
          <w:lang w:val="sr-Latn-ME"/>
        </w:rPr>
      </w:pPr>
    </w:p>
    <w:p w14:paraId="18A6E9C5" w14:textId="77777777" w:rsidR="00B67D63" w:rsidRDefault="00B67D63" w:rsidP="002675FC">
      <w:pPr>
        <w:rPr>
          <w:sz w:val="24"/>
          <w:szCs w:val="24"/>
          <w:lang w:val="sr-Latn-ME"/>
        </w:rPr>
      </w:pPr>
    </w:p>
    <w:p w14:paraId="6C4083C0" w14:textId="77777777" w:rsidR="00B67D63" w:rsidRDefault="00B67D63" w:rsidP="002675FC">
      <w:pPr>
        <w:rPr>
          <w:sz w:val="24"/>
          <w:szCs w:val="24"/>
          <w:lang w:val="sr-Latn-ME"/>
        </w:rPr>
      </w:pPr>
    </w:p>
    <w:p w14:paraId="1911F989" w14:textId="77777777" w:rsidR="00B67D63" w:rsidRDefault="00B67D63" w:rsidP="002675FC">
      <w:pPr>
        <w:rPr>
          <w:sz w:val="24"/>
          <w:szCs w:val="24"/>
          <w:lang w:val="sr-Latn-ME"/>
        </w:rPr>
      </w:pPr>
    </w:p>
    <w:p w14:paraId="12E701D0" w14:textId="77777777" w:rsidR="00B67D63" w:rsidRDefault="00B67D63" w:rsidP="002675FC">
      <w:pPr>
        <w:rPr>
          <w:sz w:val="24"/>
          <w:szCs w:val="24"/>
          <w:lang w:val="sr-Latn-ME"/>
        </w:rPr>
      </w:pPr>
    </w:p>
    <w:p w14:paraId="4564B558" w14:textId="77777777" w:rsidR="00B67D63" w:rsidRDefault="00B67D63" w:rsidP="002675FC">
      <w:pPr>
        <w:rPr>
          <w:sz w:val="24"/>
          <w:szCs w:val="24"/>
          <w:lang w:val="sr-Latn-ME"/>
        </w:rPr>
      </w:pPr>
    </w:p>
    <w:p w14:paraId="33EAB83A" w14:textId="77777777" w:rsidR="00B67D63" w:rsidRPr="007459FE" w:rsidRDefault="00B67D63" w:rsidP="002675FC">
      <w:pPr>
        <w:rPr>
          <w:sz w:val="24"/>
          <w:szCs w:val="24"/>
          <w:lang w:val="sr-Latn-ME"/>
        </w:rPr>
      </w:pPr>
    </w:p>
    <w:p w14:paraId="2CCA5B2A" w14:textId="6915F0FD" w:rsidR="000F44B4" w:rsidRDefault="0017670E" w:rsidP="0017670E">
      <w:pPr>
        <w:pStyle w:val="Heading1"/>
        <w:rPr>
          <w:lang w:val="pl-PL"/>
        </w:rPr>
      </w:pPr>
      <w:bookmarkStart w:id="45" w:name="_Toc147990157"/>
      <w:r w:rsidRPr="00021CDC">
        <w:rPr>
          <w:lang w:val="pl-PL"/>
        </w:rPr>
        <w:lastRenderedPageBreak/>
        <w:t>ANNEX 1: IZVJEŠTAJ O SPROVEDENOM ISTRAŽIVANJU ZAINTERESOVANIH</w:t>
      </w:r>
      <w:r w:rsidR="00E13CCE" w:rsidRPr="00021CDC">
        <w:rPr>
          <w:lang w:val="pl-PL"/>
        </w:rPr>
        <w:t xml:space="preserve"> S</w:t>
      </w:r>
      <w:r w:rsidRPr="00021CDC">
        <w:rPr>
          <w:lang w:val="pl-PL"/>
        </w:rPr>
        <w:t>TRANA</w:t>
      </w:r>
      <w:bookmarkEnd w:id="45"/>
    </w:p>
    <w:p w14:paraId="644EF66E" w14:textId="2DBBC8BC" w:rsidR="00811046" w:rsidRPr="005A5C62" w:rsidRDefault="00811046" w:rsidP="005A5C62">
      <w:pPr>
        <w:jc w:val="both"/>
        <w:rPr>
          <w:sz w:val="24"/>
          <w:szCs w:val="24"/>
          <w:lang w:val="pl-PL"/>
        </w:rPr>
      </w:pPr>
    </w:p>
    <w:p w14:paraId="4450B6F3" w14:textId="2B74F31E" w:rsidR="00811046" w:rsidRPr="005A5C62" w:rsidRDefault="00811046" w:rsidP="005A5C62">
      <w:pPr>
        <w:jc w:val="both"/>
        <w:rPr>
          <w:sz w:val="24"/>
          <w:szCs w:val="24"/>
          <w:lang w:val="sr-Latn-ME"/>
        </w:rPr>
      </w:pPr>
      <w:r w:rsidRPr="005A5C62">
        <w:rPr>
          <w:sz w:val="24"/>
          <w:szCs w:val="24"/>
          <w:lang w:val="pl-PL"/>
        </w:rPr>
        <w:t xml:space="preserve">Na osnovu člana 12 </w:t>
      </w:r>
      <w:r w:rsidRPr="005A5C62">
        <w:rPr>
          <w:sz w:val="24"/>
          <w:szCs w:val="24"/>
          <w:lang w:val="sr-Latn-ME"/>
        </w:rPr>
        <w:t xml:space="preserve">Uredbe o izboru predstavnika nevladinih organizacija u radna tijela organa državne uprave i sprovođenju javne rasprave u pripremi zakona i strategija ("Sužbeni list Crne Gore", br. 041/18 od 28.06.2018), sprovedeno je konsultovanje zainteresovane javnosti u početnoj fazi izrade Programa za suzbijanje neformalne ekonomije. </w:t>
      </w:r>
    </w:p>
    <w:p w14:paraId="678762B7" w14:textId="77777777" w:rsidR="00811046" w:rsidRPr="005A5C62" w:rsidRDefault="00811046" w:rsidP="005A5C62">
      <w:pPr>
        <w:jc w:val="both"/>
        <w:rPr>
          <w:sz w:val="24"/>
          <w:szCs w:val="24"/>
          <w:lang w:val="sr-Latn-ME"/>
        </w:rPr>
      </w:pPr>
      <w:r w:rsidRPr="005A5C62">
        <w:rPr>
          <w:sz w:val="24"/>
          <w:szCs w:val="24"/>
          <w:lang w:val="sr-Latn-ME"/>
        </w:rPr>
        <w:t xml:space="preserve">Ministarstvo finansija zaduženo za sprovođenje politike u oblasti suzbijanja neformalne ekonomije objavilo je  1.juna 2023.godine javni poziv zainteresovanoj javnosti putem internet stranice Ministarstva finansija. </w:t>
      </w:r>
    </w:p>
    <w:p w14:paraId="019617D0" w14:textId="409F84B0" w:rsidR="00811046" w:rsidRPr="005A5C62" w:rsidRDefault="00811046" w:rsidP="005A5C62">
      <w:pPr>
        <w:jc w:val="both"/>
        <w:rPr>
          <w:sz w:val="24"/>
          <w:szCs w:val="24"/>
          <w:lang w:val="sr-Latn-ME"/>
        </w:rPr>
      </w:pPr>
      <w:r w:rsidRPr="005A5C62">
        <w:rPr>
          <w:sz w:val="24"/>
          <w:szCs w:val="24"/>
          <w:lang w:val="sr-Latn-ME"/>
        </w:rPr>
        <w:t>Konsultovanje je podrazumijevalo davanje inicijativa, predloga, sugestija i komentara u početnoj fazi pripreme Programa, kojima se može ukazati na nedostatke u zakonskoj regulativi, primjeni regulative, radu državnh i lokalnih institucija  i drugim pitanjima koje smatraju važnim za suzbijanje neformalne ekonomije u Crnoj Gori.</w:t>
      </w:r>
    </w:p>
    <w:p w14:paraId="3355EA08" w14:textId="42B23605" w:rsidR="00811046" w:rsidRPr="005A5C62" w:rsidRDefault="00811046" w:rsidP="005A5C62">
      <w:pPr>
        <w:jc w:val="both"/>
        <w:rPr>
          <w:sz w:val="24"/>
          <w:szCs w:val="24"/>
          <w:lang w:val="sr-Latn-ME"/>
        </w:rPr>
      </w:pPr>
      <w:r w:rsidRPr="005A5C62">
        <w:rPr>
          <w:sz w:val="24"/>
          <w:szCs w:val="24"/>
          <w:lang w:val="sr-Latn-ME"/>
        </w:rPr>
        <w:t>Inicijative, predloge, sugestije i komentare mogli su dati organi, organizacije, udruženja i pojedinci koji su zainteresovani za pitanja koja se uređuju Programom. Konsultativni proces bio je otvoren do 21. juna 2023.godine.</w:t>
      </w:r>
    </w:p>
    <w:p w14:paraId="568A8F56" w14:textId="49CF2EBD" w:rsidR="00811046" w:rsidRPr="005A5C62" w:rsidRDefault="00811046" w:rsidP="005A5C62">
      <w:pPr>
        <w:jc w:val="both"/>
        <w:rPr>
          <w:sz w:val="24"/>
          <w:szCs w:val="24"/>
          <w:lang w:val="pl-PL"/>
        </w:rPr>
      </w:pPr>
      <w:r w:rsidRPr="005A5C62">
        <w:rPr>
          <w:sz w:val="24"/>
          <w:szCs w:val="24"/>
          <w:lang w:val="sr-Latn-ME"/>
        </w:rPr>
        <w:t xml:space="preserve">U predviđenom roku za dostavljanje predloga i sugestija nije pristigao ni jedan predlog kao ni sugestija. </w:t>
      </w:r>
    </w:p>
    <w:p w14:paraId="340BC75C" w14:textId="2C40E918" w:rsidR="00811046" w:rsidRPr="005A5C62" w:rsidRDefault="00811046" w:rsidP="005A5C62">
      <w:pPr>
        <w:jc w:val="both"/>
        <w:rPr>
          <w:sz w:val="24"/>
          <w:szCs w:val="24"/>
          <w:lang w:val="sr-Latn-ME"/>
        </w:rPr>
      </w:pPr>
      <w:r w:rsidRPr="005A5C62">
        <w:rPr>
          <w:sz w:val="24"/>
          <w:szCs w:val="24"/>
          <w:lang w:val="sr-Latn-ME"/>
        </w:rPr>
        <w:t>Osim javnog poziva, a u cilju šireg konsultativnog procesa, planirano je organizovanje šest (6) fokus grupa sa zainteresovanim subjetkima, uz podršku kancelarije UNDP-a u Crnoj Gori i to sa predstavnicima: javnog sektora i nevladinih organizacija, sindikatima, biznis zajednicom, akademskom zajednicom i medijima. Fokus grupe su trebale biti realizovane u periodu od 5. jula do 7. jula 2023. godine.</w:t>
      </w:r>
    </w:p>
    <w:p w14:paraId="6BF0223F" w14:textId="513B0ECA" w:rsidR="00811046" w:rsidRPr="005A5C62" w:rsidRDefault="00811046" w:rsidP="005A5C62">
      <w:pPr>
        <w:jc w:val="both"/>
        <w:rPr>
          <w:sz w:val="24"/>
          <w:szCs w:val="24"/>
          <w:lang w:val="sr-Latn-ME"/>
        </w:rPr>
      </w:pPr>
      <w:r w:rsidRPr="005A5C62">
        <w:rPr>
          <w:sz w:val="24"/>
          <w:szCs w:val="24"/>
          <w:lang w:val="sr-Latn-ME"/>
        </w:rPr>
        <w:t xml:space="preserve">Radi lakše organizacije fokus gupa mapirane su organizacije čiji predstavnici su trebali bili učesnici fokus grupa. S tim u vezi Ministarstvo finansija uputilo je zvaničan poziv za prisustvo fokus grupama, državnim organima i organima državne uprave, NVO, medijima, univerzitetima, biznis zajednici, 26.juna 2023. godine. U predviđenom roku za potvrdu učešća nije bio potvrđen veliki broj zainteresovanih lica. Imajući u vidu mali broj institucija koji je potvrdio učešće, kao i rokove koji su definisani za izradu Programa, zauzet je stav da se pripremi sveobuhvatni upitnik (koji bi obuhvatio i pitanja planirana za fokus grupe), a koji bi bio dostavljen institucijama planiranih fokus grupa i od njih se zatraži da popune dostavljeni upitnik. Upitnik je dostavljen 6.jula 2023. godine, sa rokom do 12.jula 2023. godine da dostave svoje odgovore, a najkasnije do 17.07.2023. godine. Imajući u vidu da je samo 17  institucija, od planiranih 56, dostavilo odgovore na upitnik rok je, uz dostavljanje urgencije, produžen do 21. jula 2023. godine. U produženom roku bilo je novodostavljenih upitnika i to ukupno 11. </w:t>
      </w:r>
    </w:p>
    <w:p w14:paraId="2DF55F47" w14:textId="61B349C0" w:rsidR="00811046" w:rsidRPr="005A5C62" w:rsidRDefault="00811046" w:rsidP="005A5C62">
      <w:pPr>
        <w:jc w:val="both"/>
        <w:rPr>
          <w:bCs/>
          <w:sz w:val="24"/>
          <w:szCs w:val="24"/>
          <w:lang w:val="it-IT"/>
        </w:rPr>
      </w:pPr>
      <w:r w:rsidRPr="005A5C62">
        <w:rPr>
          <w:sz w:val="24"/>
          <w:szCs w:val="24"/>
          <w:lang w:val="sr-Latn-ME"/>
        </w:rPr>
        <w:lastRenderedPageBreak/>
        <w:t xml:space="preserve">Od 28 dostavljenih odgovora, </w:t>
      </w:r>
      <w:r w:rsidRPr="005A5C62">
        <w:rPr>
          <w:bCs/>
          <w:sz w:val="24"/>
          <w:szCs w:val="24"/>
          <w:lang w:val="it-IT"/>
        </w:rPr>
        <w:t>dvanaest (12) je dostavljeno od biznis zajednice, sedam (7), državnih organa i organa državne uprave, dva (2) od jedinica lokalne samouprave, dva ( 2) od sindikata , tri (3) od univerziteta i dva (2) od medija.</w:t>
      </w:r>
    </w:p>
    <w:p w14:paraId="2C4D2D11" w14:textId="3F573703" w:rsidR="00811046" w:rsidRPr="005A5C62" w:rsidRDefault="00811046" w:rsidP="005A5C62">
      <w:pPr>
        <w:jc w:val="both"/>
        <w:rPr>
          <w:sz w:val="24"/>
          <w:szCs w:val="24"/>
          <w:lang w:val="sr-Latn-ME"/>
        </w:rPr>
      </w:pPr>
      <w:r w:rsidRPr="005A5C62">
        <w:rPr>
          <w:sz w:val="24"/>
          <w:szCs w:val="24"/>
          <w:lang w:val="sr-Latn-ME"/>
        </w:rPr>
        <w:t>Kvantitativno istraživanje je</w:t>
      </w:r>
      <w:r w:rsidRPr="005A5C62">
        <w:rPr>
          <w:sz w:val="24"/>
          <w:szCs w:val="24"/>
          <w:lang w:val="sl-SI"/>
        </w:rPr>
        <w:t xml:space="preserve"> organizovano uz tehničku i organizacionu podršku kancelarije UNDP-a.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4C6E7" w:themeFill="accent1" w:themeFillTint="66"/>
        <w:tblLook w:val="04A0" w:firstRow="1" w:lastRow="0" w:firstColumn="1" w:lastColumn="0" w:noHBand="0" w:noVBand="1"/>
      </w:tblPr>
      <w:tblGrid>
        <w:gridCol w:w="9134"/>
      </w:tblGrid>
      <w:tr w:rsidR="00811046" w:rsidRPr="00391D03" w14:paraId="0F052958" w14:textId="77777777" w:rsidTr="00E205A9">
        <w:tc>
          <w:tcPr>
            <w:tcW w:w="9134" w:type="dxa"/>
            <w:shd w:val="clear" w:color="auto" w:fill="B4C6E7" w:themeFill="accent1" w:themeFillTint="66"/>
          </w:tcPr>
          <w:p w14:paraId="27C6C1CA" w14:textId="77777777" w:rsidR="00811046" w:rsidRPr="00811046" w:rsidRDefault="00811046">
            <w:pPr>
              <w:numPr>
                <w:ilvl w:val="0"/>
                <w:numId w:val="13"/>
              </w:numPr>
              <w:rPr>
                <w:b/>
                <w:lang w:val="pl-PL"/>
              </w:rPr>
            </w:pPr>
            <w:bookmarkStart w:id="46" w:name="_Toc141249030"/>
            <w:r w:rsidRPr="00811046">
              <w:rPr>
                <w:b/>
                <w:lang w:val="pl-PL"/>
              </w:rPr>
              <w:t>Podaci o učesnicima konsultativnog procesa</w:t>
            </w:r>
            <w:bookmarkEnd w:id="46"/>
            <w:r w:rsidRPr="00811046">
              <w:rPr>
                <w:b/>
                <w:lang w:val="pl-PL"/>
              </w:rPr>
              <w:t xml:space="preserve"> </w:t>
            </w:r>
          </w:p>
        </w:tc>
      </w:tr>
    </w:tbl>
    <w:p w14:paraId="540FC8F8" w14:textId="77777777" w:rsidR="00811046" w:rsidRPr="00811046" w:rsidRDefault="00811046" w:rsidP="00811046">
      <w:pPr>
        <w:rPr>
          <w:lang w:val="pl-PL"/>
        </w:rPr>
      </w:pPr>
    </w:p>
    <w:p w14:paraId="7421673E" w14:textId="1983FDB2" w:rsidR="00811046" w:rsidRPr="005A5C62" w:rsidRDefault="00811046" w:rsidP="00706D20">
      <w:pPr>
        <w:jc w:val="both"/>
        <w:rPr>
          <w:bCs/>
          <w:sz w:val="24"/>
          <w:szCs w:val="24"/>
          <w:lang w:val="pl-PL"/>
        </w:rPr>
      </w:pPr>
      <w:r w:rsidRPr="005A5C62">
        <w:rPr>
          <w:sz w:val="24"/>
          <w:szCs w:val="24"/>
          <w:lang w:val="pl-PL"/>
        </w:rPr>
        <w:t xml:space="preserve">U okviru predviđenog roka za javne konsultacije u početnoj fazi, kao što smo vidjeli u Uvodnom dijelu ovog Izvještaja, nije bilo pristiglih komentara, sugestija i predloga. U istom periodu </w:t>
      </w:r>
      <w:r w:rsidRPr="005A5C62">
        <w:rPr>
          <w:sz w:val="24"/>
          <w:szCs w:val="24"/>
          <w:lang w:val="sr-Latn-ME"/>
        </w:rPr>
        <w:t xml:space="preserve">održan je sastanak, 14.juna 2023. godine na zahtjev, </w:t>
      </w:r>
      <w:r w:rsidRPr="005A5C62">
        <w:rPr>
          <w:sz w:val="24"/>
          <w:szCs w:val="24"/>
          <w:lang w:val="pl-PL"/>
        </w:rPr>
        <w:t xml:space="preserve">Međunarodne organizacije rada (MOR) sa generalnim direktorom Direktorata za ekonomsko-finansijski sistem Ministarstva finansija, Dankom Dragovićem i njegovim saradnicima. </w:t>
      </w:r>
    </w:p>
    <w:p w14:paraId="71741309" w14:textId="304B28AE" w:rsidR="00811046" w:rsidRPr="005A5C62" w:rsidRDefault="00811046" w:rsidP="005A5C62">
      <w:pPr>
        <w:jc w:val="both"/>
        <w:rPr>
          <w:bCs/>
          <w:sz w:val="24"/>
          <w:szCs w:val="24"/>
          <w:lang w:val="pl-PL"/>
        </w:rPr>
      </w:pPr>
      <w:r w:rsidRPr="005A5C62">
        <w:rPr>
          <w:bCs/>
          <w:sz w:val="24"/>
          <w:szCs w:val="24"/>
          <w:lang w:val="pl-PL"/>
        </w:rPr>
        <w:t xml:space="preserve">Kvalitativno istraživanje (dostavljanje upitnika) sprovedeno je na uzorku od </w:t>
      </w:r>
      <w:r w:rsidRPr="005A5C62">
        <w:rPr>
          <w:b/>
          <w:bCs/>
          <w:sz w:val="24"/>
          <w:szCs w:val="24"/>
          <w:lang w:val="pl-PL"/>
        </w:rPr>
        <w:t>56</w:t>
      </w:r>
      <w:r w:rsidRPr="005A5C62">
        <w:rPr>
          <w:bCs/>
          <w:sz w:val="24"/>
          <w:szCs w:val="24"/>
          <w:lang w:val="pl-PL"/>
        </w:rPr>
        <w:t xml:space="preserve"> ispitanika (56 ispitanika kojima je dostavljen upitnik). Obuhvaćeni su organi državne uprave (18), biznis zajednica (8), mediji (21), NVO sektor (5), akademska zajednica (4). Odgovor na upitnik dostavilo je sedamnaest (17) institucija. </w:t>
      </w:r>
    </w:p>
    <w:p w14:paraId="03115B28" w14:textId="0E2F91BA" w:rsidR="00811046" w:rsidRPr="005A5C62" w:rsidRDefault="00811046" w:rsidP="005A5C62">
      <w:pPr>
        <w:jc w:val="both"/>
        <w:rPr>
          <w:sz w:val="24"/>
          <w:szCs w:val="24"/>
          <w:lang w:val="sr-Latn-ME"/>
        </w:rPr>
      </w:pPr>
      <w:r w:rsidRPr="005A5C62">
        <w:rPr>
          <w:sz w:val="24"/>
          <w:szCs w:val="24"/>
          <w:lang w:val="sr-Latn-ME"/>
        </w:rPr>
        <w:t xml:space="preserve">Istraživanje se sprovelo na reprezentativnom uzorku na način da se osigura pouzdana analiza proporcionalne zastupljenosti svih navedenih kategorija. Prikupljanje podataka realizovano je tokom jula 2023. godine. Za ispitanike kreiran je upitnik koji je nudio pitanja otvorenog i zatvorenog tipa. </w:t>
      </w:r>
    </w:p>
    <w:p w14:paraId="520DFE30" w14:textId="72DDC2C3" w:rsidR="00811046" w:rsidRPr="00C22A10" w:rsidRDefault="00811046" w:rsidP="005A5C62">
      <w:pPr>
        <w:jc w:val="both"/>
        <w:rPr>
          <w:sz w:val="24"/>
          <w:szCs w:val="24"/>
          <w:lang w:val="sr-Latn-ME"/>
        </w:rPr>
      </w:pPr>
      <w:r w:rsidRPr="005A5C62">
        <w:rPr>
          <w:sz w:val="24"/>
          <w:szCs w:val="24"/>
          <w:lang w:val="sr-Latn-ME"/>
        </w:rPr>
        <w:t xml:space="preserve">Kako nije sprovedeno kvalitativno istraživanje (fokus grupe) upitnik je kreiran da sadrži značajan broj otvorenih pitanja koji su omogućili jasnije izražavanje stavova ispitanika (koji su bili planirani za učesnike fokus grupa) po pitanju neformalne ekonomije. Takođe, prilikom obrade podataka vodilo se računa da se gotovo svi odgovori nađu u izvještaju i na taj način omogući sveobihvatniji pregled dobijenih odgovora ali i mogućnost njihovog korišćenja prilikom izrade Programa. </w:t>
      </w:r>
    </w:p>
    <w:p w14:paraId="7DDD63DB" w14:textId="77777777" w:rsidR="00811046" w:rsidRPr="005A5C62" w:rsidRDefault="00811046" w:rsidP="005A5C62">
      <w:pPr>
        <w:jc w:val="both"/>
        <w:rPr>
          <w:bCs/>
          <w:sz w:val="24"/>
          <w:szCs w:val="24"/>
          <w:lang w:val="it-IT"/>
        </w:rPr>
      </w:pPr>
      <w:r w:rsidRPr="005A5C62">
        <w:rPr>
          <w:bCs/>
          <w:sz w:val="24"/>
          <w:szCs w:val="24"/>
          <w:lang w:val="it-IT"/>
        </w:rPr>
        <w:t>Od dvadeset osam (28) dostavljenih odgovora na upitnik, dvanaest (12) je dostavljeno od biznis zajednice, sedam (7), državnih organa i organa državne uprave, dva (2) od jedinica lokalne samouprave, dva ( 2) od sindikata , tri (3) od univerziteta i dva (2) od medija.</w:t>
      </w:r>
    </w:p>
    <w:p w14:paraId="314CC265" w14:textId="77777777" w:rsidR="00811046" w:rsidRDefault="00811046" w:rsidP="005A5C62">
      <w:pPr>
        <w:jc w:val="both"/>
        <w:rPr>
          <w:bCs/>
          <w:sz w:val="24"/>
          <w:szCs w:val="24"/>
          <w:lang w:val="it-IT"/>
        </w:rPr>
      </w:pPr>
    </w:p>
    <w:p w14:paraId="0C466CAF" w14:textId="77777777" w:rsidR="00C22A10" w:rsidRDefault="00C22A10" w:rsidP="005A5C62">
      <w:pPr>
        <w:jc w:val="both"/>
        <w:rPr>
          <w:bCs/>
          <w:sz w:val="24"/>
          <w:szCs w:val="24"/>
          <w:lang w:val="it-IT"/>
        </w:rPr>
      </w:pPr>
    </w:p>
    <w:p w14:paraId="18410713" w14:textId="77777777" w:rsidR="00C22A10" w:rsidRDefault="00C22A10" w:rsidP="005A5C62">
      <w:pPr>
        <w:jc w:val="both"/>
        <w:rPr>
          <w:bCs/>
          <w:sz w:val="24"/>
          <w:szCs w:val="24"/>
          <w:lang w:val="it-IT"/>
        </w:rPr>
      </w:pPr>
    </w:p>
    <w:p w14:paraId="6DC56FC9" w14:textId="77777777" w:rsidR="00C22A10" w:rsidRDefault="00C22A10" w:rsidP="005A5C62">
      <w:pPr>
        <w:jc w:val="both"/>
        <w:rPr>
          <w:bCs/>
          <w:sz w:val="24"/>
          <w:szCs w:val="24"/>
          <w:lang w:val="it-IT"/>
        </w:rPr>
      </w:pPr>
    </w:p>
    <w:p w14:paraId="56DCEA2A" w14:textId="77777777" w:rsidR="00C22A10" w:rsidRDefault="00C22A10" w:rsidP="005A5C62">
      <w:pPr>
        <w:jc w:val="both"/>
        <w:rPr>
          <w:bCs/>
          <w:sz w:val="24"/>
          <w:szCs w:val="24"/>
          <w:lang w:val="it-IT"/>
        </w:rPr>
      </w:pPr>
    </w:p>
    <w:p w14:paraId="5D5C5DC5" w14:textId="77777777" w:rsidR="00C22A10" w:rsidRDefault="00C22A10" w:rsidP="005A5C62">
      <w:pPr>
        <w:jc w:val="both"/>
        <w:rPr>
          <w:bCs/>
          <w:sz w:val="24"/>
          <w:szCs w:val="24"/>
          <w:lang w:val="it-IT"/>
        </w:rPr>
      </w:pPr>
    </w:p>
    <w:p w14:paraId="321A7434" w14:textId="77777777" w:rsidR="00C22A10" w:rsidRDefault="00C22A10" w:rsidP="005A5C62">
      <w:pPr>
        <w:jc w:val="both"/>
        <w:rPr>
          <w:bCs/>
          <w:sz w:val="24"/>
          <w:szCs w:val="24"/>
          <w:lang w:val="it-IT"/>
        </w:rPr>
      </w:pPr>
    </w:p>
    <w:p w14:paraId="570678BA" w14:textId="77777777" w:rsidR="00C22A10" w:rsidRDefault="00C22A10" w:rsidP="005A5C62">
      <w:pPr>
        <w:jc w:val="both"/>
        <w:rPr>
          <w:bCs/>
          <w:sz w:val="24"/>
          <w:szCs w:val="24"/>
          <w:lang w:val="it-IT"/>
        </w:rPr>
      </w:pPr>
    </w:p>
    <w:p w14:paraId="540D5D6C" w14:textId="77777777" w:rsidR="00C22A10" w:rsidRPr="005A5C62" w:rsidRDefault="00C22A10" w:rsidP="005A5C62">
      <w:pPr>
        <w:jc w:val="both"/>
        <w:rPr>
          <w:bCs/>
          <w:sz w:val="24"/>
          <w:szCs w:val="24"/>
          <w:lang w:val="it-IT"/>
        </w:rPr>
      </w:pPr>
    </w:p>
    <w:p w14:paraId="68CA5DA7" w14:textId="77777777" w:rsidR="00811046" w:rsidRPr="00811046" w:rsidRDefault="00811046" w:rsidP="00811046">
      <w:pPr>
        <w:rPr>
          <w:b/>
          <w:bCs/>
          <w:lang w:val="it-IT"/>
        </w:rPr>
      </w:pPr>
      <w:r w:rsidRPr="00811046">
        <w:rPr>
          <w:b/>
          <w:bCs/>
          <w:lang w:val="it-IT"/>
        </w:rPr>
        <w:t>Grafik 1. Odgovori institucija</w:t>
      </w:r>
    </w:p>
    <w:p w14:paraId="3677BC04" w14:textId="5A61CFB5" w:rsidR="00811046" w:rsidRPr="00811046" w:rsidRDefault="00811046" w:rsidP="00811046">
      <w:pPr>
        <w:rPr>
          <w:bCs/>
          <w:lang w:val="it-IT"/>
        </w:rPr>
      </w:pPr>
      <w:r w:rsidRPr="00811046">
        <w:rPr>
          <w:noProof/>
        </w:rPr>
        <w:drawing>
          <wp:anchor distT="0" distB="0" distL="114300" distR="114300" simplePos="0" relativeHeight="251659264" behindDoc="1" locked="0" layoutInCell="1" allowOverlap="1" wp14:anchorId="754C1C1C" wp14:editId="2DBA2D1F">
            <wp:simplePos x="0" y="0"/>
            <wp:positionH relativeFrom="column">
              <wp:posOffset>635</wp:posOffset>
            </wp:positionH>
            <wp:positionV relativeFrom="paragraph">
              <wp:posOffset>87630</wp:posOffset>
            </wp:positionV>
            <wp:extent cx="5699125" cy="2694305"/>
            <wp:effectExtent l="635" t="0" r="0" b="5080"/>
            <wp:wrapTight wrapText="bothSides">
              <wp:wrapPolygon edited="0">
                <wp:start x="36" y="193"/>
                <wp:lineTo x="36" y="14101"/>
                <wp:lineTo x="14301" y="14101"/>
                <wp:lineTo x="14301" y="193"/>
                <wp:lineTo x="36" y="193"/>
              </wp:wrapPolygon>
            </wp:wrapTight>
            <wp:docPr id="1206799163"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2A74B1F5" w14:textId="77777777" w:rsidR="00811046" w:rsidRPr="00811046" w:rsidRDefault="00811046" w:rsidP="00811046">
      <w:pPr>
        <w:rPr>
          <w:bCs/>
          <w:lang w:val="it-IT"/>
        </w:rPr>
      </w:pPr>
    </w:p>
    <w:p w14:paraId="59DBC8F0" w14:textId="77777777" w:rsidR="00811046" w:rsidRPr="00811046" w:rsidRDefault="00811046" w:rsidP="00811046">
      <w:pPr>
        <w:rPr>
          <w:bCs/>
          <w:lang w:val="it-IT"/>
        </w:rPr>
      </w:pPr>
      <w:r w:rsidRPr="00811046">
        <w:rPr>
          <w:bCs/>
          <w:lang w:val="it-IT"/>
        </w:rPr>
        <w:t>v</w:t>
      </w:r>
    </w:p>
    <w:p w14:paraId="5FB87D39" w14:textId="77777777" w:rsidR="00811046" w:rsidRPr="00811046" w:rsidRDefault="00811046" w:rsidP="00811046">
      <w:pPr>
        <w:rPr>
          <w:bCs/>
          <w:lang w:val="it-IT"/>
        </w:rPr>
      </w:pPr>
    </w:p>
    <w:p w14:paraId="43A8CBF9" w14:textId="77777777" w:rsidR="00811046" w:rsidRPr="00811046" w:rsidRDefault="00811046" w:rsidP="00811046">
      <w:pPr>
        <w:rPr>
          <w:bCs/>
          <w:lang w:val="it-IT"/>
        </w:rPr>
      </w:pPr>
    </w:p>
    <w:p w14:paraId="3DA5E83F" w14:textId="77777777" w:rsidR="00811046" w:rsidRPr="00811046" w:rsidRDefault="00811046" w:rsidP="00811046">
      <w:pPr>
        <w:rPr>
          <w:bCs/>
          <w:lang w:val="it-IT"/>
        </w:rPr>
      </w:pPr>
    </w:p>
    <w:p w14:paraId="20CB9C18" w14:textId="77777777" w:rsidR="00811046" w:rsidRPr="00811046" w:rsidRDefault="00811046" w:rsidP="00811046">
      <w:pPr>
        <w:rPr>
          <w:bCs/>
          <w:lang w:val="it-IT"/>
        </w:rPr>
      </w:pPr>
    </w:p>
    <w:p w14:paraId="3E300B14" w14:textId="77777777" w:rsidR="00811046" w:rsidRPr="00811046" w:rsidRDefault="00811046" w:rsidP="00811046">
      <w:pPr>
        <w:rPr>
          <w:bCs/>
          <w:lang w:val="it-IT"/>
        </w:rPr>
      </w:pPr>
    </w:p>
    <w:p w14:paraId="5425C73F" w14:textId="77777777" w:rsidR="00811046" w:rsidRPr="00811046" w:rsidRDefault="00811046" w:rsidP="00811046">
      <w:pPr>
        <w:rPr>
          <w:bCs/>
          <w:lang w:val="it-IT"/>
        </w:rPr>
      </w:pPr>
    </w:p>
    <w:p w14:paraId="48599294" w14:textId="77777777" w:rsidR="00811046" w:rsidRPr="00811046" w:rsidRDefault="00811046" w:rsidP="00811046">
      <w:pPr>
        <w:rPr>
          <w:bCs/>
          <w:lang w:val="it-IT"/>
        </w:rPr>
      </w:pPr>
    </w:p>
    <w:p w14:paraId="2A920C0E" w14:textId="77777777" w:rsidR="00811046" w:rsidRPr="00811046" w:rsidRDefault="00811046" w:rsidP="00811046">
      <w:pPr>
        <w:rPr>
          <w:bCs/>
          <w:lang w:val="it-IT"/>
        </w:rPr>
      </w:pPr>
    </w:p>
    <w:p w14:paraId="44EB7CE5" w14:textId="51FE88F3" w:rsidR="00811046" w:rsidRPr="005A5C62" w:rsidRDefault="00811046" w:rsidP="00811046">
      <w:pPr>
        <w:rPr>
          <w:bCs/>
          <w:sz w:val="24"/>
          <w:szCs w:val="24"/>
          <w:lang w:val="it-IT"/>
        </w:rPr>
      </w:pPr>
      <w:r w:rsidRPr="005A5C62">
        <w:rPr>
          <w:bCs/>
          <w:sz w:val="24"/>
          <w:szCs w:val="24"/>
          <w:lang w:val="it-IT"/>
        </w:rPr>
        <w:t xml:space="preserve">Na osnovu dobijenih nalaza pripremljen je pregled identifikovanih izazova i predloženih rješenja, sa uopštenim zaključcima istraživanja.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4C6E7" w:themeFill="accent1" w:themeFillTint="66"/>
        <w:tblLook w:val="04A0" w:firstRow="1" w:lastRow="0" w:firstColumn="1" w:lastColumn="0" w:noHBand="0" w:noVBand="1"/>
      </w:tblPr>
      <w:tblGrid>
        <w:gridCol w:w="9134"/>
      </w:tblGrid>
      <w:tr w:rsidR="00811046" w:rsidRPr="00391D03" w14:paraId="75315487" w14:textId="77777777" w:rsidTr="00E205A9">
        <w:tc>
          <w:tcPr>
            <w:tcW w:w="9134" w:type="dxa"/>
            <w:shd w:val="clear" w:color="auto" w:fill="B4C6E7" w:themeFill="accent1" w:themeFillTint="66"/>
          </w:tcPr>
          <w:p w14:paraId="19232AE5" w14:textId="77777777" w:rsidR="00811046" w:rsidRPr="00811046" w:rsidRDefault="00811046">
            <w:pPr>
              <w:numPr>
                <w:ilvl w:val="0"/>
                <w:numId w:val="13"/>
              </w:numPr>
              <w:rPr>
                <w:b/>
                <w:lang w:val="sr-Latn-ME"/>
              </w:rPr>
            </w:pPr>
            <w:bookmarkStart w:id="47" w:name="_Toc141249031"/>
            <w:r w:rsidRPr="00811046">
              <w:rPr>
                <w:b/>
                <w:lang w:val="sr-Latn-ME"/>
              </w:rPr>
              <w:t>Pregled identifikovanih izazova i predloženih rješenja od strane ispitanika</w:t>
            </w:r>
            <w:bookmarkEnd w:id="47"/>
          </w:p>
        </w:tc>
      </w:tr>
    </w:tbl>
    <w:p w14:paraId="0084A7DF" w14:textId="77777777" w:rsidR="00811046" w:rsidRPr="005A5C62" w:rsidRDefault="00811046" w:rsidP="005A5C62">
      <w:pPr>
        <w:jc w:val="both"/>
        <w:rPr>
          <w:sz w:val="24"/>
          <w:szCs w:val="24"/>
          <w:lang w:val="sr-Latn-ME"/>
        </w:rPr>
      </w:pPr>
    </w:p>
    <w:p w14:paraId="7C28CDFB" w14:textId="77777777" w:rsidR="00811046" w:rsidRDefault="00811046" w:rsidP="005A5C62">
      <w:pPr>
        <w:jc w:val="both"/>
        <w:rPr>
          <w:sz w:val="24"/>
          <w:szCs w:val="24"/>
          <w:lang w:val="sr-Latn-ME"/>
        </w:rPr>
      </w:pPr>
      <w:r w:rsidRPr="005A5C62">
        <w:rPr>
          <w:sz w:val="24"/>
          <w:szCs w:val="24"/>
          <w:lang w:val="sr-Latn-ME"/>
        </w:rPr>
        <w:t>U odnosu na sam predmet Programa, ispitanici su dali odgovore i ukazali na moguće probleme koje treba izbjeći tokom kreiranja Programa.</w:t>
      </w:r>
    </w:p>
    <w:p w14:paraId="75C780F1" w14:textId="77777777" w:rsidR="00C22A10" w:rsidRPr="005A5C62" w:rsidRDefault="00C22A10" w:rsidP="005A5C62">
      <w:pPr>
        <w:jc w:val="both"/>
        <w:rPr>
          <w:sz w:val="24"/>
          <w:szCs w:val="24"/>
          <w:lang w:val="sr-Latn-ME"/>
        </w:rPr>
      </w:pPr>
    </w:p>
    <w:p w14:paraId="44730A53" w14:textId="77777777" w:rsidR="00811046" w:rsidRPr="005A5C62" w:rsidRDefault="00811046" w:rsidP="005A5C62">
      <w:pPr>
        <w:numPr>
          <w:ilvl w:val="1"/>
          <w:numId w:val="13"/>
        </w:numPr>
        <w:jc w:val="both"/>
        <w:rPr>
          <w:b/>
          <w:bCs/>
          <w:iCs/>
          <w:sz w:val="24"/>
          <w:szCs w:val="24"/>
          <w:lang w:val="it-IT"/>
        </w:rPr>
      </w:pPr>
      <w:bookmarkStart w:id="48" w:name="_Toc141249032"/>
      <w:r w:rsidRPr="005A5C62">
        <w:rPr>
          <w:b/>
          <w:bCs/>
          <w:iCs/>
          <w:sz w:val="24"/>
          <w:szCs w:val="24"/>
          <w:lang w:val="it-IT"/>
        </w:rPr>
        <w:t>Prisutnost sive ekonomije U Crnoj Gori</w:t>
      </w:r>
      <w:bookmarkEnd w:id="48"/>
      <w:r w:rsidRPr="005A5C62">
        <w:rPr>
          <w:b/>
          <w:bCs/>
          <w:iCs/>
          <w:sz w:val="24"/>
          <w:szCs w:val="24"/>
          <w:lang w:val="it-IT"/>
        </w:rPr>
        <w:t xml:space="preserve"> </w:t>
      </w:r>
    </w:p>
    <w:p w14:paraId="56074B4A" w14:textId="77777777" w:rsidR="00811046" w:rsidRPr="005A5C62" w:rsidRDefault="00811046" w:rsidP="005A5C62">
      <w:pPr>
        <w:jc w:val="both"/>
        <w:rPr>
          <w:bCs/>
          <w:sz w:val="24"/>
          <w:szCs w:val="24"/>
          <w:lang w:val="sr-Latn-ME"/>
        </w:rPr>
      </w:pPr>
      <w:r w:rsidRPr="005A5C62">
        <w:rPr>
          <w:bCs/>
          <w:sz w:val="24"/>
          <w:szCs w:val="24"/>
          <w:lang w:val="it-IT"/>
        </w:rPr>
        <w:t xml:space="preserve">Prvo pitanje u upitniku odnosilo se na to </w:t>
      </w:r>
      <w:r w:rsidRPr="005A5C62">
        <w:rPr>
          <w:bCs/>
          <w:sz w:val="24"/>
          <w:szCs w:val="24"/>
          <w:lang w:val="sr-Latn-ME"/>
        </w:rPr>
        <w:t>u kojoj mjeri, prema mišljenju ispitanika postoji siva ekonomija i selektivnost u primjeni zakona u poslovanju u Crnoj Gori. Ponuđeno je pet mogućih odgovora. Svi ispitanici su odgovorili da postoji siva ekonomija. Najviše ispitanika (njih 19)  je odgovorilo da postoji u velikoj mjeri, dok je 9 odgovorilo da postoji, ali samo u manjem dijelu. Za druge ponuđene odgovore nije bilo odgovora.</w:t>
      </w:r>
    </w:p>
    <w:p w14:paraId="70E0460C" w14:textId="77777777" w:rsidR="00811046" w:rsidRDefault="00811046" w:rsidP="00811046">
      <w:pPr>
        <w:rPr>
          <w:bCs/>
          <w:lang w:val="sr-Latn-ME"/>
        </w:rPr>
      </w:pPr>
    </w:p>
    <w:p w14:paraId="6D0B966B" w14:textId="77777777" w:rsidR="00C22A10" w:rsidRDefault="00C22A10" w:rsidP="00811046">
      <w:pPr>
        <w:rPr>
          <w:bCs/>
          <w:lang w:val="sr-Latn-ME"/>
        </w:rPr>
      </w:pPr>
    </w:p>
    <w:p w14:paraId="0B4DB825" w14:textId="77777777" w:rsidR="00C22A10" w:rsidRDefault="00C22A10" w:rsidP="00811046">
      <w:pPr>
        <w:rPr>
          <w:bCs/>
          <w:lang w:val="sr-Latn-ME"/>
        </w:rPr>
      </w:pPr>
    </w:p>
    <w:p w14:paraId="23F2354A" w14:textId="77777777" w:rsidR="00C22A10" w:rsidRDefault="00C22A10" w:rsidP="00811046">
      <w:pPr>
        <w:rPr>
          <w:bCs/>
          <w:lang w:val="sr-Latn-ME"/>
        </w:rPr>
      </w:pPr>
    </w:p>
    <w:p w14:paraId="40B9645F" w14:textId="77777777" w:rsidR="00C22A10" w:rsidRDefault="00C22A10" w:rsidP="00811046">
      <w:pPr>
        <w:rPr>
          <w:bCs/>
          <w:lang w:val="sr-Latn-ME"/>
        </w:rPr>
      </w:pPr>
    </w:p>
    <w:p w14:paraId="2F1361D5" w14:textId="77777777" w:rsidR="00C22A10" w:rsidRDefault="00C22A10" w:rsidP="00811046">
      <w:pPr>
        <w:rPr>
          <w:bCs/>
          <w:lang w:val="sr-Latn-ME"/>
        </w:rPr>
      </w:pPr>
    </w:p>
    <w:p w14:paraId="75D4A2F6" w14:textId="77777777" w:rsidR="00C22A10" w:rsidRPr="00811046" w:rsidRDefault="00C22A10" w:rsidP="00811046">
      <w:pPr>
        <w:rPr>
          <w:bCs/>
          <w:lang w:val="sr-Latn-ME"/>
        </w:rPr>
      </w:pPr>
    </w:p>
    <w:p w14:paraId="66EC3756" w14:textId="77777777" w:rsidR="00811046" w:rsidRPr="00811046" w:rsidRDefault="00811046" w:rsidP="00811046">
      <w:pPr>
        <w:rPr>
          <w:b/>
          <w:bCs/>
          <w:lang w:val="sr-Latn-ME"/>
        </w:rPr>
      </w:pPr>
      <w:r w:rsidRPr="00811046">
        <w:rPr>
          <w:b/>
          <w:bCs/>
          <w:lang w:val="sr-Latn-ME"/>
        </w:rPr>
        <w:t>Grafik 2. Mjera postojanja sive ekonomije</w:t>
      </w:r>
    </w:p>
    <w:p w14:paraId="0F13DD8C" w14:textId="77777777" w:rsidR="00811046" w:rsidRPr="00811046" w:rsidRDefault="00811046" w:rsidP="00811046">
      <w:pPr>
        <w:rPr>
          <w:b/>
          <w:bCs/>
          <w:lang w:val="sr-Latn-ME"/>
        </w:rPr>
      </w:pPr>
    </w:p>
    <w:p w14:paraId="08270EA4" w14:textId="57483616" w:rsidR="00811046" w:rsidRPr="00811046" w:rsidRDefault="00811046" w:rsidP="00811046">
      <w:pPr>
        <w:rPr>
          <w:b/>
          <w:bCs/>
          <w:lang w:val="sr-Latn-ME"/>
        </w:rPr>
      </w:pPr>
      <w:r w:rsidRPr="00811046">
        <w:rPr>
          <w:noProof/>
        </w:rPr>
        <w:drawing>
          <wp:inline distT="0" distB="0" distL="0" distR="0" wp14:anchorId="03DF4787" wp14:editId="0685D4FA">
            <wp:extent cx="3878580" cy="2590800"/>
            <wp:effectExtent l="0" t="0" r="0" b="0"/>
            <wp:docPr id="3044722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6967B1" w14:textId="77777777" w:rsidR="00811046" w:rsidRPr="00811046" w:rsidRDefault="00811046" w:rsidP="00811046">
      <w:pPr>
        <w:rPr>
          <w:b/>
          <w:bCs/>
          <w:lang w:val="sr-Latn-ME"/>
        </w:rPr>
      </w:pPr>
    </w:p>
    <w:p w14:paraId="55C2AF57" w14:textId="5D192B77" w:rsidR="00811046" w:rsidRPr="00C22A10" w:rsidRDefault="00811046" w:rsidP="00811046">
      <w:pPr>
        <w:numPr>
          <w:ilvl w:val="1"/>
          <w:numId w:val="13"/>
        </w:numPr>
        <w:rPr>
          <w:b/>
          <w:bCs/>
          <w:iCs/>
          <w:lang w:val="sr-Latn-ME"/>
        </w:rPr>
      </w:pPr>
      <w:bookmarkStart w:id="49" w:name="_Toc141249033"/>
      <w:r w:rsidRPr="00811046">
        <w:rPr>
          <w:b/>
          <w:bCs/>
          <w:iCs/>
          <w:lang w:val="sr-Latn-ME"/>
        </w:rPr>
        <w:t>Uzroci sive ekonomije</w:t>
      </w:r>
      <w:bookmarkEnd w:id="49"/>
      <w:r w:rsidRPr="00811046">
        <w:rPr>
          <w:b/>
          <w:bCs/>
          <w:iCs/>
          <w:lang w:val="sr-Latn-ME"/>
        </w:rPr>
        <w:t xml:space="preserve"> </w:t>
      </w:r>
    </w:p>
    <w:p w14:paraId="28CD79AB" w14:textId="77777777" w:rsidR="00811046" w:rsidRPr="005A5C62" w:rsidRDefault="00811046" w:rsidP="00811046">
      <w:pPr>
        <w:rPr>
          <w:bCs/>
          <w:sz w:val="24"/>
          <w:szCs w:val="24"/>
          <w:lang w:val="sr-Latn-ME"/>
        </w:rPr>
      </w:pPr>
      <w:r w:rsidRPr="005A5C62">
        <w:rPr>
          <w:bCs/>
          <w:sz w:val="24"/>
          <w:szCs w:val="24"/>
          <w:lang w:val="sr-Latn-ME"/>
        </w:rPr>
        <w:t xml:space="preserve">Kao ključne uzroke sive ekonomije u poslovanju registrovanih preduzeća ispitanici vide najviše u niskom stepenu „poreskog morala“ (12), ali i u nelojalnoj konkurenciji (11) i  korupciji. Iako je ponudjeno osam (8) mogućih uzroka, značaj broj ispitanika, njih trinaest (13) je imao predlog za još uzroka koji su navedeni pod „drugo“, u okviru kojih najveći broj ispitanika vidi u korupciji i nepostojanju političke volje da se riješi ovaj problem. </w:t>
      </w:r>
    </w:p>
    <w:p w14:paraId="6DC15F86" w14:textId="77777777" w:rsidR="00811046" w:rsidRPr="00811046" w:rsidRDefault="00811046" w:rsidP="00811046">
      <w:pPr>
        <w:rPr>
          <w:bCs/>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811046" w:rsidRPr="00811046" w14:paraId="6EFE0CA2" w14:textId="77777777" w:rsidTr="0073160D">
        <w:tc>
          <w:tcPr>
            <w:tcW w:w="4621" w:type="dxa"/>
            <w:shd w:val="clear" w:color="auto" w:fill="auto"/>
          </w:tcPr>
          <w:p w14:paraId="2E7A7FAE" w14:textId="77777777" w:rsidR="00811046" w:rsidRPr="00811046" w:rsidRDefault="00811046" w:rsidP="00811046">
            <w:pPr>
              <w:rPr>
                <w:lang w:val="sr-Latn-ME"/>
              </w:rPr>
            </w:pPr>
            <w:r w:rsidRPr="00811046">
              <w:rPr>
                <w:lang w:val="sr-Latn-ME"/>
              </w:rPr>
              <w:t>Ponudjeni odgovor</w:t>
            </w:r>
          </w:p>
        </w:tc>
        <w:tc>
          <w:tcPr>
            <w:tcW w:w="4621" w:type="dxa"/>
            <w:shd w:val="clear" w:color="auto" w:fill="auto"/>
          </w:tcPr>
          <w:p w14:paraId="2C81148C" w14:textId="77777777" w:rsidR="00811046" w:rsidRPr="00811046" w:rsidRDefault="00811046" w:rsidP="00811046">
            <w:pPr>
              <w:rPr>
                <w:lang w:val="sr-Latn-ME"/>
              </w:rPr>
            </w:pPr>
            <w:r w:rsidRPr="00811046">
              <w:rPr>
                <w:lang w:val="sr-Latn-ME"/>
              </w:rPr>
              <w:t xml:space="preserve">Odgovor </w:t>
            </w:r>
          </w:p>
        </w:tc>
      </w:tr>
      <w:tr w:rsidR="00811046" w:rsidRPr="00811046" w14:paraId="74B57550" w14:textId="77777777" w:rsidTr="0073160D">
        <w:tc>
          <w:tcPr>
            <w:tcW w:w="4621" w:type="dxa"/>
            <w:shd w:val="clear" w:color="auto" w:fill="auto"/>
          </w:tcPr>
          <w:p w14:paraId="23379186" w14:textId="77777777" w:rsidR="00811046" w:rsidRPr="00811046" w:rsidRDefault="00811046" w:rsidP="00811046">
            <w:pPr>
              <w:rPr>
                <w:lang w:val="sr-Latn-ME"/>
              </w:rPr>
            </w:pPr>
            <w:r w:rsidRPr="00811046">
              <w:rPr>
                <w:lang w:val="sr-Latn-ME"/>
              </w:rPr>
              <w:t>Direktno i/ili indirektno poresko opterećenje (visoke stope PDV-a, poreza na dohodak fzičkih lica i dobit prvnih lica)</w:t>
            </w:r>
          </w:p>
          <w:p w14:paraId="25D68019" w14:textId="77777777" w:rsidR="00811046" w:rsidRPr="00811046" w:rsidRDefault="00811046" w:rsidP="00811046">
            <w:pPr>
              <w:rPr>
                <w:lang w:val="sr-Latn-ME"/>
              </w:rPr>
            </w:pPr>
          </w:p>
        </w:tc>
        <w:tc>
          <w:tcPr>
            <w:tcW w:w="4621" w:type="dxa"/>
            <w:shd w:val="clear" w:color="auto" w:fill="auto"/>
          </w:tcPr>
          <w:p w14:paraId="30FCFE53" w14:textId="77777777" w:rsidR="00811046" w:rsidRPr="00811046" w:rsidRDefault="00811046" w:rsidP="00811046">
            <w:pPr>
              <w:rPr>
                <w:b/>
                <w:lang w:val="sr-Latn-ME"/>
              </w:rPr>
            </w:pPr>
            <w:r w:rsidRPr="00811046">
              <w:rPr>
                <w:b/>
                <w:lang w:val="sr-Latn-ME"/>
              </w:rPr>
              <w:t>14</w:t>
            </w:r>
          </w:p>
        </w:tc>
      </w:tr>
      <w:tr w:rsidR="00811046" w:rsidRPr="00811046" w14:paraId="6922435A" w14:textId="77777777" w:rsidTr="0073160D">
        <w:tc>
          <w:tcPr>
            <w:tcW w:w="4621" w:type="dxa"/>
            <w:shd w:val="clear" w:color="auto" w:fill="auto"/>
          </w:tcPr>
          <w:p w14:paraId="706282FC" w14:textId="77777777" w:rsidR="00811046" w:rsidRPr="00811046" w:rsidRDefault="00811046" w:rsidP="00811046">
            <w:pPr>
              <w:rPr>
                <w:lang w:val="sr-Latn-ME"/>
              </w:rPr>
            </w:pPr>
            <w:r w:rsidRPr="00811046">
              <w:rPr>
                <w:lang w:val="sr-Latn-ME"/>
              </w:rPr>
              <w:lastRenderedPageBreak/>
              <w:t>Parafiskaliteti poput taksi, naknada, dozvola  (broj i visina)</w:t>
            </w:r>
          </w:p>
          <w:p w14:paraId="0E47E061" w14:textId="77777777" w:rsidR="00811046" w:rsidRPr="00811046" w:rsidRDefault="00811046" w:rsidP="00811046">
            <w:pPr>
              <w:rPr>
                <w:lang w:val="sr-Latn-ME"/>
              </w:rPr>
            </w:pPr>
          </w:p>
        </w:tc>
        <w:tc>
          <w:tcPr>
            <w:tcW w:w="4621" w:type="dxa"/>
            <w:shd w:val="clear" w:color="auto" w:fill="auto"/>
          </w:tcPr>
          <w:p w14:paraId="7677B331" w14:textId="77777777" w:rsidR="00811046" w:rsidRPr="00811046" w:rsidRDefault="00811046" w:rsidP="00811046">
            <w:pPr>
              <w:rPr>
                <w:b/>
                <w:lang w:val="sr-Latn-ME"/>
              </w:rPr>
            </w:pPr>
            <w:r w:rsidRPr="00811046">
              <w:rPr>
                <w:b/>
                <w:lang w:val="sr-Latn-ME"/>
              </w:rPr>
              <w:t>8</w:t>
            </w:r>
          </w:p>
        </w:tc>
      </w:tr>
      <w:tr w:rsidR="00811046" w:rsidRPr="00811046" w14:paraId="3AFF76C3" w14:textId="77777777" w:rsidTr="0073160D">
        <w:tc>
          <w:tcPr>
            <w:tcW w:w="4621" w:type="dxa"/>
            <w:shd w:val="clear" w:color="auto" w:fill="auto"/>
          </w:tcPr>
          <w:p w14:paraId="627ECAE8" w14:textId="77777777" w:rsidR="00811046" w:rsidRPr="00811046" w:rsidRDefault="00811046" w:rsidP="00811046">
            <w:pPr>
              <w:rPr>
                <w:lang w:val="sr-Latn-ME"/>
              </w:rPr>
            </w:pPr>
            <w:r w:rsidRPr="00811046">
              <w:rPr>
                <w:lang w:val="sr-Latn-ME"/>
              </w:rPr>
              <w:t>Spora i komplikovana lokalna i/ili državna administracija/regulatorni okvir</w:t>
            </w:r>
          </w:p>
          <w:p w14:paraId="353AFFBF" w14:textId="77777777" w:rsidR="00811046" w:rsidRPr="00811046" w:rsidRDefault="00811046" w:rsidP="00811046">
            <w:pPr>
              <w:rPr>
                <w:lang w:val="sr-Latn-ME"/>
              </w:rPr>
            </w:pPr>
          </w:p>
        </w:tc>
        <w:tc>
          <w:tcPr>
            <w:tcW w:w="4621" w:type="dxa"/>
            <w:shd w:val="clear" w:color="auto" w:fill="auto"/>
          </w:tcPr>
          <w:p w14:paraId="33721795" w14:textId="77777777" w:rsidR="00811046" w:rsidRPr="00811046" w:rsidRDefault="00811046" w:rsidP="00811046">
            <w:pPr>
              <w:rPr>
                <w:b/>
                <w:lang w:val="sr-Latn-ME"/>
              </w:rPr>
            </w:pPr>
            <w:r w:rsidRPr="00811046">
              <w:rPr>
                <w:b/>
                <w:lang w:val="sr-Latn-ME"/>
              </w:rPr>
              <w:t>15</w:t>
            </w:r>
          </w:p>
        </w:tc>
      </w:tr>
      <w:tr w:rsidR="00811046" w:rsidRPr="00811046" w14:paraId="2B683A3E" w14:textId="77777777" w:rsidTr="0073160D">
        <w:tc>
          <w:tcPr>
            <w:tcW w:w="4621" w:type="dxa"/>
            <w:shd w:val="clear" w:color="auto" w:fill="auto"/>
          </w:tcPr>
          <w:p w14:paraId="757BE330" w14:textId="77777777" w:rsidR="00811046" w:rsidRPr="00811046" w:rsidRDefault="00811046" w:rsidP="00811046">
            <w:pPr>
              <w:rPr>
                <w:lang w:val="sr-Latn-ME"/>
              </w:rPr>
            </w:pPr>
            <w:r w:rsidRPr="00811046">
              <w:rPr>
                <w:lang w:val="sr-Latn-ME"/>
              </w:rPr>
              <w:t>Socijalna politika/mogućnost neregistrovanog zaposlenog da koristi socijalnu pomoć kao zvanično registrovano nezaposleno lice</w:t>
            </w:r>
          </w:p>
          <w:p w14:paraId="2CC7AC2A" w14:textId="77777777" w:rsidR="00811046" w:rsidRPr="00811046" w:rsidRDefault="00811046" w:rsidP="00811046">
            <w:pPr>
              <w:rPr>
                <w:lang w:val="sr-Latn-ME"/>
              </w:rPr>
            </w:pPr>
          </w:p>
        </w:tc>
        <w:tc>
          <w:tcPr>
            <w:tcW w:w="4621" w:type="dxa"/>
            <w:shd w:val="clear" w:color="auto" w:fill="auto"/>
          </w:tcPr>
          <w:p w14:paraId="03248753" w14:textId="77777777" w:rsidR="00811046" w:rsidRPr="00811046" w:rsidRDefault="00811046" w:rsidP="00811046">
            <w:pPr>
              <w:rPr>
                <w:b/>
                <w:lang w:val="sr-Latn-ME"/>
              </w:rPr>
            </w:pPr>
            <w:r w:rsidRPr="00811046">
              <w:rPr>
                <w:b/>
                <w:lang w:val="sr-Latn-ME"/>
              </w:rPr>
              <w:t>5</w:t>
            </w:r>
          </w:p>
        </w:tc>
      </w:tr>
      <w:tr w:rsidR="00811046" w:rsidRPr="00811046" w14:paraId="799889C4" w14:textId="77777777" w:rsidTr="0073160D">
        <w:tc>
          <w:tcPr>
            <w:tcW w:w="4621" w:type="dxa"/>
            <w:shd w:val="clear" w:color="auto" w:fill="auto"/>
          </w:tcPr>
          <w:p w14:paraId="588F341E" w14:textId="77777777" w:rsidR="00811046" w:rsidRPr="00811046" w:rsidRDefault="00811046" w:rsidP="00811046">
            <w:pPr>
              <w:rPr>
                <w:lang w:val="sr-Latn-ME"/>
              </w:rPr>
            </w:pPr>
            <w:r w:rsidRPr="00811046">
              <w:rPr>
                <w:lang w:val="sr-Latn-ME"/>
              </w:rPr>
              <w:t>Visina minimalne zarade</w:t>
            </w:r>
          </w:p>
          <w:p w14:paraId="08CF3A58" w14:textId="77777777" w:rsidR="00811046" w:rsidRPr="00811046" w:rsidRDefault="00811046" w:rsidP="00811046">
            <w:pPr>
              <w:rPr>
                <w:lang w:val="sr-Latn-ME"/>
              </w:rPr>
            </w:pPr>
          </w:p>
        </w:tc>
        <w:tc>
          <w:tcPr>
            <w:tcW w:w="4621" w:type="dxa"/>
            <w:shd w:val="clear" w:color="auto" w:fill="auto"/>
          </w:tcPr>
          <w:p w14:paraId="10FDF479" w14:textId="77777777" w:rsidR="00811046" w:rsidRPr="00811046" w:rsidRDefault="00811046" w:rsidP="00811046">
            <w:pPr>
              <w:rPr>
                <w:b/>
                <w:lang w:val="sr-Latn-ME"/>
              </w:rPr>
            </w:pPr>
            <w:r w:rsidRPr="00811046">
              <w:rPr>
                <w:b/>
                <w:lang w:val="sr-Latn-ME"/>
              </w:rPr>
              <w:t>1</w:t>
            </w:r>
          </w:p>
        </w:tc>
      </w:tr>
      <w:tr w:rsidR="00811046" w:rsidRPr="00811046" w14:paraId="310561A2" w14:textId="77777777" w:rsidTr="0073160D">
        <w:tc>
          <w:tcPr>
            <w:tcW w:w="4621" w:type="dxa"/>
            <w:shd w:val="clear" w:color="auto" w:fill="auto"/>
          </w:tcPr>
          <w:p w14:paraId="6BEA0CCD" w14:textId="77777777" w:rsidR="00811046" w:rsidRPr="00811046" w:rsidRDefault="00811046" w:rsidP="00811046">
            <w:pPr>
              <w:rPr>
                <w:lang w:val="sr-Latn-ME"/>
              </w:rPr>
            </w:pPr>
            <w:r w:rsidRPr="00811046">
              <w:rPr>
                <w:lang w:val="sr-Latn-ME"/>
              </w:rPr>
              <w:t>Visoke otpremnine za isplatu zaposlelnih rpilikom otkazivanja ugovora o radu</w:t>
            </w:r>
          </w:p>
          <w:p w14:paraId="0CFA0432" w14:textId="77777777" w:rsidR="00811046" w:rsidRPr="00811046" w:rsidRDefault="00811046" w:rsidP="00811046">
            <w:pPr>
              <w:rPr>
                <w:lang w:val="sr-Latn-ME"/>
              </w:rPr>
            </w:pPr>
          </w:p>
        </w:tc>
        <w:tc>
          <w:tcPr>
            <w:tcW w:w="4621" w:type="dxa"/>
            <w:shd w:val="clear" w:color="auto" w:fill="auto"/>
          </w:tcPr>
          <w:p w14:paraId="6E7F9F0B" w14:textId="77777777" w:rsidR="00811046" w:rsidRPr="00811046" w:rsidRDefault="00811046" w:rsidP="00811046">
            <w:pPr>
              <w:rPr>
                <w:b/>
                <w:lang w:val="sr-Latn-ME"/>
              </w:rPr>
            </w:pPr>
            <w:r w:rsidRPr="00811046">
              <w:rPr>
                <w:b/>
                <w:lang w:val="sr-Latn-ME"/>
              </w:rPr>
              <w:t>2</w:t>
            </w:r>
          </w:p>
        </w:tc>
      </w:tr>
      <w:tr w:rsidR="00811046" w:rsidRPr="00811046" w14:paraId="44165E79" w14:textId="77777777" w:rsidTr="0073160D">
        <w:tc>
          <w:tcPr>
            <w:tcW w:w="4621" w:type="dxa"/>
            <w:shd w:val="clear" w:color="auto" w:fill="auto"/>
          </w:tcPr>
          <w:p w14:paraId="367F4869" w14:textId="77777777" w:rsidR="00811046" w:rsidRPr="00811046" w:rsidRDefault="00811046" w:rsidP="00811046">
            <w:pPr>
              <w:rPr>
                <w:lang w:val="sr-Latn-ME"/>
              </w:rPr>
            </w:pPr>
            <w:r w:rsidRPr="00811046">
              <w:rPr>
                <w:lang w:val="sr-Latn-ME"/>
              </w:rPr>
              <w:t>Nizak stepen “poreskog morala”</w:t>
            </w:r>
          </w:p>
          <w:p w14:paraId="4C09C5B3" w14:textId="77777777" w:rsidR="00811046" w:rsidRPr="00811046" w:rsidRDefault="00811046" w:rsidP="00811046">
            <w:pPr>
              <w:rPr>
                <w:lang w:val="sr-Latn-ME"/>
              </w:rPr>
            </w:pPr>
          </w:p>
        </w:tc>
        <w:tc>
          <w:tcPr>
            <w:tcW w:w="4621" w:type="dxa"/>
            <w:shd w:val="clear" w:color="auto" w:fill="auto"/>
          </w:tcPr>
          <w:p w14:paraId="2DF250E6" w14:textId="77777777" w:rsidR="00811046" w:rsidRPr="00811046" w:rsidRDefault="00811046" w:rsidP="00811046">
            <w:pPr>
              <w:rPr>
                <w:b/>
                <w:lang w:val="sr-Latn-ME"/>
              </w:rPr>
            </w:pPr>
            <w:r w:rsidRPr="00811046">
              <w:rPr>
                <w:b/>
                <w:lang w:val="sr-Latn-ME"/>
              </w:rPr>
              <w:t>21</w:t>
            </w:r>
          </w:p>
        </w:tc>
      </w:tr>
      <w:tr w:rsidR="00811046" w:rsidRPr="00811046" w14:paraId="2852D2AB" w14:textId="77777777" w:rsidTr="0073160D">
        <w:tc>
          <w:tcPr>
            <w:tcW w:w="4621" w:type="dxa"/>
            <w:shd w:val="clear" w:color="auto" w:fill="auto"/>
          </w:tcPr>
          <w:p w14:paraId="29331669" w14:textId="77777777" w:rsidR="00811046" w:rsidRPr="00811046" w:rsidRDefault="00811046" w:rsidP="00811046">
            <w:pPr>
              <w:rPr>
                <w:lang w:val="sr-Latn-ME"/>
              </w:rPr>
            </w:pPr>
            <w:r w:rsidRPr="00811046">
              <w:rPr>
                <w:lang w:val="sr-Latn-ME"/>
              </w:rPr>
              <w:t>Nelojalna konkurencija</w:t>
            </w:r>
          </w:p>
        </w:tc>
        <w:tc>
          <w:tcPr>
            <w:tcW w:w="4621" w:type="dxa"/>
            <w:shd w:val="clear" w:color="auto" w:fill="auto"/>
          </w:tcPr>
          <w:p w14:paraId="27EF7471" w14:textId="77777777" w:rsidR="00811046" w:rsidRPr="00811046" w:rsidRDefault="00811046" w:rsidP="00811046">
            <w:pPr>
              <w:rPr>
                <w:b/>
                <w:lang w:val="sr-Latn-ME"/>
              </w:rPr>
            </w:pPr>
            <w:r w:rsidRPr="00811046">
              <w:rPr>
                <w:b/>
                <w:lang w:val="sr-Latn-ME"/>
              </w:rPr>
              <w:t>16</w:t>
            </w:r>
          </w:p>
        </w:tc>
      </w:tr>
      <w:tr w:rsidR="00811046" w:rsidRPr="00391D03" w14:paraId="12AE62B3" w14:textId="77777777" w:rsidTr="0073160D">
        <w:tc>
          <w:tcPr>
            <w:tcW w:w="4621" w:type="dxa"/>
            <w:shd w:val="clear" w:color="auto" w:fill="auto"/>
          </w:tcPr>
          <w:p w14:paraId="0C68A5C4" w14:textId="77777777" w:rsidR="00811046" w:rsidRPr="00811046" w:rsidRDefault="00811046" w:rsidP="00811046">
            <w:pPr>
              <w:rPr>
                <w:lang w:val="sr-Latn-ME"/>
              </w:rPr>
            </w:pPr>
            <w:r w:rsidRPr="00811046">
              <w:rPr>
                <w:lang w:val="sr-Latn-ME"/>
              </w:rPr>
              <w:t>Drugo (npr. nedovoljna svijest o opasnostima sive ekonomije, ograničeni kapaciteti inspekcijskih organa, korupcija, itd).</w:t>
            </w:r>
          </w:p>
        </w:tc>
        <w:tc>
          <w:tcPr>
            <w:tcW w:w="4621" w:type="dxa"/>
            <w:shd w:val="clear" w:color="auto" w:fill="auto"/>
          </w:tcPr>
          <w:p w14:paraId="25AC1A29" w14:textId="77777777" w:rsidR="00811046" w:rsidRPr="00811046" w:rsidRDefault="00811046" w:rsidP="00811046">
            <w:pPr>
              <w:rPr>
                <w:b/>
                <w:lang w:val="sr-Latn-ME"/>
              </w:rPr>
            </w:pPr>
            <w:r w:rsidRPr="00811046">
              <w:rPr>
                <w:b/>
                <w:lang w:val="sr-Latn-ME"/>
              </w:rPr>
              <w:t>13</w:t>
            </w:r>
          </w:p>
          <w:p w14:paraId="56745515" w14:textId="77777777" w:rsidR="00811046" w:rsidRPr="00811046" w:rsidRDefault="00811046">
            <w:pPr>
              <w:numPr>
                <w:ilvl w:val="0"/>
                <w:numId w:val="14"/>
              </w:numPr>
              <w:rPr>
                <w:lang w:val="sr-Latn-ME"/>
              </w:rPr>
            </w:pPr>
            <w:r w:rsidRPr="00811046">
              <w:rPr>
                <w:lang w:val="sr-Latn-ME"/>
              </w:rPr>
              <w:t xml:space="preserve">korupcija, </w:t>
            </w:r>
          </w:p>
          <w:p w14:paraId="47F0FDB1" w14:textId="77777777" w:rsidR="00811046" w:rsidRPr="00811046" w:rsidRDefault="00811046">
            <w:pPr>
              <w:numPr>
                <w:ilvl w:val="0"/>
                <w:numId w:val="14"/>
              </w:numPr>
              <w:rPr>
                <w:lang w:val="sr-Latn-ME"/>
              </w:rPr>
            </w:pPr>
            <w:r w:rsidRPr="00811046">
              <w:rPr>
                <w:lang w:val="sr-Latn-ME"/>
              </w:rPr>
              <w:t>nedostatak političke volje</w:t>
            </w:r>
          </w:p>
          <w:p w14:paraId="03413AD5" w14:textId="77777777" w:rsidR="00811046" w:rsidRPr="00811046" w:rsidRDefault="00811046">
            <w:pPr>
              <w:numPr>
                <w:ilvl w:val="0"/>
                <w:numId w:val="14"/>
              </w:numPr>
              <w:rPr>
                <w:lang w:val="sr-Latn-ME"/>
              </w:rPr>
            </w:pPr>
            <w:r w:rsidRPr="00811046">
              <w:rPr>
                <w:lang w:val="sr-Latn-ME"/>
              </w:rPr>
              <w:t>selektivnost u primjeni zakona</w:t>
            </w:r>
          </w:p>
          <w:p w14:paraId="787AB473" w14:textId="77777777" w:rsidR="00811046" w:rsidRPr="00811046" w:rsidRDefault="00811046">
            <w:pPr>
              <w:numPr>
                <w:ilvl w:val="0"/>
                <w:numId w:val="14"/>
              </w:numPr>
              <w:rPr>
                <w:lang w:val="sr-Latn-ME"/>
              </w:rPr>
            </w:pPr>
            <w:r w:rsidRPr="00811046">
              <w:rPr>
                <w:lang w:val="sr-Latn-ME"/>
              </w:rPr>
              <w:t>ograničeni kapaciteti inspekcijskih organa</w:t>
            </w:r>
          </w:p>
          <w:p w14:paraId="16698D07" w14:textId="77777777" w:rsidR="00811046" w:rsidRPr="00811046" w:rsidRDefault="00811046">
            <w:pPr>
              <w:numPr>
                <w:ilvl w:val="0"/>
                <w:numId w:val="14"/>
              </w:numPr>
              <w:rPr>
                <w:lang w:val="sr-Latn-ME"/>
              </w:rPr>
            </w:pPr>
            <w:r w:rsidRPr="00811046">
              <w:rPr>
                <w:lang w:val="sr-Latn-ME"/>
              </w:rPr>
              <w:t>nizak stepen povjerenja u pravilnu upotrebu budžetskih sredstava i neadekvatne usluge administracije za sredstva koja se izdvajaju</w:t>
            </w:r>
          </w:p>
          <w:p w14:paraId="6A5409A7" w14:textId="77777777" w:rsidR="00811046" w:rsidRPr="00811046" w:rsidRDefault="00811046">
            <w:pPr>
              <w:numPr>
                <w:ilvl w:val="0"/>
                <w:numId w:val="14"/>
              </w:numPr>
              <w:rPr>
                <w:lang w:val="sr-Latn-ME"/>
              </w:rPr>
            </w:pPr>
            <w:r w:rsidRPr="00811046">
              <w:rPr>
                <w:lang w:val="sr-Latn-ME"/>
              </w:rPr>
              <w:t>nedovoljno visoke kazne i slaba kontrola poslovanja preduzeća</w:t>
            </w:r>
          </w:p>
          <w:p w14:paraId="350329C7" w14:textId="77777777" w:rsidR="00811046" w:rsidRPr="00811046" w:rsidRDefault="00811046">
            <w:pPr>
              <w:numPr>
                <w:ilvl w:val="0"/>
                <w:numId w:val="14"/>
              </w:numPr>
              <w:rPr>
                <w:lang w:val="sr-Latn-ME"/>
              </w:rPr>
            </w:pPr>
            <w:r w:rsidRPr="00811046">
              <w:rPr>
                <w:lang w:val="sr-Latn-ME"/>
              </w:rPr>
              <w:t xml:space="preserve">nelojalna konkurencija </w:t>
            </w:r>
          </w:p>
          <w:p w14:paraId="55669687" w14:textId="77777777" w:rsidR="00811046" w:rsidRPr="00811046" w:rsidRDefault="00811046">
            <w:pPr>
              <w:numPr>
                <w:ilvl w:val="0"/>
                <w:numId w:val="14"/>
              </w:numPr>
              <w:rPr>
                <w:lang w:val="pl-PL"/>
              </w:rPr>
            </w:pPr>
            <w:r w:rsidRPr="00811046">
              <w:rPr>
                <w:lang w:val="pl-PL"/>
              </w:rPr>
              <w:lastRenderedPageBreak/>
              <w:t>nedovoljna svijest o opasnostima sive ekonomije</w:t>
            </w:r>
          </w:p>
          <w:p w14:paraId="5BA98DB6" w14:textId="77777777" w:rsidR="00811046" w:rsidRPr="00811046" w:rsidRDefault="00811046" w:rsidP="00811046">
            <w:pPr>
              <w:rPr>
                <w:lang w:val="sr-Latn-ME"/>
              </w:rPr>
            </w:pPr>
          </w:p>
        </w:tc>
      </w:tr>
    </w:tbl>
    <w:p w14:paraId="470D2FDD" w14:textId="77777777" w:rsidR="00811046" w:rsidRPr="00811046" w:rsidRDefault="00811046" w:rsidP="00811046">
      <w:pPr>
        <w:rPr>
          <w:lang w:val="sr-Latn-ME"/>
        </w:rPr>
      </w:pPr>
    </w:p>
    <w:p w14:paraId="5FF20C06" w14:textId="77777777" w:rsidR="00811046" w:rsidRPr="00811046" w:rsidRDefault="00811046" w:rsidP="00811046">
      <w:pPr>
        <w:rPr>
          <w:b/>
          <w:lang w:val="sr-Latn-ME"/>
        </w:rPr>
      </w:pPr>
    </w:p>
    <w:p w14:paraId="63C41ABE" w14:textId="77777777" w:rsidR="00811046" w:rsidRPr="00811046" w:rsidRDefault="00811046" w:rsidP="00811046">
      <w:pPr>
        <w:rPr>
          <w:b/>
          <w:lang w:val="sr-Latn-ME"/>
        </w:rPr>
      </w:pPr>
    </w:p>
    <w:p w14:paraId="7542DFAF" w14:textId="77777777" w:rsidR="00811046" w:rsidRPr="00811046" w:rsidRDefault="00811046" w:rsidP="00811046">
      <w:pPr>
        <w:rPr>
          <w:b/>
          <w:lang w:val="sr-Latn-ME"/>
        </w:rPr>
      </w:pPr>
    </w:p>
    <w:p w14:paraId="1449FA5F" w14:textId="77777777" w:rsidR="00811046" w:rsidRPr="00811046" w:rsidRDefault="00811046" w:rsidP="00811046">
      <w:pPr>
        <w:rPr>
          <w:b/>
          <w:lang w:val="sr-Latn-ME"/>
        </w:rPr>
      </w:pPr>
    </w:p>
    <w:p w14:paraId="7516DE02" w14:textId="77777777" w:rsidR="00811046" w:rsidRPr="00811046" w:rsidRDefault="00811046" w:rsidP="00811046">
      <w:pPr>
        <w:rPr>
          <w:b/>
          <w:lang w:val="sr-Latn-ME"/>
        </w:rPr>
      </w:pPr>
      <w:r w:rsidRPr="00811046">
        <w:rPr>
          <w:b/>
          <w:lang w:val="sr-Latn-ME"/>
        </w:rPr>
        <w:t xml:space="preserve">Grafik 3: Uzroci sive ekonomije </w:t>
      </w:r>
    </w:p>
    <w:p w14:paraId="094FF696" w14:textId="10DB38BB" w:rsidR="00811046" w:rsidRPr="00811046" w:rsidRDefault="00811046" w:rsidP="00811046">
      <w:pPr>
        <w:rPr>
          <w:lang w:val="sr-Latn-ME"/>
        </w:rPr>
      </w:pPr>
      <w:r w:rsidRPr="00811046">
        <w:rPr>
          <w:noProof/>
        </w:rPr>
        <w:drawing>
          <wp:inline distT="0" distB="0" distL="0" distR="0" wp14:anchorId="27C7B061" wp14:editId="053301DD">
            <wp:extent cx="5707380" cy="3139440"/>
            <wp:effectExtent l="0" t="0" r="0" b="0"/>
            <wp:docPr id="161545080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B387EC" w14:textId="77777777" w:rsidR="00811046" w:rsidRPr="00811046" w:rsidRDefault="00811046" w:rsidP="00811046">
      <w:pPr>
        <w:rPr>
          <w:lang w:val="sr-Latn-ME"/>
        </w:rPr>
      </w:pPr>
    </w:p>
    <w:p w14:paraId="117241C1" w14:textId="77777777" w:rsidR="00811046" w:rsidRPr="00811046" w:rsidRDefault="00811046">
      <w:pPr>
        <w:numPr>
          <w:ilvl w:val="1"/>
          <w:numId w:val="13"/>
        </w:numPr>
        <w:rPr>
          <w:b/>
          <w:bCs/>
          <w:iCs/>
          <w:lang w:val="sr-Latn-ME"/>
        </w:rPr>
      </w:pPr>
      <w:bookmarkStart w:id="50" w:name="_Toc141249034"/>
      <w:r w:rsidRPr="00811046">
        <w:rPr>
          <w:b/>
          <w:bCs/>
          <w:iCs/>
          <w:lang w:val="sr-Latn-ME"/>
        </w:rPr>
        <w:t>Razlozi neregistrovanja biznisa i zaposlenih</w:t>
      </w:r>
      <w:bookmarkEnd w:id="50"/>
    </w:p>
    <w:p w14:paraId="6751347F" w14:textId="77777777" w:rsidR="00811046" w:rsidRPr="00811046" w:rsidRDefault="00811046" w:rsidP="00811046">
      <w:pPr>
        <w:rPr>
          <w:lang w:val="sr-Latn-ME"/>
        </w:rPr>
      </w:pPr>
    </w:p>
    <w:p w14:paraId="3157CC7F" w14:textId="77777777" w:rsidR="00811046" w:rsidRPr="005A5C62" w:rsidRDefault="00811046" w:rsidP="005A5C62">
      <w:pPr>
        <w:jc w:val="both"/>
        <w:rPr>
          <w:sz w:val="24"/>
          <w:szCs w:val="24"/>
          <w:lang w:val="sr-Latn-ME"/>
        </w:rPr>
      </w:pPr>
      <w:r w:rsidRPr="005A5C62">
        <w:rPr>
          <w:sz w:val="24"/>
          <w:szCs w:val="24"/>
          <w:lang w:val="sr-Latn-ME"/>
        </w:rPr>
        <w:t xml:space="preserve">Na pitanje koji su po vama ključni uzroci neregistrovanja biznisa i zaposlenih, ponudjeno je devet (9) odgovora. Odgovori su bili slični kao i kod prethodnog pitanja. Najveći broj ispitanika je odabrao „nizak stepen poreskog morala“, zatim nelojalnu konkurenciju, pa direktno i ili indirektno oporezivanje. Kao ključni uzrok mnogi vide i u korupciji i nedostatku političke volje. </w:t>
      </w:r>
    </w:p>
    <w:p w14:paraId="104CEE3E" w14:textId="77777777" w:rsidR="00811046" w:rsidRPr="00811046" w:rsidRDefault="00811046" w:rsidP="00811046">
      <w:pPr>
        <w:rPr>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3194"/>
      </w:tblGrid>
      <w:tr w:rsidR="00811046" w:rsidRPr="00811046" w14:paraId="268DB6FB" w14:textId="77777777" w:rsidTr="0073160D">
        <w:tc>
          <w:tcPr>
            <w:tcW w:w="6048" w:type="dxa"/>
            <w:shd w:val="clear" w:color="auto" w:fill="auto"/>
          </w:tcPr>
          <w:p w14:paraId="725C8CA6" w14:textId="77777777" w:rsidR="00811046" w:rsidRPr="00811046" w:rsidRDefault="00811046" w:rsidP="00811046">
            <w:pPr>
              <w:rPr>
                <w:lang w:val="sr-Latn-ME"/>
              </w:rPr>
            </w:pPr>
            <w:r w:rsidRPr="00811046">
              <w:rPr>
                <w:lang w:val="sr-Latn-ME"/>
              </w:rPr>
              <w:t xml:space="preserve">Ponudjeni odgovori </w:t>
            </w:r>
          </w:p>
        </w:tc>
        <w:tc>
          <w:tcPr>
            <w:tcW w:w="3194" w:type="dxa"/>
            <w:shd w:val="clear" w:color="auto" w:fill="auto"/>
          </w:tcPr>
          <w:p w14:paraId="638CAB1F" w14:textId="77777777" w:rsidR="00811046" w:rsidRPr="00811046" w:rsidRDefault="00811046" w:rsidP="00811046">
            <w:pPr>
              <w:rPr>
                <w:lang w:val="sr-Latn-ME"/>
              </w:rPr>
            </w:pPr>
            <w:r w:rsidRPr="00811046">
              <w:rPr>
                <w:lang w:val="sr-Latn-ME"/>
              </w:rPr>
              <w:t>Odgovori</w:t>
            </w:r>
          </w:p>
        </w:tc>
      </w:tr>
      <w:tr w:rsidR="00811046" w:rsidRPr="00811046" w14:paraId="08DBA56E" w14:textId="77777777" w:rsidTr="0073160D">
        <w:tc>
          <w:tcPr>
            <w:tcW w:w="6048" w:type="dxa"/>
            <w:shd w:val="clear" w:color="auto" w:fill="auto"/>
          </w:tcPr>
          <w:p w14:paraId="25B1722F" w14:textId="77777777" w:rsidR="00811046" w:rsidRPr="00811046" w:rsidRDefault="00811046" w:rsidP="00811046">
            <w:pPr>
              <w:rPr>
                <w:lang w:val="sr-Latn-ME"/>
              </w:rPr>
            </w:pPr>
            <w:r w:rsidRPr="00811046">
              <w:rPr>
                <w:lang w:val="sr-Latn-ME"/>
              </w:rPr>
              <w:lastRenderedPageBreak/>
              <w:t>Direktno i/ili indirektno poresko opterećenje (visoke stope PDV-a, poreza na dohodak fzičkih lica, dobit pravnih lica, poreza na nepokretnost, itd.</w:t>
            </w:r>
          </w:p>
        </w:tc>
        <w:tc>
          <w:tcPr>
            <w:tcW w:w="3194" w:type="dxa"/>
            <w:shd w:val="clear" w:color="auto" w:fill="auto"/>
          </w:tcPr>
          <w:p w14:paraId="237634FD" w14:textId="77777777" w:rsidR="00811046" w:rsidRPr="00811046" w:rsidRDefault="00811046" w:rsidP="00811046">
            <w:pPr>
              <w:rPr>
                <w:b/>
                <w:lang w:val="sr-Latn-ME"/>
              </w:rPr>
            </w:pPr>
            <w:r w:rsidRPr="00811046">
              <w:rPr>
                <w:b/>
                <w:lang w:val="sr-Latn-ME"/>
              </w:rPr>
              <w:t>14</w:t>
            </w:r>
          </w:p>
        </w:tc>
      </w:tr>
      <w:tr w:rsidR="00811046" w:rsidRPr="00811046" w14:paraId="7A87CC36" w14:textId="77777777" w:rsidTr="0073160D">
        <w:tc>
          <w:tcPr>
            <w:tcW w:w="6048" w:type="dxa"/>
            <w:shd w:val="clear" w:color="auto" w:fill="auto"/>
          </w:tcPr>
          <w:p w14:paraId="6D66266E" w14:textId="77777777" w:rsidR="00811046" w:rsidRPr="00811046" w:rsidRDefault="00811046" w:rsidP="00811046">
            <w:pPr>
              <w:rPr>
                <w:lang w:val="sr-Latn-ME"/>
              </w:rPr>
            </w:pPr>
            <w:r w:rsidRPr="00811046">
              <w:rPr>
                <w:lang w:val="sr-Latn-ME"/>
              </w:rPr>
              <w:t>Parafiskaliteti poput taksi, naknada, dozvola  (broj i visina)</w:t>
            </w:r>
          </w:p>
        </w:tc>
        <w:tc>
          <w:tcPr>
            <w:tcW w:w="3194" w:type="dxa"/>
            <w:shd w:val="clear" w:color="auto" w:fill="auto"/>
          </w:tcPr>
          <w:p w14:paraId="02DD3004" w14:textId="77777777" w:rsidR="00811046" w:rsidRPr="00811046" w:rsidRDefault="00811046" w:rsidP="00811046">
            <w:pPr>
              <w:rPr>
                <w:b/>
                <w:lang w:val="sr-Latn-ME"/>
              </w:rPr>
            </w:pPr>
            <w:r w:rsidRPr="00811046">
              <w:rPr>
                <w:b/>
                <w:lang w:val="sr-Latn-ME"/>
              </w:rPr>
              <w:t>6</w:t>
            </w:r>
          </w:p>
        </w:tc>
      </w:tr>
      <w:tr w:rsidR="00811046" w:rsidRPr="00811046" w14:paraId="4ADD1DC8" w14:textId="77777777" w:rsidTr="0073160D">
        <w:tc>
          <w:tcPr>
            <w:tcW w:w="6048" w:type="dxa"/>
            <w:shd w:val="clear" w:color="auto" w:fill="auto"/>
          </w:tcPr>
          <w:p w14:paraId="46B22DC1" w14:textId="77777777" w:rsidR="00811046" w:rsidRPr="00811046" w:rsidRDefault="00811046" w:rsidP="00811046">
            <w:pPr>
              <w:rPr>
                <w:lang w:val="sr-Latn-ME"/>
              </w:rPr>
            </w:pPr>
            <w:r w:rsidRPr="00811046">
              <w:rPr>
                <w:lang w:val="sr-Latn-ME"/>
              </w:rPr>
              <w:t>Spora i komplikovana lokalna i/ili državna administracija/regulatorni okvir</w:t>
            </w:r>
          </w:p>
        </w:tc>
        <w:tc>
          <w:tcPr>
            <w:tcW w:w="3194" w:type="dxa"/>
            <w:shd w:val="clear" w:color="auto" w:fill="auto"/>
          </w:tcPr>
          <w:p w14:paraId="3C921284" w14:textId="77777777" w:rsidR="00811046" w:rsidRPr="00811046" w:rsidRDefault="00811046" w:rsidP="00811046">
            <w:pPr>
              <w:rPr>
                <w:b/>
                <w:lang w:val="sr-Latn-ME"/>
              </w:rPr>
            </w:pPr>
            <w:r w:rsidRPr="00811046">
              <w:rPr>
                <w:b/>
                <w:lang w:val="sr-Latn-ME"/>
              </w:rPr>
              <w:t>13</w:t>
            </w:r>
          </w:p>
        </w:tc>
      </w:tr>
      <w:tr w:rsidR="00811046" w:rsidRPr="00811046" w14:paraId="4A4818A6" w14:textId="77777777" w:rsidTr="0073160D">
        <w:tc>
          <w:tcPr>
            <w:tcW w:w="6048" w:type="dxa"/>
            <w:shd w:val="clear" w:color="auto" w:fill="auto"/>
          </w:tcPr>
          <w:p w14:paraId="1FCC549B" w14:textId="77777777" w:rsidR="00811046" w:rsidRPr="00811046" w:rsidRDefault="00811046" w:rsidP="00811046">
            <w:pPr>
              <w:rPr>
                <w:lang w:val="sr-Latn-ME"/>
              </w:rPr>
            </w:pPr>
            <w:r w:rsidRPr="00811046">
              <w:rPr>
                <w:lang w:val="sr-Latn-ME"/>
              </w:rPr>
              <w:t>Socijalna politika/mogućnost neformalno zaposlenog da koristi socijalnu pomoć, jer je zvanično registrovan kao nezaposleni</w:t>
            </w:r>
          </w:p>
        </w:tc>
        <w:tc>
          <w:tcPr>
            <w:tcW w:w="3194" w:type="dxa"/>
            <w:shd w:val="clear" w:color="auto" w:fill="auto"/>
          </w:tcPr>
          <w:p w14:paraId="7CD674B4" w14:textId="77777777" w:rsidR="00811046" w:rsidRPr="00811046" w:rsidRDefault="00811046" w:rsidP="00811046">
            <w:pPr>
              <w:rPr>
                <w:b/>
                <w:lang w:val="sr-Latn-ME"/>
              </w:rPr>
            </w:pPr>
            <w:r w:rsidRPr="00811046">
              <w:rPr>
                <w:b/>
                <w:lang w:val="sr-Latn-ME"/>
              </w:rPr>
              <w:t>5</w:t>
            </w:r>
          </w:p>
        </w:tc>
      </w:tr>
      <w:tr w:rsidR="00811046" w:rsidRPr="00811046" w14:paraId="39964C14" w14:textId="77777777" w:rsidTr="0073160D">
        <w:tc>
          <w:tcPr>
            <w:tcW w:w="6048" w:type="dxa"/>
            <w:shd w:val="clear" w:color="auto" w:fill="auto"/>
          </w:tcPr>
          <w:p w14:paraId="4AE66A80" w14:textId="77777777" w:rsidR="00811046" w:rsidRPr="00811046" w:rsidRDefault="00811046" w:rsidP="00811046">
            <w:pPr>
              <w:rPr>
                <w:lang w:val="sr-Latn-ME"/>
              </w:rPr>
            </w:pPr>
            <w:r w:rsidRPr="00811046">
              <w:rPr>
                <w:lang w:val="sr-Latn-ME"/>
              </w:rPr>
              <w:t>Visina minimalne zarade</w:t>
            </w:r>
          </w:p>
        </w:tc>
        <w:tc>
          <w:tcPr>
            <w:tcW w:w="3194" w:type="dxa"/>
            <w:shd w:val="clear" w:color="auto" w:fill="auto"/>
          </w:tcPr>
          <w:p w14:paraId="0490944F" w14:textId="77777777" w:rsidR="00811046" w:rsidRPr="00811046" w:rsidRDefault="00811046" w:rsidP="00811046">
            <w:pPr>
              <w:rPr>
                <w:b/>
                <w:lang w:val="sr-Latn-ME"/>
              </w:rPr>
            </w:pPr>
            <w:r w:rsidRPr="00811046">
              <w:rPr>
                <w:b/>
                <w:lang w:val="sr-Latn-ME"/>
              </w:rPr>
              <w:t>2</w:t>
            </w:r>
          </w:p>
        </w:tc>
      </w:tr>
      <w:tr w:rsidR="00811046" w:rsidRPr="00811046" w14:paraId="11EE24CE" w14:textId="77777777" w:rsidTr="0073160D">
        <w:tc>
          <w:tcPr>
            <w:tcW w:w="6048" w:type="dxa"/>
            <w:shd w:val="clear" w:color="auto" w:fill="auto"/>
          </w:tcPr>
          <w:p w14:paraId="55F169A4" w14:textId="77777777" w:rsidR="00811046" w:rsidRPr="00811046" w:rsidRDefault="00811046" w:rsidP="00811046">
            <w:pPr>
              <w:rPr>
                <w:lang w:val="sr-Latn-ME"/>
              </w:rPr>
            </w:pPr>
            <w:r w:rsidRPr="00811046">
              <w:rPr>
                <w:lang w:val="sr-Latn-ME"/>
              </w:rPr>
              <w:t>Visoke otpremnine za isplatu zaposlenih prilikom otkazivanja ugovora o radu</w:t>
            </w:r>
          </w:p>
        </w:tc>
        <w:tc>
          <w:tcPr>
            <w:tcW w:w="3194" w:type="dxa"/>
            <w:shd w:val="clear" w:color="auto" w:fill="auto"/>
          </w:tcPr>
          <w:p w14:paraId="296E9245" w14:textId="77777777" w:rsidR="00811046" w:rsidRPr="00811046" w:rsidRDefault="00811046" w:rsidP="00811046">
            <w:pPr>
              <w:rPr>
                <w:b/>
                <w:lang w:val="sr-Latn-ME"/>
              </w:rPr>
            </w:pPr>
            <w:r w:rsidRPr="00811046">
              <w:rPr>
                <w:b/>
                <w:lang w:val="sr-Latn-ME"/>
              </w:rPr>
              <w:t>2</w:t>
            </w:r>
          </w:p>
        </w:tc>
      </w:tr>
      <w:tr w:rsidR="00811046" w:rsidRPr="00811046" w14:paraId="6E213676" w14:textId="77777777" w:rsidTr="0073160D">
        <w:tc>
          <w:tcPr>
            <w:tcW w:w="6048" w:type="dxa"/>
            <w:shd w:val="clear" w:color="auto" w:fill="auto"/>
          </w:tcPr>
          <w:p w14:paraId="7806AE1A" w14:textId="77777777" w:rsidR="00811046" w:rsidRPr="00811046" w:rsidRDefault="00811046" w:rsidP="00811046">
            <w:pPr>
              <w:rPr>
                <w:lang w:val="sr-Latn-ME"/>
              </w:rPr>
            </w:pPr>
            <w:r w:rsidRPr="00811046">
              <w:rPr>
                <w:lang w:val="sr-Latn-ME"/>
              </w:rPr>
              <w:t>Nizak stepen “poreskog morala”</w:t>
            </w:r>
          </w:p>
        </w:tc>
        <w:tc>
          <w:tcPr>
            <w:tcW w:w="3194" w:type="dxa"/>
            <w:shd w:val="clear" w:color="auto" w:fill="auto"/>
          </w:tcPr>
          <w:p w14:paraId="33520F49" w14:textId="77777777" w:rsidR="00811046" w:rsidRPr="00811046" w:rsidRDefault="00811046" w:rsidP="00811046">
            <w:pPr>
              <w:rPr>
                <w:b/>
                <w:lang w:val="sr-Latn-ME"/>
              </w:rPr>
            </w:pPr>
            <w:r w:rsidRPr="00811046">
              <w:rPr>
                <w:b/>
                <w:lang w:val="sr-Latn-ME"/>
              </w:rPr>
              <w:t>20</w:t>
            </w:r>
          </w:p>
        </w:tc>
      </w:tr>
      <w:tr w:rsidR="00811046" w:rsidRPr="00811046" w14:paraId="28303B7C" w14:textId="77777777" w:rsidTr="0073160D">
        <w:tc>
          <w:tcPr>
            <w:tcW w:w="6048" w:type="dxa"/>
            <w:shd w:val="clear" w:color="auto" w:fill="auto"/>
          </w:tcPr>
          <w:p w14:paraId="0B334FFF" w14:textId="77777777" w:rsidR="00811046" w:rsidRPr="00811046" w:rsidRDefault="00811046" w:rsidP="00811046">
            <w:pPr>
              <w:rPr>
                <w:lang w:val="sr-Latn-ME"/>
              </w:rPr>
            </w:pPr>
            <w:r w:rsidRPr="00811046">
              <w:rPr>
                <w:lang w:val="sr-Latn-ME"/>
              </w:rPr>
              <w:t>Nelojalna konkurencija</w:t>
            </w:r>
          </w:p>
        </w:tc>
        <w:tc>
          <w:tcPr>
            <w:tcW w:w="3194" w:type="dxa"/>
            <w:shd w:val="clear" w:color="auto" w:fill="auto"/>
          </w:tcPr>
          <w:p w14:paraId="4A909851" w14:textId="77777777" w:rsidR="00811046" w:rsidRPr="00811046" w:rsidRDefault="00811046" w:rsidP="00811046">
            <w:pPr>
              <w:rPr>
                <w:b/>
                <w:lang w:val="sr-Latn-ME"/>
              </w:rPr>
            </w:pPr>
            <w:r w:rsidRPr="00811046">
              <w:rPr>
                <w:b/>
                <w:lang w:val="sr-Latn-ME"/>
              </w:rPr>
              <w:t>14</w:t>
            </w:r>
          </w:p>
        </w:tc>
      </w:tr>
      <w:tr w:rsidR="00811046" w:rsidRPr="00811046" w14:paraId="6A7AE657" w14:textId="77777777" w:rsidTr="0073160D">
        <w:tc>
          <w:tcPr>
            <w:tcW w:w="6048" w:type="dxa"/>
            <w:shd w:val="clear" w:color="auto" w:fill="auto"/>
          </w:tcPr>
          <w:p w14:paraId="5D66D8A4" w14:textId="77777777" w:rsidR="00811046" w:rsidRPr="00811046" w:rsidRDefault="00811046" w:rsidP="00811046">
            <w:pPr>
              <w:rPr>
                <w:lang w:val="sr-Latn-ME"/>
              </w:rPr>
            </w:pPr>
            <w:r w:rsidRPr="00811046">
              <w:rPr>
                <w:lang w:val="sr-Latn-ME"/>
              </w:rPr>
              <w:t>Drugo (npr. nedovoljna svijest o opasnostima sive ekonomije, ograničeni kapaciteti inspekcijskih organa, korupcija, rigidna zakonska procedura itd).</w:t>
            </w:r>
          </w:p>
        </w:tc>
        <w:tc>
          <w:tcPr>
            <w:tcW w:w="3194" w:type="dxa"/>
            <w:shd w:val="clear" w:color="auto" w:fill="auto"/>
          </w:tcPr>
          <w:p w14:paraId="4D91E830" w14:textId="77777777" w:rsidR="00811046" w:rsidRPr="00811046" w:rsidRDefault="00811046" w:rsidP="00811046">
            <w:pPr>
              <w:rPr>
                <w:b/>
                <w:lang w:val="sr-Latn-ME"/>
              </w:rPr>
            </w:pPr>
            <w:r w:rsidRPr="00811046">
              <w:rPr>
                <w:b/>
                <w:lang w:val="sr-Latn-ME"/>
              </w:rPr>
              <w:t>11</w:t>
            </w:r>
          </w:p>
          <w:p w14:paraId="718566C1" w14:textId="77777777" w:rsidR="00811046" w:rsidRPr="00811046" w:rsidRDefault="00811046">
            <w:pPr>
              <w:numPr>
                <w:ilvl w:val="0"/>
                <w:numId w:val="15"/>
              </w:numPr>
              <w:rPr>
                <w:lang w:val="sr-Latn-ME"/>
              </w:rPr>
            </w:pPr>
            <w:r w:rsidRPr="00811046">
              <w:rPr>
                <w:lang w:val="sr-Latn-ME"/>
              </w:rPr>
              <w:t>korupcija,</w:t>
            </w:r>
          </w:p>
          <w:p w14:paraId="25C3FAD8" w14:textId="77777777" w:rsidR="00811046" w:rsidRPr="00811046" w:rsidRDefault="00811046">
            <w:pPr>
              <w:numPr>
                <w:ilvl w:val="0"/>
                <w:numId w:val="15"/>
              </w:numPr>
              <w:rPr>
                <w:lang w:val="sr-Latn-ME"/>
              </w:rPr>
            </w:pPr>
            <w:r w:rsidRPr="00811046">
              <w:rPr>
                <w:lang w:val="sr-Latn-ME"/>
              </w:rPr>
              <w:t>nedostatak političke volje</w:t>
            </w:r>
          </w:p>
        </w:tc>
      </w:tr>
    </w:tbl>
    <w:p w14:paraId="07E38874" w14:textId="77777777" w:rsidR="00811046" w:rsidRPr="00811046" w:rsidRDefault="00811046" w:rsidP="00811046">
      <w:pPr>
        <w:rPr>
          <w:lang w:val="sr-Latn-ME"/>
        </w:rPr>
      </w:pPr>
    </w:p>
    <w:p w14:paraId="0EA8C5D2" w14:textId="1FE1B989" w:rsidR="00811046" w:rsidRPr="00811046" w:rsidRDefault="00811046">
      <w:pPr>
        <w:numPr>
          <w:ilvl w:val="1"/>
          <w:numId w:val="13"/>
        </w:numPr>
        <w:rPr>
          <w:b/>
          <w:bCs/>
          <w:iCs/>
          <w:lang w:val="sr-Latn-ME"/>
        </w:rPr>
      </w:pPr>
      <w:bookmarkStart w:id="51" w:name="_Toc141249035"/>
      <w:r w:rsidRPr="00811046">
        <w:rPr>
          <w:b/>
          <w:bCs/>
          <w:iCs/>
          <w:lang w:val="sr-Latn-ME"/>
        </w:rPr>
        <w:t>Izazovi u prevazileženju uzroka</w:t>
      </w:r>
      <w:bookmarkEnd w:id="51"/>
    </w:p>
    <w:p w14:paraId="7BB9B113" w14:textId="77777777" w:rsidR="00811046" w:rsidRPr="00811046" w:rsidRDefault="00811046" w:rsidP="005A5C62">
      <w:pPr>
        <w:jc w:val="both"/>
        <w:rPr>
          <w:bCs/>
          <w:lang w:val="sr-Latn-ME"/>
        </w:rPr>
      </w:pPr>
      <w:r w:rsidRPr="005A5C62">
        <w:rPr>
          <w:bCs/>
          <w:sz w:val="24"/>
          <w:szCs w:val="24"/>
          <w:lang w:val="sr-Latn-ME"/>
        </w:rPr>
        <w:t xml:space="preserve">Ispitanici su pitani i o izazovima. Kao ključne izazove u prevazilaženju uzroka neformalne ekonomije ispitanici vide u nedovoljnoj politici i ekonomskoj stabilnosti, ali i u </w:t>
      </w:r>
      <w:r w:rsidRPr="005A5C62">
        <w:rPr>
          <w:sz w:val="24"/>
          <w:szCs w:val="24"/>
          <w:lang w:val="sr-Latn-ME"/>
        </w:rPr>
        <w:t>neadekvatnoj koordinaciji, preklapanju ili nejasnim nadležnostima u sprovodjenju restriktivnih/kaznenih mjera na suzbijanju sive ekonomije. Važno je istaći da mnogi (njih 14) kao izazov vide i u nedostatku strategije. Za devet (9)</w:t>
      </w:r>
      <w:r w:rsidRPr="00811046">
        <w:rPr>
          <w:lang w:val="sr-Latn-ME"/>
        </w:rPr>
        <w:t xml:space="preserve"> ispitanika izazov predstavljaju i ograničeni administrativni kapaciteti. </w:t>
      </w:r>
    </w:p>
    <w:p w14:paraId="1DCB110D" w14:textId="77777777" w:rsidR="00811046" w:rsidRPr="00811046" w:rsidRDefault="00811046" w:rsidP="00811046">
      <w:pPr>
        <w:rPr>
          <w:b/>
          <w:bCs/>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3464"/>
      </w:tblGrid>
      <w:tr w:rsidR="00811046" w:rsidRPr="00811046" w14:paraId="0AF3DCEF" w14:textId="77777777" w:rsidTr="0073160D">
        <w:tc>
          <w:tcPr>
            <w:tcW w:w="5778" w:type="dxa"/>
            <w:shd w:val="clear" w:color="auto" w:fill="auto"/>
          </w:tcPr>
          <w:p w14:paraId="1259EFF9" w14:textId="77777777" w:rsidR="00811046" w:rsidRPr="00811046" w:rsidRDefault="00811046" w:rsidP="00811046">
            <w:pPr>
              <w:rPr>
                <w:b/>
                <w:bCs/>
                <w:lang w:val="sr-Latn-ME"/>
              </w:rPr>
            </w:pPr>
            <w:r w:rsidRPr="00811046">
              <w:rPr>
                <w:b/>
                <w:bCs/>
                <w:lang w:val="sr-Latn-ME"/>
              </w:rPr>
              <w:t xml:space="preserve">Ponudjeni odgovori </w:t>
            </w:r>
          </w:p>
        </w:tc>
        <w:tc>
          <w:tcPr>
            <w:tcW w:w="3464" w:type="dxa"/>
            <w:shd w:val="clear" w:color="auto" w:fill="auto"/>
          </w:tcPr>
          <w:p w14:paraId="1F57EB8A" w14:textId="77777777" w:rsidR="00811046" w:rsidRPr="00811046" w:rsidRDefault="00811046" w:rsidP="00811046">
            <w:pPr>
              <w:rPr>
                <w:b/>
                <w:bCs/>
                <w:lang w:val="sr-Latn-ME"/>
              </w:rPr>
            </w:pPr>
            <w:r w:rsidRPr="00811046">
              <w:rPr>
                <w:b/>
                <w:bCs/>
                <w:lang w:val="sr-Latn-ME"/>
              </w:rPr>
              <w:t xml:space="preserve">Odgovori </w:t>
            </w:r>
          </w:p>
        </w:tc>
      </w:tr>
      <w:tr w:rsidR="00811046" w:rsidRPr="00811046" w14:paraId="6AAC4B4A" w14:textId="77777777" w:rsidTr="0073160D">
        <w:tc>
          <w:tcPr>
            <w:tcW w:w="5778" w:type="dxa"/>
            <w:shd w:val="clear" w:color="auto" w:fill="auto"/>
          </w:tcPr>
          <w:p w14:paraId="486F8175" w14:textId="77777777" w:rsidR="00811046" w:rsidRPr="00811046" w:rsidRDefault="00811046" w:rsidP="00811046">
            <w:pPr>
              <w:rPr>
                <w:lang w:val="sr-Latn-ME"/>
              </w:rPr>
            </w:pPr>
            <w:r w:rsidRPr="00811046">
              <w:rPr>
                <w:lang w:val="sr-Latn-ME"/>
              </w:rPr>
              <w:t>Nedovoljna politilka i ekonomska stabilnost</w:t>
            </w:r>
          </w:p>
        </w:tc>
        <w:tc>
          <w:tcPr>
            <w:tcW w:w="3464" w:type="dxa"/>
            <w:shd w:val="clear" w:color="auto" w:fill="auto"/>
          </w:tcPr>
          <w:p w14:paraId="78C64E07" w14:textId="77777777" w:rsidR="00811046" w:rsidRPr="00811046" w:rsidRDefault="00811046" w:rsidP="00811046">
            <w:pPr>
              <w:rPr>
                <w:b/>
                <w:bCs/>
                <w:lang w:val="sr-Latn-ME"/>
              </w:rPr>
            </w:pPr>
            <w:r w:rsidRPr="00811046">
              <w:rPr>
                <w:b/>
                <w:bCs/>
                <w:lang w:val="sr-Latn-ME"/>
              </w:rPr>
              <w:t>17</w:t>
            </w:r>
          </w:p>
        </w:tc>
      </w:tr>
      <w:tr w:rsidR="00811046" w:rsidRPr="00811046" w14:paraId="445C25CC" w14:textId="77777777" w:rsidTr="0073160D">
        <w:tc>
          <w:tcPr>
            <w:tcW w:w="5778" w:type="dxa"/>
            <w:shd w:val="clear" w:color="auto" w:fill="auto"/>
          </w:tcPr>
          <w:p w14:paraId="6ED153AF" w14:textId="77777777" w:rsidR="00811046" w:rsidRPr="00811046" w:rsidRDefault="00811046" w:rsidP="00811046">
            <w:pPr>
              <w:rPr>
                <w:lang w:val="sr-Latn-ME"/>
              </w:rPr>
            </w:pPr>
            <w:r w:rsidRPr="00811046">
              <w:rPr>
                <w:lang w:val="sr-Latn-ME"/>
              </w:rPr>
              <w:t xml:space="preserve">Nedostatak strategije i neadekvatna koordinacija u kreiranju i sprovođenju mjera ekonomske politike </w:t>
            </w:r>
          </w:p>
        </w:tc>
        <w:tc>
          <w:tcPr>
            <w:tcW w:w="3464" w:type="dxa"/>
            <w:shd w:val="clear" w:color="auto" w:fill="auto"/>
          </w:tcPr>
          <w:p w14:paraId="6F845FCD" w14:textId="77777777" w:rsidR="00811046" w:rsidRPr="00811046" w:rsidRDefault="00811046" w:rsidP="00811046">
            <w:pPr>
              <w:rPr>
                <w:b/>
                <w:bCs/>
                <w:lang w:val="sr-Latn-ME"/>
              </w:rPr>
            </w:pPr>
            <w:r w:rsidRPr="00811046">
              <w:rPr>
                <w:b/>
                <w:bCs/>
                <w:lang w:val="sr-Latn-ME"/>
              </w:rPr>
              <w:t>14</w:t>
            </w:r>
          </w:p>
        </w:tc>
      </w:tr>
      <w:tr w:rsidR="00811046" w:rsidRPr="00811046" w14:paraId="316B7CAA" w14:textId="77777777" w:rsidTr="0073160D">
        <w:tc>
          <w:tcPr>
            <w:tcW w:w="5778" w:type="dxa"/>
            <w:shd w:val="clear" w:color="auto" w:fill="auto"/>
          </w:tcPr>
          <w:p w14:paraId="1E22D35C" w14:textId="77777777" w:rsidR="00811046" w:rsidRPr="00811046" w:rsidRDefault="00811046" w:rsidP="00811046">
            <w:pPr>
              <w:rPr>
                <w:lang w:val="sr-Latn-ME"/>
              </w:rPr>
            </w:pPr>
            <w:r w:rsidRPr="00811046">
              <w:rPr>
                <w:lang w:val="sr-Latn-ME"/>
              </w:rPr>
              <w:t>Neadekvatna koordinacija, preklapanja ili nejasne nadležnosti u sprovodjenju restriktivnih/kaznenih mjera na suzbijanju sive ekonomije</w:t>
            </w:r>
          </w:p>
        </w:tc>
        <w:tc>
          <w:tcPr>
            <w:tcW w:w="3464" w:type="dxa"/>
            <w:shd w:val="clear" w:color="auto" w:fill="auto"/>
          </w:tcPr>
          <w:p w14:paraId="39133881" w14:textId="77777777" w:rsidR="00811046" w:rsidRPr="00811046" w:rsidRDefault="00811046" w:rsidP="00811046">
            <w:pPr>
              <w:rPr>
                <w:b/>
                <w:bCs/>
                <w:lang w:val="sr-Latn-ME"/>
              </w:rPr>
            </w:pPr>
            <w:r w:rsidRPr="00811046">
              <w:rPr>
                <w:b/>
                <w:bCs/>
                <w:lang w:val="sr-Latn-ME"/>
              </w:rPr>
              <w:t>15</w:t>
            </w:r>
          </w:p>
        </w:tc>
      </w:tr>
      <w:tr w:rsidR="00811046" w:rsidRPr="00811046" w14:paraId="0AED81F3" w14:textId="77777777" w:rsidTr="0073160D">
        <w:tc>
          <w:tcPr>
            <w:tcW w:w="5778" w:type="dxa"/>
            <w:shd w:val="clear" w:color="auto" w:fill="auto"/>
          </w:tcPr>
          <w:p w14:paraId="039A4A65" w14:textId="77777777" w:rsidR="00811046" w:rsidRPr="00811046" w:rsidRDefault="00811046" w:rsidP="00811046">
            <w:pPr>
              <w:rPr>
                <w:lang w:val="sr-Latn-ME"/>
              </w:rPr>
            </w:pPr>
            <w:r w:rsidRPr="00811046">
              <w:rPr>
                <w:lang w:val="sr-Latn-ME"/>
              </w:rPr>
              <w:lastRenderedPageBreak/>
              <w:t>Ograničeni administrativni kapaciteti</w:t>
            </w:r>
          </w:p>
        </w:tc>
        <w:tc>
          <w:tcPr>
            <w:tcW w:w="3464" w:type="dxa"/>
            <w:shd w:val="clear" w:color="auto" w:fill="auto"/>
          </w:tcPr>
          <w:p w14:paraId="5124C6DA" w14:textId="77777777" w:rsidR="00811046" w:rsidRPr="00811046" w:rsidRDefault="00811046" w:rsidP="00811046">
            <w:pPr>
              <w:rPr>
                <w:b/>
                <w:bCs/>
                <w:lang w:val="sr-Latn-ME"/>
              </w:rPr>
            </w:pPr>
            <w:r w:rsidRPr="00811046">
              <w:rPr>
                <w:b/>
                <w:bCs/>
                <w:lang w:val="sr-Latn-ME"/>
              </w:rPr>
              <w:t>9</w:t>
            </w:r>
          </w:p>
        </w:tc>
      </w:tr>
      <w:tr w:rsidR="00811046" w:rsidRPr="00811046" w14:paraId="5B6CDB20" w14:textId="77777777" w:rsidTr="0073160D">
        <w:tc>
          <w:tcPr>
            <w:tcW w:w="5778" w:type="dxa"/>
            <w:shd w:val="clear" w:color="auto" w:fill="auto"/>
          </w:tcPr>
          <w:p w14:paraId="549EF834" w14:textId="77777777" w:rsidR="00811046" w:rsidRPr="00811046" w:rsidRDefault="00811046" w:rsidP="00811046">
            <w:pPr>
              <w:rPr>
                <w:lang w:val="sr-Latn-ME"/>
              </w:rPr>
            </w:pPr>
            <w:r w:rsidRPr="00811046">
              <w:rPr>
                <w:lang w:val="sr-Latn-ME"/>
              </w:rPr>
              <w:t>Ograničena finansijska sredstva</w:t>
            </w:r>
          </w:p>
        </w:tc>
        <w:tc>
          <w:tcPr>
            <w:tcW w:w="3464" w:type="dxa"/>
            <w:shd w:val="clear" w:color="auto" w:fill="auto"/>
          </w:tcPr>
          <w:p w14:paraId="71A4D42E" w14:textId="77777777" w:rsidR="00811046" w:rsidRPr="00811046" w:rsidRDefault="00811046" w:rsidP="00811046">
            <w:pPr>
              <w:rPr>
                <w:b/>
                <w:bCs/>
                <w:lang w:val="sr-Latn-ME"/>
              </w:rPr>
            </w:pPr>
            <w:r w:rsidRPr="00811046">
              <w:rPr>
                <w:b/>
                <w:bCs/>
                <w:lang w:val="sr-Latn-ME"/>
              </w:rPr>
              <w:t>4</w:t>
            </w:r>
          </w:p>
        </w:tc>
      </w:tr>
      <w:tr w:rsidR="00811046" w:rsidRPr="00811046" w14:paraId="57EBDFC9" w14:textId="77777777" w:rsidTr="0073160D">
        <w:tc>
          <w:tcPr>
            <w:tcW w:w="5778" w:type="dxa"/>
            <w:shd w:val="clear" w:color="auto" w:fill="auto"/>
          </w:tcPr>
          <w:p w14:paraId="7A1F428C" w14:textId="77777777" w:rsidR="00811046" w:rsidRPr="00811046" w:rsidRDefault="00811046" w:rsidP="00811046">
            <w:pPr>
              <w:rPr>
                <w:lang w:val="sr-Latn-ME"/>
              </w:rPr>
            </w:pPr>
            <w:r w:rsidRPr="00811046">
              <w:rPr>
                <w:lang w:val="sr-Latn-ME"/>
              </w:rPr>
              <w:t xml:space="preserve">Nedovoljna zainteresovanost šire javnosti za ovu problematiku </w:t>
            </w:r>
          </w:p>
          <w:p w14:paraId="1C48F297" w14:textId="77777777" w:rsidR="00811046" w:rsidRPr="00811046" w:rsidRDefault="00811046" w:rsidP="00811046">
            <w:pPr>
              <w:rPr>
                <w:b/>
                <w:bCs/>
                <w:lang w:val="sr-Latn-ME"/>
              </w:rPr>
            </w:pPr>
          </w:p>
        </w:tc>
        <w:tc>
          <w:tcPr>
            <w:tcW w:w="3464" w:type="dxa"/>
            <w:shd w:val="clear" w:color="auto" w:fill="auto"/>
          </w:tcPr>
          <w:p w14:paraId="358F5CE7" w14:textId="77777777" w:rsidR="00811046" w:rsidRPr="00811046" w:rsidRDefault="00811046" w:rsidP="00811046">
            <w:pPr>
              <w:rPr>
                <w:b/>
                <w:bCs/>
                <w:lang w:val="sr-Latn-ME"/>
              </w:rPr>
            </w:pPr>
            <w:r w:rsidRPr="00811046">
              <w:rPr>
                <w:b/>
                <w:bCs/>
                <w:lang w:val="sr-Latn-ME"/>
              </w:rPr>
              <w:t>4</w:t>
            </w:r>
          </w:p>
        </w:tc>
      </w:tr>
      <w:tr w:rsidR="00811046" w:rsidRPr="00391D03" w14:paraId="1C6A6426" w14:textId="77777777" w:rsidTr="0073160D">
        <w:tc>
          <w:tcPr>
            <w:tcW w:w="5778" w:type="dxa"/>
            <w:shd w:val="clear" w:color="auto" w:fill="auto"/>
          </w:tcPr>
          <w:p w14:paraId="0EF50202" w14:textId="77777777" w:rsidR="00811046" w:rsidRPr="00811046" w:rsidRDefault="00811046" w:rsidP="00811046">
            <w:pPr>
              <w:rPr>
                <w:bCs/>
                <w:lang w:val="sr-Latn-ME"/>
              </w:rPr>
            </w:pPr>
            <w:r w:rsidRPr="00811046">
              <w:rPr>
                <w:bCs/>
                <w:lang w:val="sr-Latn-ME"/>
              </w:rPr>
              <w:t>Drugo (npr.korupcija, politička ekonomija itd)</w:t>
            </w:r>
          </w:p>
        </w:tc>
        <w:tc>
          <w:tcPr>
            <w:tcW w:w="3464" w:type="dxa"/>
            <w:shd w:val="clear" w:color="auto" w:fill="auto"/>
          </w:tcPr>
          <w:p w14:paraId="685AADFD" w14:textId="77777777" w:rsidR="00811046" w:rsidRPr="00811046" w:rsidRDefault="00811046" w:rsidP="00811046">
            <w:pPr>
              <w:rPr>
                <w:b/>
                <w:bCs/>
                <w:lang w:val="sr-Latn-ME"/>
              </w:rPr>
            </w:pPr>
            <w:r w:rsidRPr="00811046">
              <w:rPr>
                <w:b/>
                <w:bCs/>
                <w:lang w:val="sr-Latn-ME"/>
              </w:rPr>
              <w:t>7</w:t>
            </w:r>
          </w:p>
          <w:p w14:paraId="79D1A3A4" w14:textId="77777777" w:rsidR="00811046" w:rsidRPr="00811046" w:rsidRDefault="00811046">
            <w:pPr>
              <w:numPr>
                <w:ilvl w:val="0"/>
                <w:numId w:val="16"/>
              </w:numPr>
              <w:rPr>
                <w:bCs/>
                <w:lang w:val="sr-Latn-ME"/>
              </w:rPr>
            </w:pPr>
            <w:r w:rsidRPr="00811046">
              <w:rPr>
                <w:bCs/>
                <w:lang w:val="sr-Latn-ME"/>
              </w:rPr>
              <w:t xml:space="preserve">korupcija, </w:t>
            </w:r>
          </w:p>
          <w:p w14:paraId="7A7FB785" w14:textId="77777777" w:rsidR="00811046" w:rsidRPr="00811046" w:rsidRDefault="00811046">
            <w:pPr>
              <w:numPr>
                <w:ilvl w:val="0"/>
                <w:numId w:val="16"/>
              </w:numPr>
              <w:rPr>
                <w:bCs/>
                <w:lang w:val="sr-Latn-ME"/>
              </w:rPr>
            </w:pPr>
            <w:r w:rsidRPr="00811046">
              <w:rPr>
                <w:bCs/>
                <w:lang w:val="sr-Latn-ME"/>
              </w:rPr>
              <w:t xml:space="preserve">nedostatak političke volje i </w:t>
            </w:r>
          </w:p>
          <w:p w14:paraId="10B06DB8" w14:textId="77777777" w:rsidR="00811046" w:rsidRPr="00811046" w:rsidRDefault="00811046">
            <w:pPr>
              <w:numPr>
                <w:ilvl w:val="0"/>
                <w:numId w:val="16"/>
              </w:numPr>
              <w:rPr>
                <w:b/>
                <w:bCs/>
                <w:lang w:val="sr-Latn-ME"/>
              </w:rPr>
            </w:pPr>
            <w:r w:rsidRPr="00811046">
              <w:rPr>
                <w:bCs/>
                <w:lang w:val="sr-Latn-ME"/>
              </w:rPr>
              <w:t>strategije,</w:t>
            </w:r>
            <w:r w:rsidRPr="00811046">
              <w:rPr>
                <w:b/>
                <w:bCs/>
                <w:lang w:val="sr-Latn-ME"/>
              </w:rPr>
              <w:t xml:space="preserve"> </w:t>
            </w:r>
          </w:p>
          <w:p w14:paraId="5B6DDDD2" w14:textId="77777777" w:rsidR="00811046" w:rsidRPr="00811046" w:rsidRDefault="00811046">
            <w:pPr>
              <w:numPr>
                <w:ilvl w:val="0"/>
                <w:numId w:val="16"/>
              </w:numPr>
              <w:rPr>
                <w:b/>
                <w:bCs/>
                <w:lang w:val="sr-Latn-ME"/>
              </w:rPr>
            </w:pPr>
            <w:r w:rsidRPr="00811046">
              <w:rPr>
                <w:lang w:val="it-IT"/>
              </w:rPr>
              <w:t xml:space="preserve">podizanje svijesti </w:t>
            </w:r>
          </w:p>
          <w:p w14:paraId="20E3A10D" w14:textId="77777777" w:rsidR="00811046" w:rsidRPr="00811046" w:rsidRDefault="00811046">
            <w:pPr>
              <w:numPr>
                <w:ilvl w:val="0"/>
                <w:numId w:val="16"/>
              </w:numPr>
              <w:rPr>
                <w:b/>
                <w:bCs/>
                <w:lang w:val="sr-Latn-ME"/>
              </w:rPr>
            </w:pPr>
            <w:r w:rsidRPr="00811046">
              <w:rPr>
                <w:lang w:val="it-IT"/>
              </w:rPr>
              <w:t xml:space="preserve">poreske olakšice za start up biznise, </w:t>
            </w:r>
          </w:p>
          <w:p w14:paraId="57A62871" w14:textId="77777777" w:rsidR="00811046" w:rsidRPr="00811046" w:rsidRDefault="00811046">
            <w:pPr>
              <w:numPr>
                <w:ilvl w:val="0"/>
                <w:numId w:val="16"/>
              </w:numPr>
              <w:rPr>
                <w:b/>
                <w:bCs/>
                <w:lang w:val="sr-Latn-ME"/>
              </w:rPr>
            </w:pPr>
            <w:r w:rsidRPr="00811046">
              <w:rPr>
                <w:lang w:val="it-IT"/>
              </w:rPr>
              <w:t>promocije formalne u odnosu na neformalnu ekonomiju i sl.</w:t>
            </w:r>
          </w:p>
        </w:tc>
      </w:tr>
    </w:tbl>
    <w:p w14:paraId="3890CB44" w14:textId="77777777" w:rsidR="00811046" w:rsidRPr="00811046" w:rsidRDefault="00811046" w:rsidP="00811046">
      <w:pPr>
        <w:rPr>
          <w:b/>
          <w:bCs/>
          <w:lang w:val="sr-Latn-ME"/>
        </w:rPr>
      </w:pPr>
    </w:p>
    <w:p w14:paraId="1EFB742B" w14:textId="07308593" w:rsidR="00811046" w:rsidRPr="00811046" w:rsidRDefault="00811046" w:rsidP="00756CAA">
      <w:pPr>
        <w:numPr>
          <w:ilvl w:val="1"/>
          <w:numId w:val="13"/>
        </w:numPr>
        <w:jc w:val="both"/>
        <w:rPr>
          <w:b/>
          <w:bCs/>
          <w:iCs/>
          <w:lang w:val="sr-Latn-ME"/>
        </w:rPr>
      </w:pPr>
      <w:bookmarkStart w:id="52" w:name="_Toc141249036"/>
      <w:r w:rsidRPr="00811046">
        <w:rPr>
          <w:b/>
          <w:bCs/>
          <w:iCs/>
          <w:lang w:val="sr-Latn-ME"/>
        </w:rPr>
        <w:t>Predloženi operativni ciljevi</w:t>
      </w:r>
      <w:bookmarkEnd w:id="52"/>
      <w:r w:rsidRPr="00811046">
        <w:rPr>
          <w:b/>
          <w:bCs/>
          <w:iCs/>
          <w:lang w:val="sr-Latn-ME"/>
        </w:rPr>
        <w:t xml:space="preserve"> </w:t>
      </w:r>
    </w:p>
    <w:p w14:paraId="4CD1730A" w14:textId="45FAF22A" w:rsidR="00811046" w:rsidRPr="005A5C62" w:rsidRDefault="00811046" w:rsidP="00756CAA">
      <w:pPr>
        <w:jc w:val="both"/>
        <w:rPr>
          <w:sz w:val="24"/>
          <w:szCs w:val="24"/>
          <w:lang w:val="sr-Latn-ME"/>
        </w:rPr>
      </w:pPr>
      <w:r w:rsidRPr="005A5C62">
        <w:rPr>
          <w:sz w:val="24"/>
          <w:szCs w:val="24"/>
          <w:lang w:val="sr-Latn-ME"/>
        </w:rPr>
        <w:t xml:space="preserve">Ispitanicima su predložena tri cilja za koje su pitani da li smatraju da oni mogu biti operativni ciljevi Programa, ali im je ostavljena i mogućnost da i oni sami mogu predložiti neki od ciljeva. U tabeli ispod su odgovori na predložene ciljeve, kao i predloženi novi potencijalni operativni ciljevi. Najveći broj odgovora odnosi se na unapređenje koordinacije i administrativnih kapaciteta inspekcija i sudskih vlasti. </w:t>
      </w:r>
    </w:p>
    <w:p w14:paraId="1A371636" w14:textId="77777777" w:rsidR="00811046" w:rsidRPr="00811046" w:rsidRDefault="00811046" w:rsidP="00811046">
      <w:pPr>
        <w:rPr>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3284"/>
      </w:tblGrid>
      <w:tr w:rsidR="00811046" w:rsidRPr="00811046" w14:paraId="16837A30" w14:textId="77777777" w:rsidTr="0073160D">
        <w:tc>
          <w:tcPr>
            <w:tcW w:w="5958" w:type="dxa"/>
            <w:shd w:val="clear" w:color="auto" w:fill="auto"/>
          </w:tcPr>
          <w:p w14:paraId="4E5BC559" w14:textId="77777777" w:rsidR="00811046" w:rsidRPr="00811046" w:rsidRDefault="00811046" w:rsidP="00811046">
            <w:pPr>
              <w:rPr>
                <w:lang w:val="sr-Latn-ME"/>
              </w:rPr>
            </w:pPr>
            <w:r w:rsidRPr="00811046">
              <w:rPr>
                <w:lang w:val="sr-Latn-ME"/>
              </w:rPr>
              <w:t xml:space="preserve">Ponudjeni ciljevi </w:t>
            </w:r>
          </w:p>
        </w:tc>
        <w:tc>
          <w:tcPr>
            <w:tcW w:w="3284" w:type="dxa"/>
            <w:shd w:val="clear" w:color="auto" w:fill="auto"/>
          </w:tcPr>
          <w:p w14:paraId="31AEB5DC" w14:textId="77777777" w:rsidR="00811046" w:rsidRPr="00811046" w:rsidRDefault="00811046" w:rsidP="00811046">
            <w:pPr>
              <w:rPr>
                <w:lang w:val="sr-Latn-ME"/>
              </w:rPr>
            </w:pPr>
            <w:r w:rsidRPr="00811046">
              <w:rPr>
                <w:lang w:val="sr-Latn-ME"/>
              </w:rPr>
              <w:t xml:space="preserve">Odgovori </w:t>
            </w:r>
          </w:p>
        </w:tc>
      </w:tr>
      <w:tr w:rsidR="00811046" w:rsidRPr="00811046" w14:paraId="7597A3DD" w14:textId="77777777" w:rsidTr="0073160D">
        <w:tc>
          <w:tcPr>
            <w:tcW w:w="5958" w:type="dxa"/>
            <w:shd w:val="clear" w:color="auto" w:fill="auto"/>
          </w:tcPr>
          <w:p w14:paraId="4CF33EEE" w14:textId="77777777" w:rsidR="00811046" w:rsidRPr="00811046" w:rsidRDefault="00811046" w:rsidP="00811046">
            <w:pPr>
              <w:rPr>
                <w:lang w:val="pl-PL"/>
              </w:rPr>
            </w:pPr>
            <w:r w:rsidRPr="00811046">
              <w:rPr>
                <w:lang w:val="pl-PL"/>
              </w:rPr>
              <w:t>Unapređenje poslovnog ambijenta kroz smanjenje broja i visine fiskaliteta i parafiskaliteta i podsticajne mjere za preduzetništvo</w:t>
            </w:r>
          </w:p>
          <w:p w14:paraId="2AC212D8" w14:textId="77777777" w:rsidR="00811046" w:rsidRPr="00811046" w:rsidRDefault="00811046" w:rsidP="00811046">
            <w:pPr>
              <w:rPr>
                <w:lang w:val="sr-Latn-ME"/>
              </w:rPr>
            </w:pPr>
          </w:p>
        </w:tc>
        <w:tc>
          <w:tcPr>
            <w:tcW w:w="3284" w:type="dxa"/>
            <w:shd w:val="clear" w:color="auto" w:fill="auto"/>
          </w:tcPr>
          <w:p w14:paraId="7259AEE6" w14:textId="77777777" w:rsidR="00811046" w:rsidRPr="00811046" w:rsidRDefault="00811046" w:rsidP="00811046">
            <w:pPr>
              <w:rPr>
                <w:b/>
                <w:lang w:val="sr-Latn-ME"/>
              </w:rPr>
            </w:pPr>
            <w:r w:rsidRPr="00811046">
              <w:rPr>
                <w:b/>
                <w:lang w:val="sr-Latn-ME"/>
              </w:rPr>
              <w:t>17</w:t>
            </w:r>
          </w:p>
        </w:tc>
      </w:tr>
      <w:tr w:rsidR="00811046" w:rsidRPr="00811046" w14:paraId="2BB91F63" w14:textId="77777777" w:rsidTr="0073160D">
        <w:tc>
          <w:tcPr>
            <w:tcW w:w="5958" w:type="dxa"/>
            <w:shd w:val="clear" w:color="auto" w:fill="auto"/>
          </w:tcPr>
          <w:p w14:paraId="55764E4B" w14:textId="77777777" w:rsidR="00811046" w:rsidRPr="00811046" w:rsidRDefault="00811046" w:rsidP="00811046">
            <w:pPr>
              <w:rPr>
                <w:lang w:val="sr-Latn-ME"/>
              </w:rPr>
            </w:pPr>
            <w:r w:rsidRPr="00811046">
              <w:rPr>
                <w:lang w:val="sr-Latn-ME"/>
              </w:rPr>
              <w:t xml:space="preserve">Povećanje discipline u registraciji zaposlenih i prihoda </w:t>
            </w:r>
          </w:p>
        </w:tc>
        <w:tc>
          <w:tcPr>
            <w:tcW w:w="3284" w:type="dxa"/>
            <w:shd w:val="clear" w:color="auto" w:fill="auto"/>
          </w:tcPr>
          <w:p w14:paraId="36A67A93" w14:textId="77777777" w:rsidR="00811046" w:rsidRPr="00811046" w:rsidRDefault="00811046" w:rsidP="00811046">
            <w:pPr>
              <w:rPr>
                <w:b/>
                <w:lang w:val="sr-Latn-ME"/>
              </w:rPr>
            </w:pPr>
            <w:r w:rsidRPr="00811046">
              <w:rPr>
                <w:b/>
                <w:lang w:val="sr-Latn-ME"/>
              </w:rPr>
              <w:t>16</w:t>
            </w:r>
          </w:p>
        </w:tc>
      </w:tr>
      <w:tr w:rsidR="00811046" w:rsidRPr="00811046" w14:paraId="1AEEA615" w14:textId="77777777" w:rsidTr="0073160D">
        <w:tc>
          <w:tcPr>
            <w:tcW w:w="5958" w:type="dxa"/>
            <w:shd w:val="clear" w:color="auto" w:fill="auto"/>
          </w:tcPr>
          <w:p w14:paraId="77F5E577" w14:textId="77777777" w:rsidR="00811046" w:rsidRPr="00811046" w:rsidRDefault="00811046" w:rsidP="00811046">
            <w:pPr>
              <w:rPr>
                <w:lang w:val="sr-Latn-ME"/>
              </w:rPr>
            </w:pPr>
            <w:r w:rsidRPr="00811046">
              <w:rPr>
                <w:lang w:val="sr-Latn-ME"/>
              </w:rPr>
              <w:t>Unapređenje koordinacije i administrativnih kapaciteta inspekcija i sudske vlasti</w:t>
            </w:r>
          </w:p>
        </w:tc>
        <w:tc>
          <w:tcPr>
            <w:tcW w:w="3284" w:type="dxa"/>
            <w:shd w:val="clear" w:color="auto" w:fill="auto"/>
          </w:tcPr>
          <w:p w14:paraId="2F70F187" w14:textId="77777777" w:rsidR="00811046" w:rsidRPr="00811046" w:rsidRDefault="00811046" w:rsidP="00811046">
            <w:pPr>
              <w:rPr>
                <w:b/>
                <w:lang w:val="sr-Latn-ME"/>
              </w:rPr>
            </w:pPr>
            <w:r w:rsidRPr="00811046">
              <w:rPr>
                <w:b/>
                <w:lang w:val="sr-Latn-ME"/>
              </w:rPr>
              <w:t>19</w:t>
            </w:r>
          </w:p>
        </w:tc>
      </w:tr>
      <w:tr w:rsidR="00811046" w:rsidRPr="00811046" w14:paraId="13A4EB0F" w14:textId="77777777" w:rsidTr="0073160D">
        <w:tc>
          <w:tcPr>
            <w:tcW w:w="5958" w:type="dxa"/>
            <w:shd w:val="clear" w:color="auto" w:fill="auto"/>
          </w:tcPr>
          <w:p w14:paraId="50662588" w14:textId="77777777" w:rsidR="00811046" w:rsidRPr="00811046" w:rsidRDefault="00811046" w:rsidP="00811046">
            <w:pPr>
              <w:rPr>
                <w:lang w:val="sr-Latn-ME"/>
              </w:rPr>
            </w:pPr>
            <w:r w:rsidRPr="00811046">
              <w:rPr>
                <w:lang w:val="sr-Latn-ME"/>
              </w:rPr>
              <w:t>Drugo</w:t>
            </w:r>
          </w:p>
          <w:p w14:paraId="79BAAB31" w14:textId="77777777" w:rsidR="00811046" w:rsidRPr="00811046" w:rsidRDefault="00811046" w:rsidP="00811046">
            <w:pPr>
              <w:rPr>
                <w:lang w:val="sr-Latn-ME"/>
              </w:rPr>
            </w:pPr>
          </w:p>
          <w:p w14:paraId="0946805F" w14:textId="77777777" w:rsidR="00811046" w:rsidRPr="00811046" w:rsidRDefault="00811046" w:rsidP="00811046">
            <w:pPr>
              <w:rPr>
                <w:lang w:val="sr-Latn-ME"/>
              </w:rPr>
            </w:pPr>
          </w:p>
        </w:tc>
        <w:tc>
          <w:tcPr>
            <w:tcW w:w="3284" w:type="dxa"/>
            <w:shd w:val="clear" w:color="auto" w:fill="auto"/>
          </w:tcPr>
          <w:p w14:paraId="70B782DE" w14:textId="77777777" w:rsidR="00811046" w:rsidRPr="00811046" w:rsidRDefault="00811046">
            <w:pPr>
              <w:numPr>
                <w:ilvl w:val="0"/>
                <w:numId w:val="21"/>
              </w:numPr>
              <w:rPr>
                <w:lang w:val="sr-Latn-ME"/>
              </w:rPr>
            </w:pPr>
            <w:r w:rsidRPr="00811046">
              <w:rPr>
                <w:lang w:val="sr-Latn-ME"/>
              </w:rPr>
              <w:lastRenderedPageBreak/>
              <w:t xml:space="preserve">olakšanje procedura, </w:t>
            </w:r>
          </w:p>
          <w:p w14:paraId="4B246DFE" w14:textId="77777777" w:rsidR="00811046" w:rsidRPr="00811046" w:rsidRDefault="00811046">
            <w:pPr>
              <w:numPr>
                <w:ilvl w:val="0"/>
                <w:numId w:val="21"/>
              </w:numPr>
              <w:rPr>
                <w:lang w:val="sr-Latn-ME"/>
              </w:rPr>
            </w:pPr>
            <w:r w:rsidRPr="00811046">
              <w:rPr>
                <w:lang w:val="sr-Latn-ME"/>
              </w:rPr>
              <w:lastRenderedPageBreak/>
              <w:t xml:space="preserve">registracije i povećanje operativnosti administracije </w:t>
            </w:r>
          </w:p>
          <w:p w14:paraId="4F9C801D" w14:textId="77777777" w:rsidR="00811046" w:rsidRPr="00811046" w:rsidRDefault="00811046">
            <w:pPr>
              <w:numPr>
                <w:ilvl w:val="0"/>
                <w:numId w:val="21"/>
              </w:numPr>
              <w:rPr>
                <w:lang w:val="sr-Latn-ME"/>
              </w:rPr>
            </w:pPr>
            <w:r w:rsidRPr="00811046">
              <w:rPr>
                <w:lang w:val="sr-Latn-ME"/>
              </w:rPr>
              <w:t xml:space="preserve">povećati disciplinu u registraciji zaposlenih i prihoda </w:t>
            </w:r>
          </w:p>
          <w:p w14:paraId="41EBC661" w14:textId="77777777" w:rsidR="00811046" w:rsidRPr="00811046" w:rsidRDefault="00811046">
            <w:pPr>
              <w:numPr>
                <w:ilvl w:val="0"/>
                <w:numId w:val="21"/>
              </w:numPr>
              <w:rPr>
                <w:lang w:val="sr-Latn-ME"/>
              </w:rPr>
            </w:pPr>
            <w:r w:rsidRPr="00811046">
              <w:rPr>
                <w:lang w:val="sr-Latn-ME"/>
              </w:rPr>
              <w:t>unaprijediti koordinaciju i administrativne kapacitete inspekcija i sudske vlasti.</w:t>
            </w:r>
          </w:p>
          <w:p w14:paraId="0D265C05" w14:textId="77777777" w:rsidR="00811046" w:rsidRPr="00811046" w:rsidRDefault="00811046" w:rsidP="00811046">
            <w:pPr>
              <w:rPr>
                <w:lang w:val="sr-Latn-ME"/>
              </w:rPr>
            </w:pPr>
          </w:p>
        </w:tc>
      </w:tr>
    </w:tbl>
    <w:p w14:paraId="38DA5D9D" w14:textId="77777777" w:rsidR="00811046" w:rsidRPr="00811046" w:rsidRDefault="00811046" w:rsidP="00811046">
      <w:pPr>
        <w:rPr>
          <w:lang w:val="sr-Latn-ME"/>
        </w:rPr>
      </w:pPr>
    </w:p>
    <w:p w14:paraId="1B765FE7" w14:textId="77777777" w:rsidR="00811046" w:rsidRPr="00811046" w:rsidRDefault="00811046">
      <w:pPr>
        <w:numPr>
          <w:ilvl w:val="1"/>
          <w:numId w:val="13"/>
        </w:numPr>
        <w:rPr>
          <w:b/>
          <w:bCs/>
          <w:iCs/>
          <w:lang w:val="sr-Latn-ME"/>
        </w:rPr>
      </w:pPr>
      <w:bookmarkStart w:id="53" w:name="_Toc141249037"/>
      <w:r w:rsidRPr="00811046">
        <w:rPr>
          <w:b/>
          <w:bCs/>
          <w:iCs/>
          <w:lang w:val="sr-Latn-ME"/>
        </w:rPr>
        <w:t>Indikatori praćenja Programa</w:t>
      </w:r>
      <w:bookmarkEnd w:id="53"/>
      <w:r w:rsidRPr="00811046">
        <w:rPr>
          <w:b/>
          <w:bCs/>
          <w:iCs/>
          <w:lang w:val="sr-Latn-ME"/>
        </w:rPr>
        <w:t xml:space="preserve"> </w:t>
      </w:r>
    </w:p>
    <w:p w14:paraId="57AAC9C0" w14:textId="491D2DA5" w:rsidR="00811046" w:rsidRPr="00811046" w:rsidRDefault="00811046" w:rsidP="00811046">
      <w:pPr>
        <w:rPr>
          <w:lang w:val="sr-Latn-ME"/>
        </w:rPr>
      </w:pPr>
      <w:r w:rsidRPr="00811046">
        <w:rPr>
          <w:lang w:val="sr-Latn-ME"/>
        </w:rPr>
        <w:t>Od ponudjenih sedam (7) indikatora za praćenja realizacije Programa ispitanici su najviše dali odgovora</w:t>
      </w:r>
      <w:r w:rsidR="005A5C62">
        <w:rPr>
          <w:lang w:val="sr-Latn-ME"/>
        </w:rPr>
        <w:t xml:space="preserve"> </w:t>
      </w:r>
      <w:r w:rsidRPr="00811046">
        <w:rPr>
          <w:lang w:val="sr-Latn-ME"/>
        </w:rPr>
        <w:t xml:space="preserve">za indikator Stopa formalne zapolsenosti, % neformalne zaposlenosti (njih 20), veliki broj odgovora bio je i za broj izdatih prekršajnih naloga/izrečenih novčanih kazni ključni indikatori za praćenje (14), a zatim i za prihode od poreza. Interesantno je da su ispitanici za svaki od predloženih indikatora smatrali da mogu biti korisni za praćenje Programa, kao i da ispitanici nijesu ponudili ni jedan dodatni indikator, pa je tako ponudjeni odgovor po „ostalo“ ostao bez odgovora. </w:t>
      </w:r>
    </w:p>
    <w:p w14:paraId="4E0A9ED2" w14:textId="77777777" w:rsidR="00811046" w:rsidRPr="00811046" w:rsidRDefault="00811046" w:rsidP="00811046">
      <w:pPr>
        <w:rPr>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8"/>
        <w:gridCol w:w="1124"/>
      </w:tblGrid>
      <w:tr w:rsidR="00811046" w:rsidRPr="00811046" w14:paraId="6B794AEF" w14:textId="77777777" w:rsidTr="0073160D">
        <w:tc>
          <w:tcPr>
            <w:tcW w:w="8118" w:type="dxa"/>
            <w:shd w:val="clear" w:color="auto" w:fill="auto"/>
          </w:tcPr>
          <w:p w14:paraId="087BB07D" w14:textId="77777777" w:rsidR="00811046" w:rsidRPr="00811046" w:rsidRDefault="00811046" w:rsidP="00811046">
            <w:pPr>
              <w:rPr>
                <w:lang w:val="sr-Latn-ME"/>
              </w:rPr>
            </w:pPr>
            <w:r w:rsidRPr="00811046">
              <w:rPr>
                <w:lang w:val="sr-Latn-ME"/>
              </w:rPr>
              <w:t>Ponuđeni indikatori</w:t>
            </w:r>
          </w:p>
        </w:tc>
        <w:tc>
          <w:tcPr>
            <w:tcW w:w="1124" w:type="dxa"/>
            <w:shd w:val="clear" w:color="auto" w:fill="auto"/>
          </w:tcPr>
          <w:p w14:paraId="0C2E68DB" w14:textId="77777777" w:rsidR="00811046" w:rsidRPr="00811046" w:rsidRDefault="00811046" w:rsidP="00811046">
            <w:pPr>
              <w:rPr>
                <w:lang w:val="sr-Latn-ME"/>
              </w:rPr>
            </w:pPr>
            <w:r w:rsidRPr="00811046">
              <w:rPr>
                <w:lang w:val="sr-Latn-ME"/>
              </w:rPr>
              <w:t xml:space="preserve">Odgovori </w:t>
            </w:r>
          </w:p>
        </w:tc>
      </w:tr>
      <w:tr w:rsidR="00811046" w:rsidRPr="00811046" w14:paraId="41D2BED7" w14:textId="77777777" w:rsidTr="0073160D">
        <w:tc>
          <w:tcPr>
            <w:tcW w:w="8118" w:type="dxa"/>
            <w:shd w:val="clear" w:color="auto" w:fill="auto"/>
          </w:tcPr>
          <w:p w14:paraId="273CA790" w14:textId="77777777" w:rsidR="00811046" w:rsidRPr="00811046" w:rsidRDefault="00811046" w:rsidP="00811046">
            <w:pPr>
              <w:rPr>
                <w:lang w:val="sr-Latn-ME"/>
              </w:rPr>
            </w:pPr>
            <w:r w:rsidRPr="00811046">
              <w:rPr>
                <w:lang w:val="sr-Latn-ME"/>
              </w:rPr>
              <w:t>Visina poreskih stopa, broj taksi i naknada i sl</w:t>
            </w:r>
          </w:p>
        </w:tc>
        <w:tc>
          <w:tcPr>
            <w:tcW w:w="1124" w:type="dxa"/>
            <w:shd w:val="clear" w:color="auto" w:fill="auto"/>
          </w:tcPr>
          <w:p w14:paraId="5CF51926" w14:textId="77777777" w:rsidR="00811046" w:rsidRPr="00811046" w:rsidRDefault="00811046" w:rsidP="00811046">
            <w:pPr>
              <w:rPr>
                <w:b/>
                <w:lang w:val="sr-Latn-ME"/>
              </w:rPr>
            </w:pPr>
            <w:r w:rsidRPr="00811046">
              <w:rPr>
                <w:b/>
                <w:lang w:val="sr-Latn-ME"/>
              </w:rPr>
              <w:t>9</w:t>
            </w:r>
          </w:p>
        </w:tc>
      </w:tr>
      <w:tr w:rsidR="00811046" w:rsidRPr="00811046" w14:paraId="01EC888B" w14:textId="77777777" w:rsidTr="0073160D">
        <w:tc>
          <w:tcPr>
            <w:tcW w:w="8118" w:type="dxa"/>
            <w:shd w:val="clear" w:color="auto" w:fill="auto"/>
          </w:tcPr>
          <w:p w14:paraId="4CF0177F" w14:textId="77777777" w:rsidR="00811046" w:rsidRPr="00811046" w:rsidRDefault="00811046" w:rsidP="00811046">
            <w:pPr>
              <w:rPr>
                <w:lang w:val="sr-Latn-ME"/>
              </w:rPr>
            </w:pPr>
            <w:r w:rsidRPr="00811046">
              <w:rPr>
                <w:lang w:val="sr-Latn-ME"/>
              </w:rPr>
              <w:t xml:space="preserve">Prihodi od poreza </w:t>
            </w:r>
          </w:p>
        </w:tc>
        <w:tc>
          <w:tcPr>
            <w:tcW w:w="1124" w:type="dxa"/>
            <w:shd w:val="clear" w:color="auto" w:fill="auto"/>
          </w:tcPr>
          <w:p w14:paraId="31C2315D" w14:textId="77777777" w:rsidR="00811046" w:rsidRPr="00811046" w:rsidRDefault="00811046" w:rsidP="00811046">
            <w:pPr>
              <w:rPr>
                <w:b/>
                <w:lang w:val="sr-Latn-ME"/>
              </w:rPr>
            </w:pPr>
            <w:r w:rsidRPr="00811046">
              <w:rPr>
                <w:b/>
                <w:lang w:val="sr-Latn-ME"/>
              </w:rPr>
              <w:t>14</w:t>
            </w:r>
          </w:p>
        </w:tc>
      </w:tr>
      <w:tr w:rsidR="00811046" w:rsidRPr="00811046" w14:paraId="6F4E5D9B" w14:textId="77777777" w:rsidTr="0073160D">
        <w:tc>
          <w:tcPr>
            <w:tcW w:w="8118" w:type="dxa"/>
            <w:shd w:val="clear" w:color="auto" w:fill="auto"/>
          </w:tcPr>
          <w:p w14:paraId="6A3EE21C" w14:textId="77777777" w:rsidR="00811046" w:rsidRPr="00811046" w:rsidRDefault="00811046" w:rsidP="00811046">
            <w:pPr>
              <w:rPr>
                <w:lang w:val="sr-Latn-ME"/>
              </w:rPr>
            </w:pPr>
            <w:r w:rsidRPr="00811046">
              <w:rPr>
                <w:lang w:val="sr-Latn-ME"/>
              </w:rPr>
              <w:t>Prihodi od akciza</w:t>
            </w:r>
          </w:p>
        </w:tc>
        <w:tc>
          <w:tcPr>
            <w:tcW w:w="1124" w:type="dxa"/>
            <w:shd w:val="clear" w:color="auto" w:fill="auto"/>
          </w:tcPr>
          <w:p w14:paraId="09752D0F" w14:textId="77777777" w:rsidR="00811046" w:rsidRPr="00811046" w:rsidRDefault="00811046" w:rsidP="00811046">
            <w:pPr>
              <w:rPr>
                <w:b/>
                <w:lang w:val="sr-Latn-ME"/>
              </w:rPr>
            </w:pPr>
            <w:r w:rsidRPr="00811046">
              <w:rPr>
                <w:b/>
                <w:lang w:val="sr-Latn-ME"/>
              </w:rPr>
              <w:t>9</w:t>
            </w:r>
          </w:p>
        </w:tc>
      </w:tr>
      <w:tr w:rsidR="00811046" w:rsidRPr="00811046" w14:paraId="68BC8ED2" w14:textId="77777777" w:rsidTr="0073160D">
        <w:tc>
          <w:tcPr>
            <w:tcW w:w="8118" w:type="dxa"/>
            <w:shd w:val="clear" w:color="auto" w:fill="auto"/>
          </w:tcPr>
          <w:p w14:paraId="2C69F640" w14:textId="77777777" w:rsidR="00811046" w:rsidRPr="00811046" w:rsidRDefault="00811046" w:rsidP="00811046">
            <w:pPr>
              <w:rPr>
                <w:lang w:val="sr-Latn-ME"/>
              </w:rPr>
            </w:pPr>
            <w:r w:rsidRPr="00811046">
              <w:rPr>
                <w:lang w:val="sr-Latn-ME"/>
              </w:rPr>
              <w:t>Stopa formalne zaposlenosti, % neformalno zaposlenih</w:t>
            </w:r>
          </w:p>
        </w:tc>
        <w:tc>
          <w:tcPr>
            <w:tcW w:w="1124" w:type="dxa"/>
            <w:shd w:val="clear" w:color="auto" w:fill="auto"/>
          </w:tcPr>
          <w:p w14:paraId="7818C14D" w14:textId="77777777" w:rsidR="00811046" w:rsidRPr="00811046" w:rsidRDefault="00811046" w:rsidP="00811046">
            <w:pPr>
              <w:rPr>
                <w:b/>
                <w:lang w:val="sr-Latn-ME"/>
              </w:rPr>
            </w:pPr>
            <w:r w:rsidRPr="00811046">
              <w:rPr>
                <w:b/>
                <w:lang w:val="sr-Latn-ME"/>
              </w:rPr>
              <w:t>20</w:t>
            </w:r>
          </w:p>
        </w:tc>
      </w:tr>
      <w:tr w:rsidR="00811046" w:rsidRPr="00811046" w14:paraId="5739A95C" w14:textId="77777777" w:rsidTr="0073160D">
        <w:tc>
          <w:tcPr>
            <w:tcW w:w="8118" w:type="dxa"/>
            <w:shd w:val="clear" w:color="auto" w:fill="auto"/>
          </w:tcPr>
          <w:p w14:paraId="24C00534" w14:textId="77777777" w:rsidR="00811046" w:rsidRPr="00811046" w:rsidRDefault="00811046" w:rsidP="00811046">
            <w:pPr>
              <w:rPr>
                <w:lang w:val="sr-Latn-ME"/>
              </w:rPr>
            </w:pPr>
            <w:r w:rsidRPr="00811046">
              <w:rPr>
                <w:lang w:val="sr-Latn-ME"/>
              </w:rPr>
              <w:t>Broj registrovanih privrednih subjekata</w:t>
            </w:r>
          </w:p>
        </w:tc>
        <w:tc>
          <w:tcPr>
            <w:tcW w:w="1124" w:type="dxa"/>
            <w:shd w:val="clear" w:color="auto" w:fill="auto"/>
          </w:tcPr>
          <w:p w14:paraId="7594597B" w14:textId="77777777" w:rsidR="00811046" w:rsidRPr="00811046" w:rsidRDefault="00811046" w:rsidP="00811046">
            <w:pPr>
              <w:rPr>
                <w:b/>
                <w:lang w:val="sr-Latn-ME"/>
              </w:rPr>
            </w:pPr>
            <w:r w:rsidRPr="00811046">
              <w:rPr>
                <w:b/>
                <w:lang w:val="sr-Latn-ME"/>
              </w:rPr>
              <w:t>13</w:t>
            </w:r>
          </w:p>
        </w:tc>
      </w:tr>
      <w:tr w:rsidR="00811046" w:rsidRPr="00811046" w14:paraId="222FE926" w14:textId="77777777" w:rsidTr="0073160D">
        <w:tc>
          <w:tcPr>
            <w:tcW w:w="8118" w:type="dxa"/>
            <w:shd w:val="clear" w:color="auto" w:fill="auto"/>
          </w:tcPr>
          <w:p w14:paraId="5A231AFE" w14:textId="77777777" w:rsidR="00811046" w:rsidRPr="00811046" w:rsidRDefault="00811046" w:rsidP="00811046">
            <w:pPr>
              <w:rPr>
                <w:lang w:val="sr-Latn-ME"/>
              </w:rPr>
            </w:pPr>
            <w:r w:rsidRPr="00811046">
              <w:rPr>
                <w:lang w:val="sr-Latn-ME"/>
              </w:rPr>
              <w:t>Broj izdatih prekršajnih naloga/izrečenih novčanih kazni</w:t>
            </w:r>
          </w:p>
        </w:tc>
        <w:tc>
          <w:tcPr>
            <w:tcW w:w="1124" w:type="dxa"/>
            <w:shd w:val="clear" w:color="auto" w:fill="auto"/>
          </w:tcPr>
          <w:p w14:paraId="0FCF63AF" w14:textId="77777777" w:rsidR="00811046" w:rsidRPr="00811046" w:rsidRDefault="00811046" w:rsidP="00811046">
            <w:pPr>
              <w:rPr>
                <w:b/>
                <w:lang w:val="sr-Latn-ME"/>
              </w:rPr>
            </w:pPr>
            <w:r w:rsidRPr="00811046">
              <w:rPr>
                <w:b/>
                <w:lang w:val="sr-Latn-ME"/>
              </w:rPr>
              <w:t>14</w:t>
            </w:r>
          </w:p>
        </w:tc>
      </w:tr>
      <w:tr w:rsidR="00811046" w:rsidRPr="00811046" w14:paraId="5E4325A4" w14:textId="77777777" w:rsidTr="0073160D">
        <w:tc>
          <w:tcPr>
            <w:tcW w:w="8118" w:type="dxa"/>
            <w:shd w:val="clear" w:color="auto" w:fill="auto"/>
          </w:tcPr>
          <w:p w14:paraId="23100F9A" w14:textId="77777777" w:rsidR="00811046" w:rsidRPr="00811046" w:rsidRDefault="00811046" w:rsidP="00811046">
            <w:pPr>
              <w:rPr>
                <w:lang w:val="sr-Latn-ME"/>
              </w:rPr>
            </w:pPr>
            <w:r w:rsidRPr="00811046">
              <w:rPr>
                <w:lang w:val="sr-Latn-ME"/>
              </w:rPr>
              <w:t>Ostalo</w:t>
            </w:r>
          </w:p>
        </w:tc>
        <w:tc>
          <w:tcPr>
            <w:tcW w:w="1124" w:type="dxa"/>
            <w:shd w:val="clear" w:color="auto" w:fill="auto"/>
          </w:tcPr>
          <w:p w14:paraId="3A3354A6" w14:textId="77777777" w:rsidR="00811046" w:rsidRPr="00811046" w:rsidRDefault="00811046" w:rsidP="00811046">
            <w:pPr>
              <w:rPr>
                <w:lang w:val="sr-Latn-ME"/>
              </w:rPr>
            </w:pPr>
          </w:p>
        </w:tc>
      </w:tr>
    </w:tbl>
    <w:p w14:paraId="5107ED67" w14:textId="77777777" w:rsidR="00811046" w:rsidRPr="00811046" w:rsidRDefault="00811046" w:rsidP="00811046">
      <w:pPr>
        <w:rPr>
          <w:lang w:val="sr-Latn-ME"/>
        </w:rPr>
      </w:pPr>
    </w:p>
    <w:p w14:paraId="382B66AE" w14:textId="77777777" w:rsidR="00811046" w:rsidRPr="00811046" w:rsidRDefault="00811046" w:rsidP="00811046">
      <w:pPr>
        <w:rPr>
          <w:b/>
          <w:lang w:val="sr-Latn-ME"/>
        </w:rPr>
      </w:pPr>
    </w:p>
    <w:p w14:paraId="740EE804" w14:textId="77777777" w:rsidR="00811046" w:rsidRPr="00811046" w:rsidRDefault="00811046" w:rsidP="00811046">
      <w:pPr>
        <w:rPr>
          <w:b/>
          <w:lang w:val="sr-Latn-ME"/>
        </w:rPr>
      </w:pPr>
    </w:p>
    <w:p w14:paraId="7AE7D43D" w14:textId="77777777" w:rsidR="00811046" w:rsidRPr="00811046" w:rsidRDefault="00811046" w:rsidP="00811046">
      <w:pPr>
        <w:rPr>
          <w:b/>
          <w:lang w:val="sr-Latn-ME"/>
        </w:rPr>
      </w:pPr>
    </w:p>
    <w:p w14:paraId="2AC632DB" w14:textId="77777777" w:rsidR="00811046" w:rsidRPr="00811046" w:rsidRDefault="00811046" w:rsidP="00811046">
      <w:pPr>
        <w:rPr>
          <w:b/>
          <w:lang w:val="sr-Latn-ME"/>
        </w:rPr>
      </w:pPr>
    </w:p>
    <w:p w14:paraId="201E1660" w14:textId="77777777" w:rsidR="00811046" w:rsidRPr="00811046" w:rsidRDefault="00811046" w:rsidP="00811046">
      <w:pPr>
        <w:rPr>
          <w:b/>
          <w:lang w:val="sr-Latn-ME"/>
        </w:rPr>
      </w:pPr>
      <w:r w:rsidRPr="00811046">
        <w:rPr>
          <w:b/>
          <w:lang w:val="sr-Latn-ME"/>
        </w:rPr>
        <w:lastRenderedPageBreak/>
        <w:t xml:space="preserve">Grafik 4. Predlog indikatora za praćenje Programa </w:t>
      </w:r>
    </w:p>
    <w:p w14:paraId="3D4D2A61" w14:textId="77777777" w:rsidR="00811046" w:rsidRPr="00811046" w:rsidRDefault="00811046" w:rsidP="00811046">
      <w:pPr>
        <w:rPr>
          <w:lang w:val="sr-Latn-ME"/>
        </w:rPr>
      </w:pPr>
    </w:p>
    <w:p w14:paraId="545FAC58" w14:textId="4F6C5346" w:rsidR="00811046" w:rsidRPr="00811046" w:rsidRDefault="00811046" w:rsidP="00811046">
      <w:pPr>
        <w:rPr>
          <w:lang w:val="sr-Latn-ME"/>
        </w:rPr>
      </w:pPr>
      <w:r w:rsidRPr="00811046">
        <w:rPr>
          <w:noProof/>
        </w:rPr>
        <w:drawing>
          <wp:inline distT="0" distB="0" distL="0" distR="0" wp14:anchorId="32C644C4" wp14:editId="4121F978">
            <wp:extent cx="5814060" cy="4434840"/>
            <wp:effectExtent l="0" t="0" r="0" b="0"/>
            <wp:docPr id="104082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5639564" w14:textId="77777777" w:rsidR="00811046" w:rsidRPr="00811046" w:rsidRDefault="00811046" w:rsidP="00811046">
      <w:pPr>
        <w:rPr>
          <w:lang w:val="sr-Latn-ME"/>
        </w:rPr>
      </w:pPr>
    </w:p>
    <w:p w14:paraId="08670CFA" w14:textId="77777777" w:rsidR="00811046" w:rsidRPr="00811046" w:rsidRDefault="00811046">
      <w:pPr>
        <w:numPr>
          <w:ilvl w:val="1"/>
          <w:numId w:val="13"/>
        </w:numPr>
        <w:rPr>
          <w:b/>
          <w:bCs/>
          <w:iCs/>
          <w:lang w:val="sr-Latn-ME"/>
        </w:rPr>
      </w:pPr>
      <w:bookmarkStart w:id="54" w:name="_Toc141249038"/>
      <w:r w:rsidRPr="00811046">
        <w:rPr>
          <w:b/>
          <w:bCs/>
          <w:iCs/>
          <w:lang w:val="sr-Latn-ME"/>
        </w:rPr>
        <w:t>Podsticajne mjere</w:t>
      </w:r>
      <w:bookmarkEnd w:id="54"/>
      <w:r w:rsidRPr="00811046">
        <w:rPr>
          <w:b/>
          <w:bCs/>
          <w:iCs/>
          <w:lang w:val="sr-Latn-ME"/>
        </w:rPr>
        <w:t xml:space="preserve"> </w:t>
      </w:r>
    </w:p>
    <w:p w14:paraId="3DC82B43" w14:textId="77777777" w:rsidR="00D47634" w:rsidRDefault="00811046" w:rsidP="00811046">
      <w:pPr>
        <w:rPr>
          <w:rFonts w:cstheme="minorHAnsi"/>
          <w:bCs/>
          <w:sz w:val="24"/>
          <w:szCs w:val="24"/>
          <w:lang w:val="sr-Latn-ME"/>
        </w:rPr>
      </w:pPr>
      <w:r w:rsidRPr="005A5C62">
        <w:rPr>
          <w:rFonts w:cstheme="minorHAnsi"/>
          <w:bCs/>
          <w:sz w:val="24"/>
          <w:szCs w:val="24"/>
          <w:lang w:val="sr-Latn-ME"/>
        </w:rPr>
        <w:t xml:space="preserve">Ispitanici su pitani koje podsticajne mjere ili grupe mjera/aktivnosti vidite kao neophodne u dostizanju mogućih operativnih ciljeva Programa suzbijanja neformalne ekonomije? Koje su to podsticajne mjere važne za preduzeća da registruju prihode, a koje da registruju zaposlene ili i jedno i drugo? Koji su organi/institucije najvažniji u implementaciji ovih mjera? </w:t>
      </w:r>
    </w:p>
    <w:p w14:paraId="4A06A660" w14:textId="33BCA160" w:rsidR="00811046" w:rsidRDefault="00811046" w:rsidP="00811046">
      <w:pPr>
        <w:rPr>
          <w:rFonts w:cstheme="minorHAnsi"/>
          <w:bCs/>
          <w:sz w:val="24"/>
          <w:szCs w:val="24"/>
          <w:lang w:val="sr-Latn-ME"/>
        </w:rPr>
      </w:pPr>
      <w:r w:rsidRPr="005A5C62">
        <w:rPr>
          <w:rFonts w:cstheme="minorHAnsi"/>
          <w:bCs/>
          <w:sz w:val="24"/>
          <w:szCs w:val="24"/>
          <w:lang w:val="sr-Latn-ME"/>
        </w:rPr>
        <w:t xml:space="preserve">Kroz formu upitnika dostavljen je veliki broj predloga mjera, neke su se preklapale, ali dobijen je veliki broj korisnih mjera.  </w:t>
      </w:r>
      <w:r w:rsidR="000B6E8E">
        <w:rPr>
          <w:rFonts w:cstheme="minorHAnsi"/>
          <w:bCs/>
          <w:sz w:val="24"/>
          <w:szCs w:val="24"/>
          <w:lang w:val="sr-Latn-ME"/>
        </w:rPr>
        <w:t xml:space="preserve">One se </w:t>
      </w:r>
      <w:r w:rsidR="00E14224">
        <w:rPr>
          <w:rFonts w:cstheme="minorHAnsi"/>
          <w:bCs/>
          <w:sz w:val="24"/>
          <w:szCs w:val="24"/>
          <w:lang w:val="sr-Latn-ME"/>
        </w:rPr>
        <w:t xml:space="preserve">grupišu </w:t>
      </w:r>
      <w:r w:rsidR="000B6E8E">
        <w:rPr>
          <w:rFonts w:cstheme="minorHAnsi"/>
          <w:bCs/>
          <w:sz w:val="24"/>
          <w:szCs w:val="24"/>
          <w:lang w:val="sr-Latn-ME"/>
        </w:rPr>
        <w:t>u sljedeće kategorije:</w:t>
      </w:r>
    </w:p>
    <w:p w14:paraId="2C08D98F" w14:textId="3FF9D873" w:rsidR="00D47634" w:rsidRDefault="000B6E8E" w:rsidP="00811046">
      <w:pPr>
        <w:rPr>
          <w:rFonts w:cstheme="minorHAnsi"/>
          <w:bCs/>
          <w:sz w:val="24"/>
          <w:szCs w:val="24"/>
          <w:lang w:val="sr-Latn-ME"/>
        </w:rPr>
      </w:pPr>
      <w:r>
        <w:rPr>
          <w:rFonts w:cstheme="minorHAnsi"/>
          <w:bCs/>
          <w:sz w:val="24"/>
          <w:szCs w:val="24"/>
          <w:lang w:val="sr-Latn-ME"/>
        </w:rPr>
        <w:t>-Postic</w:t>
      </w:r>
      <w:r w:rsidR="00D47634">
        <w:rPr>
          <w:rFonts w:cstheme="minorHAnsi"/>
          <w:bCs/>
          <w:sz w:val="24"/>
          <w:szCs w:val="24"/>
          <w:lang w:val="sr-Latn-ME"/>
        </w:rPr>
        <w:t>aj</w:t>
      </w:r>
      <w:r>
        <w:rPr>
          <w:rFonts w:cstheme="minorHAnsi"/>
          <w:bCs/>
          <w:sz w:val="24"/>
          <w:szCs w:val="24"/>
          <w:lang w:val="sr-Latn-ME"/>
        </w:rPr>
        <w:t>ne mjere kroz subvencije i p</w:t>
      </w:r>
      <w:r w:rsidR="00D47634">
        <w:rPr>
          <w:rFonts w:cstheme="minorHAnsi"/>
          <w:bCs/>
          <w:sz w:val="24"/>
          <w:szCs w:val="24"/>
          <w:lang w:val="sr-Latn-ME"/>
        </w:rPr>
        <w:t>oreske</w:t>
      </w:r>
      <w:r>
        <w:rPr>
          <w:rFonts w:cstheme="minorHAnsi"/>
          <w:bCs/>
          <w:sz w:val="24"/>
          <w:szCs w:val="24"/>
          <w:lang w:val="sr-Latn-ME"/>
        </w:rPr>
        <w:t xml:space="preserve"> olakšice za preduzetnike</w:t>
      </w:r>
      <w:r w:rsidR="00D47634">
        <w:rPr>
          <w:rFonts w:cstheme="minorHAnsi"/>
          <w:bCs/>
          <w:sz w:val="24"/>
          <w:szCs w:val="24"/>
          <w:lang w:val="sr-Latn-ME"/>
        </w:rPr>
        <w:t xml:space="preserve"> i zapošljavanja</w:t>
      </w:r>
    </w:p>
    <w:p w14:paraId="49FC8AA6" w14:textId="7F7A8345" w:rsidR="00ED3285" w:rsidRDefault="00ED3285" w:rsidP="00811046">
      <w:pPr>
        <w:rPr>
          <w:rFonts w:cstheme="minorHAnsi"/>
          <w:bCs/>
          <w:sz w:val="24"/>
          <w:szCs w:val="24"/>
          <w:lang w:val="sr-Latn-ME"/>
        </w:rPr>
      </w:pPr>
      <w:r>
        <w:rPr>
          <w:rFonts w:cstheme="minorHAnsi"/>
          <w:bCs/>
          <w:sz w:val="24"/>
          <w:szCs w:val="24"/>
          <w:lang w:val="sr-Latn-ME"/>
        </w:rPr>
        <w:t>-Smanjenje fiskalnih i parafiskalnih opterećenja</w:t>
      </w:r>
    </w:p>
    <w:p w14:paraId="1858744A" w14:textId="5957BBE6" w:rsidR="00D47634" w:rsidRDefault="00D47634" w:rsidP="00811046">
      <w:pPr>
        <w:rPr>
          <w:rFonts w:cstheme="minorHAnsi"/>
          <w:bCs/>
          <w:sz w:val="24"/>
          <w:szCs w:val="24"/>
          <w:lang w:val="sr-Latn-ME"/>
        </w:rPr>
      </w:pPr>
      <w:r>
        <w:rPr>
          <w:rFonts w:cstheme="minorHAnsi"/>
          <w:bCs/>
          <w:sz w:val="24"/>
          <w:szCs w:val="24"/>
          <w:lang w:val="sr-Latn-ME"/>
        </w:rPr>
        <w:t xml:space="preserve">-Unapređenje radnog zakonodvstva radi smanjenja mogućnosit zloupotreba </w:t>
      </w:r>
    </w:p>
    <w:p w14:paraId="2775875D" w14:textId="199830E2" w:rsidR="000D4F29" w:rsidRDefault="00D47634" w:rsidP="00811046">
      <w:pPr>
        <w:rPr>
          <w:rFonts w:cstheme="minorHAnsi"/>
          <w:bCs/>
          <w:sz w:val="24"/>
          <w:szCs w:val="24"/>
          <w:lang w:val="sr-Latn-ME"/>
        </w:rPr>
      </w:pPr>
      <w:r>
        <w:rPr>
          <w:rFonts w:cstheme="minorHAnsi"/>
          <w:bCs/>
          <w:sz w:val="24"/>
          <w:szCs w:val="24"/>
          <w:lang w:val="sr-Latn-ME"/>
        </w:rPr>
        <w:t>-Smanjenje admiistrativnih barijera</w:t>
      </w:r>
      <w:r w:rsidR="000D4F29">
        <w:rPr>
          <w:rFonts w:cstheme="minorHAnsi"/>
          <w:bCs/>
          <w:sz w:val="24"/>
          <w:szCs w:val="24"/>
          <w:lang w:val="sr-Latn-ME"/>
        </w:rPr>
        <w:t xml:space="preserve"> za registraciju biznisa i zaposlenih, naročito stranaca</w:t>
      </w:r>
    </w:p>
    <w:p w14:paraId="48810E2C" w14:textId="6CE01613" w:rsidR="00D47634" w:rsidRDefault="000D4F29" w:rsidP="00811046">
      <w:pPr>
        <w:rPr>
          <w:rFonts w:cstheme="minorHAnsi"/>
          <w:bCs/>
          <w:sz w:val="24"/>
          <w:szCs w:val="24"/>
          <w:lang w:val="sr-Latn-ME"/>
        </w:rPr>
      </w:pPr>
      <w:r>
        <w:rPr>
          <w:rFonts w:cstheme="minorHAnsi"/>
          <w:bCs/>
          <w:sz w:val="24"/>
          <w:szCs w:val="24"/>
          <w:lang w:val="sr-Latn-ME"/>
        </w:rPr>
        <w:lastRenderedPageBreak/>
        <w:t>-U</w:t>
      </w:r>
      <w:r w:rsidR="00D47634">
        <w:rPr>
          <w:rFonts w:cstheme="minorHAnsi"/>
          <w:bCs/>
          <w:sz w:val="24"/>
          <w:szCs w:val="24"/>
          <w:lang w:val="sr-Latn-ME"/>
        </w:rPr>
        <w:t>napređenje kapaciteta inspekcijskih organa, kao i ukupne  efikasnosti državne administracije kroz proces digitalizacije</w:t>
      </w:r>
    </w:p>
    <w:p w14:paraId="56D65457" w14:textId="028FA573" w:rsidR="00E14224" w:rsidRDefault="00D47634" w:rsidP="00811046">
      <w:pPr>
        <w:rPr>
          <w:rFonts w:cstheme="minorHAnsi"/>
          <w:bCs/>
          <w:sz w:val="24"/>
          <w:szCs w:val="24"/>
          <w:lang w:val="sr-Latn-ME"/>
        </w:rPr>
      </w:pPr>
      <w:r>
        <w:rPr>
          <w:rFonts w:cstheme="minorHAnsi"/>
          <w:bCs/>
          <w:sz w:val="24"/>
          <w:szCs w:val="24"/>
          <w:lang w:val="sr-Latn-ME"/>
        </w:rPr>
        <w:t>- Suzbijanje nelojalne konkurencije kroz podsticajne mjere za privredne subjekte koji uredno izmiruju obaveze prema državi</w:t>
      </w:r>
      <w:r w:rsidR="00ED3285">
        <w:rPr>
          <w:rFonts w:cstheme="minorHAnsi"/>
          <w:bCs/>
          <w:sz w:val="24"/>
          <w:szCs w:val="24"/>
          <w:lang w:val="sr-Latn-ME"/>
        </w:rPr>
        <w:t>, kao i podsticajne mejre za registraciju neregistorvanih biznisa.</w:t>
      </w:r>
    </w:p>
    <w:p w14:paraId="4F066AD7" w14:textId="7C5E8963" w:rsidR="000B6E8E" w:rsidRPr="005A5C62" w:rsidRDefault="00E14224" w:rsidP="00811046">
      <w:pPr>
        <w:rPr>
          <w:rFonts w:cstheme="minorHAnsi"/>
          <w:bCs/>
          <w:sz w:val="24"/>
          <w:szCs w:val="24"/>
          <w:lang w:val="sr-Latn-ME"/>
        </w:rPr>
      </w:pPr>
      <w:r w:rsidRPr="00E14224">
        <w:rPr>
          <w:rFonts w:cstheme="minorHAnsi"/>
          <w:bCs/>
          <w:sz w:val="24"/>
          <w:szCs w:val="24"/>
          <w:lang w:val="sr-Latn-ME"/>
        </w:rPr>
        <w:t xml:space="preserve">U nastavku su </w:t>
      </w:r>
      <w:r w:rsidR="00756CAA">
        <w:rPr>
          <w:rFonts w:cstheme="minorHAnsi"/>
          <w:bCs/>
          <w:sz w:val="24"/>
          <w:szCs w:val="24"/>
          <w:lang w:val="sr-Latn-ME"/>
        </w:rPr>
        <w:t>citirane</w:t>
      </w:r>
      <w:r w:rsidRPr="00E14224">
        <w:rPr>
          <w:rFonts w:cstheme="minorHAnsi"/>
          <w:bCs/>
          <w:sz w:val="24"/>
          <w:szCs w:val="24"/>
          <w:lang w:val="sr-Latn-ME"/>
        </w:rPr>
        <w:t xml:space="preserve"> neke od predloženih mjera.</w:t>
      </w:r>
    </w:p>
    <w:p w14:paraId="7C299653" w14:textId="77777777" w:rsidR="00811046" w:rsidRPr="005A5C62" w:rsidRDefault="00811046" w:rsidP="00811046">
      <w:pPr>
        <w:rPr>
          <w:rFonts w:cstheme="minorHAnsi"/>
          <w:bCs/>
          <w:i/>
          <w:sz w:val="24"/>
          <w:szCs w:val="24"/>
          <w:lang w:val="sr-Latn-ME"/>
        </w:rPr>
      </w:pPr>
      <w:r w:rsidRPr="005A5C62">
        <w:rPr>
          <w:rFonts w:cstheme="minorHAnsi"/>
          <w:bCs/>
          <w:i/>
          <w:sz w:val="24"/>
          <w:szCs w:val="24"/>
          <w:lang w:val="sr-Latn-ME"/>
        </w:rPr>
        <w:t>„</w:t>
      </w:r>
      <w:r w:rsidRPr="005A5C62">
        <w:rPr>
          <w:rFonts w:cstheme="minorHAnsi"/>
          <w:bCs/>
          <w:i/>
          <w:sz w:val="24"/>
          <w:szCs w:val="24"/>
          <w:lang w:val="pl-PL"/>
        </w:rPr>
        <w:t>Mjere</w:t>
      </w:r>
      <w:r w:rsidRPr="005A5C62">
        <w:rPr>
          <w:rFonts w:cstheme="minorHAnsi"/>
          <w:bCs/>
          <w:i/>
          <w:sz w:val="24"/>
          <w:szCs w:val="24"/>
          <w:lang w:val="sr-Latn-ME"/>
        </w:rPr>
        <w:t xml:space="preserve"> </w:t>
      </w:r>
      <w:r w:rsidRPr="005A5C62">
        <w:rPr>
          <w:rFonts w:cstheme="minorHAnsi"/>
          <w:bCs/>
          <w:i/>
          <w:sz w:val="24"/>
          <w:szCs w:val="24"/>
          <w:lang w:val="pl-PL"/>
        </w:rPr>
        <w:t>koje</w:t>
      </w:r>
      <w:r w:rsidRPr="005A5C62">
        <w:rPr>
          <w:rFonts w:cstheme="minorHAnsi"/>
          <w:bCs/>
          <w:i/>
          <w:sz w:val="24"/>
          <w:szCs w:val="24"/>
          <w:lang w:val="sr-Latn-ME"/>
        </w:rPr>
        <w:t xml:space="preserve"> ć</w:t>
      </w:r>
      <w:r w:rsidRPr="005A5C62">
        <w:rPr>
          <w:rFonts w:cstheme="minorHAnsi"/>
          <w:bCs/>
          <w:i/>
          <w:sz w:val="24"/>
          <w:szCs w:val="24"/>
          <w:lang w:val="pl-PL"/>
        </w:rPr>
        <w:t>e</w:t>
      </w:r>
      <w:r w:rsidRPr="005A5C62">
        <w:rPr>
          <w:rFonts w:cstheme="minorHAnsi"/>
          <w:bCs/>
          <w:i/>
          <w:sz w:val="24"/>
          <w:szCs w:val="24"/>
          <w:lang w:val="sr-Latn-ME"/>
        </w:rPr>
        <w:t xml:space="preserve"> </w:t>
      </w:r>
      <w:r w:rsidRPr="005A5C62">
        <w:rPr>
          <w:rFonts w:cstheme="minorHAnsi"/>
          <w:bCs/>
          <w:i/>
          <w:sz w:val="24"/>
          <w:szCs w:val="24"/>
          <w:lang w:val="pl-PL"/>
        </w:rPr>
        <w:t>dovesti</w:t>
      </w:r>
      <w:r w:rsidRPr="005A5C62">
        <w:rPr>
          <w:rFonts w:cstheme="minorHAnsi"/>
          <w:bCs/>
          <w:i/>
          <w:sz w:val="24"/>
          <w:szCs w:val="24"/>
          <w:lang w:val="sr-Latn-ME"/>
        </w:rPr>
        <w:t xml:space="preserve"> </w:t>
      </w:r>
      <w:r w:rsidRPr="005A5C62">
        <w:rPr>
          <w:rFonts w:cstheme="minorHAnsi"/>
          <w:bCs/>
          <w:i/>
          <w:sz w:val="24"/>
          <w:szCs w:val="24"/>
          <w:lang w:val="pl-PL"/>
        </w:rPr>
        <w:t>do</w:t>
      </w:r>
      <w:r w:rsidRPr="005A5C62">
        <w:rPr>
          <w:rFonts w:cstheme="minorHAnsi"/>
          <w:bCs/>
          <w:i/>
          <w:sz w:val="24"/>
          <w:szCs w:val="24"/>
          <w:lang w:val="sr-Latn-ME"/>
        </w:rPr>
        <w:t xml:space="preserve"> </w:t>
      </w:r>
      <w:r w:rsidRPr="005A5C62">
        <w:rPr>
          <w:rFonts w:cstheme="minorHAnsi"/>
          <w:bCs/>
          <w:i/>
          <w:sz w:val="24"/>
          <w:szCs w:val="24"/>
          <w:lang w:val="pl-PL"/>
        </w:rPr>
        <w:t>ja</w:t>
      </w:r>
      <w:r w:rsidRPr="005A5C62">
        <w:rPr>
          <w:rFonts w:cstheme="minorHAnsi"/>
          <w:bCs/>
          <w:i/>
          <w:sz w:val="24"/>
          <w:szCs w:val="24"/>
          <w:lang w:val="sr-Latn-ME"/>
        </w:rPr>
        <w:t>č</w:t>
      </w:r>
      <w:r w:rsidRPr="005A5C62">
        <w:rPr>
          <w:rFonts w:cstheme="minorHAnsi"/>
          <w:bCs/>
          <w:i/>
          <w:sz w:val="24"/>
          <w:szCs w:val="24"/>
          <w:lang w:val="pl-PL"/>
        </w:rPr>
        <w:t>anja</w:t>
      </w:r>
      <w:r w:rsidRPr="005A5C62">
        <w:rPr>
          <w:rFonts w:cstheme="minorHAnsi"/>
          <w:bCs/>
          <w:i/>
          <w:sz w:val="24"/>
          <w:szCs w:val="24"/>
          <w:lang w:val="sr-Latn-ME"/>
        </w:rPr>
        <w:t xml:space="preserve"> </w:t>
      </w:r>
      <w:r w:rsidRPr="005A5C62">
        <w:rPr>
          <w:rFonts w:cstheme="minorHAnsi"/>
          <w:bCs/>
          <w:i/>
          <w:sz w:val="24"/>
          <w:szCs w:val="24"/>
          <w:lang w:val="pl-PL"/>
        </w:rPr>
        <w:t>preduzetni</w:t>
      </w:r>
      <w:r w:rsidRPr="005A5C62">
        <w:rPr>
          <w:rFonts w:cstheme="minorHAnsi"/>
          <w:bCs/>
          <w:i/>
          <w:sz w:val="24"/>
          <w:szCs w:val="24"/>
          <w:lang w:val="sr-Latn-ME"/>
        </w:rPr>
        <w:t>štva i ekonomskih sloboda su:</w:t>
      </w:r>
    </w:p>
    <w:p w14:paraId="6278EC1B" w14:textId="77777777"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uvođenja olakšica za osnivanje biznisa (prevashodno poreskih), </w:t>
      </w:r>
    </w:p>
    <w:p w14:paraId="5406AEAF" w14:textId="77777777"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davanje grantova za start-up, </w:t>
      </w:r>
    </w:p>
    <w:p w14:paraId="1F68587A" w14:textId="77777777"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olakšice za zatvaranje biznisa, </w:t>
      </w:r>
    </w:p>
    <w:p w14:paraId="0116FF30" w14:textId="77777777"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brže rješavanja sudskih sporova, </w:t>
      </w:r>
    </w:p>
    <w:p w14:paraId="6A48971F" w14:textId="543642CE"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unapređenje digitalizacije u državi i kreiranja državne insitucije koje će se samo baviti digitalizacijom, </w:t>
      </w:r>
    </w:p>
    <w:p w14:paraId="7DDA736D" w14:textId="2C16BDDB"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smanjenje administrativnih barijera za vođenje biznisa</w:t>
      </w:r>
      <w:r w:rsidR="000D4F29">
        <w:rPr>
          <w:rFonts w:cstheme="minorHAnsi"/>
          <w:bCs/>
          <w:i/>
          <w:sz w:val="24"/>
          <w:szCs w:val="24"/>
          <w:lang w:val="sr-Latn-ME"/>
        </w:rPr>
        <w:t xml:space="preserve"> </w:t>
      </w:r>
    </w:p>
    <w:p w14:paraId="408B08DF" w14:textId="77777777"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uvođenje olakšica za privlačenje SDI (stranih direktnih investicija), </w:t>
      </w:r>
    </w:p>
    <w:p w14:paraId="30E0189F" w14:textId="77777777"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 xml:space="preserve">centralizacija baza podataka državnih organa - umjesto komplikovanih administrativnih procedura i zahtjeva potrebno je kreiranje jedne baze podataka sa svim matičnim podacima o stanovniku umjesto kao što je sad postojanje decentralizovanih baza podataka i isti podaci se traže od raznih institucija, </w:t>
      </w:r>
    </w:p>
    <w:p w14:paraId="21570790" w14:textId="7B2623DD" w:rsidR="00811046" w:rsidRPr="005A5C62" w:rsidRDefault="00811046">
      <w:pPr>
        <w:numPr>
          <w:ilvl w:val="0"/>
          <w:numId w:val="19"/>
        </w:numPr>
        <w:rPr>
          <w:rFonts w:cstheme="minorHAnsi"/>
          <w:bCs/>
          <w:i/>
          <w:sz w:val="24"/>
          <w:szCs w:val="24"/>
          <w:lang w:val="sr-Latn-ME"/>
        </w:rPr>
      </w:pPr>
      <w:r w:rsidRPr="005A5C62">
        <w:rPr>
          <w:rFonts w:cstheme="minorHAnsi"/>
          <w:bCs/>
          <w:i/>
          <w:sz w:val="24"/>
          <w:szCs w:val="24"/>
          <w:lang w:val="sr-Latn-ME"/>
        </w:rPr>
        <w:t>uvođenje implementacija elektornskih servisa i digitalizacije sa ciljem smanjenja administracije itd“.</w:t>
      </w:r>
    </w:p>
    <w:p w14:paraId="22C9D51D" w14:textId="77777777" w:rsidR="00811046" w:rsidRPr="005A5C62" w:rsidRDefault="00811046" w:rsidP="00811046">
      <w:pPr>
        <w:rPr>
          <w:rFonts w:cstheme="minorHAnsi"/>
          <w:bCs/>
          <w:i/>
          <w:sz w:val="24"/>
          <w:szCs w:val="24"/>
          <w:lang w:val="sr-Latn-ME"/>
        </w:rPr>
      </w:pPr>
      <w:r w:rsidRPr="005A5C62">
        <w:rPr>
          <w:rFonts w:cstheme="minorHAnsi"/>
          <w:bCs/>
          <w:i/>
          <w:sz w:val="24"/>
          <w:szCs w:val="24"/>
          <w:lang w:val="sr-Latn-ME"/>
        </w:rPr>
        <w:t>„Promjene u zakonodavstvu koje reguliše radno pravo (Zakon o radu). Neophodno je smanjenje mogućnosti za zloupotrebe zakonodavstva od strane radnika. Kontrola lažnih bolovanja. Smanjenje stopa dažbina i postrožavanje kaznjenih mjera. Programi usmjereni na povećanje stepena poznavanja zakonskih regulativa i procedura, te prava i obaveza preduzetnika u poslovanju. Pojednostavljanje tih procedura. Obavezno povećanje kvalifikacije zaposlenih u kontrolnim organima“.</w:t>
      </w:r>
    </w:p>
    <w:p w14:paraId="34017D0C" w14:textId="77777777" w:rsidR="00811046" w:rsidRPr="005A5C62" w:rsidRDefault="00811046" w:rsidP="00811046">
      <w:pPr>
        <w:rPr>
          <w:rFonts w:cstheme="minorHAnsi"/>
          <w:i/>
          <w:sz w:val="24"/>
          <w:szCs w:val="24"/>
          <w:lang w:val="sr-Latn-ME"/>
        </w:rPr>
      </w:pPr>
      <w:r w:rsidRPr="005A5C62">
        <w:rPr>
          <w:rFonts w:cstheme="minorHAnsi"/>
          <w:i/>
          <w:sz w:val="24"/>
          <w:szCs w:val="24"/>
          <w:lang w:val="pl-PL"/>
        </w:rPr>
        <w:t>„Ja</w:t>
      </w:r>
      <w:r w:rsidRPr="005A5C62">
        <w:rPr>
          <w:rFonts w:cstheme="minorHAnsi"/>
          <w:i/>
          <w:sz w:val="24"/>
          <w:szCs w:val="24"/>
          <w:lang w:val="sr-Latn-ME"/>
        </w:rPr>
        <w:t>č</w:t>
      </w:r>
      <w:r w:rsidRPr="005A5C62">
        <w:rPr>
          <w:rFonts w:cstheme="minorHAnsi"/>
          <w:i/>
          <w:sz w:val="24"/>
          <w:szCs w:val="24"/>
          <w:lang w:val="pl-PL"/>
        </w:rPr>
        <w:t>anje</w:t>
      </w:r>
      <w:r w:rsidRPr="005A5C62">
        <w:rPr>
          <w:rFonts w:cstheme="minorHAnsi"/>
          <w:i/>
          <w:sz w:val="24"/>
          <w:szCs w:val="24"/>
          <w:lang w:val="sr-Latn-ME"/>
        </w:rPr>
        <w:t xml:space="preserve"> </w:t>
      </w:r>
      <w:r w:rsidRPr="005A5C62">
        <w:rPr>
          <w:rFonts w:cstheme="minorHAnsi"/>
          <w:i/>
          <w:sz w:val="24"/>
          <w:szCs w:val="24"/>
          <w:lang w:val="pl-PL"/>
        </w:rPr>
        <w:t>kapaciteta</w:t>
      </w:r>
      <w:r w:rsidRPr="005A5C62">
        <w:rPr>
          <w:rFonts w:cstheme="minorHAnsi"/>
          <w:i/>
          <w:sz w:val="24"/>
          <w:szCs w:val="24"/>
          <w:lang w:val="sr-Latn-ME"/>
        </w:rPr>
        <w:t xml:space="preserve"> </w:t>
      </w:r>
      <w:r w:rsidRPr="005A5C62">
        <w:rPr>
          <w:rFonts w:cstheme="minorHAnsi"/>
          <w:i/>
          <w:sz w:val="24"/>
          <w:szCs w:val="24"/>
          <w:lang w:val="pl-PL"/>
        </w:rPr>
        <w:t>inspekcijskih</w:t>
      </w:r>
      <w:r w:rsidRPr="005A5C62">
        <w:rPr>
          <w:rFonts w:cstheme="minorHAnsi"/>
          <w:i/>
          <w:sz w:val="24"/>
          <w:szCs w:val="24"/>
          <w:lang w:val="sr-Latn-ME"/>
        </w:rPr>
        <w:t xml:space="preserve"> </w:t>
      </w:r>
      <w:r w:rsidRPr="005A5C62">
        <w:rPr>
          <w:rFonts w:cstheme="minorHAnsi"/>
          <w:i/>
          <w:sz w:val="24"/>
          <w:szCs w:val="24"/>
          <w:lang w:val="pl-PL"/>
        </w:rPr>
        <w:t>organa</w:t>
      </w:r>
      <w:r w:rsidRPr="005A5C62">
        <w:rPr>
          <w:rFonts w:cstheme="minorHAnsi"/>
          <w:i/>
          <w:sz w:val="24"/>
          <w:szCs w:val="24"/>
          <w:lang w:val="sr-Latn-ME"/>
        </w:rPr>
        <w:t xml:space="preserve"> </w:t>
      </w:r>
      <w:r w:rsidRPr="005A5C62">
        <w:rPr>
          <w:rFonts w:cstheme="minorHAnsi"/>
          <w:i/>
          <w:sz w:val="24"/>
          <w:szCs w:val="24"/>
          <w:lang w:val="pl-PL"/>
        </w:rPr>
        <w:t>i</w:t>
      </w:r>
      <w:r w:rsidRPr="005A5C62">
        <w:rPr>
          <w:rFonts w:cstheme="minorHAnsi"/>
          <w:i/>
          <w:sz w:val="24"/>
          <w:szCs w:val="24"/>
          <w:lang w:val="sr-Latn-ME"/>
        </w:rPr>
        <w:t xml:space="preserve"> </w:t>
      </w:r>
      <w:r w:rsidRPr="005A5C62">
        <w:rPr>
          <w:rFonts w:cstheme="minorHAnsi"/>
          <w:i/>
          <w:sz w:val="24"/>
          <w:szCs w:val="24"/>
          <w:lang w:val="pl-PL"/>
        </w:rPr>
        <w:t>sudova</w:t>
      </w:r>
      <w:r w:rsidRPr="005A5C62">
        <w:rPr>
          <w:rFonts w:cstheme="minorHAnsi"/>
          <w:i/>
          <w:sz w:val="24"/>
          <w:szCs w:val="24"/>
          <w:lang w:val="sr-Latn-ME"/>
        </w:rPr>
        <w:t xml:space="preserve">, </w:t>
      </w:r>
      <w:r w:rsidRPr="005A5C62">
        <w:rPr>
          <w:rFonts w:cstheme="minorHAnsi"/>
          <w:i/>
          <w:sz w:val="24"/>
          <w:szCs w:val="24"/>
          <w:lang w:val="pl-PL"/>
        </w:rPr>
        <w:t>unapre</w:t>
      </w:r>
      <w:r w:rsidRPr="005A5C62">
        <w:rPr>
          <w:rFonts w:cstheme="minorHAnsi"/>
          <w:i/>
          <w:sz w:val="24"/>
          <w:szCs w:val="24"/>
          <w:lang w:val="sr-Latn-ME"/>
        </w:rPr>
        <w:t>đ</w:t>
      </w:r>
      <w:r w:rsidRPr="005A5C62">
        <w:rPr>
          <w:rFonts w:cstheme="minorHAnsi"/>
          <w:i/>
          <w:sz w:val="24"/>
          <w:szCs w:val="24"/>
          <w:lang w:val="pl-PL"/>
        </w:rPr>
        <w:t>enje</w:t>
      </w:r>
      <w:r w:rsidRPr="005A5C62">
        <w:rPr>
          <w:rFonts w:cstheme="minorHAnsi"/>
          <w:i/>
          <w:sz w:val="24"/>
          <w:szCs w:val="24"/>
          <w:lang w:val="sr-Latn-ME"/>
        </w:rPr>
        <w:t xml:space="preserve"> </w:t>
      </w:r>
      <w:r w:rsidRPr="005A5C62">
        <w:rPr>
          <w:rFonts w:cstheme="minorHAnsi"/>
          <w:i/>
          <w:sz w:val="24"/>
          <w:szCs w:val="24"/>
          <w:lang w:val="pl-PL"/>
        </w:rPr>
        <w:t>kapaciteta</w:t>
      </w:r>
      <w:r w:rsidRPr="005A5C62">
        <w:rPr>
          <w:rFonts w:cstheme="minorHAnsi"/>
          <w:i/>
          <w:sz w:val="24"/>
          <w:szCs w:val="24"/>
          <w:lang w:val="sr-Latn-ME"/>
        </w:rPr>
        <w:t xml:space="preserve"> </w:t>
      </w:r>
      <w:r w:rsidRPr="005A5C62">
        <w:rPr>
          <w:rFonts w:cstheme="minorHAnsi"/>
          <w:i/>
          <w:sz w:val="24"/>
          <w:szCs w:val="24"/>
          <w:lang w:val="pl-PL"/>
        </w:rPr>
        <w:t>Poreske</w:t>
      </w:r>
      <w:r w:rsidRPr="005A5C62">
        <w:rPr>
          <w:rFonts w:cstheme="minorHAnsi"/>
          <w:i/>
          <w:sz w:val="24"/>
          <w:szCs w:val="24"/>
          <w:lang w:val="sr-Latn-ME"/>
        </w:rPr>
        <w:t xml:space="preserve"> </w:t>
      </w:r>
      <w:r w:rsidRPr="005A5C62">
        <w:rPr>
          <w:rFonts w:cstheme="minorHAnsi"/>
          <w:i/>
          <w:sz w:val="24"/>
          <w:szCs w:val="24"/>
          <w:lang w:val="pl-PL"/>
        </w:rPr>
        <w:t>uprave”</w:t>
      </w:r>
      <w:r w:rsidRPr="005A5C62">
        <w:rPr>
          <w:rFonts w:cstheme="minorHAnsi"/>
          <w:i/>
          <w:sz w:val="24"/>
          <w:szCs w:val="24"/>
          <w:lang w:val="sr-Latn-ME"/>
        </w:rPr>
        <w:t>.</w:t>
      </w:r>
    </w:p>
    <w:p w14:paraId="38270216" w14:textId="77777777" w:rsidR="00811046" w:rsidRPr="005A5C62" w:rsidRDefault="00811046" w:rsidP="00811046">
      <w:pPr>
        <w:rPr>
          <w:rFonts w:cstheme="minorHAnsi"/>
          <w:i/>
          <w:sz w:val="24"/>
          <w:szCs w:val="24"/>
          <w:lang w:val="sr-Latn-ME"/>
        </w:rPr>
      </w:pPr>
    </w:p>
    <w:p w14:paraId="36A2C00D" w14:textId="59817DD6" w:rsidR="00811046" w:rsidRPr="00756CAA" w:rsidRDefault="00811046" w:rsidP="00811046">
      <w:pPr>
        <w:rPr>
          <w:rFonts w:cstheme="minorHAnsi"/>
          <w:i/>
          <w:sz w:val="24"/>
          <w:szCs w:val="24"/>
          <w:lang w:val="sr-Latn-ME"/>
        </w:rPr>
      </w:pPr>
      <w:r w:rsidRPr="005A5C62">
        <w:rPr>
          <w:rFonts w:cstheme="minorHAnsi"/>
          <w:bCs/>
          <w:i/>
          <w:sz w:val="24"/>
          <w:szCs w:val="24"/>
          <w:lang w:val="sr-Latn-ME"/>
        </w:rPr>
        <w:t>„Kreiranje paketa subvencija koji se odnosi na novo zapošljavanje i registracija zaposlenih, kao sto su smanjenje poreza i doprinosa za određeni vremenski period.“</w:t>
      </w:r>
    </w:p>
    <w:p w14:paraId="1CAE8C1D" w14:textId="77777777" w:rsidR="00811046" w:rsidRPr="005A5C62" w:rsidRDefault="00811046" w:rsidP="00811046">
      <w:pPr>
        <w:rPr>
          <w:rFonts w:cstheme="minorHAnsi"/>
          <w:bCs/>
          <w:i/>
          <w:sz w:val="24"/>
          <w:szCs w:val="24"/>
          <w:lang w:val="sr-Latn-ME"/>
        </w:rPr>
      </w:pPr>
      <w:r w:rsidRPr="005A5C62">
        <w:rPr>
          <w:rFonts w:cstheme="minorHAnsi"/>
          <w:bCs/>
          <w:i/>
          <w:sz w:val="24"/>
          <w:szCs w:val="24"/>
          <w:lang w:val="sr-Latn-ME"/>
        </w:rPr>
        <w:t xml:space="preserve"> „Privredni subjekti koji uredno izmiruju poreske i druge obaveze su nedovoljno stimulisani u odnosu na drugu kategoriju subjekata. Potrebno je dizajnirati mehanizme, koji će se temeljiti na </w:t>
      </w:r>
      <w:r w:rsidRPr="005A5C62">
        <w:rPr>
          <w:rFonts w:cstheme="minorHAnsi"/>
          <w:bCs/>
          <w:i/>
          <w:sz w:val="24"/>
          <w:szCs w:val="24"/>
          <w:lang w:val="sr-Latn-ME"/>
        </w:rPr>
        <w:lastRenderedPageBreak/>
        <w:t xml:space="preserve">kombinaciji kvantitativnih i kvalitativnih elemenata, a čija će primjena dovesti do sistema bodovanja i prepoznavanja najboljih: </w:t>
      </w:r>
    </w:p>
    <w:p w14:paraId="6F4202C2" w14:textId="77777777" w:rsidR="00811046" w:rsidRPr="005A5C62" w:rsidRDefault="00811046">
      <w:pPr>
        <w:numPr>
          <w:ilvl w:val="0"/>
          <w:numId w:val="20"/>
        </w:numPr>
        <w:rPr>
          <w:rFonts w:cstheme="minorHAnsi"/>
          <w:bCs/>
          <w:i/>
          <w:sz w:val="24"/>
          <w:szCs w:val="24"/>
          <w:lang w:val="sr-Latn-ME"/>
        </w:rPr>
      </w:pPr>
      <w:r w:rsidRPr="005A5C62">
        <w:rPr>
          <w:rFonts w:cstheme="minorHAnsi"/>
          <w:bCs/>
          <w:i/>
          <w:sz w:val="24"/>
          <w:szCs w:val="24"/>
          <w:lang w:val="sr-Latn-ME"/>
        </w:rPr>
        <w:t>Na primjer, maksimalan broj bodova bi imao poreski subjekt koji tokom određenog (srazmjerno dugog) vremenskog perioda nije bio sankcionisan putem poreske kontrole.</w:t>
      </w:r>
    </w:p>
    <w:p w14:paraId="5270BE97" w14:textId="77777777" w:rsidR="00811046" w:rsidRPr="005A5C62" w:rsidRDefault="00811046">
      <w:pPr>
        <w:numPr>
          <w:ilvl w:val="0"/>
          <w:numId w:val="20"/>
        </w:numPr>
        <w:rPr>
          <w:rFonts w:cstheme="minorHAnsi"/>
          <w:bCs/>
          <w:i/>
          <w:sz w:val="24"/>
          <w:szCs w:val="24"/>
          <w:lang w:val="sr-Latn-ME"/>
        </w:rPr>
      </w:pPr>
      <w:r w:rsidRPr="005A5C62">
        <w:rPr>
          <w:rFonts w:cstheme="minorHAnsi"/>
          <w:bCs/>
          <w:i/>
          <w:sz w:val="24"/>
          <w:szCs w:val="24"/>
          <w:lang w:val="sr-Latn-ME"/>
        </w:rPr>
        <w:t xml:space="preserve">Određeni broj bodova mogao bi imati na bazi parametara o broju zaposlenih i visini zarade koju isplaćuje zaposlenima (npr. ako je iznad prosjeka za sektor u kome posluje dobija dodatne bodove). </w:t>
      </w:r>
    </w:p>
    <w:p w14:paraId="4A4C9945" w14:textId="77777777" w:rsidR="00811046" w:rsidRPr="005A5C62" w:rsidRDefault="00811046">
      <w:pPr>
        <w:numPr>
          <w:ilvl w:val="0"/>
          <w:numId w:val="20"/>
        </w:numPr>
        <w:rPr>
          <w:rFonts w:cstheme="minorHAnsi"/>
          <w:bCs/>
          <w:i/>
          <w:sz w:val="24"/>
          <w:szCs w:val="24"/>
          <w:lang w:val="sr-Latn-ME"/>
        </w:rPr>
      </w:pPr>
      <w:r w:rsidRPr="005A5C62">
        <w:rPr>
          <w:rFonts w:cstheme="minorHAnsi"/>
          <w:bCs/>
          <w:i/>
          <w:sz w:val="24"/>
          <w:szCs w:val="24"/>
          <w:lang w:val="sr-Latn-ME"/>
        </w:rPr>
        <w:t>Ako uredno izmiruje obaveze prema kreditorima i dobavljačima (čime unapređuje poslovni ambijent ) bio bi ,,nagrađen,, određenim brojem bodova itd.</w:t>
      </w:r>
    </w:p>
    <w:p w14:paraId="77A0D3EA" w14:textId="77777777" w:rsidR="00811046" w:rsidRPr="005A5C62" w:rsidRDefault="00811046" w:rsidP="00756CAA">
      <w:pPr>
        <w:jc w:val="both"/>
        <w:rPr>
          <w:rFonts w:cstheme="minorHAnsi"/>
          <w:bCs/>
          <w:i/>
          <w:sz w:val="24"/>
          <w:szCs w:val="24"/>
          <w:lang w:val="sr-Latn-ME"/>
        </w:rPr>
      </w:pPr>
      <w:r w:rsidRPr="005A5C62">
        <w:rPr>
          <w:rFonts w:cstheme="minorHAnsi"/>
          <w:bCs/>
          <w:i/>
          <w:sz w:val="24"/>
          <w:szCs w:val="24"/>
          <w:lang w:val="sr-Latn-ME"/>
        </w:rPr>
        <w:t>Tako kreiran broj bodova bi na osnovu predefinisanih parametara davao pravo subjektu na npr. povraćaj PDV-a po automatizmu (bez potrebe da se sprovodi posebna kontrola, koja inače nije obaveza po zakonu ali se u praksi najčešće sprovodi, a što bi indirektno uticalo i na rasterećenje inspekcijskih službi koje bi svoje resurse usmjerile na one subjekte koji posluju u „sivoj“ zoni, kao i na one koji u potpunosti nelegalno posluju usljed činjenice da nijesu registrovani), oslobođenje od plaćanja određenih administrativnih taksi i slično. Na drugoj strani, ukoliko bi poreski subjekt bio sankcionisan u poreskom postupku, gubio bi određen broj bodova. Uvođenje ovakvog modela u proces ocjenjivanja poreske discipline nije protivan duhu poreskih zakona i bazira se na podacima koji javni organi posjeduju. Ovakav regulatorni okvir iziskuje minimalne intervencije u odnosu na postojeći pravni sistem i finansijska sredstva koja nisu značajna“.</w:t>
      </w:r>
    </w:p>
    <w:p w14:paraId="6FEEAEC4" w14:textId="77777777" w:rsidR="00811046" w:rsidRPr="005A5C62" w:rsidRDefault="00811046" w:rsidP="00756CAA">
      <w:pPr>
        <w:jc w:val="both"/>
        <w:rPr>
          <w:rFonts w:cstheme="minorHAnsi"/>
          <w:i/>
          <w:sz w:val="24"/>
          <w:szCs w:val="24"/>
          <w:lang w:val="sr-Latn-ME"/>
        </w:rPr>
      </w:pPr>
      <w:r w:rsidRPr="005A5C62">
        <w:rPr>
          <w:rFonts w:cstheme="minorHAnsi"/>
          <w:sz w:val="24"/>
          <w:szCs w:val="24"/>
          <w:lang w:val="sr-Latn-RS"/>
        </w:rPr>
        <w:t xml:space="preserve"> „</w:t>
      </w:r>
      <w:r w:rsidRPr="005A5C62">
        <w:rPr>
          <w:rFonts w:cstheme="minorHAnsi"/>
          <w:i/>
          <w:sz w:val="24"/>
          <w:szCs w:val="24"/>
          <w:lang w:val="sr-Latn-RS"/>
        </w:rPr>
        <w:t>Potrebno je izvršiti pojednostavljenje procedura registracije kod poreskog organa, sezonske radne snage naročito stranih državljana.</w:t>
      </w:r>
      <w:r w:rsidRPr="005A5C62">
        <w:rPr>
          <w:rFonts w:cstheme="minorHAnsi"/>
          <w:i/>
          <w:sz w:val="24"/>
          <w:szCs w:val="24"/>
          <w:lang w:val="sr-Latn-ME"/>
        </w:rPr>
        <w:t xml:space="preserve"> </w:t>
      </w:r>
      <w:r w:rsidRPr="005A5C62">
        <w:rPr>
          <w:rFonts w:cstheme="minorHAnsi"/>
          <w:i/>
          <w:sz w:val="24"/>
          <w:szCs w:val="24"/>
          <w:lang w:val="sr-Latn-RS"/>
        </w:rPr>
        <w:t>Razmotriti da se u normativnom dijelu omogući obavljanje samostalne djelatnosti licima koja su već osigurana po drugom osnovu.</w:t>
      </w:r>
      <w:r w:rsidRPr="005A5C62">
        <w:rPr>
          <w:rFonts w:cstheme="minorHAnsi"/>
          <w:i/>
          <w:sz w:val="24"/>
          <w:szCs w:val="24"/>
          <w:lang w:val="sr-Latn-ME"/>
        </w:rPr>
        <w:t xml:space="preserve"> </w:t>
      </w:r>
      <w:r w:rsidRPr="005A5C62">
        <w:rPr>
          <w:rFonts w:cstheme="minorHAnsi"/>
          <w:i/>
          <w:sz w:val="24"/>
          <w:szCs w:val="24"/>
          <w:lang w:val="sr-Latn-RS"/>
        </w:rPr>
        <w:t>Razmotriti mogućnost izrade objedinjene elektronske prijave sezonskih radnika kroz izradu elektronskog web portala koji će služiti za komunikaciju između institucija (registara MUP-a, MER-a, Uprave prihoda i carina, lokalne samouprave...) i podnosioca zahtjeva, kako bi se omogućilo preuzimanje potrebnih podataka i omogućio uvid u potrebne podatke od strane ovlašćenih službenika.</w:t>
      </w:r>
    </w:p>
    <w:p w14:paraId="32B391A9" w14:textId="77777777" w:rsidR="00811046" w:rsidRPr="005A5C62" w:rsidRDefault="00811046" w:rsidP="00756CAA">
      <w:pPr>
        <w:jc w:val="both"/>
        <w:rPr>
          <w:rFonts w:cstheme="minorHAnsi"/>
          <w:i/>
          <w:sz w:val="24"/>
          <w:szCs w:val="24"/>
          <w:lang w:val="sr-Latn-ME"/>
        </w:rPr>
      </w:pPr>
      <w:r w:rsidRPr="005A5C62">
        <w:rPr>
          <w:rFonts w:cstheme="minorHAnsi"/>
          <w:i/>
          <w:sz w:val="24"/>
          <w:szCs w:val="24"/>
          <w:lang w:val="sr-Latn-ME"/>
        </w:rPr>
        <w:t>Pojednostaviti obrasce za izdavanje radne dozvole – da podnosilac zahtjeva unosi samo one podatke, koje nadležni organ ne posjeduje, a da se ostali potrebni podaci preuzimaju iz izvornih registara;</w:t>
      </w:r>
    </w:p>
    <w:p w14:paraId="6E7F2662" w14:textId="62061CBD" w:rsidR="00811046" w:rsidRPr="005A5C62" w:rsidRDefault="00811046" w:rsidP="00C22A10">
      <w:pPr>
        <w:jc w:val="both"/>
        <w:rPr>
          <w:rFonts w:cstheme="minorHAnsi"/>
          <w:i/>
          <w:sz w:val="24"/>
          <w:szCs w:val="24"/>
          <w:lang w:val="sr-Latn-ME"/>
        </w:rPr>
      </w:pPr>
      <w:r w:rsidRPr="005A5C62">
        <w:rPr>
          <w:rFonts w:cstheme="minorHAnsi"/>
          <w:i/>
          <w:sz w:val="24"/>
          <w:szCs w:val="24"/>
          <w:lang w:val="sr-Latn-ME"/>
        </w:rPr>
        <w:t>Razmatriti mogućnost da se na osnovu izdate potvrde o podnesenom zahtjevu za dobijanje dozvole za privremeni boravak i rad, radnik na određeno vrijeme prijavi poreskom organu, na osnovu čega bi poslodavac mogao odmah istog angažovati</w:t>
      </w:r>
      <w:r w:rsidRPr="005A5C62">
        <w:rPr>
          <w:rFonts w:cstheme="minorHAnsi"/>
          <w:b/>
          <w:i/>
          <w:sz w:val="24"/>
          <w:szCs w:val="24"/>
          <w:lang w:val="sr-Latn-ME"/>
        </w:rPr>
        <w:t xml:space="preserve">, </w:t>
      </w:r>
      <w:r w:rsidRPr="005A5C62">
        <w:rPr>
          <w:rFonts w:cstheme="minorHAnsi"/>
          <w:i/>
          <w:sz w:val="24"/>
          <w:szCs w:val="24"/>
          <w:lang w:val="sr-Latn-ME"/>
        </w:rPr>
        <w:t>što bi doprinijelo smanjenju neprijavljenog rada i obima sive ekonomije, kao i povećanju prihoda države po osnovu poreza i doprinosa“.</w:t>
      </w:r>
    </w:p>
    <w:p w14:paraId="06AD6C7D" w14:textId="3E837411" w:rsidR="00811046" w:rsidRPr="005A5C62" w:rsidRDefault="00811046" w:rsidP="00C22A10">
      <w:pPr>
        <w:jc w:val="both"/>
        <w:rPr>
          <w:rFonts w:cstheme="minorHAnsi"/>
          <w:i/>
          <w:sz w:val="24"/>
          <w:szCs w:val="24"/>
          <w:lang w:val="pl-PL"/>
        </w:rPr>
      </w:pPr>
      <w:r w:rsidRPr="00ED3285">
        <w:rPr>
          <w:rFonts w:cstheme="minorHAnsi"/>
          <w:i/>
          <w:sz w:val="24"/>
          <w:szCs w:val="24"/>
          <w:lang w:val="sr-Latn-ME"/>
        </w:rPr>
        <w:lastRenderedPageBreak/>
        <w:t xml:space="preserve"> </w:t>
      </w:r>
      <w:r w:rsidRPr="005A5C62">
        <w:rPr>
          <w:rFonts w:cstheme="minorHAnsi"/>
          <w:i/>
          <w:sz w:val="24"/>
          <w:szCs w:val="24"/>
          <w:lang w:val="pl-PL"/>
        </w:rPr>
        <w:t>„Neregistrovane biznise potrebno je prvo evidentirati. Nakon toga, ponuditi im zakonske olakšice i ostaviti rokove u kojima bi prešli u legalne tokove, a one koji to ne rade, sankcionisati”.</w:t>
      </w:r>
    </w:p>
    <w:p w14:paraId="785854B7" w14:textId="5EE1C1A9" w:rsidR="00811046" w:rsidRPr="00E205A9" w:rsidRDefault="00811046" w:rsidP="00E205A9">
      <w:pPr>
        <w:jc w:val="both"/>
        <w:rPr>
          <w:rFonts w:cstheme="minorHAnsi"/>
          <w:i/>
          <w:sz w:val="24"/>
          <w:szCs w:val="24"/>
          <w:lang w:val="sr-Latn-ME"/>
        </w:rPr>
      </w:pPr>
      <w:r w:rsidRPr="005A5C62">
        <w:rPr>
          <w:rFonts w:cstheme="minorHAnsi"/>
          <w:i/>
          <w:sz w:val="24"/>
          <w:szCs w:val="24"/>
          <w:lang w:val="sr-Latn-ME"/>
        </w:rPr>
        <w:t>„Smanjiti poresko opterećenja ili poreske olakšice za one privredne subjekte koji izmiruju svoje zakonske obaveze, primjenjuju ESG standarde i sl. Pored toga, Vlada i jedinice lokalne samouprave treba da analiziraju broj, vrstu i visinu parafiskalnih opterećenja, te da iste prilagode stvarnim potrebama“.</w:t>
      </w:r>
    </w:p>
    <w:p w14:paraId="56ACAD39" w14:textId="7BA81DE8" w:rsidR="00811046" w:rsidRPr="00C22A10" w:rsidRDefault="00811046" w:rsidP="00811046">
      <w:pPr>
        <w:numPr>
          <w:ilvl w:val="1"/>
          <w:numId w:val="13"/>
        </w:numPr>
        <w:rPr>
          <w:rFonts w:cstheme="minorHAnsi"/>
          <w:b/>
          <w:bCs/>
          <w:iCs/>
          <w:sz w:val="24"/>
          <w:szCs w:val="24"/>
          <w:lang w:val="sr-Latn-ME"/>
        </w:rPr>
      </w:pPr>
      <w:bookmarkStart w:id="55" w:name="_Toc141249039"/>
      <w:r w:rsidRPr="005A5C62">
        <w:rPr>
          <w:rFonts w:cstheme="minorHAnsi"/>
          <w:b/>
          <w:bCs/>
          <w:iCs/>
          <w:sz w:val="24"/>
          <w:szCs w:val="24"/>
          <w:lang w:val="sr-Latn-ME"/>
        </w:rPr>
        <w:t>Bezgotovinsko plaćanje</w:t>
      </w:r>
      <w:bookmarkEnd w:id="55"/>
    </w:p>
    <w:p w14:paraId="67A50EE0" w14:textId="239D158A" w:rsidR="000B6E8E" w:rsidRDefault="00811046" w:rsidP="000B6E8E">
      <w:pPr>
        <w:jc w:val="both"/>
        <w:rPr>
          <w:rFonts w:cstheme="minorHAnsi"/>
          <w:bCs/>
          <w:sz w:val="24"/>
          <w:szCs w:val="24"/>
          <w:lang w:val="sr-Latn-ME"/>
        </w:rPr>
      </w:pPr>
      <w:r w:rsidRPr="005A5C62">
        <w:rPr>
          <w:rFonts w:cstheme="minorHAnsi"/>
          <w:bCs/>
          <w:sz w:val="24"/>
          <w:szCs w:val="24"/>
          <w:lang w:val="sr-Latn-ME"/>
        </w:rPr>
        <w:t>Imajući u vidu sve češće korišćenje bezgotovinskog plaćanja u zemlji i inostranstvu, ispitanici su pitani da li smatraju da je potrebno uvesti podsticajne mjere/aktivnosti za veću upotrebu bezgotovinskog plaćanja? Kako i kojom dinamikom? Na ovo pitanje gotovo svi ispitanici su odgovorili pozitivno tj, smatraju da bi trebalo uvesti podsticajne mjere za veću upotrebu</w:t>
      </w:r>
      <w:r w:rsidR="000B6E8E">
        <w:rPr>
          <w:rFonts w:cstheme="minorHAnsi"/>
          <w:bCs/>
          <w:sz w:val="24"/>
          <w:szCs w:val="24"/>
          <w:lang w:val="sr-Latn-ME"/>
        </w:rPr>
        <w:t xml:space="preserve"> i stimulisanje</w:t>
      </w:r>
      <w:r w:rsidRPr="005A5C62">
        <w:rPr>
          <w:rFonts w:cstheme="minorHAnsi"/>
          <w:bCs/>
          <w:sz w:val="24"/>
          <w:szCs w:val="24"/>
          <w:lang w:val="sr-Latn-ME"/>
        </w:rPr>
        <w:t xml:space="preserve"> bezgotovinsko plaćanje. Ispitanici su predložili i mjere za koje smatraju da bi bile korisne za povećanje upotrebe bezgotovinskog plaćanja. </w:t>
      </w:r>
      <w:r w:rsidR="00E14224">
        <w:rPr>
          <w:rFonts w:cstheme="minorHAnsi"/>
          <w:bCs/>
          <w:sz w:val="24"/>
          <w:szCs w:val="24"/>
          <w:lang w:val="sr-Latn-ME"/>
        </w:rPr>
        <w:t xml:space="preserve">One </w:t>
      </w:r>
      <w:r w:rsidR="00306626">
        <w:rPr>
          <w:rFonts w:cstheme="minorHAnsi"/>
          <w:bCs/>
          <w:sz w:val="24"/>
          <w:szCs w:val="24"/>
          <w:lang w:val="sr-Latn-ME"/>
        </w:rPr>
        <w:t xml:space="preserve">generalno, </w:t>
      </w:r>
      <w:r w:rsidR="00E14224">
        <w:rPr>
          <w:rFonts w:cstheme="minorHAnsi"/>
          <w:bCs/>
          <w:sz w:val="24"/>
          <w:szCs w:val="24"/>
          <w:lang w:val="sr-Latn-ME"/>
        </w:rPr>
        <w:t>obuhvataju:</w:t>
      </w:r>
    </w:p>
    <w:p w14:paraId="6768D6EC" w14:textId="42CA0CC4" w:rsidR="00E14224" w:rsidRDefault="00E14224" w:rsidP="000B6E8E">
      <w:pPr>
        <w:jc w:val="both"/>
        <w:rPr>
          <w:rFonts w:cstheme="minorHAnsi"/>
          <w:bCs/>
          <w:sz w:val="24"/>
          <w:szCs w:val="24"/>
          <w:lang w:val="sr-Latn-ME"/>
        </w:rPr>
      </w:pPr>
      <w:r>
        <w:rPr>
          <w:rFonts w:cstheme="minorHAnsi"/>
          <w:bCs/>
          <w:sz w:val="24"/>
          <w:szCs w:val="24"/>
          <w:lang w:val="sr-Latn-ME"/>
        </w:rPr>
        <w:t>-</w:t>
      </w:r>
      <w:r w:rsidR="00306626">
        <w:rPr>
          <w:rFonts w:cstheme="minorHAnsi"/>
          <w:bCs/>
          <w:sz w:val="24"/>
          <w:szCs w:val="24"/>
          <w:lang w:val="sr-Latn-ME"/>
        </w:rPr>
        <w:t>s</w:t>
      </w:r>
      <w:r>
        <w:rPr>
          <w:rFonts w:cstheme="minorHAnsi"/>
          <w:bCs/>
          <w:sz w:val="24"/>
          <w:szCs w:val="24"/>
          <w:lang w:val="sr-Latn-ME"/>
        </w:rPr>
        <w:t>manjenje bankarskih provizija</w:t>
      </w:r>
    </w:p>
    <w:p w14:paraId="275D6E96" w14:textId="4207EDA9" w:rsidR="00E14224" w:rsidRDefault="00E14224" w:rsidP="000B6E8E">
      <w:pPr>
        <w:jc w:val="both"/>
        <w:rPr>
          <w:rFonts w:cstheme="minorHAnsi"/>
          <w:bCs/>
          <w:sz w:val="24"/>
          <w:szCs w:val="24"/>
          <w:lang w:val="sr-Latn-ME"/>
        </w:rPr>
      </w:pPr>
      <w:r>
        <w:rPr>
          <w:rFonts w:cstheme="minorHAnsi"/>
          <w:bCs/>
          <w:sz w:val="24"/>
          <w:szCs w:val="24"/>
          <w:lang w:val="sr-Latn-ME"/>
        </w:rPr>
        <w:t>-</w:t>
      </w:r>
      <w:r w:rsidR="00306626">
        <w:rPr>
          <w:rFonts w:cstheme="minorHAnsi"/>
          <w:bCs/>
          <w:sz w:val="24"/>
          <w:szCs w:val="24"/>
          <w:lang w:val="sr-Latn-ME"/>
        </w:rPr>
        <w:t>podsticanje elektronskog plaćanja</w:t>
      </w:r>
    </w:p>
    <w:p w14:paraId="406C7467" w14:textId="42CF0ED7" w:rsidR="00306626" w:rsidRDefault="00306626" w:rsidP="000B6E8E">
      <w:pPr>
        <w:jc w:val="both"/>
        <w:rPr>
          <w:rFonts w:cstheme="minorHAnsi"/>
          <w:bCs/>
          <w:sz w:val="24"/>
          <w:szCs w:val="24"/>
          <w:lang w:val="sr-Latn-ME"/>
        </w:rPr>
      </w:pPr>
      <w:r>
        <w:rPr>
          <w:rFonts w:cstheme="minorHAnsi"/>
          <w:bCs/>
          <w:sz w:val="24"/>
          <w:szCs w:val="24"/>
          <w:lang w:val="sr-Latn-ME"/>
        </w:rPr>
        <w:t>-limitiranje vrijednosti trnsakcija koje se mogu izvršiti upotrebom  gotovine</w:t>
      </w:r>
    </w:p>
    <w:p w14:paraId="700297CB" w14:textId="00306FAA" w:rsidR="00306626" w:rsidRPr="00306626" w:rsidRDefault="00306626" w:rsidP="000B6E8E">
      <w:pPr>
        <w:jc w:val="both"/>
        <w:rPr>
          <w:rFonts w:cstheme="minorHAnsi"/>
          <w:bCs/>
          <w:sz w:val="24"/>
          <w:szCs w:val="24"/>
          <w:lang w:val="sr-Latn-ME"/>
        </w:rPr>
      </w:pPr>
      <w:r w:rsidRPr="00306626">
        <w:rPr>
          <w:rFonts w:cstheme="minorHAnsi"/>
          <w:bCs/>
          <w:sz w:val="24"/>
          <w:szCs w:val="24"/>
          <w:lang w:val="sr-Latn-ME"/>
        </w:rPr>
        <w:t>-</w:t>
      </w:r>
      <w:r w:rsidRPr="00306626">
        <w:rPr>
          <w:rFonts w:cstheme="minorHAnsi"/>
          <w:sz w:val="24"/>
          <w:szCs w:val="24"/>
          <w:lang w:val="sr-Latn-ME"/>
        </w:rPr>
        <w:t xml:space="preserve"> </w:t>
      </w:r>
      <w:r w:rsidRPr="00306626">
        <w:rPr>
          <w:rFonts w:cstheme="minorHAnsi"/>
          <w:bCs/>
          <w:sz w:val="24"/>
          <w:szCs w:val="24"/>
          <w:lang w:val="sr-Latn-ME"/>
        </w:rPr>
        <w:t>ograničavanje procenta provizije komercijalnih banaka od transakcija bezgotovinskog plaćanja</w:t>
      </w:r>
      <w:r>
        <w:rPr>
          <w:rFonts w:cstheme="minorHAnsi"/>
          <w:bCs/>
          <w:sz w:val="24"/>
          <w:szCs w:val="24"/>
          <w:lang w:val="sr-Latn-ME"/>
        </w:rPr>
        <w:t>.</w:t>
      </w:r>
    </w:p>
    <w:p w14:paraId="3A98FAB4" w14:textId="7AFCCD75" w:rsidR="00811046" w:rsidRPr="005A5C62" w:rsidRDefault="00811046" w:rsidP="00756CAA">
      <w:pPr>
        <w:jc w:val="both"/>
        <w:rPr>
          <w:rFonts w:cstheme="minorHAnsi"/>
          <w:bCs/>
          <w:sz w:val="24"/>
          <w:szCs w:val="24"/>
          <w:lang w:val="sr-Latn-ME"/>
        </w:rPr>
      </w:pPr>
      <w:r w:rsidRPr="005A5C62">
        <w:rPr>
          <w:rFonts w:cstheme="minorHAnsi"/>
          <w:bCs/>
          <w:sz w:val="24"/>
          <w:szCs w:val="24"/>
          <w:lang w:val="sr-Latn-ME"/>
        </w:rPr>
        <w:t>U nastavku su</w:t>
      </w:r>
      <w:r w:rsidR="00FA047B">
        <w:rPr>
          <w:rFonts w:cstheme="minorHAnsi"/>
          <w:bCs/>
          <w:sz w:val="24"/>
          <w:szCs w:val="24"/>
          <w:lang w:val="sr-Latn-ME"/>
        </w:rPr>
        <w:t xml:space="preserve"> citirani</w:t>
      </w:r>
      <w:r w:rsidRPr="005A5C62">
        <w:rPr>
          <w:rFonts w:cstheme="minorHAnsi"/>
          <w:bCs/>
          <w:sz w:val="24"/>
          <w:szCs w:val="24"/>
          <w:lang w:val="sr-Latn-ME"/>
        </w:rPr>
        <w:t xml:space="preserve"> neki od odgovora i predloženih mjera: </w:t>
      </w:r>
    </w:p>
    <w:p w14:paraId="19D6B02C" w14:textId="77777777" w:rsidR="00811046" w:rsidRPr="005A5C62" w:rsidRDefault="00811046" w:rsidP="00756CAA">
      <w:pPr>
        <w:jc w:val="both"/>
        <w:rPr>
          <w:rFonts w:cstheme="minorHAnsi"/>
          <w:bCs/>
          <w:i/>
          <w:sz w:val="24"/>
          <w:szCs w:val="24"/>
          <w:lang w:val="sr-Latn-ME"/>
        </w:rPr>
      </w:pPr>
      <w:r w:rsidRPr="005A5C62">
        <w:rPr>
          <w:rFonts w:cstheme="minorHAnsi"/>
          <w:bCs/>
          <w:i/>
          <w:sz w:val="24"/>
          <w:szCs w:val="24"/>
          <w:lang w:val="sr-Latn-ME"/>
        </w:rPr>
        <w:t>„Smanjenje bankarskih provizija, uprostiti elektronsko bankarstvo, popust pri plaćanju poreza na dobit firmi koje nemaju gotovinsko plaćanje“.</w:t>
      </w:r>
    </w:p>
    <w:p w14:paraId="5D9B4B5B" w14:textId="77BE6C6E" w:rsidR="00811046" w:rsidRPr="005A5C62" w:rsidRDefault="00811046" w:rsidP="00756CAA">
      <w:pPr>
        <w:jc w:val="both"/>
        <w:rPr>
          <w:rFonts w:cstheme="minorHAnsi"/>
          <w:bCs/>
          <w:i/>
          <w:sz w:val="24"/>
          <w:szCs w:val="24"/>
          <w:lang w:val="pl-PL"/>
        </w:rPr>
      </w:pPr>
      <w:r w:rsidRPr="005A5C62">
        <w:rPr>
          <w:rFonts w:cstheme="minorHAnsi"/>
          <w:bCs/>
          <w:i/>
          <w:sz w:val="24"/>
          <w:szCs w:val="24"/>
          <w:lang w:val="sr-Latn-ME"/>
        </w:rPr>
        <w:t>„</w:t>
      </w:r>
      <w:r w:rsidRPr="005A5C62">
        <w:rPr>
          <w:rFonts w:cstheme="minorHAnsi"/>
          <w:bCs/>
          <w:i/>
          <w:sz w:val="24"/>
          <w:szCs w:val="24"/>
          <w:lang w:val="pl-PL"/>
        </w:rPr>
        <w:t>Da, i u dijelu podsticaja za elektronsko plaćanje (na primjer, diferenciranjem naknada za elektronske transakcije u odnosu na tradicionalno plaćanje), ali i u dijelu omogućavanje elektronskih usluga banaka za građane i privredu. Zakon o elektornskom identitetu i elektronskom potpisu iz 2020. godine je dobra osnova, takođe i novi Zakon o elektronskom dokumentu iz 2022. godine, ali za potpunu primjenu potrebno je prilagoditi regulatorni okvir u dijelu</w:t>
      </w:r>
      <w:r w:rsidRPr="005A5C62">
        <w:rPr>
          <w:rFonts w:cstheme="minorHAnsi"/>
          <w:bCs/>
          <w:sz w:val="24"/>
          <w:szCs w:val="24"/>
          <w:lang w:val="pl-PL"/>
        </w:rPr>
        <w:t xml:space="preserve"> </w:t>
      </w:r>
      <w:r w:rsidRPr="005A5C62">
        <w:rPr>
          <w:rFonts w:cstheme="minorHAnsi"/>
          <w:bCs/>
          <w:i/>
          <w:sz w:val="24"/>
          <w:szCs w:val="24"/>
          <w:lang w:val="pl-PL"/>
        </w:rPr>
        <w:t xml:space="preserve">podzakonskih akata koji ne korespondiraju sa izmjenama pomenutih zakonskih rješenja (kao npr. akti kojima se uređuju mjenice ili administrativne zabrane, itd.). </w:t>
      </w:r>
    </w:p>
    <w:p w14:paraId="7DD668F6" w14:textId="5F52A189" w:rsidR="00811046" w:rsidRPr="005A5C62" w:rsidRDefault="00811046" w:rsidP="00756CAA">
      <w:pPr>
        <w:jc w:val="both"/>
        <w:rPr>
          <w:rFonts w:cstheme="minorHAnsi"/>
          <w:i/>
          <w:sz w:val="24"/>
          <w:szCs w:val="24"/>
          <w:lang w:val="sr-Latn-ME"/>
        </w:rPr>
      </w:pPr>
      <w:r w:rsidRPr="005A5C62">
        <w:rPr>
          <w:rFonts w:cstheme="minorHAnsi"/>
          <w:i/>
          <w:sz w:val="24"/>
          <w:szCs w:val="24"/>
          <w:lang w:val="sr-Latn-ME"/>
        </w:rPr>
        <w:t>„Razmotriti mogućnosti oporezivanja gotovinskih transakcija kod pravnih lica, isplate gotovine itd.“</w:t>
      </w:r>
    </w:p>
    <w:p w14:paraId="2585B18F" w14:textId="77777777" w:rsidR="00811046" w:rsidRPr="005A5C62" w:rsidRDefault="00811046" w:rsidP="00756CAA">
      <w:pPr>
        <w:jc w:val="both"/>
        <w:rPr>
          <w:rFonts w:cstheme="minorHAnsi"/>
          <w:bCs/>
          <w:i/>
          <w:sz w:val="24"/>
          <w:szCs w:val="24"/>
          <w:lang w:val="sr-Latn-ME"/>
        </w:rPr>
      </w:pPr>
      <w:r w:rsidRPr="005A5C62">
        <w:rPr>
          <w:rFonts w:cstheme="minorHAnsi"/>
          <w:bCs/>
          <w:i/>
          <w:sz w:val="24"/>
          <w:szCs w:val="24"/>
          <w:lang w:val="sr-Latn-ME"/>
        </w:rPr>
        <w:t xml:space="preserve"> „</w:t>
      </w:r>
      <w:r w:rsidRPr="005A5C62">
        <w:rPr>
          <w:rFonts w:cstheme="minorHAnsi"/>
          <w:i/>
          <w:sz w:val="24"/>
          <w:szCs w:val="24"/>
          <w:lang w:val="sr-Latn-ME"/>
        </w:rPr>
        <w:t>Jedna od mjera/aktivnosti za veću upotrebu bezgotovinskog plaćanja je opcija limitiranja vrijednosti transakcije koju je moguće izvršiti gotovinski, tj. preko određenog iznosa uvesti zabranu gotovinskih transakcija (npr. 500 eur)“</w:t>
      </w:r>
    </w:p>
    <w:p w14:paraId="14F98F19" w14:textId="77777777" w:rsidR="00811046" w:rsidRPr="005A5C62" w:rsidRDefault="00811046" w:rsidP="00811046">
      <w:pPr>
        <w:rPr>
          <w:rFonts w:cstheme="minorHAnsi"/>
          <w:bCs/>
          <w:sz w:val="24"/>
          <w:szCs w:val="24"/>
          <w:lang w:val="sr-Latn-ME"/>
        </w:rPr>
      </w:pPr>
    </w:p>
    <w:p w14:paraId="44F364E2" w14:textId="77777777" w:rsidR="00811046" w:rsidRPr="005A5C62" w:rsidRDefault="00811046" w:rsidP="00811046">
      <w:pPr>
        <w:rPr>
          <w:rFonts w:cstheme="minorHAnsi"/>
          <w:i/>
          <w:sz w:val="24"/>
          <w:szCs w:val="24"/>
          <w:lang w:val="sr-Latn-ME"/>
        </w:rPr>
      </w:pPr>
      <w:r w:rsidRPr="005A5C62">
        <w:rPr>
          <w:rFonts w:cstheme="minorHAnsi"/>
          <w:i/>
          <w:sz w:val="24"/>
          <w:szCs w:val="24"/>
          <w:lang w:val="sr-Latn-ME"/>
        </w:rPr>
        <w:lastRenderedPageBreak/>
        <w:t>„Jedna od mjera koja bi uticala na povećanje upotrebe bezgotovinskog plaćanja bila bi ograničavanje procenta provizije komercijalnih banaka od transakcija bezgotovinskog plaćanja. Osim toga, banke treba da omoguće korišćenje POS terminala, kako bi se potrošači oslobodili tereta provizije ukoliko mjesto prodaje/plaćanja nema POS terminal komercijalne banke čiji je potrošač klijent“.</w:t>
      </w:r>
    </w:p>
    <w:p w14:paraId="21741D92" w14:textId="2C86FE2A" w:rsidR="00811046" w:rsidRPr="00756CAA" w:rsidRDefault="00686BAF" w:rsidP="00811046">
      <w:pPr>
        <w:rPr>
          <w:rFonts w:cstheme="minorHAnsi"/>
          <w:b/>
          <w:bCs/>
          <w:iCs/>
          <w:sz w:val="24"/>
          <w:szCs w:val="24"/>
          <w:lang w:val="sr-Latn-ME"/>
        </w:rPr>
      </w:pPr>
      <w:bookmarkStart w:id="56" w:name="_Toc141249040"/>
      <w:r>
        <w:rPr>
          <w:rFonts w:cstheme="minorHAnsi"/>
          <w:b/>
          <w:bCs/>
          <w:iCs/>
          <w:sz w:val="24"/>
          <w:szCs w:val="24"/>
          <w:lang w:val="sr-Latn-ME"/>
        </w:rPr>
        <w:t>2</w:t>
      </w:r>
      <w:r w:rsidR="00811046" w:rsidRPr="005A5C62">
        <w:rPr>
          <w:rFonts w:cstheme="minorHAnsi"/>
          <w:b/>
          <w:bCs/>
          <w:iCs/>
          <w:sz w:val="24"/>
          <w:szCs w:val="24"/>
          <w:lang w:val="sr-Latn-ME"/>
        </w:rPr>
        <w:t>.9. Restriktivne mjere</w:t>
      </w:r>
      <w:bookmarkEnd w:id="56"/>
      <w:r w:rsidR="00811046" w:rsidRPr="005A5C62">
        <w:rPr>
          <w:rFonts w:cstheme="minorHAnsi"/>
          <w:b/>
          <w:bCs/>
          <w:iCs/>
          <w:sz w:val="24"/>
          <w:szCs w:val="24"/>
          <w:lang w:val="sr-Latn-ME"/>
        </w:rPr>
        <w:t xml:space="preserve"> </w:t>
      </w:r>
    </w:p>
    <w:p w14:paraId="1040074E" w14:textId="77777777" w:rsidR="00C14381" w:rsidRDefault="00811046" w:rsidP="005A5C62">
      <w:pPr>
        <w:jc w:val="both"/>
        <w:rPr>
          <w:rFonts w:cstheme="minorHAnsi"/>
          <w:bCs/>
          <w:sz w:val="24"/>
          <w:szCs w:val="24"/>
          <w:lang w:val="sr-Latn-ME"/>
        </w:rPr>
      </w:pPr>
      <w:r w:rsidRPr="005A5C62">
        <w:rPr>
          <w:rFonts w:cstheme="minorHAnsi"/>
          <w:bCs/>
          <w:sz w:val="24"/>
          <w:szCs w:val="24"/>
          <w:lang w:val="sr-Latn-ME"/>
        </w:rPr>
        <w:t xml:space="preserve">Koje restriktivne/represivne mjere/aktivnosti vidite kao najvažnije u dostizanju gore navedenih mogućih okvirnih ciljeva Programa suzbijanja neformalne ekonomije? Koje su to restriktivne mjere važne za preduzeća da prijave sve prihode, a koje da registruju zaposlene čiji dio zarade ili cjelokupnu zaradu ne prijavljuju? Koje mjere vidite kao važne za neregistrovane biznise, zaposlene ili nepokretnosti da bi se registrovali? Koje su aktivnosti nadležnih organa neophodne u implementaciji ovih mjera? </w:t>
      </w:r>
    </w:p>
    <w:p w14:paraId="07B99F82" w14:textId="78ECF1C3" w:rsidR="0057780D" w:rsidRDefault="00C14381" w:rsidP="0057780D">
      <w:pPr>
        <w:jc w:val="both"/>
        <w:rPr>
          <w:rFonts w:cstheme="minorHAnsi"/>
          <w:bCs/>
          <w:sz w:val="24"/>
          <w:szCs w:val="24"/>
          <w:lang w:val="sr-Latn-ME"/>
        </w:rPr>
      </w:pPr>
      <w:r>
        <w:rPr>
          <w:rFonts w:cstheme="minorHAnsi"/>
          <w:bCs/>
          <w:sz w:val="24"/>
          <w:szCs w:val="24"/>
          <w:lang w:val="sr-Latn-ME"/>
        </w:rPr>
        <w:t xml:space="preserve">Odgovori na navedeno pitanje se </w:t>
      </w:r>
      <w:r w:rsidR="0057780D">
        <w:rPr>
          <w:rFonts w:cstheme="minorHAnsi"/>
          <w:bCs/>
          <w:sz w:val="24"/>
          <w:szCs w:val="24"/>
          <w:lang w:val="sr-Latn-ME"/>
        </w:rPr>
        <w:t xml:space="preserve">dominantno </w:t>
      </w:r>
      <w:r>
        <w:rPr>
          <w:rFonts w:cstheme="minorHAnsi"/>
          <w:bCs/>
          <w:sz w:val="24"/>
          <w:szCs w:val="24"/>
          <w:lang w:val="sr-Latn-ME"/>
        </w:rPr>
        <w:t>odnose na sljedeće</w:t>
      </w:r>
      <w:r w:rsidR="0057780D">
        <w:rPr>
          <w:rFonts w:cstheme="minorHAnsi"/>
          <w:bCs/>
          <w:sz w:val="24"/>
          <w:szCs w:val="24"/>
          <w:lang w:val="sr-Latn-ME"/>
        </w:rPr>
        <w:t xml:space="preserve"> restriktivne mjere:</w:t>
      </w:r>
    </w:p>
    <w:p w14:paraId="0235AC31" w14:textId="23B0B713" w:rsidR="0057780D" w:rsidRDefault="0057780D" w:rsidP="0057780D">
      <w:pPr>
        <w:jc w:val="both"/>
        <w:rPr>
          <w:rFonts w:cstheme="minorHAnsi"/>
          <w:bCs/>
          <w:sz w:val="24"/>
          <w:szCs w:val="24"/>
          <w:lang w:val="sr-Latn-ME"/>
        </w:rPr>
      </w:pPr>
      <w:r>
        <w:rPr>
          <w:rFonts w:cstheme="minorHAnsi"/>
          <w:bCs/>
          <w:sz w:val="24"/>
          <w:szCs w:val="24"/>
          <w:lang w:val="sr-Latn-ME"/>
        </w:rPr>
        <w:t xml:space="preserve">-strožija kontrola tokova novca </w:t>
      </w:r>
    </w:p>
    <w:p w14:paraId="12EDAEE6" w14:textId="6943CCB1" w:rsidR="0057780D" w:rsidRDefault="0057780D" w:rsidP="0057780D">
      <w:pPr>
        <w:jc w:val="both"/>
        <w:rPr>
          <w:rFonts w:cstheme="minorHAnsi"/>
          <w:bCs/>
          <w:sz w:val="24"/>
          <w:szCs w:val="24"/>
          <w:lang w:val="sr-Latn-ME"/>
        </w:rPr>
      </w:pPr>
      <w:r>
        <w:rPr>
          <w:rFonts w:cstheme="minorHAnsi"/>
          <w:bCs/>
          <w:sz w:val="24"/>
          <w:szCs w:val="24"/>
          <w:lang w:val="sr-Latn-ME"/>
        </w:rPr>
        <w:t xml:space="preserve">- povećanje </w:t>
      </w:r>
      <w:r w:rsidR="00044498">
        <w:rPr>
          <w:rFonts w:cstheme="minorHAnsi"/>
          <w:bCs/>
          <w:sz w:val="24"/>
          <w:szCs w:val="24"/>
          <w:lang w:val="sr-Latn-ME"/>
        </w:rPr>
        <w:t xml:space="preserve">iznosa </w:t>
      </w:r>
      <w:r>
        <w:rPr>
          <w:rFonts w:cstheme="minorHAnsi"/>
          <w:bCs/>
          <w:sz w:val="24"/>
          <w:szCs w:val="24"/>
          <w:lang w:val="sr-Latn-ME"/>
        </w:rPr>
        <w:t>novčanih kazni</w:t>
      </w:r>
    </w:p>
    <w:p w14:paraId="05A2BED5" w14:textId="4D2AA533" w:rsidR="00044498" w:rsidRPr="0057780D" w:rsidRDefault="00044498" w:rsidP="0057780D">
      <w:pPr>
        <w:jc w:val="both"/>
        <w:rPr>
          <w:rFonts w:cstheme="minorHAnsi"/>
          <w:bCs/>
          <w:sz w:val="24"/>
          <w:szCs w:val="24"/>
          <w:lang w:val="sr-Latn-ME"/>
        </w:rPr>
      </w:pPr>
      <w:r>
        <w:rPr>
          <w:rFonts w:cstheme="minorHAnsi"/>
          <w:bCs/>
          <w:sz w:val="24"/>
          <w:szCs w:val="24"/>
          <w:lang w:val="sr-Latn-ME"/>
        </w:rPr>
        <w:t>-</w:t>
      </w:r>
      <w:r w:rsidRPr="00044498">
        <w:rPr>
          <w:rFonts w:cstheme="minorHAnsi"/>
          <w:iCs/>
          <w:sz w:val="24"/>
          <w:szCs w:val="24"/>
          <w:lang w:val="sr-Latn-ME"/>
        </w:rPr>
        <w:t xml:space="preserve"> </w:t>
      </w:r>
      <w:r>
        <w:rPr>
          <w:rFonts w:cstheme="minorHAnsi"/>
          <w:bCs/>
          <w:iCs/>
          <w:sz w:val="24"/>
          <w:szCs w:val="24"/>
          <w:lang w:val="sr-Latn-ME"/>
        </w:rPr>
        <w:t>z</w:t>
      </w:r>
      <w:r w:rsidRPr="00044498">
        <w:rPr>
          <w:rFonts w:cstheme="minorHAnsi"/>
          <w:bCs/>
          <w:iCs/>
          <w:sz w:val="24"/>
          <w:szCs w:val="24"/>
          <w:lang w:val="sr-Latn-ME"/>
        </w:rPr>
        <w:t>aštiti zviždače, koji imaju ključnu ulogu u razotkrivanju nezakonitih radnji poslodavca</w:t>
      </w:r>
    </w:p>
    <w:p w14:paraId="0F37FD3A" w14:textId="2A4E2A13" w:rsidR="0057780D" w:rsidRDefault="0057780D" w:rsidP="0057780D">
      <w:pPr>
        <w:jc w:val="both"/>
        <w:rPr>
          <w:rFonts w:cstheme="minorHAnsi"/>
          <w:bCs/>
          <w:sz w:val="24"/>
          <w:szCs w:val="24"/>
          <w:lang w:val="sr-Latn-ME"/>
        </w:rPr>
      </w:pPr>
      <w:r w:rsidRPr="0057780D">
        <w:rPr>
          <w:rFonts w:cstheme="minorHAnsi"/>
          <w:bCs/>
          <w:sz w:val="24"/>
          <w:szCs w:val="24"/>
          <w:lang w:val="sr-Latn-ME"/>
        </w:rPr>
        <w:t>-</w:t>
      </w:r>
      <w:r w:rsidRPr="0057780D">
        <w:rPr>
          <w:rFonts w:cstheme="minorHAnsi"/>
          <w:sz w:val="24"/>
          <w:szCs w:val="24"/>
          <w:lang w:val="sr-Latn-ME"/>
        </w:rPr>
        <w:t xml:space="preserve"> </w:t>
      </w:r>
      <w:r w:rsidRPr="0057780D">
        <w:rPr>
          <w:rFonts w:cstheme="minorHAnsi"/>
          <w:bCs/>
          <w:sz w:val="24"/>
          <w:szCs w:val="24"/>
          <w:lang w:val="sr-Latn-ME"/>
        </w:rPr>
        <w:t xml:space="preserve">povezivanje  baza podataka </w:t>
      </w:r>
      <w:r w:rsidR="00044498">
        <w:rPr>
          <w:rFonts w:cstheme="minorHAnsi"/>
          <w:bCs/>
          <w:sz w:val="24"/>
          <w:szCs w:val="24"/>
          <w:lang w:val="sr-Latn-ME"/>
        </w:rPr>
        <w:t>U</w:t>
      </w:r>
      <w:r w:rsidRPr="0057780D">
        <w:rPr>
          <w:rFonts w:cstheme="minorHAnsi"/>
          <w:bCs/>
          <w:sz w:val="24"/>
          <w:szCs w:val="24"/>
          <w:lang w:val="sr-Latn-ME"/>
        </w:rPr>
        <w:t xml:space="preserve">prave prihoda i carina, </w:t>
      </w:r>
      <w:r w:rsidR="00044498">
        <w:rPr>
          <w:rFonts w:cstheme="minorHAnsi"/>
          <w:bCs/>
          <w:sz w:val="24"/>
          <w:szCs w:val="24"/>
          <w:lang w:val="sr-Latn-ME"/>
        </w:rPr>
        <w:t xml:space="preserve">Uprave za inspekcijske poslove, </w:t>
      </w:r>
      <w:r w:rsidRPr="0057780D">
        <w:rPr>
          <w:rFonts w:cstheme="minorHAnsi"/>
          <w:bCs/>
          <w:sz w:val="24"/>
          <w:szCs w:val="24"/>
          <w:lang w:val="sr-Latn-ME"/>
        </w:rPr>
        <w:t>CBCG, Uprave za nekretnine</w:t>
      </w:r>
      <w:r>
        <w:rPr>
          <w:rFonts w:cstheme="minorHAnsi"/>
          <w:bCs/>
          <w:sz w:val="24"/>
          <w:szCs w:val="24"/>
          <w:lang w:val="sr-Latn-ME"/>
        </w:rPr>
        <w:t xml:space="preserve">  i sl.</w:t>
      </w:r>
    </w:p>
    <w:p w14:paraId="2D24887C" w14:textId="7777C8A5" w:rsidR="0057780D" w:rsidRPr="0057780D" w:rsidRDefault="0057780D" w:rsidP="0057780D">
      <w:pPr>
        <w:jc w:val="both"/>
        <w:rPr>
          <w:rFonts w:cstheme="minorHAnsi"/>
          <w:bCs/>
          <w:sz w:val="24"/>
          <w:szCs w:val="24"/>
          <w:lang w:val="sr-Latn-ME"/>
        </w:rPr>
      </w:pPr>
      <w:r>
        <w:rPr>
          <w:rFonts w:cstheme="minorHAnsi"/>
          <w:bCs/>
          <w:i/>
          <w:sz w:val="24"/>
          <w:szCs w:val="24"/>
          <w:lang w:val="pl-PL"/>
        </w:rPr>
        <w:t>-</w:t>
      </w:r>
      <w:r w:rsidRPr="0057780D">
        <w:rPr>
          <w:rFonts w:cstheme="minorHAnsi"/>
          <w:bCs/>
          <w:iCs/>
          <w:sz w:val="24"/>
          <w:szCs w:val="24"/>
          <w:lang w:val="pl-PL"/>
        </w:rPr>
        <w:t xml:space="preserve"> </w:t>
      </w:r>
      <w:r>
        <w:rPr>
          <w:rFonts w:cstheme="minorHAnsi"/>
          <w:bCs/>
          <w:iCs/>
          <w:sz w:val="24"/>
          <w:szCs w:val="24"/>
          <w:lang w:val="pl-PL"/>
        </w:rPr>
        <w:t>o</w:t>
      </w:r>
      <w:r w:rsidRPr="0057780D">
        <w:rPr>
          <w:rFonts w:cstheme="minorHAnsi"/>
          <w:bCs/>
          <w:iCs/>
          <w:sz w:val="24"/>
          <w:szCs w:val="24"/>
          <w:lang w:val="pl-PL"/>
        </w:rPr>
        <w:t>mogu</w:t>
      </w:r>
      <w:r w:rsidRPr="0057780D">
        <w:rPr>
          <w:rFonts w:cstheme="minorHAnsi"/>
          <w:bCs/>
          <w:iCs/>
          <w:sz w:val="24"/>
          <w:szCs w:val="24"/>
          <w:lang w:val="sr-Latn-ME"/>
        </w:rPr>
        <w:t>ć</w:t>
      </w:r>
      <w:r w:rsidRPr="0057780D">
        <w:rPr>
          <w:rFonts w:cstheme="minorHAnsi"/>
          <w:bCs/>
          <w:iCs/>
          <w:sz w:val="24"/>
          <w:szCs w:val="24"/>
          <w:lang w:val="pl-PL"/>
        </w:rPr>
        <w:t>avanje</w:t>
      </w:r>
      <w:r w:rsidRPr="0057780D">
        <w:rPr>
          <w:rFonts w:cstheme="minorHAnsi"/>
          <w:bCs/>
          <w:iCs/>
          <w:sz w:val="24"/>
          <w:szCs w:val="24"/>
          <w:lang w:val="sr-Latn-ME"/>
        </w:rPr>
        <w:t xml:space="preserve"> </w:t>
      </w:r>
      <w:r w:rsidRPr="0057780D">
        <w:rPr>
          <w:rFonts w:cstheme="minorHAnsi"/>
          <w:bCs/>
          <w:iCs/>
          <w:sz w:val="24"/>
          <w:szCs w:val="24"/>
          <w:lang w:val="pl-PL"/>
        </w:rPr>
        <w:t>uvi</w:t>
      </w:r>
      <w:r w:rsidRPr="0057780D">
        <w:rPr>
          <w:rFonts w:cstheme="minorHAnsi"/>
          <w:bCs/>
          <w:iCs/>
          <w:sz w:val="24"/>
          <w:szCs w:val="24"/>
          <w:lang w:val="sr-Latn-ME"/>
        </w:rPr>
        <w:t>đ</w:t>
      </w:r>
      <w:r w:rsidRPr="0057780D">
        <w:rPr>
          <w:rFonts w:cstheme="minorHAnsi"/>
          <w:bCs/>
          <w:iCs/>
          <w:sz w:val="24"/>
          <w:szCs w:val="24"/>
          <w:lang w:val="pl-PL"/>
        </w:rPr>
        <w:t>aja</w:t>
      </w:r>
      <w:r w:rsidRPr="0057780D">
        <w:rPr>
          <w:rFonts w:cstheme="minorHAnsi"/>
          <w:bCs/>
          <w:iCs/>
          <w:sz w:val="24"/>
          <w:szCs w:val="24"/>
          <w:lang w:val="sr-Latn-ME"/>
        </w:rPr>
        <w:t xml:space="preserve"> </w:t>
      </w:r>
      <w:r w:rsidRPr="0057780D">
        <w:rPr>
          <w:rFonts w:cstheme="minorHAnsi"/>
          <w:bCs/>
          <w:iCs/>
          <w:sz w:val="24"/>
          <w:szCs w:val="24"/>
          <w:lang w:val="pl-PL"/>
        </w:rPr>
        <w:t>u</w:t>
      </w:r>
      <w:r w:rsidRPr="0057780D">
        <w:rPr>
          <w:rFonts w:cstheme="minorHAnsi"/>
          <w:bCs/>
          <w:iCs/>
          <w:sz w:val="24"/>
          <w:szCs w:val="24"/>
          <w:lang w:val="sr-Latn-ME"/>
        </w:rPr>
        <w:t xml:space="preserve"> </w:t>
      </w:r>
      <w:r w:rsidRPr="0057780D">
        <w:rPr>
          <w:rFonts w:cstheme="minorHAnsi"/>
          <w:bCs/>
          <w:iCs/>
          <w:sz w:val="24"/>
          <w:szCs w:val="24"/>
          <w:lang w:val="pl-PL"/>
        </w:rPr>
        <w:t>stambenim</w:t>
      </w:r>
      <w:r w:rsidRPr="0057780D">
        <w:rPr>
          <w:rFonts w:cstheme="minorHAnsi"/>
          <w:bCs/>
          <w:iCs/>
          <w:sz w:val="24"/>
          <w:szCs w:val="24"/>
          <w:lang w:val="sr-Latn-ME"/>
        </w:rPr>
        <w:t xml:space="preserve"> </w:t>
      </w:r>
      <w:r w:rsidRPr="0057780D">
        <w:rPr>
          <w:rFonts w:cstheme="minorHAnsi"/>
          <w:bCs/>
          <w:iCs/>
          <w:sz w:val="24"/>
          <w:szCs w:val="24"/>
          <w:lang w:val="pl-PL"/>
        </w:rPr>
        <w:t>objektima</w:t>
      </w:r>
      <w:r w:rsidRPr="0057780D">
        <w:rPr>
          <w:rFonts w:cstheme="minorHAnsi"/>
          <w:bCs/>
          <w:iCs/>
          <w:sz w:val="24"/>
          <w:szCs w:val="24"/>
          <w:lang w:val="sr-Latn-ME"/>
        </w:rPr>
        <w:t>, č</w:t>
      </w:r>
      <w:r w:rsidRPr="0057780D">
        <w:rPr>
          <w:rFonts w:cstheme="minorHAnsi"/>
          <w:bCs/>
          <w:iCs/>
          <w:sz w:val="24"/>
          <w:szCs w:val="24"/>
          <w:lang w:val="pl-PL"/>
        </w:rPr>
        <w:t>ime</w:t>
      </w:r>
      <w:r w:rsidRPr="0057780D">
        <w:rPr>
          <w:rFonts w:cstheme="minorHAnsi"/>
          <w:bCs/>
          <w:iCs/>
          <w:sz w:val="24"/>
          <w:szCs w:val="24"/>
          <w:lang w:val="sr-Latn-ME"/>
        </w:rPr>
        <w:t xml:space="preserve"> </w:t>
      </w:r>
      <w:r w:rsidRPr="0057780D">
        <w:rPr>
          <w:rFonts w:cstheme="minorHAnsi"/>
          <w:bCs/>
          <w:iCs/>
          <w:sz w:val="24"/>
          <w:szCs w:val="24"/>
          <w:lang w:val="pl-PL"/>
        </w:rPr>
        <w:t>bi</w:t>
      </w:r>
      <w:r w:rsidRPr="0057780D">
        <w:rPr>
          <w:rFonts w:cstheme="minorHAnsi"/>
          <w:bCs/>
          <w:iCs/>
          <w:sz w:val="24"/>
          <w:szCs w:val="24"/>
          <w:lang w:val="sr-Latn-ME"/>
        </w:rPr>
        <w:t xml:space="preserve"> </w:t>
      </w:r>
      <w:r w:rsidRPr="0057780D">
        <w:rPr>
          <w:rFonts w:cstheme="minorHAnsi"/>
          <w:bCs/>
          <w:iCs/>
          <w:sz w:val="24"/>
          <w:szCs w:val="24"/>
          <w:lang w:val="pl-PL"/>
        </w:rPr>
        <w:t>bio</w:t>
      </w:r>
      <w:r w:rsidRPr="0057780D">
        <w:rPr>
          <w:rFonts w:cstheme="minorHAnsi"/>
          <w:bCs/>
          <w:iCs/>
          <w:sz w:val="24"/>
          <w:szCs w:val="24"/>
          <w:lang w:val="sr-Latn-ME"/>
        </w:rPr>
        <w:t xml:space="preserve"> </w:t>
      </w:r>
      <w:r w:rsidRPr="0057780D">
        <w:rPr>
          <w:rFonts w:cstheme="minorHAnsi"/>
          <w:bCs/>
          <w:iCs/>
          <w:sz w:val="24"/>
          <w:szCs w:val="24"/>
          <w:lang w:val="pl-PL"/>
        </w:rPr>
        <w:t>omogu</w:t>
      </w:r>
      <w:r w:rsidRPr="0057780D">
        <w:rPr>
          <w:rFonts w:cstheme="minorHAnsi"/>
          <w:bCs/>
          <w:iCs/>
          <w:sz w:val="24"/>
          <w:szCs w:val="24"/>
          <w:lang w:val="sr-Latn-ME"/>
        </w:rPr>
        <w:t>ć</w:t>
      </w:r>
      <w:r w:rsidRPr="0057780D">
        <w:rPr>
          <w:rFonts w:cstheme="minorHAnsi"/>
          <w:bCs/>
          <w:iCs/>
          <w:sz w:val="24"/>
          <w:szCs w:val="24"/>
          <w:lang w:val="pl-PL"/>
        </w:rPr>
        <w:t>en</w:t>
      </w:r>
      <w:r w:rsidRPr="0057780D">
        <w:rPr>
          <w:rFonts w:cstheme="minorHAnsi"/>
          <w:bCs/>
          <w:iCs/>
          <w:sz w:val="24"/>
          <w:szCs w:val="24"/>
          <w:lang w:val="sr-Latn-ME"/>
        </w:rPr>
        <w:t xml:space="preserve"> </w:t>
      </w:r>
      <w:r w:rsidRPr="0057780D">
        <w:rPr>
          <w:rFonts w:cstheme="minorHAnsi"/>
          <w:bCs/>
          <w:iCs/>
          <w:sz w:val="24"/>
          <w:szCs w:val="24"/>
          <w:lang w:val="pl-PL"/>
        </w:rPr>
        <w:t>efikasniji</w:t>
      </w:r>
      <w:r w:rsidRPr="0057780D">
        <w:rPr>
          <w:rFonts w:cstheme="minorHAnsi"/>
          <w:bCs/>
          <w:iCs/>
          <w:sz w:val="24"/>
          <w:szCs w:val="24"/>
          <w:lang w:val="sr-Latn-ME"/>
        </w:rPr>
        <w:t xml:space="preserve"> </w:t>
      </w:r>
      <w:r w:rsidRPr="0057780D">
        <w:rPr>
          <w:rFonts w:cstheme="minorHAnsi"/>
          <w:bCs/>
          <w:iCs/>
          <w:sz w:val="24"/>
          <w:szCs w:val="24"/>
          <w:lang w:val="pl-PL"/>
        </w:rPr>
        <w:t>inpekcijski</w:t>
      </w:r>
      <w:r w:rsidRPr="0057780D">
        <w:rPr>
          <w:rFonts w:cstheme="minorHAnsi"/>
          <w:bCs/>
          <w:iCs/>
          <w:sz w:val="24"/>
          <w:szCs w:val="24"/>
          <w:lang w:val="sr-Latn-ME"/>
        </w:rPr>
        <w:t xml:space="preserve"> </w:t>
      </w:r>
      <w:r w:rsidRPr="0057780D">
        <w:rPr>
          <w:rFonts w:cstheme="minorHAnsi"/>
          <w:bCs/>
          <w:iCs/>
          <w:sz w:val="24"/>
          <w:szCs w:val="24"/>
          <w:lang w:val="pl-PL"/>
        </w:rPr>
        <w:t>nadzor</w:t>
      </w:r>
      <w:r w:rsidRPr="0057780D">
        <w:rPr>
          <w:rFonts w:cstheme="minorHAnsi"/>
          <w:bCs/>
          <w:iCs/>
          <w:sz w:val="24"/>
          <w:szCs w:val="24"/>
          <w:lang w:val="sr-Latn-ME"/>
        </w:rPr>
        <w:t>.</w:t>
      </w:r>
    </w:p>
    <w:p w14:paraId="41DDE7AD" w14:textId="486088F5" w:rsidR="0057780D" w:rsidRPr="0057780D" w:rsidRDefault="0057780D" w:rsidP="0057780D">
      <w:pPr>
        <w:jc w:val="both"/>
        <w:rPr>
          <w:rFonts w:cstheme="minorHAnsi"/>
          <w:bCs/>
          <w:sz w:val="24"/>
          <w:szCs w:val="24"/>
          <w:lang w:val="pl-PL"/>
        </w:rPr>
      </w:pPr>
      <w:r w:rsidRPr="0057780D">
        <w:rPr>
          <w:rFonts w:cstheme="minorHAnsi"/>
          <w:bCs/>
          <w:sz w:val="24"/>
          <w:szCs w:val="24"/>
          <w:lang w:val="sr-Latn-ME"/>
        </w:rPr>
        <w:t xml:space="preserve">- unapređenje efikasnosti rada inspekcija kroz </w:t>
      </w:r>
      <w:r w:rsidRPr="0057780D">
        <w:rPr>
          <w:rFonts w:cstheme="minorHAnsi"/>
          <w:bCs/>
          <w:sz w:val="24"/>
          <w:szCs w:val="24"/>
          <w:lang w:val="pl-PL"/>
        </w:rPr>
        <w:t xml:space="preserve">učestale rotacije ili primjene sporazuma o priznanju </w:t>
      </w:r>
    </w:p>
    <w:p w14:paraId="42BF518E" w14:textId="07FFA0BF" w:rsidR="0057780D" w:rsidRDefault="0057780D" w:rsidP="0057780D">
      <w:pPr>
        <w:jc w:val="both"/>
        <w:rPr>
          <w:rFonts w:cstheme="minorHAnsi"/>
          <w:bCs/>
          <w:sz w:val="24"/>
          <w:szCs w:val="24"/>
          <w:lang w:val="pl-PL"/>
        </w:rPr>
      </w:pPr>
      <w:r w:rsidRPr="0057780D">
        <w:rPr>
          <w:rFonts w:cstheme="minorHAnsi"/>
          <w:bCs/>
          <w:sz w:val="24"/>
          <w:szCs w:val="24"/>
          <w:lang w:val="pl-PL"/>
        </w:rPr>
        <w:t>-kontrola zarada izvršnih direktora/osnovača privrednih društava</w:t>
      </w:r>
    </w:p>
    <w:p w14:paraId="6F8FE975" w14:textId="0192CB5D" w:rsidR="00044498" w:rsidRPr="0057780D" w:rsidRDefault="00044498" w:rsidP="0057780D">
      <w:pPr>
        <w:jc w:val="both"/>
        <w:rPr>
          <w:rFonts w:cstheme="minorHAnsi"/>
          <w:bCs/>
          <w:sz w:val="24"/>
          <w:szCs w:val="24"/>
          <w:lang w:val="pl-PL"/>
        </w:rPr>
      </w:pPr>
      <w:r>
        <w:rPr>
          <w:rFonts w:cstheme="minorHAnsi"/>
          <w:bCs/>
          <w:sz w:val="24"/>
          <w:szCs w:val="24"/>
          <w:lang w:val="pl-PL"/>
        </w:rPr>
        <w:t>- uvođenje kontroling organizacionih jedinica u okviru Uprave prihoda i carina, za praćenje određenog broj preduzeća, kao i jeidnica za praćenje prihoda od nekretnina.</w:t>
      </w:r>
    </w:p>
    <w:p w14:paraId="0EF3C838" w14:textId="00D9CC37" w:rsidR="0057780D" w:rsidRDefault="00044498" w:rsidP="0057780D">
      <w:pPr>
        <w:jc w:val="both"/>
        <w:rPr>
          <w:rFonts w:cstheme="minorHAnsi"/>
          <w:bCs/>
          <w:iCs/>
          <w:sz w:val="24"/>
          <w:szCs w:val="24"/>
          <w:lang w:val="sr-Latn-ME"/>
        </w:rPr>
      </w:pPr>
      <w:r>
        <w:rPr>
          <w:rFonts w:cstheme="minorHAnsi"/>
          <w:bCs/>
          <w:iCs/>
          <w:sz w:val="24"/>
          <w:szCs w:val="24"/>
          <w:lang w:val="sr-Latn-ME"/>
        </w:rPr>
        <w:t xml:space="preserve">- zaštita </w:t>
      </w:r>
      <w:r w:rsidRPr="00044498">
        <w:rPr>
          <w:rFonts w:cstheme="minorHAnsi"/>
          <w:bCs/>
          <w:iCs/>
          <w:sz w:val="24"/>
          <w:szCs w:val="24"/>
          <w:lang w:val="sr-Latn-ME"/>
        </w:rPr>
        <w:t>zviždač</w:t>
      </w:r>
      <w:r>
        <w:rPr>
          <w:rFonts w:cstheme="minorHAnsi"/>
          <w:bCs/>
          <w:iCs/>
          <w:sz w:val="24"/>
          <w:szCs w:val="24"/>
          <w:lang w:val="sr-Latn-ME"/>
        </w:rPr>
        <w:t>a</w:t>
      </w:r>
      <w:r w:rsidRPr="00044498">
        <w:rPr>
          <w:rFonts w:cstheme="minorHAnsi"/>
          <w:bCs/>
          <w:iCs/>
          <w:sz w:val="24"/>
          <w:szCs w:val="24"/>
          <w:lang w:val="sr-Latn-ME"/>
        </w:rPr>
        <w:t>, koji imaju ključnu ulogu u razotkrivanju nezakonitih radnji poslodav</w:t>
      </w:r>
      <w:r>
        <w:rPr>
          <w:rFonts w:cstheme="minorHAnsi"/>
          <w:bCs/>
          <w:iCs/>
          <w:sz w:val="24"/>
          <w:szCs w:val="24"/>
          <w:lang w:val="sr-Latn-ME"/>
        </w:rPr>
        <w:t xml:space="preserve">aca i sl. </w:t>
      </w:r>
    </w:p>
    <w:p w14:paraId="035D3B6B" w14:textId="6C982D00" w:rsidR="00044498" w:rsidRPr="00756CAA" w:rsidRDefault="00044498" w:rsidP="0057780D">
      <w:pPr>
        <w:jc w:val="both"/>
        <w:rPr>
          <w:rFonts w:cstheme="minorHAnsi"/>
          <w:bCs/>
          <w:iCs/>
          <w:sz w:val="24"/>
          <w:szCs w:val="24"/>
          <w:lang w:val="sr-Latn-ME"/>
        </w:rPr>
      </w:pPr>
      <w:r>
        <w:rPr>
          <w:rFonts w:cstheme="minorHAnsi"/>
          <w:bCs/>
          <w:iCs/>
          <w:sz w:val="24"/>
          <w:szCs w:val="24"/>
          <w:lang w:val="sr-Latn-ME"/>
        </w:rPr>
        <w:t>- izmjene zakonskog ovkira za uvodjenje</w:t>
      </w:r>
      <w:r w:rsidRPr="00044498">
        <w:rPr>
          <w:rFonts w:cstheme="minorHAnsi"/>
          <w:iCs/>
          <w:sz w:val="24"/>
          <w:szCs w:val="24"/>
          <w:lang w:val="sr-Latn-ME"/>
        </w:rPr>
        <w:t xml:space="preserve"> </w:t>
      </w:r>
      <w:r w:rsidRPr="00044498">
        <w:rPr>
          <w:rFonts w:cstheme="minorHAnsi"/>
          <w:bCs/>
          <w:iCs/>
          <w:sz w:val="24"/>
          <w:szCs w:val="24"/>
          <w:lang w:val="sr-Latn-ME"/>
        </w:rPr>
        <w:t>poseb</w:t>
      </w:r>
      <w:r>
        <w:rPr>
          <w:rFonts w:cstheme="minorHAnsi"/>
          <w:bCs/>
          <w:iCs/>
          <w:sz w:val="24"/>
          <w:szCs w:val="24"/>
          <w:lang w:val="sr-Latn-ME"/>
        </w:rPr>
        <w:t>nog</w:t>
      </w:r>
      <w:r w:rsidRPr="00044498">
        <w:rPr>
          <w:rFonts w:cstheme="minorHAnsi"/>
          <w:bCs/>
          <w:iCs/>
          <w:sz w:val="24"/>
          <w:szCs w:val="24"/>
          <w:lang w:val="sr-Latn-ME"/>
        </w:rPr>
        <w:t xml:space="preserve"> postup</w:t>
      </w:r>
      <w:r>
        <w:rPr>
          <w:rFonts w:cstheme="minorHAnsi"/>
          <w:bCs/>
          <w:iCs/>
          <w:sz w:val="24"/>
          <w:szCs w:val="24"/>
          <w:lang w:val="sr-Latn-ME"/>
        </w:rPr>
        <w:t>ka</w:t>
      </w:r>
      <w:r w:rsidRPr="00044498">
        <w:rPr>
          <w:rFonts w:cstheme="minorHAnsi"/>
          <w:bCs/>
          <w:iCs/>
          <w:sz w:val="24"/>
          <w:szCs w:val="24"/>
          <w:lang w:val="sr-Latn-ME"/>
        </w:rPr>
        <w:t xml:space="preserve"> vršenja inspekcijskog nadzora prema neregistrovanim subjektima.</w:t>
      </w:r>
    </w:p>
    <w:p w14:paraId="3BDFA43C" w14:textId="4451B4C1" w:rsidR="00811046" w:rsidRPr="005A5C62" w:rsidRDefault="00811046" w:rsidP="005A5C62">
      <w:pPr>
        <w:jc w:val="both"/>
        <w:rPr>
          <w:rFonts w:cstheme="minorHAnsi"/>
          <w:bCs/>
          <w:sz w:val="24"/>
          <w:szCs w:val="24"/>
          <w:lang w:val="sr-Latn-ME"/>
        </w:rPr>
      </w:pPr>
      <w:r w:rsidRPr="005A5C62">
        <w:rPr>
          <w:rFonts w:cstheme="minorHAnsi"/>
          <w:bCs/>
          <w:sz w:val="24"/>
          <w:szCs w:val="24"/>
          <w:lang w:val="sr-Latn-ME"/>
        </w:rPr>
        <w:t xml:space="preserve">U nastavku su </w:t>
      </w:r>
      <w:r w:rsidR="00C14381">
        <w:rPr>
          <w:rFonts w:cstheme="minorHAnsi"/>
          <w:bCs/>
          <w:sz w:val="24"/>
          <w:szCs w:val="24"/>
          <w:lang w:val="sr-Latn-ME"/>
        </w:rPr>
        <w:t xml:space="preserve">citirani neki od </w:t>
      </w:r>
      <w:r w:rsidRPr="005A5C62">
        <w:rPr>
          <w:rFonts w:cstheme="minorHAnsi"/>
          <w:bCs/>
          <w:sz w:val="24"/>
          <w:szCs w:val="24"/>
          <w:lang w:val="sr-Latn-ME"/>
        </w:rPr>
        <w:t>dobijeni</w:t>
      </w:r>
      <w:r w:rsidR="00C14381">
        <w:rPr>
          <w:rFonts w:cstheme="minorHAnsi"/>
          <w:bCs/>
          <w:sz w:val="24"/>
          <w:szCs w:val="24"/>
          <w:lang w:val="sr-Latn-ME"/>
        </w:rPr>
        <w:t>h</w:t>
      </w:r>
      <w:r w:rsidRPr="005A5C62">
        <w:rPr>
          <w:rFonts w:cstheme="minorHAnsi"/>
          <w:bCs/>
          <w:sz w:val="24"/>
          <w:szCs w:val="24"/>
          <w:lang w:val="sr-Latn-ME"/>
        </w:rPr>
        <w:t xml:space="preserve"> odgovor</w:t>
      </w:r>
      <w:r w:rsidR="00C14381">
        <w:rPr>
          <w:rFonts w:cstheme="minorHAnsi"/>
          <w:bCs/>
          <w:sz w:val="24"/>
          <w:szCs w:val="24"/>
          <w:lang w:val="sr-Latn-ME"/>
        </w:rPr>
        <w:t>a</w:t>
      </w:r>
      <w:r w:rsidRPr="005A5C62">
        <w:rPr>
          <w:rFonts w:cstheme="minorHAnsi"/>
          <w:bCs/>
          <w:sz w:val="24"/>
          <w:szCs w:val="24"/>
          <w:lang w:val="sr-Latn-ME"/>
        </w:rPr>
        <w:t xml:space="preserve"> ispitanika. </w:t>
      </w:r>
    </w:p>
    <w:p w14:paraId="0DAC61E6" w14:textId="77777777" w:rsidR="00811046" w:rsidRPr="005A5C62" w:rsidRDefault="00811046" w:rsidP="005A5C62">
      <w:pPr>
        <w:jc w:val="both"/>
        <w:rPr>
          <w:rFonts w:cstheme="minorHAnsi"/>
          <w:bCs/>
          <w:i/>
          <w:sz w:val="24"/>
          <w:szCs w:val="24"/>
          <w:lang w:val="sr-Latn-ME"/>
        </w:rPr>
      </w:pPr>
      <w:r w:rsidRPr="005A5C62">
        <w:rPr>
          <w:rFonts w:cstheme="minorHAnsi"/>
          <w:bCs/>
          <w:sz w:val="24"/>
          <w:szCs w:val="24"/>
          <w:lang w:val="sr-Latn-ME"/>
        </w:rPr>
        <w:t xml:space="preserve"> „</w:t>
      </w:r>
      <w:r w:rsidRPr="005A5C62">
        <w:rPr>
          <w:rFonts w:cstheme="minorHAnsi"/>
          <w:bCs/>
          <w:i/>
          <w:sz w:val="24"/>
          <w:szCs w:val="24"/>
          <w:lang w:val="sr-Latn-ME"/>
        </w:rPr>
        <w:t>Stroga kontrola izvora finansiranja, kontrola tokova novca, umnogome poboljšana carinska kontrola i sizbijanje korupcije u javnoj upravi“.</w:t>
      </w:r>
    </w:p>
    <w:p w14:paraId="5B87A111" w14:textId="77777777" w:rsidR="00811046" w:rsidRPr="005A5C62" w:rsidRDefault="00811046" w:rsidP="005A5C62">
      <w:pPr>
        <w:jc w:val="both"/>
        <w:rPr>
          <w:rFonts w:cstheme="minorHAnsi"/>
          <w:bCs/>
          <w:i/>
          <w:sz w:val="24"/>
          <w:szCs w:val="24"/>
          <w:lang w:val="sr-Latn-ME"/>
        </w:rPr>
      </w:pPr>
      <w:r w:rsidRPr="005A5C62">
        <w:rPr>
          <w:rFonts w:cstheme="minorHAnsi"/>
          <w:bCs/>
          <w:sz w:val="24"/>
          <w:szCs w:val="24"/>
          <w:lang w:val="sr-Latn-ME"/>
        </w:rPr>
        <w:lastRenderedPageBreak/>
        <w:t xml:space="preserve">„Povećati iznose </w:t>
      </w:r>
      <w:r w:rsidRPr="005A5C62">
        <w:rPr>
          <w:rFonts w:cstheme="minorHAnsi"/>
          <w:bCs/>
          <w:i/>
          <w:sz w:val="24"/>
          <w:szCs w:val="24"/>
          <w:lang w:val="sr-Latn-ME"/>
        </w:rPr>
        <w:t>kazni, uvesti tzv. kancelarijske kontrole kao svuda u svijetu gdje poreska kontroliše vašu dostavljenu dokumenatciju i da to i ne znate i nalaze korekcije po parametrima vrsta djelatnosti, broj zaposlenih, radno vrijeme, prihodi, rashodi“.</w:t>
      </w:r>
    </w:p>
    <w:p w14:paraId="599965CD" w14:textId="77777777" w:rsidR="00811046" w:rsidRPr="005A5C62" w:rsidRDefault="00811046" w:rsidP="005A5C62">
      <w:pPr>
        <w:jc w:val="both"/>
        <w:rPr>
          <w:rFonts w:cstheme="minorHAnsi"/>
          <w:bCs/>
          <w:i/>
          <w:sz w:val="24"/>
          <w:szCs w:val="24"/>
          <w:lang w:val="sr-Latn-ME"/>
        </w:rPr>
      </w:pPr>
      <w:r w:rsidRPr="005A5C62">
        <w:rPr>
          <w:rFonts w:cstheme="minorHAnsi"/>
          <w:i/>
          <w:sz w:val="24"/>
          <w:szCs w:val="24"/>
          <w:lang w:val="sr-Latn-ME"/>
        </w:rPr>
        <w:t>„</w:t>
      </w:r>
      <w:r w:rsidRPr="005A5C62">
        <w:rPr>
          <w:rFonts w:cstheme="minorHAnsi"/>
          <w:bCs/>
          <w:i/>
          <w:sz w:val="24"/>
          <w:szCs w:val="24"/>
          <w:lang w:val="sr-Latn-ME"/>
        </w:rPr>
        <w:t>Organizovanje posebnih kontroling organizacionih jedinica u okviru poreske uprave koju će činiti zaposleni koji će biti zaduženi za rad određenog broja preduzeća, i biti njihovi key account menadžeri. Takođe kreirati  kontroling organizacionu jedinicu koja će se baviti registracijom prihoda od nekretnina, kroz neposrednu saradnju sa agencijama za izdavanje i prodaju nekretnina, prate marketinško oglašavanje…“.</w:t>
      </w:r>
    </w:p>
    <w:p w14:paraId="684646F4" w14:textId="77777777" w:rsidR="00811046" w:rsidRPr="005A5C62" w:rsidRDefault="00811046" w:rsidP="005A5C62">
      <w:pPr>
        <w:jc w:val="both"/>
        <w:rPr>
          <w:rFonts w:cstheme="minorHAnsi"/>
          <w:i/>
          <w:sz w:val="24"/>
          <w:szCs w:val="24"/>
          <w:lang w:val="sr-Latn-ME"/>
        </w:rPr>
      </w:pPr>
      <w:r w:rsidRPr="0057780D">
        <w:rPr>
          <w:rFonts w:cstheme="minorHAnsi"/>
          <w:i/>
          <w:sz w:val="24"/>
          <w:szCs w:val="24"/>
          <w:lang w:val="sr-Latn-ME"/>
        </w:rPr>
        <w:t>„</w:t>
      </w:r>
      <w:r w:rsidRPr="005A5C62">
        <w:rPr>
          <w:rFonts w:cstheme="minorHAnsi"/>
          <w:i/>
          <w:sz w:val="24"/>
          <w:szCs w:val="24"/>
          <w:lang w:val="sr-Latn-ME"/>
        </w:rPr>
        <w:t>Izvršiti povezivanje/uparivanje baza podataka Uprave prihoda i carina, CBCG, Uprave za nekretnine itd. u cilju stvaranja informacione osnove za analizu nepoštovanja zakona u dijelu evidencije prihoda preduzeća, analize neusklađenosti imovinskog stanja fizičkih lica sa formalno evidentiranim prihodima, analize neusklađenosti/odstupanja prihoda i profitabilnosti kompanija u odnosu na prosječne pokazatelje djelanosti, obime uvoza robe itd.“</w:t>
      </w:r>
    </w:p>
    <w:p w14:paraId="4F169C6C" w14:textId="659AB63B" w:rsidR="00811046" w:rsidRPr="0057780D" w:rsidRDefault="00811046" w:rsidP="005A5C62">
      <w:pPr>
        <w:jc w:val="both"/>
        <w:rPr>
          <w:rFonts w:cstheme="minorHAnsi"/>
          <w:bCs/>
          <w:i/>
          <w:sz w:val="24"/>
          <w:szCs w:val="24"/>
          <w:lang w:val="sr-Latn-ME"/>
        </w:rPr>
      </w:pPr>
      <w:r w:rsidRPr="0057780D">
        <w:rPr>
          <w:rFonts w:cstheme="minorHAnsi"/>
          <w:bCs/>
          <w:i/>
          <w:sz w:val="24"/>
          <w:szCs w:val="24"/>
          <w:lang w:val="sr-Latn-ME"/>
        </w:rPr>
        <w:t>„</w:t>
      </w:r>
      <w:r w:rsidRPr="005A5C62">
        <w:rPr>
          <w:rFonts w:cstheme="minorHAnsi"/>
          <w:bCs/>
          <w:i/>
          <w:sz w:val="24"/>
          <w:szCs w:val="24"/>
          <w:lang w:val="pl-PL"/>
        </w:rPr>
        <w:t>Uvodjenje</w:t>
      </w:r>
      <w:r w:rsidRPr="0057780D">
        <w:rPr>
          <w:rFonts w:cstheme="minorHAnsi"/>
          <w:bCs/>
          <w:i/>
          <w:sz w:val="24"/>
          <w:szCs w:val="24"/>
          <w:lang w:val="sr-Latn-ME"/>
        </w:rPr>
        <w:t xml:space="preserve"> </w:t>
      </w:r>
      <w:r w:rsidRPr="005A5C62">
        <w:rPr>
          <w:rFonts w:cstheme="minorHAnsi"/>
          <w:bCs/>
          <w:i/>
          <w:sz w:val="24"/>
          <w:szCs w:val="24"/>
          <w:lang w:val="pl-PL"/>
        </w:rPr>
        <w:t>kontrolnih</w:t>
      </w:r>
      <w:r w:rsidRPr="0057780D">
        <w:rPr>
          <w:rFonts w:cstheme="minorHAnsi"/>
          <w:bCs/>
          <w:i/>
          <w:sz w:val="24"/>
          <w:szCs w:val="24"/>
          <w:lang w:val="sr-Latn-ME"/>
        </w:rPr>
        <w:t xml:space="preserve"> </w:t>
      </w:r>
      <w:r w:rsidRPr="005A5C62">
        <w:rPr>
          <w:rFonts w:cstheme="minorHAnsi"/>
          <w:bCs/>
          <w:i/>
          <w:sz w:val="24"/>
          <w:szCs w:val="24"/>
          <w:lang w:val="pl-PL"/>
        </w:rPr>
        <w:t>lista</w:t>
      </w:r>
      <w:r w:rsidRPr="0057780D">
        <w:rPr>
          <w:rFonts w:cstheme="minorHAnsi"/>
          <w:bCs/>
          <w:i/>
          <w:sz w:val="24"/>
          <w:szCs w:val="24"/>
          <w:lang w:val="sr-Latn-ME"/>
        </w:rPr>
        <w:t xml:space="preserve"> </w:t>
      </w:r>
      <w:r w:rsidRPr="005A5C62">
        <w:rPr>
          <w:rFonts w:cstheme="minorHAnsi"/>
          <w:bCs/>
          <w:i/>
          <w:sz w:val="24"/>
          <w:szCs w:val="24"/>
          <w:lang w:val="pl-PL"/>
        </w:rPr>
        <w:t>i</w:t>
      </w:r>
      <w:r w:rsidRPr="0057780D">
        <w:rPr>
          <w:rFonts w:cstheme="minorHAnsi"/>
          <w:bCs/>
          <w:i/>
          <w:sz w:val="24"/>
          <w:szCs w:val="24"/>
          <w:lang w:val="sr-Latn-ME"/>
        </w:rPr>
        <w:t xml:space="preserve"> </w:t>
      </w:r>
      <w:r w:rsidRPr="005A5C62">
        <w:rPr>
          <w:rFonts w:cstheme="minorHAnsi"/>
          <w:bCs/>
          <w:i/>
          <w:sz w:val="24"/>
          <w:szCs w:val="24"/>
          <w:lang w:val="pl-PL"/>
        </w:rPr>
        <w:t>o</w:t>
      </w:r>
      <w:bookmarkStart w:id="57" w:name="_Hlk147932403"/>
      <w:r w:rsidRPr="005A5C62">
        <w:rPr>
          <w:rFonts w:cstheme="minorHAnsi"/>
          <w:bCs/>
          <w:i/>
          <w:sz w:val="24"/>
          <w:szCs w:val="24"/>
          <w:lang w:val="pl-PL"/>
        </w:rPr>
        <w:t>mogu</w:t>
      </w:r>
      <w:r w:rsidRPr="0057780D">
        <w:rPr>
          <w:rFonts w:cstheme="minorHAnsi"/>
          <w:bCs/>
          <w:i/>
          <w:sz w:val="24"/>
          <w:szCs w:val="24"/>
          <w:lang w:val="sr-Latn-ME"/>
        </w:rPr>
        <w:t>ć</w:t>
      </w:r>
      <w:r w:rsidRPr="005A5C62">
        <w:rPr>
          <w:rFonts w:cstheme="minorHAnsi"/>
          <w:bCs/>
          <w:i/>
          <w:sz w:val="24"/>
          <w:szCs w:val="24"/>
          <w:lang w:val="pl-PL"/>
        </w:rPr>
        <w:t>avanje</w:t>
      </w:r>
      <w:r w:rsidRPr="0057780D">
        <w:rPr>
          <w:rFonts w:cstheme="minorHAnsi"/>
          <w:bCs/>
          <w:i/>
          <w:sz w:val="24"/>
          <w:szCs w:val="24"/>
          <w:lang w:val="sr-Latn-ME"/>
        </w:rPr>
        <w:t xml:space="preserve"> </w:t>
      </w:r>
      <w:r w:rsidRPr="005A5C62">
        <w:rPr>
          <w:rFonts w:cstheme="minorHAnsi"/>
          <w:bCs/>
          <w:i/>
          <w:sz w:val="24"/>
          <w:szCs w:val="24"/>
          <w:lang w:val="pl-PL"/>
        </w:rPr>
        <w:t>uvi</w:t>
      </w:r>
      <w:r w:rsidRPr="0057780D">
        <w:rPr>
          <w:rFonts w:cstheme="minorHAnsi"/>
          <w:bCs/>
          <w:i/>
          <w:sz w:val="24"/>
          <w:szCs w:val="24"/>
          <w:lang w:val="sr-Latn-ME"/>
        </w:rPr>
        <w:t>đ</w:t>
      </w:r>
      <w:r w:rsidRPr="005A5C62">
        <w:rPr>
          <w:rFonts w:cstheme="minorHAnsi"/>
          <w:bCs/>
          <w:i/>
          <w:sz w:val="24"/>
          <w:szCs w:val="24"/>
          <w:lang w:val="pl-PL"/>
        </w:rPr>
        <w:t>aja</w:t>
      </w:r>
      <w:r w:rsidRPr="0057780D">
        <w:rPr>
          <w:rFonts w:cstheme="minorHAnsi"/>
          <w:bCs/>
          <w:i/>
          <w:sz w:val="24"/>
          <w:szCs w:val="24"/>
          <w:lang w:val="sr-Latn-ME"/>
        </w:rPr>
        <w:t xml:space="preserve"> </w:t>
      </w:r>
      <w:r w:rsidRPr="005A5C62">
        <w:rPr>
          <w:rFonts w:cstheme="minorHAnsi"/>
          <w:bCs/>
          <w:i/>
          <w:sz w:val="24"/>
          <w:szCs w:val="24"/>
          <w:lang w:val="pl-PL"/>
        </w:rPr>
        <w:t>u</w:t>
      </w:r>
      <w:r w:rsidRPr="0057780D">
        <w:rPr>
          <w:rFonts w:cstheme="minorHAnsi"/>
          <w:bCs/>
          <w:i/>
          <w:sz w:val="24"/>
          <w:szCs w:val="24"/>
          <w:lang w:val="sr-Latn-ME"/>
        </w:rPr>
        <w:t xml:space="preserve"> </w:t>
      </w:r>
      <w:r w:rsidRPr="005A5C62">
        <w:rPr>
          <w:rFonts w:cstheme="minorHAnsi"/>
          <w:bCs/>
          <w:i/>
          <w:sz w:val="24"/>
          <w:szCs w:val="24"/>
          <w:lang w:val="pl-PL"/>
        </w:rPr>
        <w:t>stambenim</w:t>
      </w:r>
      <w:r w:rsidRPr="0057780D">
        <w:rPr>
          <w:rFonts w:cstheme="minorHAnsi"/>
          <w:bCs/>
          <w:i/>
          <w:sz w:val="24"/>
          <w:szCs w:val="24"/>
          <w:lang w:val="sr-Latn-ME"/>
        </w:rPr>
        <w:t xml:space="preserve"> </w:t>
      </w:r>
      <w:r w:rsidRPr="005A5C62">
        <w:rPr>
          <w:rFonts w:cstheme="minorHAnsi"/>
          <w:bCs/>
          <w:i/>
          <w:sz w:val="24"/>
          <w:szCs w:val="24"/>
          <w:lang w:val="pl-PL"/>
        </w:rPr>
        <w:t>objektima</w:t>
      </w:r>
      <w:r w:rsidRPr="0057780D">
        <w:rPr>
          <w:rFonts w:cstheme="minorHAnsi"/>
          <w:bCs/>
          <w:i/>
          <w:sz w:val="24"/>
          <w:szCs w:val="24"/>
          <w:lang w:val="sr-Latn-ME"/>
        </w:rPr>
        <w:t>, č</w:t>
      </w:r>
      <w:r w:rsidRPr="005A5C62">
        <w:rPr>
          <w:rFonts w:cstheme="minorHAnsi"/>
          <w:bCs/>
          <w:i/>
          <w:sz w:val="24"/>
          <w:szCs w:val="24"/>
          <w:lang w:val="pl-PL"/>
        </w:rPr>
        <w:t>ime</w:t>
      </w:r>
      <w:r w:rsidRPr="0057780D">
        <w:rPr>
          <w:rFonts w:cstheme="minorHAnsi"/>
          <w:bCs/>
          <w:i/>
          <w:sz w:val="24"/>
          <w:szCs w:val="24"/>
          <w:lang w:val="sr-Latn-ME"/>
        </w:rPr>
        <w:t xml:space="preserve"> </w:t>
      </w:r>
      <w:r w:rsidRPr="005A5C62">
        <w:rPr>
          <w:rFonts w:cstheme="minorHAnsi"/>
          <w:bCs/>
          <w:i/>
          <w:sz w:val="24"/>
          <w:szCs w:val="24"/>
          <w:lang w:val="pl-PL"/>
        </w:rPr>
        <w:t>bi</w:t>
      </w:r>
      <w:r w:rsidRPr="0057780D">
        <w:rPr>
          <w:rFonts w:cstheme="minorHAnsi"/>
          <w:bCs/>
          <w:i/>
          <w:sz w:val="24"/>
          <w:szCs w:val="24"/>
          <w:lang w:val="sr-Latn-ME"/>
        </w:rPr>
        <w:t xml:space="preserve"> </w:t>
      </w:r>
      <w:r w:rsidRPr="005A5C62">
        <w:rPr>
          <w:rFonts w:cstheme="minorHAnsi"/>
          <w:bCs/>
          <w:i/>
          <w:sz w:val="24"/>
          <w:szCs w:val="24"/>
          <w:lang w:val="pl-PL"/>
        </w:rPr>
        <w:t>bio</w:t>
      </w:r>
      <w:r w:rsidRPr="0057780D">
        <w:rPr>
          <w:rFonts w:cstheme="minorHAnsi"/>
          <w:bCs/>
          <w:i/>
          <w:sz w:val="24"/>
          <w:szCs w:val="24"/>
          <w:lang w:val="sr-Latn-ME"/>
        </w:rPr>
        <w:t xml:space="preserve"> </w:t>
      </w:r>
      <w:r w:rsidRPr="005A5C62">
        <w:rPr>
          <w:rFonts w:cstheme="minorHAnsi"/>
          <w:bCs/>
          <w:i/>
          <w:sz w:val="24"/>
          <w:szCs w:val="24"/>
          <w:lang w:val="pl-PL"/>
        </w:rPr>
        <w:t>omogu</w:t>
      </w:r>
      <w:r w:rsidRPr="0057780D">
        <w:rPr>
          <w:rFonts w:cstheme="minorHAnsi"/>
          <w:bCs/>
          <w:i/>
          <w:sz w:val="24"/>
          <w:szCs w:val="24"/>
          <w:lang w:val="sr-Latn-ME"/>
        </w:rPr>
        <w:t>ć</w:t>
      </w:r>
      <w:r w:rsidRPr="005A5C62">
        <w:rPr>
          <w:rFonts w:cstheme="minorHAnsi"/>
          <w:bCs/>
          <w:i/>
          <w:sz w:val="24"/>
          <w:szCs w:val="24"/>
          <w:lang w:val="pl-PL"/>
        </w:rPr>
        <w:t>en</w:t>
      </w:r>
      <w:r w:rsidRPr="0057780D">
        <w:rPr>
          <w:rFonts w:cstheme="minorHAnsi"/>
          <w:bCs/>
          <w:i/>
          <w:sz w:val="24"/>
          <w:szCs w:val="24"/>
          <w:lang w:val="sr-Latn-ME"/>
        </w:rPr>
        <w:t xml:space="preserve"> </w:t>
      </w:r>
      <w:r w:rsidRPr="005A5C62">
        <w:rPr>
          <w:rFonts w:cstheme="minorHAnsi"/>
          <w:bCs/>
          <w:i/>
          <w:sz w:val="24"/>
          <w:szCs w:val="24"/>
          <w:lang w:val="pl-PL"/>
        </w:rPr>
        <w:t>efikasniji</w:t>
      </w:r>
      <w:r w:rsidRPr="0057780D">
        <w:rPr>
          <w:rFonts w:cstheme="minorHAnsi"/>
          <w:bCs/>
          <w:i/>
          <w:sz w:val="24"/>
          <w:szCs w:val="24"/>
          <w:lang w:val="sr-Latn-ME"/>
        </w:rPr>
        <w:t xml:space="preserve"> </w:t>
      </w:r>
      <w:r w:rsidRPr="005A5C62">
        <w:rPr>
          <w:rFonts w:cstheme="minorHAnsi"/>
          <w:bCs/>
          <w:i/>
          <w:sz w:val="24"/>
          <w:szCs w:val="24"/>
          <w:lang w:val="pl-PL"/>
        </w:rPr>
        <w:t>inpekcijski</w:t>
      </w:r>
      <w:r w:rsidRPr="0057780D">
        <w:rPr>
          <w:rFonts w:cstheme="minorHAnsi"/>
          <w:bCs/>
          <w:i/>
          <w:sz w:val="24"/>
          <w:szCs w:val="24"/>
          <w:lang w:val="sr-Latn-ME"/>
        </w:rPr>
        <w:t xml:space="preserve"> </w:t>
      </w:r>
      <w:r w:rsidRPr="005A5C62">
        <w:rPr>
          <w:rFonts w:cstheme="minorHAnsi"/>
          <w:bCs/>
          <w:i/>
          <w:sz w:val="24"/>
          <w:szCs w:val="24"/>
          <w:lang w:val="pl-PL"/>
        </w:rPr>
        <w:t>nadzor</w:t>
      </w:r>
      <w:r w:rsidRPr="0057780D">
        <w:rPr>
          <w:rFonts w:cstheme="minorHAnsi"/>
          <w:bCs/>
          <w:i/>
          <w:sz w:val="24"/>
          <w:szCs w:val="24"/>
          <w:lang w:val="sr-Latn-ME"/>
        </w:rPr>
        <w:t>.</w:t>
      </w:r>
      <w:bookmarkEnd w:id="57"/>
      <w:r w:rsidRPr="0057780D">
        <w:rPr>
          <w:rFonts w:cstheme="minorHAnsi"/>
          <w:bCs/>
          <w:i/>
          <w:sz w:val="24"/>
          <w:szCs w:val="24"/>
          <w:lang w:val="sr-Latn-ME"/>
        </w:rPr>
        <w:t xml:space="preserve"> </w:t>
      </w:r>
      <w:r w:rsidRPr="005A5C62">
        <w:rPr>
          <w:rFonts w:cstheme="minorHAnsi"/>
          <w:bCs/>
          <w:i/>
          <w:sz w:val="24"/>
          <w:szCs w:val="24"/>
          <w:lang w:val="pl-PL"/>
        </w:rPr>
        <w:t>Tako</w:t>
      </w:r>
      <w:r w:rsidRPr="0057780D">
        <w:rPr>
          <w:rFonts w:cstheme="minorHAnsi"/>
          <w:bCs/>
          <w:i/>
          <w:sz w:val="24"/>
          <w:szCs w:val="24"/>
          <w:lang w:val="sr-Latn-ME"/>
        </w:rPr>
        <w:t>đ</w:t>
      </w:r>
      <w:r w:rsidRPr="005A5C62">
        <w:rPr>
          <w:rFonts w:cstheme="minorHAnsi"/>
          <w:bCs/>
          <w:i/>
          <w:sz w:val="24"/>
          <w:szCs w:val="24"/>
          <w:lang w:val="pl-PL"/>
        </w:rPr>
        <w:t>e</w:t>
      </w:r>
      <w:r w:rsidRPr="0057780D">
        <w:rPr>
          <w:rFonts w:cstheme="minorHAnsi"/>
          <w:bCs/>
          <w:i/>
          <w:sz w:val="24"/>
          <w:szCs w:val="24"/>
          <w:lang w:val="sr-Latn-ME"/>
        </w:rPr>
        <w:t xml:space="preserve">, </w:t>
      </w:r>
      <w:r w:rsidRPr="005A5C62">
        <w:rPr>
          <w:rFonts w:cstheme="minorHAnsi"/>
          <w:bCs/>
          <w:i/>
          <w:sz w:val="24"/>
          <w:szCs w:val="24"/>
          <w:lang w:val="pl-PL"/>
        </w:rPr>
        <w:t>slanje</w:t>
      </w:r>
      <w:r w:rsidRPr="0057780D">
        <w:rPr>
          <w:rFonts w:cstheme="minorHAnsi"/>
          <w:bCs/>
          <w:i/>
          <w:sz w:val="24"/>
          <w:szCs w:val="24"/>
          <w:lang w:val="sr-Latn-ME"/>
        </w:rPr>
        <w:t xml:space="preserve"> </w:t>
      </w:r>
      <w:r w:rsidRPr="005A5C62">
        <w:rPr>
          <w:rFonts w:cstheme="minorHAnsi"/>
          <w:bCs/>
          <w:i/>
          <w:sz w:val="24"/>
          <w:szCs w:val="24"/>
          <w:lang w:val="pl-PL"/>
        </w:rPr>
        <w:t>pisama</w:t>
      </w:r>
      <w:r w:rsidRPr="0057780D">
        <w:rPr>
          <w:rFonts w:cstheme="minorHAnsi"/>
          <w:bCs/>
          <w:i/>
          <w:sz w:val="24"/>
          <w:szCs w:val="24"/>
          <w:lang w:val="sr-Latn-ME"/>
        </w:rPr>
        <w:t xml:space="preserve"> </w:t>
      </w:r>
      <w:r w:rsidRPr="005A5C62">
        <w:rPr>
          <w:rFonts w:cstheme="minorHAnsi"/>
          <w:bCs/>
          <w:i/>
          <w:sz w:val="24"/>
          <w:szCs w:val="24"/>
          <w:lang w:val="pl-PL"/>
        </w:rPr>
        <w:t>obavje</w:t>
      </w:r>
      <w:r w:rsidRPr="0057780D">
        <w:rPr>
          <w:rFonts w:cstheme="minorHAnsi"/>
          <w:bCs/>
          <w:i/>
          <w:sz w:val="24"/>
          <w:szCs w:val="24"/>
          <w:lang w:val="sr-Latn-ME"/>
        </w:rPr>
        <w:t>š</w:t>
      </w:r>
      <w:r w:rsidRPr="005A5C62">
        <w:rPr>
          <w:rFonts w:cstheme="minorHAnsi"/>
          <w:bCs/>
          <w:i/>
          <w:sz w:val="24"/>
          <w:szCs w:val="24"/>
          <w:lang w:val="pl-PL"/>
        </w:rPr>
        <w:t>tenja</w:t>
      </w:r>
      <w:r w:rsidRPr="0057780D">
        <w:rPr>
          <w:rFonts w:cstheme="minorHAnsi"/>
          <w:bCs/>
          <w:i/>
          <w:sz w:val="24"/>
          <w:szCs w:val="24"/>
          <w:lang w:val="sr-Latn-ME"/>
        </w:rPr>
        <w:t xml:space="preserve"> </w:t>
      </w:r>
      <w:r w:rsidRPr="005A5C62">
        <w:rPr>
          <w:rFonts w:cstheme="minorHAnsi"/>
          <w:bCs/>
          <w:i/>
          <w:sz w:val="24"/>
          <w:szCs w:val="24"/>
          <w:lang w:val="pl-PL"/>
        </w:rPr>
        <w:t>o</w:t>
      </w:r>
      <w:r w:rsidRPr="0057780D">
        <w:rPr>
          <w:rFonts w:cstheme="minorHAnsi"/>
          <w:bCs/>
          <w:i/>
          <w:sz w:val="24"/>
          <w:szCs w:val="24"/>
          <w:lang w:val="sr-Latn-ME"/>
        </w:rPr>
        <w:t xml:space="preserve"> </w:t>
      </w:r>
      <w:r w:rsidRPr="005A5C62">
        <w:rPr>
          <w:rFonts w:cstheme="minorHAnsi"/>
          <w:bCs/>
          <w:i/>
          <w:sz w:val="24"/>
          <w:szCs w:val="24"/>
          <w:lang w:val="pl-PL"/>
        </w:rPr>
        <w:t>posljedicama</w:t>
      </w:r>
      <w:r w:rsidRPr="0057780D">
        <w:rPr>
          <w:rFonts w:cstheme="minorHAnsi"/>
          <w:bCs/>
          <w:i/>
          <w:sz w:val="24"/>
          <w:szCs w:val="24"/>
          <w:lang w:val="sr-Latn-ME"/>
        </w:rPr>
        <w:t xml:space="preserve"> </w:t>
      </w:r>
      <w:r w:rsidRPr="005A5C62">
        <w:rPr>
          <w:rFonts w:cstheme="minorHAnsi"/>
          <w:bCs/>
          <w:i/>
          <w:sz w:val="24"/>
          <w:szCs w:val="24"/>
          <w:lang w:val="pl-PL"/>
        </w:rPr>
        <w:t>neformalnog</w:t>
      </w:r>
      <w:r w:rsidRPr="0057780D">
        <w:rPr>
          <w:rFonts w:cstheme="minorHAnsi"/>
          <w:bCs/>
          <w:i/>
          <w:sz w:val="24"/>
          <w:szCs w:val="24"/>
          <w:lang w:val="sr-Latn-ME"/>
        </w:rPr>
        <w:t xml:space="preserve"> </w:t>
      </w:r>
      <w:r w:rsidRPr="005A5C62">
        <w:rPr>
          <w:rFonts w:cstheme="minorHAnsi"/>
          <w:bCs/>
          <w:i/>
          <w:sz w:val="24"/>
          <w:szCs w:val="24"/>
          <w:lang w:val="pl-PL"/>
        </w:rPr>
        <w:t>poslovanja</w:t>
      </w:r>
      <w:r w:rsidRPr="0057780D">
        <w:rPr>
          <w:rFonts w:cstheme="minorHAnsi"/>
          <w:bCs/>
          <w:i/>
          <w:sz w:val="24"/>
          <w:szCs w:val="24"/>
          <w:lang w:val="sr-Latn-ME"/>
        </w:rPr>
        <w:t xml:space="preserve"> </w:t>
      </w:r>
      <w:r w:rsidRPr="005A5C62">
        <w:rPr>
          <w:rFonts w:cstheme="minorHAnsi"/>
          <w:bCs/>
          <w:i/>
          <w:sz w:val="24"/>
          <w:szCs w:val="24"/>
          <w:lang w:val="pl-PL"/>
        </w:rPr>
        <w:t>uz</w:t>
      </w:r>
      <w:r w:rsidRPr="0057780D">
        <w:rPr>
          <w:rFonts w:cstheme="minorHAnsi"/>
          <w:bCs/>
          <w:i/>
          <w:sz w:val="24"/>
          <w:szCs w:val="24"/>
          <w:lang w:val="sr-Latn-ME"/>
        </w:rPr>
        <w:t xml:space="preserve"> </w:t>
      </w:r>
      <w:r w:rsidRPr="005A5C62">
        <w:rPr>
          <w:rFonts w:cstheme="minorHAnsi"/>
          <w:bCs/>
          <w:i/>
          <w:sz w:val="24"/>
          <w:szCs w:val="24"/>
          <w:lang w:val="pl-PL"/>
        </w:rPr>
        <w:t>uklju</w:t>
      </w:r>
      <w:r w:rsidRPr="0057780D">
        <w:rPr>
          <w:rFonts w:cstheme="minorHAnsi"/>
          <w:bCs/>
          <w:i/>
          <w:sz w:val="24"/>
          <w:szCs w:val="24"/>
          <w:lang w:val="sr-Latn-ME"/>
        </w:rPr>
        <w:t>č</w:t>
      </w:r>
      <w:r w:rsidRPr="005A5C62">
        <w:rPr>
          <w:rFonts w:cstheme="minorHAnsi"/>
          <w:bCs/>
          <w:i/>
          <w:sz w:val="24"/>
          <w:szCs w:val="24"/>
          <w:lang w:val="pl-PL"/>
        </w:rPr>
        <w:t>ivanje</w:t>
      </w:r>
      <w:r w:rsidRPr="0057780D">
        <w:rPr>
          <w:rFonts w:cstheme="minorHAnsi"/>
          <w:bCs/>
          <w:i/>
          <w:sz w:val="24"/>
          <w:szCs w:val="24"/>
          <w:lang w:val="sr-Latn-ME"/>
        </w:rPr>
        <w:t xml:space="preserve"> </w:t>
      </w:r>
      <w:r w:rsidRPr="005A5C62">
        <w:rPr>
          <w:rFonts w:cstheme="minorHAnsi"/>
          <w:bCs/>
          <w:i/>
          <w:sz w:val="24"/>
          <w:szCs w:val="24"/>
          <w:lang w:val="pl-PL"/>
        </w:rPr>
        <w:t>zabilje</w:t>
      </w:r>
      <w:r w:rsidRPr="0057780D">
        <w:rPr>
          <w:rFonts w:cstheme="minorHAnsi"/>
          <w:bCs/>
          <w:i/>
          <w:sz w:val="24"/>
          <w:szCs w:val="24"/>
          <w:lang w:val="sr-Latn-ME"/>
        </w:rPr>
        <w:t>ž</w:t>
      </w:r>
      <w:r w:rsidRPr="005A5C62">
        <w:rPr>
          <w:rFonts w:cstheme="minorHAnsi"/>
          <w:bCs/>
          <w:i/>
          <w:sz w:val="24"/>
          <w:szCs w:val="24"/>
          <w:lang w:val="pl-PL"/>
        </w:rPr>
        <w:t>bi</w:t>
      </w:r>
      <w:r w:rsidRPr="0057780D">
        <w:rPr>
          <w:rFonts w:cstheme="minorHAnsi"/>
          <w:bCs/>
          <w:i/>
          <w:sz w:val="24"/>
          <w:szCs w:val="24"/>
          <w:lang w:val="sr-Latn-ME"/>
        </w:rPr>
        <w:t xml:space="preserve"> </w:t>
      </w:r>
      <w:r w:rsidRPr="005A5C62">
        <w:rPr>
          <w:rFonts w:cstheme="minorHAnsi"/>
          <w:bCs/>
          <w:i/>
          <w:sz w:val="24"/>
          <w:szCs w:val="24"/>
          <w:lang w:val="pl-PL"/>
        </w:rPr>
        <w:t>o</w:t>
      </w:r>
      <w:r w:rsidRPr="0057780D">
        <w:rPr>
          <w:rFonts w:cstheme="minorHAnsi"/>
          <w:bCs/>
          <w:i/>
          <w:sz w:val="24"/>
          <w:szCs w:val="24"/>
          <w:lang w:val="sr-Latn-ME"/>
        </w:rPr>
        <w:t xml:space="preserve"> </w:t>
      </w:r>
      <w:r w:rsidRPr="005A5C62">
        <w:rPr>
          <w:rFonts w:cstheme="minorHAnsi"/>
          <w:bCs/>
          <w:i/>
          <w:sz w:val="24"/>
          <w:szCs w:val="24"/>
          <w:lang w:val="pl-PL"/>
        </w:rPr>
        <w:t>licima</w:t>
      </w:r>
      <w:r w:rsidRPr="0057780D">
        <w:rPr>
          <w:rFonts w:cstheme="minorHAnsi"/>
          <w:bCs/>
          <w:i/>
          <w:sz w:val="24"/>
          <w:szCs w:val="24"/>
          <w:lang w:val="sr-Latn-ME"/>
        </w:rPr>
        <w:t xml:space="preserve"> </w:t>
      </w:r>
      <w:r w:rsidRPr="005A5C62">
        <w:rPr>
          <w:rFonts w:cstheme="minorHAnsi"/>
          <w:bCs/>
          <w:i/>
          <w:sz w:val="24"/>
          <w:szCs w:val="24"/>
          <w:lang w:val="pl-PL"/>
        </w:rPr>
        <w:t>kojima</w:t>
      </w:r>
      <w:r w:rsidRPr="0057780D">
        <w:rPr>
          <w:rFonts w:cstheme="minorHAnsi"/>
          <w:bCs/>
          <w:i/>
          <w:sz w:val="24"/>
          <w:szCs w:val="24"/>
          <w:lang w:val="sr-Latn-ME"/>
        </w:rPr>
        <w:t xml:space="preserve"> </w:t>
      </w:r>
      <w:r w:rsidRPr="005A5C62">
        <w:rPr>
          <w:rFonts w:cstheme="minorHAnsi"/>
          <w:bCs/>
          <w:i/>
          <w:sz w:val="24"/>
          <w:szCs w:val="24"/>
          <w:lang w:val="pl-PL"/>
        </w:rPr>
        <w:t>su</w:t>
      </w:r>
      <w:r w:rsidRPr="0057780D">
        <w:rPr>
          <w:rFonts w:cstheme="minorHAnsi"/>
          <w:bCs/>
          <w:i/>
          <w:sz w:val="24"/>
          <w:szCs w:val="24"/>
          <w:lang w:val="sr-Latn-ME"/>
        </w:rPr>
        <w:t xml:space="preserve"> </w:t>
      </w:r>
      <w:r w:rsidRPr="005A5C62">
        <w:rPr>
          <w:rFonts w:cstheme="minorHAnsi"/>
          <w:bCs/>
          <w:i/>
          <w:sz w:val="24"/>
          <w:szCs w:val="24"/>
          <w:lang w:val="pl-PL"/>
        </w:rPr>
        <w:t>izre</w:t>
      </w:r>
      <w:r w:rsidRPr="0057780D">
        <w:rPr>
          <w:rFonts w:cstheme="minorHAnsi"/>
          <w:bCs/>
          <w:i/>
          <w:sz w:val="24"/>
          <w:szCs w:val="24"/>
          <w:lang w:val="sr-Latn-ME"/>
        </w:rPr>
        <w:t>č</w:t>
      </w:r>
      <w:r w:rsidRPr="005A5C62">
        <w:rPr>
          <w:rFonts w:cstheme="minorHAnsi"/>
          <w:bCs/>
          <w:i/>
          <w:sz w:val="24"/>
          <w:szCs w:val="24"/>
          <w:lang w:val="pl-PL"/>
        </w:rPr>
        <w:t>ene</w:t>
      </w:r>
      <w:r w:rsidRPr="0057780D">
        <w:rPr>
          <w:rFonts w:cstheme="minorHAnsi"/>
          <w:bCs/>
          <w:i/>
          <w:sz w:val="24"/>
          <w:szCs w:val="24"/>
          <w:lang w:val="sr-Latn-ME"/>
        </w:rPr>
        <w:t xml:space="preserve"> </w:t>
      </w:r>
      <w:r w:rsidRPr="005A5C62">
        <w:rPr>
          <w:rFonts w:cstheme="minorHAnsi"/>
          <w:bCs/>
          <w:i/>
          <w:sz w:val="24"/>
          <w:szCs w:val="24"/>
          <w:lang w:val="pl-PL"/>
        </w:rPr>
        <w:t>sankcije</w:t>
      </w:r>
      <w:r w:rsidRPr="0057780D">
        <w:rPr>
          <w:rFonts w:cstheme="minorHAnsi"/>
          <w:bCs/>
          <w:i/>
          <w:sz w:val="24"/>
          <w:szCs w:val="24"/>
          <w:lang w:val="sr-Latn-ME"/>
        </w:rPr>
        <w:t xml:space="preserve">, </w:t>
      </w:r>
      <w:r w:rsidRPr="005A5C62">
        <w:rPr>
          <w:rFonts w:cstheme="minorHAnsi"/>
          <w:bCs/>
          <w:i/>
          <w:sz w:val="24"/>
          <w:szCs w:val="24"/>
          <w:lang w:val="pl-PL"/>
        </w:rPr>
        <w:t>bila</w:t>
      </w:r>
      <w:r w:rsidRPr="0057780D">
        <w:rPr>
          <w:rFonts w:cstheme="minorHAnsi"/>
          <w:bCs/>
          <w:i/>
          <w:sz w:val="24"/>
          <w:szCs w:val="24"/>
          <w:lang w:val="sr-Latn-ME"/>
        </w:rPr>
        <w:t xml:space="preserve"> </w:t>
      </w:r>
      <w:r w:rsidRPr="005A5C62">
        <w:rPr>
          <w:rFonts w:cstheme="minorHAnsi"/>
          <w:bCs/>
          <w:i/>
          <w:sz w:val="24"/>
          <w:szCs w:val="24"/>
          <w:lang w:val="pl-PL"/>
        </w:rPr>
        <w:t>bi</w:t>
      </w:r>
      <w:r w:rsidRPr="0057780D">
        <w:rPr>
          <w:rFonts w:cstheme="minorHAnsi"/>
          <w:bCs/>
          <w:i/>
          <w:sz w:val="24"/>
          <w:szCs w:val="24"/>
          <w:lang w:val="sr-Latn-ME"/>
        </w:rPr>
        <w:t xml:space="preserve"> </w:t>
      </w:r>
      <w:r w:rsidRPr="005A5C62">
        <w:rPr>
          <w:rFonts w:cstheme="minorHAnsi"/>
          <w:bCs/>
          <w:i/>
          <w:sz w:val="24"/>
          <w:szCs w:val="24"/>
          <w:lang w:val="pl-PL"/>
        </w:rPr>
        <w:t>mjera</w:t>
      </w:r>
      <w:r w:rsidRPr="0057780D">
        <w:rPr>
          <w:rFonts w:cstheme="minorHAnsi"/>
          <w:bCs/>
          <w:i/>
          <w:sz w:val="24"/>
          <w:szCs w:val="24"/>
          <w:lang w:val="sr-Latn-ME"/>
        </w:rPr>
        <w:t xml:space="preserve"> </w:t>
      </w:r>
      <w:r w:rsidRPr="005A5C62">
        <w:rPr>
          <w:rFonts w:cstheme="minorHAnsi"/>
          <w:bCs/>
          <w:i/>
          <w:sz w:val="24"/>
          <w:szCs w:val="24"/>
          <w:lang w:val="pl-PL"/>
        </w:rPr>
        <w:t>koja</w:t>
      </w:r>
      <w:r w:rsidRPr="0057780D">
        <w:rPr>
          <w:rFonts w:cstheme="minorHAnsi"/>
          <w:bCs/>
          <w:i/>
          <w:sz w:val="24"/>
          <w:szCs w:val="24"/>
          <w:lang w:val="sr-Latn-ME"/>
        </w:rPr>
        <w:t xml:space="preserve"> </w:t>
      </w:r>
      <w:r w:rsidRPr="005A5C62">
        <w:rPr>
          <w:rFonts w:cstheme="minorHAnsi"/>
          <w:bCs/>
          <w:i/>
          <w:sz w:val="24"/>
          <w:szCs w:val="24"/>
          <w:lang w:val="pl-PL"/>
        </w:rPr>
        <w:t>bi</w:t>
      </w:r>
      <w:r w:rsidRPr="0057780D">
        <w:rPr>
          <w:rFonts w:cstheme="minorHAnsi"/>
          <w:bCs/>
          <w:i/>
          <w:sz w:val="24"/>
          <w:szCs w:val="24"/>
          <w:lang w:val="sr-Latn-ME"/>
        </w:rPr>
        <w:t xml:space="preserve"> </w:t>
      </w:r>
      <w:r w:rsidRPr="005A5C62">
        <w:rPr>
          <w:rFonts w:cstheme="minorHAnsi"/>
          <w:bCs/>
          <w:i/>
          <w:sz w:val="24"/>
          <w:szCs w:val="24"/>
          <w:lang w:val="pl-PL"/>
        </w:rPr>
        <w:t>uticala</w:t>
      </w:r>
      <w:r w:rsidRPr="0057780D">
        <w:rPr>
          <w:rFonts w:cstheme="minorHAnsi"/>
          <w:bCs/>
          <w:i/>
          <w:sz w:val="24"/>
          <w:szCs w:val="24"/>
          <w:lang w:val="sr-Latn-ME"/>
        </w:rPr>
        <w:t xml:space="preserve"> </w:t>
      </w:r>
      <w:r w:rsidRPr="005A5C62">
        <w:rPr>
          <w:rFonts w:cstheme="minorHAnsi"/>
          <w:bCs/>
          <w:i/>
          <w:sz w:val="24"/>
          <w:szCs w:val="24"/>
          <w:lang w:val="pl-PL"/>
        </w:rPr>
        <w:t>na</w:t>
      </w:r>
      <w:r w:rsidRPr="0057780D">
        <w:rPr>
          <w:rFonts w:cstheme="minorHAnsi"/>
          <w:bCs/>
          <w:i/>
          <w:sz w:val="24"/>
          <w:szCs w:val="24"/>
          <w:lang w:val="sr-Latn-ME"/>
        </w:rPr>
        <w:t xml:space="preserve"> </w:t>
      </w:r>
      <w:r w:rsidRPr="005A5C62">
        <w:rPr>
          <w:rFonts w:cstheme="minorHAnsi"/>
          <w:bCs/>
          <w:i/>
          <w:sz w:val="24"/>
          <w:szCs w:val="24"/>
          <w:lang w:val="pl-PL"/>
        </w:rPr>
        <w:t>pove</w:t>
      </w:r>
      <w:r w:rsidRPr="0057780D">
        <w:rPr>
          <w:rFonts w:cstheme="minorHAnsi"/>
          <w:bCs/>
          <w:i/>
          <w:sz w:val="24"/>
          <w:szCs w:val="24"/>
          <w:lang w:val="sr-Latn-ME"/>
        </w:rPr>
        <w:t>ć</w:t>
      </w:r>
      <w:r w:rsidRPr="005A5C62">
        <w:rPr>
          <w:rFonts w:cstheme="minorHAnsi"/>
          <w:bCs/>
          <w:i/>
          <w:sz w:val="24"/>
          <w:szCs w:val="24"/>
          <w:lang w:val="pl-PL"/>
        </w:rPr>
        <w:t>anju</w:t>
      </w:r>
      <w:r w:rsidRPr="0057780D">
        <w:rPr>
          <w:rFonts w:cstheme="minorHAnsi"/>
          <w:bCs/>
          <w:i/>
          <w:sz w:val="24"/>
          <w:szCs w:val="24"/>
          <w:lang w:val="sr-Latn-ME"/>
        </w:rPr>
        <w:t xml:space="preserve"> </w:t>
      </w:r>
      <w:r w:rsidRPr="005A5C62">
        <w:rPr>
          <w:rFonts w:cstheme="minorHAnsi"/>
          <w:bCs/>
          <w:i/>
          <w:sz w:val="24"/>
          <w:szCs w:val="24"/>
          <w:lang w:val="pl-PL"/>
        </w:rPr>
        <w:t>percepcije</w:t>
      </w:r>
      <w:r w:rsidRPr="0057780D">
        <w:rPr>
          <w:rFonts w:cstheme="minorHAnsi"/>
          <w:bCs/>
          <w:i/>
          <w:sz w:val="24"/>
          <w:szCs w:val="24"/>
          <w:lang w:val="sr-Latn-ME"/>
        </w:rPr>
        <w:t xml:space="preserve"> </w:t>
      </w:r>
      <w:r w:rsidRPr="005A5C62">
        <w:rPr>
          <w:rFonts w:cstheme="minorHAnsi"/>
          <w:bCs/>
          <w:i/>
          <w:sz w:val="24"/>
          <w:szCs w:val="24"/>
          <w:lang w:val="pl-PL"/>
        </w:rPr>
        <w:t>rizika</w:t>
      </w:r>
      <w:r w:rsidRPr="0057780D">
        <w:rPr>
          <w:rFonts w:cstheme="minorHAnsi"/>
          <w:bCs/>
          <w:i/>
          <w:sz w:val="24"/>
          <w:szCs w:val="24"/>
          <w:lang w:val="sr-Latn-ME"/>
        </w:rPr>
        <w:t xml:space="preserve"> </w:t>
      </w:r>
      <w:r w:rsidRPr="005A5C62">
        <w:rPr>
          <w:rFonts w:cstheme="minorHAnsi"/>
          <w:bCs/>
          <w:i/>
          <w:sz w:val="24"/>
          <w:szCs w:val="24"/>
          <w:lang w:val="pl-PL"/>
        </w:rPr>
        <w:t>od</w:t>
      </w:r>
      <w:r w:rsidRPr="0057780D">
        <w:rPr>
          <w:rFonts w:cstheme="minorHAnsi"/>
          <w:bCs/>
          <w:i/>
          <w:sz w:val="24"/>
          <w:szCs w:val="24"/>
          <w:lang w:val="sr-Latn-ME"/>
        </w:rPr>
        <w:t xml:space="preserve"> </w:t>
      </w:r>
      <w:r w:rsidRPr="005A5C62">
        <w:rPr>
          <w:rFonts w:cstheme="minorHAnsi"/>
          <w:bCs/>
          <w:i/>
          <w:sz w:val="24"/>
          <w:szCs w:val="24"/>
          <w:lang w:val="pl-PL"/>
        </w:rPr>
        <w:t>poslovanja</w:t>
      </w:r>
      <w:r w:rsidRPr="0057780D">
        <w:rPr>
          <w:rFonts w:cstheme="minorHAnsi"/>
          <w:bCs/>
          <w:i/>
          <w:sz w:val="24"/>
          <w:szCs w:val="24"/>
          <w:lang w:val="sr-Latn-ME"/>
        </w:rPr>
        <w:t xml:space="preserve"> </w:t>
      </w:r>
      <w:r w:rsidRPr="005A5C62">
        <w:rPr>
          <w:rFonts w:cstheme="minorHAnsi"/>
          <w:bCs/>
          <w:i/>
          <w:sz w:val="24"/>
          <w:szCs w:val="24"/>
          <w:lang w:val="pl-PL"/>
        </w:rPr>
        <w:t>u</w:t>
      </w:r>
      <w:r w:rsidRPr="0057780D">
        <w:rPr>
          <w:rFonts w:cstheme="minorHAnsi"/>
          <w:bCs/>
          <w:i/>
          <w:sz w:val="24"/>
          <w:szCs w:val="24"/>
          <w:lang w:val="sr-Latn-ME"/>
        </w:rPr>
        <w:t xml:space="preserve"> </w:t>
      </w:r>
      <w:r w:rsidRPr="005A5C62">
        <w:rPr>
          <w:rFonts w:cstheme="minorHAnsi"/>
          <w:bCs/>
          <w:i/>
          <w:sz w:val="24"/>
          <w:szCs w:val="24"/>
          <w:lang w:val="pl-PL"/>
        </w:rPr>
        <w:t>sivoj</w:t>
      </w:r>
      <w:r w:rsidRPr="0057780D">
        <w:rPr>
          <w:rFonts w:cstheme="minorHAnsi"/>
          <w:bCs/>
          <w:i/>
          <w:sz w:val="24"/>
          <w:szCs w:val="24"/>
          <w:lang w:val="sr-Latn-ME"/>
        </w:rPr>
        <w:t xml:space="preserve"> </w:t>
      </w:r>
      <w:r w:rsidRPr="005A5C62">
        <w:rPr>
          <w:rFonts w:cstheme="minorHAnsi"/>
          <w:bCs/>
          <w:i/>
          <w:sz w:val="24"/>
          <w:szCs w:val="24"/>
          <w:lang w:val="pl-PL"/>
        </w:rPr>
        <w:t>zoni</w:t>
      </w:r>
      <w:r w:rsidRPr="0057780D">
        <w:rPr>
          <w:rFonts w:cstheme="minorHAnsi"/>
          <w:bCs/>
          <w:i/>
          <w:sz w:val="24"/>
          <w:szCs w:val="24"/>
          <w:lang w:val="sr-Latn-ME"/>
        </w:rPr>
        <w:t>”.</w:t>
      </w:r>
    </w:p>
    <w:p w14:paraId="317BACFB" w14:textId="77777777" w:rsidR="00811046" w:rsidRPr="005A5C62" w:rsidRDefault="00811046" w:rsidP="005A5C62">
      <w:pPr>
        <w:jc w:val="both"/>
        <w:rPr>
          <w:rFonts w:cstheme="minorHAnsi"/>
          <w:i/>
          <w:sz w:val="24"/>
          <w:szCs w:val="24"/>
          <w:lang w:val="pl-PL"/>
        </w:rPr>
      </w:pPr>
      <w:r w:rsidRPr="005A5C62">
        <w:rPr>
          <w:rFonts w:cstheme="minorHAnsi"/>
          <w:i/>
          <w:sz w:val="24"/>
          <w:szCs w:val="24"/>
          <w:lang w:val="pl-PL"/>
        </w:rPr>
        <w:t>„Učestalih rotacija ili primjene sporazuma o priznanju za inspekcije Sektora za zaštitu tržišta i ekonomije UIP I Sektora za operative u oblasti inspekcijskog nadzora Uprave prihoda i carina mogu dodatno poboljšati rad u domenu inspekcijskog nadzora odnosno otkrivanja i kažnjavanja”.</w:t>
      </w:r>
    </w:p>
    <w:p w14:paraId="70A7F98A" w14:textId="77777777" w:rsidR="00811046" w:rsidRPr="005A5C62" w:rsidRDefault="00811046" w:rsidP="005A5C62">
      <w:pPr>
        <w:jc w:val="both"/>
        <w:rPr>
          <w:rFonts w:cstheme="minorHAnsi"/>
          <w:i/>
          <w:sz w:val="24"/>
          <w:szCs w:val="24"/>
          <w:lang w:val="pl-PL"/>
        </w:rPr>
      </w:pPr>
    </w:p>
    <w:p w14:paraId="3185C726" w14:textId="6AC368DC" w:rsidR="00811046" w:rsidRPr="005A5C62" w:rsidRDefault="00811046" w:rsidP="005A5C62">
      <w:pPr>
        <w:jc w:val="both"/>
        <w:rPr>
          <w:rFonts w:cstheme="minorHAnsi"/>
          <w:i/>
          <w:sz w:val="24"/>
          <w:szCs w:val="24"/>
          <w:lang w:val="sr-Latn-ME"/>
        </w:rPr>
      </w:pPr>
      <w:r w:rsidRPr="005A5C62">
        <w:rPr>
          <w:rFonts w:cstheme="minorHAnsi"/>
          <w:i/>
          <w:sz w:val="24"/>
          <w:szCs w:val="24"/>
          <w:lang w:val="pl-PL"/>
        </w:rPr>
        <w:t>„</w:t>
      </w:r>
      <w:r w:rsidRPr="005A5C62">
        <w:rPr>
          <w:rFonts w:cstheme="minorHAnsi"/>
          <w:i/>
          <w:sz w:val="24"/>
          <w:szCs w:val="24"/>
          <w:lang w:val="sr-Latn-ME"/>
        </w:rPr>
        <w:t>Poseban akcenat staviti na kontrolu zarada izvršnih direktora/osnivača privrednih društava koji su često prijavljeni na minimalnu zaradu, a kroz mehanizme gotovinskih transakcija dio poslovnih prihoda koji se ne evidentiraju se koriste za ličnu potrošnju“.</w:t>
      </w:r>
    </w:p>
    <w:p w14:paraId="3FB7D083" w14:textId="60B06945" w:rsidR="00811046" w:rsidRPr="005A5C62" w:rsidRDefault="00811046" w:rsidP="005A5C62">
      <w:pPr>
        <w:jc w:val="both"/>
        <w:rPr>
          <w:rFonts w:cstheme="minorHAnsi"/>
          <w:iCs/>
          <w:sz w:val="24"/>
          <w:szCs w:val="24"/>
          <w:lang w:val="pl-PL"/>
        </w:rPr>
      </w:pPr>
      <w:r w:rsidRPr="005A5C62">
        <w:rPr>
          <w:rFonts w:cstheme="minorHAnsi"/>
          <w:i/>
          <w:sz w:val="24"/>
          <w:szCs w:val="24"/>
          <w:lang w:val="sr-Latn-ME"/>
        </w:rPr>
        <w:t>„</w:t>
      </w:r>
      <w:r w:rsidRPr="005A5C62">
        <w:rPr>
          <w:rFonts w:cstheme="minorHAnsi"/>
          <w:i/>
          <w:sz w:val="24"/>
          <w:szCs w:val="24"/>
          <w:lang w:val="pl-PL"/>
        </w:rPr>
        <w:t>Samo pojačanim kon</w:t>
      </w:r>
      <w:r w:rsidRPr="005A5C62">
        <w:rPr>
          <w:rFonts w:cstheme="minorHAnsi"/>
          <w:iCs/>
          <w:sz w:val="24"/>
          <w:szCs w:val="24"/>
          <w:lang w:val="pl-PL"/>
        </w:rPr>
        <w:t>trolama i adekvatnim novčanim kaznama možemo “natjerati” sve one koji su u sivoj zoni da iz iste pređu u regularne tokove, jer plašimo se da sve ostalo ne bi urodilo prodom”.</w:t>
      </w:r>
    </w:p>
    <w:p w14:paraId="09C718D8" w14:textId="77777777" w:rsidR="00811046" w:rsidRPr="005A5C62" w:rsidRDefault="00811046" w:rsidP="005A5C62">
      <w:pPr>
        <w:jc w:val="both"/>
        <w:rPr>
          <w:rFonts w:cstheme="minorHAnsi"/>
          <w:iCs/>
          <w:sz w:val="24"/>
          <w:szCs w:val="24"/>
          <w:lang w:val="pl-PL"/>
        </w:rPr>
      </w:pPr>
      <w:r w:rsidRPr="005A5C62">
        <w:rPr>
          <w:rFonts w:cstheme="minorHAnsi"/>
          <w:iCs/>
          <w:sz w:val="24"/>
          <w:szCs w:val="24"/>
          <w:lang w:val="sr-Latn-ME"/>
        </w:rPr>
        <w:t xml:space="preserve"> „</w:t>
      </w:r>
      <w:r w:rsidRPr="005A5C62">
        <w:rPr>
          <w:rFonts w:cstheme="minorHAnsi"/>
          <w:iCs/>
          <w:sz w:val="24"/>
          <w:szCs w:val="24"/>
          <w:lang w:val="pl-PL"/>
        </w:rPr>
        <w:t>Za rad bez odobrenja za obavljanje djelatnosti i opšte registracije kod poreskog organa smatram da su kazne  niske i iste treba povećati”.</w:t>
      </w:r>
    </w:p>
    <w:p w14:paraId="3EDAC6AC" w14:textId="77777777" w:rsidR="00811046" w:rsidRPr="005A5C62" w:rsidRDefault="00811046" w:rsidP="005A5C62">
      <w:pPr>
        <w:jc w:val="both"/>
        <w:rPr>
          <w:rFonts w:cstheme="minorHAnsi"/>
          <w:iCs/>
          <w:sz w:val="24"/>
          <w:szCs w:val="24"/>
          <w:lang w:val="sr-Latn-ME"/>
        </w:rPr>
      </w:pPr>
      <w:r w:rsidRPr="005A5C62">
        <w:rPr>
          <w:rFonts w:cstheme="minorHAnsi"/>
          <w:iCs/>
          <w:sz w:val="24"/>
          <w:szCs w:val="24"/>
          <w:lang w:val="pl-PL"/>
        </w:rPr>
        <w:t>„</w:t>
      </w:r>
      <w:r w:rsidRPr="005A5C62">
        <w:rPr>
          <w:rFonts w:cstheme="minorHAnsi"/>
          <w:iCs/>
          <w:sz w:val="24"/>
          <w:szCs w:val="24"/>
          <w:lang w:val="sr-Latn-ME"/>
        </w:rPr>
        <w:t xml:space="preserve">Zaštiti zviždače, koji imaju ključnu ulogu u razotkrivanju nezakonitih radnji poslodavca, koje bi nadležnim organima pomogli u  identifikovanju  istih“. </w:t>
      </w:r>
    </w:p>
    <w:p w14:paraId="48A47C8D" w14:textId="77777777" w:rsidR="00811046" w:rsidRPr="005A5C62" w:rsidRDefault="00811046" w:rsidP="005A5C62">
      <w:pPr>
        <w:jc w:val="both"/>
        <w:rPr>
          <w:rFonts w:cstheme="minorHAnsi"/>
          <w:iCs/>
          <w:sz w:val="24"/>
          <w:szCs w:val="24"/>
          <w:lang w:val="sr-Latn-ME"/>
        </w:rPr>
      </w:pPr>
      <w:r w:rsidRPr="005A5C62">
        <w:rPr>
          <w:rFonts w:cstheme="minorHAnsi"/>
          <w:iCs/>
          <w:sz w:val="24"/>
          <w:szCs w:val="24"/>
          <w:lang w:val="sr-Latn-ME"/>
        </w:rPr>
        <w:t xml:space="preserve">„Zakon o inspekcijskom nadzoru unijeti odredbe kojima će se propisati poseban postupak vršenja inspekcijskog nadzora prema neregistrovanim subjektima. Napominjemo da je u uporednoj praksi zemalja okruženja propisana kontrola fizičkih i pravnih lica koja nisu registrovana za obavljanje privredne djelatnosti. </w:t>
      </w:r>
    </w:p>
    <w:p w14:paraId="694B1A17" w14:textId="77777777" w:rsidR="00811046" w:rsidRPr="005A5C62" w:rsidRDefault="00811046" w:rsidP="005A5C62">
      <w:pPr>
        <w:jc w:val="both"/>
        <w:rPr>
          <w:rFonts w:cstheme="minorHAnsi"/>
          <w:iCs/>
          <w:sz w:val="24"/>
          <w:szCs w:val="24"/>
          <w:lang w:val="sr-Latn-ME"/>
        </w:rPr>
      </w:pPr>
    </w:p>
    <w:p w14:paraId="64C0F8AA" w14:textId="490762B5" w:rsidR="00811046" w:rsidRPr="00756CAA" w:rsidRDefault="00686BAF" w:rsidP="005A5C62">
      <w:pPr>
        <w:jc w:val="both"/>
        <w:rPr>
          <w:rFonts w:cstheme="minorHAnsi"/>
          <w:b/>
          <w:bCs/>
          <w:iCs/>
          <w:sz w:val="24"/>
          <w:szCs w:val="24"/>
          <w:lang w:val="sr-Latn-ME"/>
        </w:rPr>
      </w:pPr>
      <w:bookmarkStart w:id="58" w:name="_Toc141249041"/>
      <w:r>
        <w:rPr>
          <w:rFonts w:cstheme="minorHAnsi"/>
          <w:b/>
          <w:bCs/>
          <w:iCs/>
          <w:sz w:val="24"/>
          <w:szCs w:val="24"/>
          <w:lang w:val="sr-Latn-ME"/>
        </w:rPr>
        <w:t xml:space="preserve">2.10 </w:t>
      </w:r>
      <w:r w:rsidR="00811046" w:rsidRPr="005A5C62">
        <w:rPr>
          <w:rFonts w:cstheme="minorHAnsi"/>
          <w:b/>
          <w:bCs/>
          <w:iCs/>
          <w:sz w:val="24"/>
          <w:szCs w:val="24"/>
          <w:lang w:val="sr-Latn-ME"/>
        </w:rPr>
        <w:t>Finansiranje aktivnosti</w:t>
      </w:r>
      <w:bookmarkEnd w:id="58"/>
      <w:r w:rsidR="00811046" w:rsidRPr="005A5C62">
        <w:rPr>
          <w:rFonts w:cstheme="minorHAnsi"/>
          <w:b/>
          <w:bCs/>
          <w:iCs/>
          <w:sz w:val="24"/>
          <w:szCs w:val="24"/>
          <w:lang w:val="sr-Latn-ME"/>
        </w:rPr>
        <w:t xml:space="preserve"> </w:t>
      </w:r>
    </w:p>
    <w:p w14:paraId="1987BE48" w14:textId="3056F597" w:rsidR="00044498"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Imajući u vidu finansijsku održivost predloženih mjera ispitanici su pitani da li se u srednjem roku, budžetom institucije/organizacije koju predstavljate ili iz nekog drugog izvora, mogu planirati finansijska sredstva za aktivnosti koje predlažete? Ispitanici iz institucija javnog sektora smatrali su da mjere mogu da se planiraju u okviru godišnjih budžeta, dilema je postojala da li odredjene mjere da se planiraju u okviru posebnih organizacionih jedinica ili Ministarstva finansija, ispitanici iz drugi sektora smatrali su da to nije moguće planirati u njihovom budžetu, osim Sekretarijata za konkurentnost koji je pokazao spremnost za podršku određenim mjerama na više načina. </w:t>
      </w:r>
    </w:p>
    <w:p w14:paraId="5A10726A" w14:textId="2AC9C498" w:rsidR="00811046" w:rsidRPr="005A5C62" w:rsidRDefault="00811046" w:rsidP="005A5C62">
      <w:pPr>
        <w:jc w:val="both"/>
        <w:rPr>
          <w:rFonts w:cstheme="minorHAnsi"/>
          <w:iCs/>
          <w:sz w:val="24"/>
          <w:szCs w:val="24"/>
          <w:lang w:val="sr-Latn-ME"/>
        </w:rPr>
      </w:pPr>
      <w:r w:rsidRPr="005A5C62">
        <w:rPr>
          <w:rFonts w:cstheme="minorHAnsi"/>
          <w:bCs/>
          <w:iCs/>
          <w:sz w:val="24"/>
          <w:szCs w:val="24"/>
          <w:lang w:val="sr-Latn-ME"/>
        </w:rPr>
        <w:t>Kao posebno interesantan odgovor dobijen je od strane jedne osiguravajuće kompanije, pa ga samim tim navodimo u nastavku.</w:t>
      </w:r>
    </w:p>
    <w:p w14:paraId="250F6D45" w14:textId="4B56EC34" w:rsidR="00811046" w:rsidRPr="005A5C62" w:rsidRDefault="00811046" w:rsidP="005A5C62">
      <w:pPr>
        <w:jc w:val="both"/>
        <w:rPr>
          <w:rFonts w:cstheme="minorHAnsi"/>
          <w:iCs/>
          <w:sz w:val="24"/>
          <w:szCs w:val="24"/>
          <w:lang w:val="pl-PL"/>
        </w:rPr>
      </w:pPr>
      <w:r w:rsidRPr="005A5C62">
        <w:rPr>
          <w:rFonts w:cstheme="minorHAnsi"/>
          <w:iCs/>
          <w:sz w:val="24"/>
          <w:szCs w:val="24"/>
          <w:lang w:val="pl-PL"/>
        </w:rPr>
        <w:t>„U branši iz koje ja dolazim siva ekonomija ne postoji, pa sam mišljenja da prije svega rješenja treba tržiti u državnoj administraciji i donošenju adekvatnih zakonskih propisa”.</w:t>
      </w:r>
    </w:p>
    <w:p w14:paraId="2E6F3336" w14:textId="107C9D0C" w:rsidR="00811046" w:rsidRPr="005A5C62" w:rsidRDefault="00811046" w:rsidP="005A5C62">
      <w:pPr>
        <w:jc w:val="both"/>
        <w:rPr>
          <w:rFonts w:cstheme="minorHAnsi"/>
          <w:bCs/>
          <w:iCs/>
          <w:sz w:val="24"/>
          <w:szCs w:val="24"/>
          <w:lang w:val="sr-Latn-ME"/>
        </w:rPr>
      </w:pPr>
      <w:r w:rsidRPr="005A5C62">
        <w:rPr>
          <w:rFonts w:cstheme="minorHAnsi"/>
          <w:iCs/>
          <w:sz w:val="24"/>
          <w:szCs w:val="24"/>
          <w:lang w:val="pl-PL"/>
        </w:rPr>
        <w:t>„</w:t>
      </w:r>
      <w:r w:rsidRPr="005A5C62">
        <w:rPr>
          <w:rFonts w:cstheme="minorHAnsi"/>
          <w:bCs/>
          <w:iCs/>
          <w:sz w:val="24"/>
          <w:szCs w:val="24"/>
          <w:lang w:val="sr-Latn-ME"/>
        </w:rPr>
        <w:t>Sekretarijat Savjeta za konkurentnost u kontinuetu prati, promoviše i finansijski pomaže sve one aktivnosti koje za rezultat imaju unapređenje poslovnog ambijenta. S obzirom da je suzbijanje sive ekonomije tema koja je u fokusu aktivnosti SCC-a, u načelu postoji spremnost pružanja podrške za realizaciju neke od aktivnsoti koje će imati uticaj na suzbijanje sive ekonomije, a samim tim i unapređenje poslovnog ambijenta (podrška podrazumijeva stručni, organizacioni i finanisjski aspekt)“.</w:t>
      </w:r>
    </w:p>
    <w:p w14:paraId="26D524EE" w14:textId="26AFFC28" w:rsidR="00811046" w:rsidRPr="00756CAA" w:rsidRDefault="00686BAF" w:rsidP="005A5C62">
      <w:pPr>
        <w:jc w:val="both"/>
        <w:rPr>
          <w:rFonts w:cstheme="minorHAnsi"/>
          <w:b/>
          <w:bCs/>
          <w:iCs/>
          <w:sz w:val="24"/>
          <w:szCs w:val="24"/>
          <w:lang w:val="sr-Latn-ME"/>
        </w:rPr>
      </w:pPr>
      <w:bookmarkStart w:id="59" w:name="_Toc141249042"/>
      <w:r>
        <w:rPr>
          <w:rFonts w:cstheme="minorHAnsi"/>
          <w:b/>
          <w:bCs/>
          <w:iCs/>
          <w:sz w:val="24"/>
          <w:szCs w:val="24"/>
          <w:lang w:val="sr-Latn-ME"/>
        </w:rPr>
        <w:t>2</w:t>
      </w:r>
      <w:r w:rsidR="00811046" w:rsidRPr="005A5C62">
        <w:rPr>
          <w:rFonts w:cstheme="minorHAnsi"/>
          <w:b/>
          <w:bCs/>
          <w:iCs/>
          <w:sz w:val="24"/>
          <w:szCs w:val="24"/>
          <w:lang w:val="sr-Latn-ME"/>
        </w:rPr>
        <w:t>.11 Zakoni i neformalna zaposlenost</w:t>
      </w:r>
      <w:bookmarkEnd w:id="59"/>
      <w:r w:rsidR="00811046" w:rsidRPr="005A5C62">
        <w:rPr>
          <w:rFonts w:cstheme="minorHAnsi"/>
          <w:b/>
          <w:bCs/>
          <w:iCs/>
          <w:sz w:val="24"/>
          <w:szCs w:val="24"/>
          <w:lang w:val="sr-Latn-ME"/>
        </w:rPr>
        <w:t xml:space="preserve"> </w:t>
      </w:r>
    </w:p>
    <w:p w14:paraId="62E90811" w14:textId="77777777" w:rsidR="005C3E2F" w:rsidRDefault="00811046" w:rsidP="005A5C62">
      <w:pPr>
        <w:jc w:val="both"/>
        <w:rPr>
          <w:rFonts w:cstheme="minorHAnsi"/>
          <w:bCs/>
          <w:iCs/>
          <w:sz w:val="24"/>
          <w:szCs w:val="24"/>
          <w:lang w:val="pl-PL"/>
        </w:rPr>
      </w:pPr>
      <w:r w:rsidRPr="005A5C62">
        <w:rPr>
          <w:rFonts w:cstheme="minorHAnsi"/>
          <w:bCs/>
          <w:iCs/>
          <w:sz w:val="24"/>
          <w:szCs w:val="24"/>
          <w:lang w:val="sr-Latn-ME"/>
        </w:rPr>
        <w:t xml:space="preserve">Imajući u vidu važnost zakonodavnog okvira ispitanici su pitani koji su najvažniji zakoni čija bi izmjena, ili donošenje novih, omogućili postepeno smanjenje neformalne zaposlenosti (prvenstveno kod registrovanih preduzeća)? </w:t>
      </w:r>
      <w:r w:rsidRPr="005A5C62">
        <w:rPr>
          <w:rFonts w:cstheme="minorHAnsi"/>
          <w:bCs/>
          <w:iCs/>
          <w:sz w:val="24"/>
          <w:szCs w:val="24"/>
          <w:lang w:val="pl-PL"/>
        </w:rPr>
        <w:t xml:space="preserve">Na koji način? U kojim sektorima bi se ostvario najveći efekat? Da li možete dati osvrt i na zakonodavstvo u oblasti socijalne politike? Odgovori ispitanika su se dominantno bazirali na zakonima koji regulišu oblast rada, poreski sistem, kao i inspekcijski nadzor. </w:t>
      </w:r>
    </w:p>
    <w:p w14:paraId="42BE0A15" w14:textId="7DED96BB" w:rsidR="005C3E2F" w:rsidRDefault="005C3E2F" w:rsidP="005A5C62">
      <w:pPr>
        <w:jc w:val="both"/>
        <w:rPr>
          <w:rFonts w:cstheme="minorHAnsi"/>
          <w:bCs/>
          <w:iCs/>
          <w:sz w:val="24"/>
          <w:szCs w:val="24"/>
          <w:lang w:val="pl-PL"/>
        </w:rPr>
      </w:pPr>
      <w:r>
        <w:rPr>
          <w:rFonts w:cstheme="minorHAnsi"/>
          <w:bCs/>
          <w:iCs/>
          <w:sz w:val="24"/>
          <w:szCs w:val="24"/>
          <w:lang w:val="pl-PL"/>
        </w:rPr>
        <w:t>Njihovo viđenje u ovom dijelu je rezimirano kroz odgovore koje ukazuju d</w:t>
      </w:r>
      <w:r w:rsidR="003056CA">
        <w:rPr>
          <w:rFonts w:cstheme="minorHAnsi"/>
          <w:bCs/>
          <w:iCs/>
          <w:sz w:val="24"/>
          <w:szCs w:val="24"/>
          <w:lang w:val="pl-PL"/>
        </w:rPr>
        <w:t xml:space="preserve">a </w:t>
      </w:r>
      <w:r>
        <w:rPr>
          <w:rFonts w:cstheme="minorHAnsi"/>
          <w:bCs/>
          <w:iCs/>
          <w:sz w:val="24"/>
          <w:szCs w:val="24"/>
          <w:lang w:val="pl-PL"/>
        </w:rPr>
        <w:t>je p</w:t>
      </w:r>
      <w:r w:rsidR="003056CA">
        <w:rPr>
          <w:rFonts w:cstheme="minorHAnsi"/>
          <w:bCs/>
          <w:iCs/>
          <w:sz w:val="24"/>
          <w:szCs w:val="24"/>
          <w:lang w:val="pl-PL"/>
        </w:rPr>
        <w:t>o</w:t>
      </w:r>
      <w:r>
        <w:rPr>
          <w:rFonts w:cstheme="minorHAnsi"/>
          <w:bCs/>
          <w:iCs/>
          <w:sz w:val="24"/>
          <w:szCs w:val="24"/>
          <w:lang w:val="pl-PL"/>
        </w:rPr>
        <w:t xml:space="preserve">trebno promijeniti više zakona,  naročito poreskih, računovodstvnih i sl. kako bi </w:t>
      </w:r>
      <w:r w:rsidR="003E6FBC">
        <w:rPr>
          <w:rFonts w:cstheme="minorHAnsi"/>
          <w:bCs/>
          <w:iCs/>
          <w:sz w:val="24"/>
          <w:szCs w:val="24"/>
          <w:lang w:val="pl-PL"/>
        </w:rPr>
        <w:t>s</w:t>
      </w:r>
      <w:r>
        <w:rPr>
          <w:rFonts w:cstheme="minorHAnsi"/>
          <w:bCs/>
          <w:iCs/>
          <w:sz w:val="24"/>
          <w:szCs w:val="24"/>
          <w:lang w:val="pl-PL"/>
        </w:rPr>
        <w:t>e obezbijedile podsticajne m</w:t>
      </w:r>
      <w:r w:rsidR="003E6FBC">
        <w:rPr>
          <w:rFonts w:cstheme="minorHAnsi"/>
          <w:bCs/>
          <w:iCs/>
          <w:sz w:val="24"/>
          <w:szCs w:val="24"/>
          <w:lang w:val="pl-PL"/>
        </w:rPr>
        <w:t>je</w:t>
      </w:r>
      <w:r>
        <w:rPr>
          <w:rFonts w:cstheme="minorHAnsi"/>
          <w:bCs/>
          <w:iCs/>
          <w:sz w:val="24"/>
          <w:szCs w:val="24"/>
          <w:lang w:val="pl-PL"/>
        </w:rPr>
        <w:t>re za unapredjenjen poslovnog ambijent,</w:t>
      </w:r>
      <w:r w:rsidR="003E6FBC">
        <w:rPr>
          <w:rFonts w:cstheme="minorHAnsi"/>
          <w:bCs/>
          <w:iCs/>
          <w:sz w:val="24"/>
          <w:szCs w:val="24"/>
          <w:lang w:val="pl-PL"/>
        </w:rPr>
        <w:t xml:space="preserve"> </w:t>
      </w:r>
      <w:r>
        <w:rPr>
          <w:rFonts w:cstheme="minorHAnsi"/>
          <w:bCs/>
          <w:iCs/>
          <w:sz w:val="24"/>
          <w:szCs w:val="24"/>
          <w:lang w:val="pl-PL"/>
        </w:rPr>
        <w:t xml:space="preserve">ali  i restriktivne, kroz oštrije sankcije za neregistrovanje biznis aktivnosti i neprijavljivanje zaposlenih. </w:t>
      </w:r>
    </w:p>
    <w:p w14:paraId="59F687AA" w14:textId="3B6592D0" w:rsidR="00811046" w:rsidRPr="005A5C62" w:rsidRDefault="00811046" w:rsidP="005A5C62">
      <w:pPr>
        <w:jc w:val="both"/>
        <w:rPr>
          <w:rFonts w:cstheme="minorHAnsi"/>
          <w:bCs/>
          <w:iCs/>
          <w:sz w:val="24"/>
          <w:szCs w:val="24"/>
          <w:lang w:val="pl-PL"/>
        </w:rPr>
      </w:pPr>
      <w:r w:rsidRPr="005A5C62">
        <w:rPr>
          <w:rFonts w:cstheme="minorHAnsi"/>
          <w:bCs/>
          <w:iCs/>
          <w:sz w:val="24"/>
          <w:szCs w:val="24"/>
          <w:lang w:val="pl-PL"/>
        </w:rPr>
        <w:t xml:space="preserve">U nastavku su neki od dobijenih odgovora. </w:t>
      </w:r>
    </w:p>
    <w:p w14:paraId="0643D018" w14:textId="1503BC2E" w:rsidR="00811046" w:rsidRPr="003056CA" w:rsidRDefault="00811046" w:rsidP="005A5C62">
      <w:pPr>
        <w:jc w:val="both"/>
        <w:rPr>
          <w:rFonts w:cstheme="minorHAnsi"/>
          <w:i/>
          <w:sz w:val="24"/>
          <w:szCs w:val="24"/>
          <w:lang w:val="pl-PL"/>
        </w:rPr>
      </w:pPr>
      <w:r w:rsidRPr="003056CA">
        <w:rPr>
          <w:rFonts w:cstheme="minorHAnsi"/>
          <w:i/>
          <w:sz w:val="24"/>
          <w:szCs w:val="24"/>
          <w:lang w:val="pl-PL"/>
        </w:rPr>
        <w:t>„Razmotriti izmjene i dopune zakona iz oblasti radnog zakonodavstva, računovodstvenih, poreskih i zakona o obligacionim odnosima, kojima bi se pooštrile sankcije u slučaju kršenja propisa (razmatranje definisanja neprijavljivanja radnika kao krivičnog djela, značajno pooštravanje kazni za privredne prekršaje itd).”</w:t>
      </w:r>
    </w:p>
    <w:p w14:paraId="07277B10" w14:textId="67721AA2" w:rsidR="00811046" w:rsidRPr="00E205A9" w:rsidRDefault="00811046" w:rsidP="005A5C62">
      <w:pPr>
        <w:jc w:val="both"/>
        <w:rPr>
          <w:rFonts w:cstheme="minorHAnsi"/>
          <w:i/>
          <w:sz w:val="24"/>
          <w:szCs w:val="24"/>
          <w:lang w:val="pl-PL"/>
        </w:rPr>
      </w:pPr>
      <w:r w:rsidRPr="003056CA">
        <w:rPr>
          <w:rFonts w:cstheme="minorHAnsi"/>
          <w:i/>
          <w:sz w:val="24"/>
          <w:szCs w:val="24"/>
          <w:lang w:val="pl-PL"/>
        </w:rPr>
        <w:lastRenderedPageBreak/>
        <w:t xml:space="preserve"> „Prije svega potrebna je reforma skoro svih poreskih zakona, kao i usklađivanje stope poreza sa zemljama u okruženju. Potrebno je preći na princip “samooporezivanja” i uvesti progresivno i kumulativno oporezivanje dohotka građana”. </w:t>
      </w:r>
    </w:p>
    <w:p w14:paraId="381279CB" w14:textId="570B78A5" w:rsidR="00811046" w:rsidRPr="005A5C62" w:rsidRDefault="003056CA" w:rsidP="005A5C62">
      <w:pPr>
        <w:jc w:val="both"/>
        <w:rPr>
          <w:rFonts w:cstheme="minorHAnsi"/>
          <w:b/>
          <w:bCs/>
          <w:iCs/>
          <w:sz w:val="24"/>
          <w:szCs w:val="24"/>
          <w:lang w:val="sr-Latn-ME"/>
        </w:rPr>
      </w:pPr>
      <w:r>
        <w:rPr>
          <w:rFonts w:cstheme="minorHAnsi"/>
          <w:b/>
          <w:bCs/>
          <w:iCs/>
          <w:sz w:val="24"/>
          <w:szCs w:val="24"/>
          <w:lang w:val="sr-Latn-ME"/>
        </w:rPr>
        <w:t xml:space="preserve">2.12. </w:t>
      </w:r>
      <w:r w:rsidR="00811046" w:rsidRPr="005A5C62">
        <w:rPr>
          <w:rFonts w:cstheme="minorHAnsi"/>
          <w:b/>
          <w:bCs/>
          <w:iCs/>
          <w:sz w:val="24"/>
          <w:szCs w:val="24"/>
          <w:lang w:val="sr-Latn-ME"/>
        </w:rPr>
        <w:t xml:space="preserve"> </w:t>
      </w:r>
      <w:bookmarkStart w:id="60" w:name="_Toc141249043"/>
      <w:r w:rsidR="00811046" w:rsidRPr="005A5C62">
        <w:rPr>
          <w:rFonts w:cstheme="minorHAnsi"/>
          <w:b/>
          <w:bCs/>
          <w:iCs/>
          <w:sz w:val="24"/>
          <w:szCs w:val="24"/>
          <w:lang w:val="sr-Latn-ME"/>
        </w:rPr>
        <w:t>Uticaj minimalne zarade</w:t>
      </w:r>
      <w:bookmarkEnd w:id="60"/>
      <w:r w:rsidR="00811046" w:rsidRPr="005A5C62">
        <w:rPr>
          <w:rFonts w:cstheme="minorHAnsi"/>
          <w:b/>
          <w:bCs/>
          <w:iCs/>
          <w:sz w:val="24"/>
          <w:szCs w:val="24"/>
          <w:lang w:val="sr-Latn-ME"/>
        </w:rPr>
        <w:t xml:space="preserve"> </w:t>
      </w:r>
    </w:p>
    <w:p w14:paraId="2833D5B0" w14:textId="77777777" w:rsidR="003056CA" w:rsidRDefault="00811046" w:rsidP="005A5C62">
      <w:pPr>
        <w:jc w:val="both"/>
        <w:rPr>
          <w:rFonts w:cstheme="minorHAnsi"/>
          <w:bCs/>
          <w:iCs/>
          <w:sz w:val="24"/>
          <w:szCs w:val="24"/>
          <w:lang w:val="sr-Latn-ME"/>
        </w:rPr>
      </w:pPr>
      <w:r w:rsidRPr="005A5C62">
        <w:rPr>
          <w:rFonts w:cstheme="minorHAnsi"/>
          <w:bCs/>
          <w:iCs/>
          <w:sz w:val="24"/>
          <w:szCs w:val="24"/>
          <w:lang w:val="sr-Latn-ME"/>
        </w:rPr>
        <w:t>Koliko minimalna zarada utiče na moguću rezervisanost preduzeća da registruju zaposlene na puno radno vrijeme? Bilo je jedno od pitanja u okviru upitnika.</w:t>
      </w:r>
    </w:p>
    <w:p w14:paraId="576818BB" w14:textId="77B1055A"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 Od dobijenih odgovora na ovo pitanja, većina ispitanika smatra da minimalna zarada ne utiiče ili ne značajno, dok </w:t>
      </w:r>
      <w:r w:rsidR="003056CA">
        <w:rPr>
          <w:rFonts w:cstheme="minorHAnsi"/>
          <w:bCs/>
          <w:iCs/>
          <w:sz w:val="24"/>
          <w:szCs w:val="24"/>
          <w:lang w:val="sr-Latn-ME"/>
        </w:rPr>
        <w:t xml:space="preserve"> manji </w:t>
      </w:r>
      <w:r w:rsidRPr="005A5C62">
        <w:rPr>
          <w:rFonts w:cstheme="minorHAnsi"/>
          <w:bCs/>
          <w:iCs/>
          <w:sz w:val="24"/>
          <w:szCs w:val="24"/>
          <w:lang w:val="sr-Latn-ME"/>
        </w:rPr>
        <w:t xml:space="preserve"> broj smatra da utiče. U nastavku su neki od odgovora. </w:t>
      </w:r>
    </w:p>
    <w:p w14:paraId="6F4DB90B" w14:textId="7B9D1E66" w:rsidR="00811046" w:rsidRPr="003056CA" w:rsidRDefault="00811046" w:rsidP="005A5C62">
      <w:pPr>
        <w:jc w:val="both"/>
        <w:rPr>
          <w:rFonts w:cstheme="minorHAnsi"/>
          <w:bCs/>
          <w:i/>
          <w:sz w:val="24"/>
          <w:szCs w:val="24"/>
          <w:lang w:val="sr-Latn-ME"/>
        </w:rPr>
      </w:pPr>
      <w:r w:rsidRPr="003056CA">
        <w:rPr>
          <w:rFonts w:cstheme="minorHAnsi"/>
          <w:bCs/>
          <w:i/>
          <w:sz w:val="24"/>
          <w:szCs w:val="24"/>
          <w:lang w:val="sr-Latn-ME"/>
        </w:rPr>
        <w:t>„Ne bi trebalo da utiče, potrebno je izjednačiti uslove za poslovanje i omogućiti najuspješnijima na tržištu da uspiju, a eliminisati nelojalnu konkurenciju koja isključivo opstaje zahvaljujući nelegalnom djelovanju“</w:t>
      </w:r>
    </w:p>
    <w:p w14:paraId="675E5404" w14:textId="55A423F1" w:rsidR="00811046" w:rsidRPr="003056CA" w:rsidRDefault="00811046" w:rsidP="005A5C62">
      <w:pPr>
        <w:jc w:val="both"/>
        <w:rPr>
          <w:rFonts w:cstheme="minorHAnsi"/>
          <w:bCs/>
          <w:i/>
          <w:sz w:val="24"/>
          <w:szCs w:val="24"/>
          <w:lang w:val="pl-PL"/>
        </w:rPr>
      </w:pPr>
      <w:r w:rsidRPr="003056CA">
        <w:rPr>
          <w:rFonts w:cstheme="minorHAnsi"/>
          <w:bCs/>
          <w:i/>
          <w:sz w:val="24"/>
          <w:szCs w:val="24"/>
          <w:lang w:val="pl-PL"/>
        </w:rPr>
        <w:t>„Utiče, posebno u manje razvijenom regionu, kao i u preduzećima koja pripadaju kategoriji mikro preduzeća”.</w:t>
      </w:r>
    </w:p>
    <w:p w14:paraId="69850E5F" w14:textId="7269F4AD" w:rsidR="00811046" w:rsidRPr="00E205A9" w:rsidRDefault="00811046" w:rsidP="005A5C62">
      <w:pPr>
        <w:jc w:val="both"/>
        <w:rPr>
          <w:rFonts w:cstheme="minorHAnsi"/>
          <w:bCs/>
          <w:i/>
          <w:sz w:val="24"/>
          <w:szCs w:val="24"/>
          <w:lang w:val="sr-Latn-ME"/>
        </w:rPr>
      </w:pPr>
      <w:r w:rsidRPr="003056CA">
        <w:rPr>
          <w:rFonts w:cstheme="minorHAnsi"/>
          <w:bCs/>
          <w:i/>
          <w:sz w:val="24"/>
          <w:szCs w:val="24"/>
          <w:lang w:val="sr-Latn-ME"/>
        </w:rPr>
        <w:t>„Mišljenja smo da minimlna zarada nije opredjeljujući faktor koji utiče na motivaciju poslovnih subjekata da registruju zaposlene, uz uslov da se obezbijedi široka i ravnopravna poreska kontola svih poreskih subjekata, odnosno da postoji poslovni ambijent koju svim učesnicima obezbjeđuje jednak tretman“</w:t>
      </w:r>
    </w:p>
    <w:p w14:paraId="30853079" w14:textId="2CBC3BAA" w:rsidR="00811046" w:rsidRPr="005A5C62" w:rsidRDefault="003056CA" w:rsidP="003056CA">
      <w:pPr>
        <w:jc w:val="both"/>
        <w:rPr>
          <w:rFonts w:cstheme="minorHAnsi"/>
          <w:b/>
          <w:bCs/>
          <w:iCs/>
          <w:sz w:val="24"/>
          <w:szCs w:val="24"/>
          <w:lang w:val="pl-PL"/>
        </w:rPr>
      </w:pPr>
      <w:bookmarkStart w:id="61" w:name="_Toc141249044"/>
      <w:r>
        <w:rPr>
          <w:rFonts w:cstheme="minorHAnsi"/>
          <w:b/>
          <w:bCs/>
          <w:iCs/>
          <w:sz w:val="24"/>
          <w:szCs w:val="24"/>
          <w:lang w:val="pl-PL"/>
        </w:rPr>
        <w:t xml:space="preserve">2.13. </w:t>
      </w:r>
      <w:r w:rsidR="00811046" w:rsidRPr="005A5C62">
        <w:rPr>
          <w:rFonts w:cstheme="minorHAnsi"/>
          <w:b/>
          <w:bCs/>
          <w:iCs/>
          <w:sz w:val="24"/>
          <w:szCs w:val="24"/>
          <w:lang w:val="pl-PL"/>
        </w:rPr>
        <w:t>Uticaj visine poreske stope na zarade</w:t>
      </w:r>
      <w:bookmarkEnd w:id="61"/>
    </w:p>
    <w:p w14:paraId="4F00A483" w14:textId="19B552E2"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Mišljenja ispitanika su podijeljena kada je u pitanju uticaj poreske stope na zarade iznad 700 eura. Konkretno ispitanici su pitani: Da li smatrate da postojanje poreske stope na zarade iznad 700 eura bruto, utiče na poslodavce da dio dohotka iznad 700 eura isplaćuju “na ruke”? Da li je u tom dijelu potrebno nešto promijeniti? U nastavku su neki od odgovora: </w:t>
      </w:r>
    </w:p>
    <w:p w14:paraId="66B40AEE" w14:textId="77777777"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„Ukoliko su uslovi isti za sve ne bi trebalo da utiče“. </w:t>
      </w:r>
    </w:p>
    <w:p w14:paraId="202F5775" w14:textId="6BAAFCE8"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„Utiče, kažnjavamo poslodavce koji daju plate iznad 700 eura bruto.“ </w:t>
      </w:r>
    </w:p>
    <w:p w14:paraId="14CBDC0C" w14:textId="2957A73A" w:rsidR="00811046" w:rsidRPr="00E205A9" w:rsidRDefault="00811046" w:rsidP="005A5C62">
      <w:pPr>
        <w:jc w:val="both"/>
        <w:rPr>
          <w:rFonts w:cstheme="minorHAnsi"/>
          <w:bCs/>
          <w:iCs/>
          <w:sz w:val="24"/>
          <w:szCs w:val="24"/>
          <w:lang w:val="sr-Latn-ME"/>
        </w:rPr>
      </w:pPr>
      <w:r w:rsidRPr="005A5C62">
        <w:rPr>
          <w:rFonts w:cstheme="minorHAnsi"/>
          <w:bCs/>
          <w:iCs/>
          <w:sz w:val="24"/>
          <w:szCs w:val="24"/>
          <w:lang w:val="sr-Latn-ME"/>
        </w:rPr>
        <w:t>„Razmotriti mogućnost da svi građani imaju obavezu popunjavanja obrasca godišnje lične prijave svih prihoda i definisanje prekršajne, odnosno krivične odgovornosti za nepostupanje, što je slučaj u nekim savremenim državama“.</w:t>
      </w:r>
    </w:p>
    <w:p w14:paraId="0FE940DE" w14:textId="1229AD4C" w:rsidR="00811046" w:rsidRPr="005A5C62" w:rsidRDefault="003056CA" w:rsidP="005A5C62">
      <w:pPr>
        <w:jc w:val="both"/>
        <w:rPr>
          <w:rFonts w:cstheme="minorHAnsi"/>
          <w:b/>
          <w:bCs/>
          <w:iCs/>
          <w:sz w:val="24"/>
          <w:szCs w:val="24"/>
          <w:lang w:val="sr-Latn-ME"/>
        </w:rPr>
      </w:pPr>
      <w:bookmarkStart w:id="62" w:name="_Toc141249045"/>
      <w:r>
        <w:rPr>
          <w:rFonts w:cstheme="minorHAnsi"/>
          <w:b/>
          <w:bCs/>
          <w:iCs/>
          <w:sz w:val="24"/>
          <w:szCs w:val="24"/>
          <w:lang w:val="sr-Latn-ME"/>
        </w:rPr>
        <w:t xml:space="preserve">2.14 </w:t>
      </w:r>
      <w:r w:rsidR="00811046" w:rsidRPr="005A5C62">
        <w:rPr>
          <w:rFonts w:cstheme="minorHAnsi"/>
          <w:b/>
          <w:bCs/>
          <w:iCs/>
          <w:sz w:val="24"/>
          <w:szCs w:val="24"/>
          <w:lang w:val="sr-Latn-ME"/>
        </w:rPr>
        <w:t>Najvažniji zakoni</w:t>
      </w:r>
      <w:bookmarkEnd w:id="62"/>
      <w:r w:rsidR="00811046" w:rsidRPr="005A5C62">
        <w:rPr>
          <w:rFonts w:cstheme="minorHAnsi"/>
          <w:b/>
          <w:bCs/>
          <w:iCs/>
          <w:sz w:val="24"/>
          <w:szCs w:val="24"/>
          <w:lang w:val="sr-Latn-ME"/>
        </w:rPr>
        <w:t xml:space="preserve"> </w:t>
      </w:r>
    </w:p>
    <w:p w14:paraId="3E4308F4" w14:textId="6BA03DDB" w:rsidR="00811046" w:rsidRPr="00C22A10"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U želji da se sazna koliko su ispitanici zadovoljni sa regulatornim (zakonodavnim) okvirom u oblasti smanjivanja sive ekonomije na tržištu roba, jedno od pitanja je bilo: Koji su po Vama najvažniji zakoni čijom bi se izmjenom ili donošenjem novih, doprinijelo boljoj koordinaciji i smanjenju sive ekonomije na tržištu roba (akciznih roba, šumarstva/drvoprerade, poljoprivrede…)? Ispitanici nijesu imali jedinstven stav po ovom pitanju, ali su u odgovorima dominirali zakoni iz oblasti poreske politike i inspekcijskog nadzora. Značajno je napomenuti da je dio ispitanika smatrao da </w:t>
      </w:r>
      <w:r w:rsidRPr="005A5C62">
        <w:rPr>
          <w:rFonts w:cstheme="minorHAnsi"/>
          <w:bCs/>
          <w:iCs/>
          <w:sz w:val="24"/>
          <w:szCs w:val="24"/>
          <w:lang w:val="sr-Latn-ME"/>
        </w:rPr>
        <w:lastRenderedPageBreak/>
        <w:t xml:space="preserve">postojeći zakonodavni okvir nije dovoljan i da bi ga trebalo proširiti sa nekim novim zakonskim rješenjima. </w:t>
      </w:r>
    </w:p>
    <w:p w14:paraId="2B29CC69" w14:textId="76540A5A" w:rsidR="00811046" w:rsidRPr="00C22A10" w:rsidRDefault="00811046" w:rsidP="005A5C62">
      <w:pPr>
        <w:jc w:val="both"/>
        <w:rPr>
          <w:rFonts w:cstheme="minorHAnsi"/>
          <w:bCs/>
          <w:iCs/>
          <w:sz w:val="24"/>
          <w:szCs w:val="24"/>
          <w:lang w:val="sr-Latn-ME"/>
        </w:rPr>
      </w:pPr>
      <w:r w:rsidRPr="005A5C62">
        <w:rPr>
          <w:rFonts w:cstheme="minorHAnsi"/>
          <w:bCs/>
          <w:iCs/>
          <w:sz w:val="24"/>
          <w:szCs w:val="24"/>
          <w:lang w:val="sr-Latn-ME"/>
        </w:rPr>
        <w:t>„Kada je riječ o smanjenju sive ekonomije na tržištu roba, postoji nekoliko ključnih zakona, postojećih koje treba unaprijediti ili onih koje treba donijeti, koji mogu doprinijeti boljoj koordinaciji i suzbijanju nelegalnih aktivnosti, kao što su:  Zakon o transparentnosti i odgovornosti; Zakon o porezima i fiskalnoj politici; Zakon o inspekcijskom nadzoru; Zakon o sprječavanju pranja novca; Zakon o tržišnoj konkurenciji itd“.</w:t>
      </w:r>
    </w:p>
    <w:p w14:paraId="2262AD49" w14:textId="751C94D7" w:rsidR="00811046" w:rsidRPr="005A5C62" w:rsidRDefault="003056CA" w:rsidP="005A5C62">
      <w:pPr>
        <w:jc w:val="both"/>
        <w:rPr>
          <w:rFonts w:cstheme="minorHAnsi"/>
          <w:b/>
          <w:bCs/>
          <w:iCs/>
          <w:sz w:val="24"/>
          <w:szCs w:val="24"/>
          <w:lang w:val="sr-Latn-ME"/>
        </w:rPr>
      </w:pPr>
      <w:bookmarkStart w:id="63" w:name="_Toc141249046"/>
      <w:r>
        <w:rPr>
          <w:rFonts w:cstheme="minorHAnsi"/>
          <w:b/>
          <w:bCs/>
          <w:iCs/>
          <w:sz w:val="24"/>
          <w:szCs w:val="24"/>
          <w:lang w:val="sr-Latn-ME"/>
        </w:rPr>
        <w:t xml:space="preserve">2.15 </w:t>
      </w:r>
      <w:r w:rsidR="00811046" w:rsidRPr="005A5C62">
        <w:rPr>
          <w:rFonts w:cstheme="minorHAnsi"/>
          <w:b/>
          <w:bCs/>
          <w:iCs/>
          <w:sz w:val="24"/>
          <w:szCs w:val="24"/>
          <w:lang w:val="sr-Latn-ME"/>
        </w:rPr>
        <w:t>Online trgovina</w:t>
      </w:r>
      <w:bookmarkEnd w:id="63"/>
      <w:r w:rsidR="00811046" w:rsidRPr="005A5C62">
        <w:rPr>
          <w:rFonts w:cstheme="minorHAnsi"/>
          <w:b/>
          <w:bCs/>
          <w:iCs/>
          <w:sz w:val="24"/>
          <w:szCs w:val="24"/>
          <w:lang w:val="sr-Latn-ME"/>
        </w:rPr>
        <w:t xml:space="preserve"> </w:t>
      </w:r>
    </w:p>
    <w:p w14:paraId="77160F27" w14:textId="77777777" w:rsidR="003056CA" w:rsidRDefault="00811046" w:rsidP="005A5C62">
      <w:pPr>
        <w:jc w:val="both"/>
        <w:rPr>
          <w:rFonts w:cstheme="minorHAnsi"/>
          <w:bCs/>
          <w:iCs/>
          <w:sz w:val="24"/>
          <w:szCs w:val="24"/>
          <w:lang w:val="sr-Latn-ME"/>
        </w:rPr>
      </w:pPr>
      <w:r w:rsidRPr="005A5C62">
        <w:rPr>
          <w:rFonts w:cstheme="minorHAnsi"/>
          <w:bCs/>
          <w:iCs/>
          <w:sz w:val="24"/>
          <w:szCs w:val="24"/>
          <w:lang w:val="sr-Latn-ME"/>
        </w:rPr>
        <w:t>Imajući u vidu da online trgovina u posljednje vrijeme doživljava ekspanziju i pretpostavka je da postoji značajan broj ljudi koji se bave ovom privrednom aktivnošću izvan zvaničnih tokova ispitanici su pitani kako vidite mehanizme/zakonska rješenja za veću kontrolu online trgovine? Dobijeni odgovoru su se uglavnom bazirali na stvaranju kvalitetnog regualtornog okvira baziranog na EU standardima i najboljoj svjetskoj praksi i bolje kontrole.</w:t>
      </w:r>
      <w:r w:rsidR="003056CA">
        <w:rPr>
          <w:rFonts w:cstheme="minorHAnsi"/>
          <w:bCs/>
          <w:iCs/>
          <w:sz w:val="24"/>
          <w:szCs w:val="24"/>
          <w:lang w:val="sr-Latn-ME"/>
        </w:rPr>
        <w:t xml:space="preserve"> Poseban akcenat u odgovorima je stavljen na izmjene Zakona o elektronskoj trgovini, kao i punu primjenu Zakona o sprječavanju nelegalnog poslovanja. </w:t>
      </w:r>
    </w:p>
    <w:p w14:paraId="3E9E9A38" w14:textId="3EE52054"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 U nastavku nek od odgovora:</w:t>
      </w:r>
    </w:p>
    <w:p w14:paraId="658F21DF" w14:textId="77777777" w:rsidR="00811046" w:rsidRPr="003056CA" w:rsidRDefault="00811046" w:rsidP="005A5C62">
      <w:pPr>
        <w:jc w:val="both"/>
        <w:rPr>
          <w:rFonts w:cstheme="minorHAnsi"/>
          <w:bCs/>
          <w:iCs/>
          <w:sz w:val="24"/>
          <w:szCs w:val="24"/>
          <w:lang w:val="sr-Latn-ME"/>
        </w:rPr>
      </w:pPr>
    </w:p>
    <w:p w14:paraId="615C13A8" w14:textId="4B824CB7" w:rsidR="00811046" w:rsidRPr="00756CAA" w:rsidRDefault="00811046" w:rsidP="005A5C62">
      <w:pPr>
        <w:jc w:val="both"/>
        <w:rPr>
          <w:rFonts w:cstheme="minorHAnsi"/>
          <w:iCs/>
          <w:sz w:val="24"/>
          <w:szCs w:val="24"/>
          <w:lang w:val="sr-Latn-ME"/>
        </w:rPr>
      </w:pPr>
      <w:r w:rsidRPr="005A5C62">
        <w:rPr>
          <w:rFonts w:cstheme="minorHAnsi"/>
          <w:iCs/>
          <w:sz w:val="24"/>
          <w:szCs w:val="24"/>
          <w:lang w:val="sr-Latn-ME"/>
        </w:rPr>
        <w:t>„Smatramo da Zakon o elektronskoj trgovini ima dobre norme, te da bi se kroz manje modifikacije svi koji se bave ovom vrstom trgovine mogli još adekvatnije zaštititi. Potrebno je da se inspekcijski organi više uključe, te da obuhvat inspekcijskog nadzora bude što veći“</w:t>
      </w:r>
    </w:p>
    <w:p w14:paraId="39FCDE97" w14:textId="0373AFB0"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„Primijećeno da odredjeni broj građevinskih firmi u Crnoj Gori nudi stanove na prodaju koji se mogu platiti i u kripto valutama, što sa druge strane opet otvara mogućnosti zloupotreba i crnog tržišta“.</w:t>
      </w:r>
    </w:p>
    <w:p w14:paraId="34F42963" w14:textId="77777777" w:rsidR="00811046" w:rsidRPr="005A5C62"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„Zabraniti i sankcionisati  reklamiranje i oglašavanje u svim vrstama medija i društvenim mrežama, koje nije u skladu sa odredbama Zakona o sprečavanju nelegalnog poslovanja, kako bi se spriječila prodaja proizvoda i usluga od strane neregistrovanih proizvođača ili uvoznika“. </w:t>
      </w:r>
    </w:p>
    <w:p w14:paraId="7C5B9DF2" w14:textId="77777777" w:rsidR="00811046" w:rsidRPr="005A5C62" w:rsidRDefault="00811046" w:rsidP="005A5C62">
      <w:pPr>
        <w:jc w:val="both"/>
        <w:rPr>
          <w:rFonts w:cstheme="minorHAnsi"/>
          <w:iCs/>
          <w:sz w:val="24"/>
          <w:szCs w:val="24"/>
          <w:lang w:val="sr-Latn-ME"/>
        </w:rPr>
      </w:pPr>
      <w:r w:rsidRPr="005A5C62">
        <w:rPr>
          <w:rFonts w:cstheme="minorHAnsi"/>
          <w:iCs/>
          <w:sz w:val="24"/>
          <w:szCs w:val="24"/>
          <w:lang w:val="sr-Latn-ME"/>
        </w:rPr>
        <w:t xml:space="preserve">„Formiranje organa koji će biti zadužen za praćenje ove vrste trgovine, pri Ministarstvu finasija, kroz kreiranje mehanizma izdavanja licenci i prijave ove vrste trgovine u zakonom definisanim rokovima elektronskim putem“. </w:t>
      </w:r>
    </w:p>
    <w:p w14:paraId="61C74699" w14:textId="77777777" w:rsidR="00811046" w:rsidRPr="005A5C62" w:rsidRDefault="00811046" w:rsidP="005A5C62">
      <w:pPr>
        <w:jc w:val="both"/>
        <w:rPr>
          <w:rFonts w:cstheme="minorHAnsi"/>
          <w:iCs/>
          <w:sz w:val="24"/>
          <w:szCs w:val="24"/>
          <w:lang w:val="sr-Latn-ME"/>
        </w:rPr>
      </w:pPr>
    </w:p>
    <w:p w14:paraId="34EC34D3" w14:textId="7FBA6C0E" w:rsidR="00811046" w:rsidRPr="005A5C62" w:rsidRDefault="003056CA" w:rsidP="00C22A10">
      <w:pPr>
        <w:jc w:val="both"/>
        <w:rPr>
          <w:rFonts w:cstheme="minorHAnsi"/>
          <w:b/>
          <w:bCs/>
          <w:iCs/>
          <w:sz w:val="24"/>
          <w:szCs w:val="24"/>
          <w:lang w:val="sr-Latn-ME"/>
        </w:rPr>
      </w:pPr>
      <w:bookmarkStart w:id="64" w:name="_Toc141249047"/>
      <w:r>
        <w:rPr>
          <w:rFonts w:cstheme="minorHAnsi"/>
          <w:b/>
          <w:bCs/>
          <w:iCs/>
          <w:sz w:val="24"/>
          <w:szCs w:val="24"/>
          <w:lang w:val="sr-Latn-ME"/>
        </w:rPr>
        <w:t xml:space="preserve">2.16 </w:t>
      </w:r>
      <w:r w:rsidR="00811046" w:rsidRPr="005A5C62">
        <w:rPr>
          <w:rFonts w:cstheme="minorHAnsi"/>
          <w:b/>
          <w:bCs/>
          <w:iCs/>
          <w:sz w:val="24"/>
          <w:szCs w:val="24"/>
          <w:lang w:val="sr-Latn-ME"/>
        </w:rPr>
        <w:t>Tranzicija neregistrovanog biznisa i imovine u legalne tokove</w:t>
      </w:r>
      <w:bookmarkEnd w:id="64"/>
    </w:p>
    <w:p w14:paraId="66282516" w14:textId="0AF62005" w:rsidR="00811046" w:rsidRPr="003056CA"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Još jedno pitanje odnosilo se na zakonodavni okvir, u ovom segmentu u vezi sa omogućavanjem bržeg prelaska neregistrovanih biznisa i imovine u legalne tokove. S tim u vezi, pitanje je glasilo: Koji su, po vašem mišljenju, najvažniji zakoni koje treba donijeti ili izmijentii da bi se omogućila </w:t>
      </w:r>
      <w:r w:rsidRPr="005A5C62">
        <w:rPr>
          <w:rFonts w:cstheme="minorHAnsi"/>
          <w:bCs/>
          <w:iCs/>
          <w:sz w:val="24"/>
          <w:szCs w:val="24"/>
          <w:lang w:val="sr-Latn-ME"/>
        </w:rPr>
        <w:lastRenderedPageBreak/>
        <w:t xml:space="preserve">brža tranzicija neregostrovanih biznisa i imovine u legalne tokove (nelegalni rad u privatnim stanovima, trgovina robama na crnom tržištu itd) i da li oni trebaju uključiti jasne podsticaje i tranzicioni period? Najveći broj predloga odnosi se na zakonska rješenja u domenu poreske politike, digitalizacije i inspekcijskog nadzora. Dobijeni neki od odgovora su prikazani u nastavku: </w:t>
      </w:r>
    </w:p>
    <w:p w14:paraId="4B7AA2BD" w14:textId="437AE284" w:rsidR="00811046" w:rsidRPr="005A5C62" w:rsidRDefault="00811046" w:rsidP="005A5C62">
      <w:pPr>
        <w:jc w:val="both"/>
        <w:rPr>
          <w:rFonts w:cstheme="minorHAnsi"/>
          <w:iCs/>
          <w:sz w:val="24"/>
          <w:szCs w:val="24"/>
          <w:lang w:val="sr-Latn-ME"/>
        </w:rPr>
      </w:pPr>
      <w:r w:rsidRPr="003056CA">
        <w:rPr>
          <w:rFonts w:cstheme="minorHAnsi"/>
          <w:iCs/>
          <w:sz w:val="24"/>
          <w:szCs w:val="24"/>
          <w:lang w:val="sr-Latn-ME"/>
        </w:rPr>
        <w:t>„</w:t>
      </w:r>
      <w:r w:rsidRPr="005A5C62">
        <w:rPr>
          <w:rFonts w:cstheme="minorHAnsi"/>
          <w:iCs/>
          <w:sz w:val="24"/>
          <w:szCs w:val="24"/>
          <w:lang w:val="sr-Latn-ME"/>
        </w:rPr>
        <w:t>Definisanje tranzicionog perioda za prevođenje poslovanja u legalne tokove bez sankcija; komunikaciona strategija sa ciljem prezentacije opcija legalizacije biznisa bez sankcija ili alternativno drakonskih kazni; stroge sankcije u slučaju kršenja zakonskih propisa (novčane, zabrana obavljanja djelatnosti, zabrana osnivanja novih preduzeća itd)“.</w:t>
      </w:r>
    </w:p>
    <w:p w14:paraId="3AC1FE8F" w14:textId="77777777" w:rsidR="00811046" w:rsidRPr="005A5C62" w:rsidRDefault="00811046" w:rsidP="005A5C62">
      <w:pPr>
        <w:jc w:val="both"/>
        <w:rPr>
          <w:rFonts w:cstheme="minorHAnsi"/>
          <w:bCs/>
          <w:iCs/>
          <w:sz w:val="24"/>
          <w:szCs w:val="24"/>
          <w:lang w:val="pl-PL"/>
        </w:rPr>
      </w:pPr>
      <w:r w:rsidRPr="005A5C62">
        <w:rPr>
          <w:rFonts w:cstheme="minorHAnsi"/>
          <w:bCs/>
          <w:iCs/>
          <w:sz w:val="24"/>
          <w:szCs w:val="24"/>
          <w:lang w:val="sr-Latn-ME"/>
        </w:rPr>
        <w:t>„</w:t>
      </w:r>
      <w:r w:rsidRPr="005A5C62">
        <w:rPr>
          <w:rFonts w:cstheme="minorHAnsi"/>
          <w:bCs/>
          <w:iCs/>
          <w:sz w:val="24"/>
          <w:szCs w:val="24"/>
          <w:lang w:val="pl-PL"/>
        </w:rPr>
        <w:t>Najvažniji zakoni za brzu tranziciju neregistrovanih biznisa i imovine u legalne tokove su prethodno pomenuti zakoni : Izmjene Zakona o prekršajnom postupku, izmjene Zakona o inspekcijskom nadzoru, zakoni vezani za oblast kaznene politike pooštriti, uvodjenje Zakona o digitalnoj kontroli”.</w:t>
      </w:r>
    </w:p>
    <w:p w14:paraId="3F4F7BE1" w14:textId="77777777" w:rsidR="00811046" w:rsidRPr="005A5C62" w:rsidRDefault="00811046" w:rsidP="005A5C62">
      <w:pPr>
        <w:jc w:val="both"/>
        <w:rPr>
          <w:rFonts w:cstheme="minorHAnsi"/>
          <w:iCs/>
          <w:sz w:val="24"/>
          <w:szCs w:val="24"/>
          <w:lang w:val="sr-Latn-ME"/>
        </w:rPr>
      </w:pPr>
    </w:p>
    <w:p w14:paraId="0EF2269C" w14:textId="11BB5C19" w:rsidR="00811046" w:rsidRPr="005A5C62" w:rsidRDefault="003056CA" w:rsidP="005A5C62">
      <w:pPr>
        <w:jc w:val="both"/>
        <w:rPr>
          <w:rFonts w:cstheme="minorHAnsi"/>
          <w:b/>
          <w:bCs/>
          <w:iCs/>
          <w:sz w:val="24"/>
          <w:szCs w:val="24"/>
          <w:lang w:val="sr-Latn-ME"/>
        </w:rPr>
      </w:pPr>
      <w:bookmarkStart w:id="65" w:name="_Toc141249048"/>
      <w:r>
        <w:rPr>
          <w:rFonts w:cstheme="minorHAnsi"/>
          <w:b/>
          <w:bCs/>
          <w:iCs/>
          <w:sz w:val="24"/>
          <w:szCs w:val="24"/>
          <w:lang w:val="sr-Latn-ME"/>
        </w:rPr>
        <w:t>2</w:t>
      </w:r>
      <w:r w:rsidR="00811046" w:rsidRPr="005A5C62">
        <w:rPr>
          <w:rFonts w:cstheme="minorHAnsi"/>
          <w:b/>
          <w:bCs/>
          <w:iCs/>
          <w:sz w:val="24"/>
          <w:szCs w:val="24"/>
          <w:lang w:val="sr-Latn-ME"/>
        </w:rPr>
        <w:t>.17  Dodatni komentari</w:t>
      </w:r>
      <w:bookmarkEnd w:id="65"/>
      <w:r w:rsidR="00811046" w:rsidRPr="005A5C62">
        <w:rPr>
          <w:rFonts w:cstheme="minorHAnsi"/>
          <w:b/>
          <w:bCs/>
          <w:iCs/>
          <w:sz w:val="24"/>
          <w:szCs w:val="24"/>
          <w:lang w:val="sr-Latn-ME"/>
        </w:rPr>
        <w:t xml:space="preserve"> </w:t>
      </w:r>
    </w:p>
    <w:p w14:paraId="421B6911" w14:textId="77777777" w:rsidR="003F401E" w:rsidRDefault="00811046" w:rsidP="005A5C62">
      <w:pPr>
        <w:jc w:val="both"/>
        <w:rPr>
          <w:rFonts w:cstheme="minorHAnsi"/>
          <w:bCs/>
          <w:iCs/>
          <w:sz w:val="24"/>
          <w:szCs w:val="24"/>
          <w:lang w:val="sr-Latn-ME"/>
        </w:rPr>
      </w:pPr>
      <w:r w:rsidRPr="005A5C62">
        <w:rPr>
          <w:rFonts w:cstheme="minorHAnsi"/>
          <w:bCs/>
          <w:iCs/>
          <w:sz w:val="24"/>
          <w:szCs w:val="24"/>
          <w:lang w:val="sr-Latn-ME"/>
        </w:rPr>
        <w:t xml:space="preserve">Da li imate dodatne komentare/predloge u pravcu smanjivanja sive ekonomije u poslovanju preduzeća i na tržištu rada? </w:t>
      </w:r>
    </w:p>
    <w:p w14:paraId="41E44376" w14:textId="1CD31CA5" w:rsidR="00811046" w:rsidRPr="00E205A9" w:rsidRDefault="003F401E" w:rsidP="00E205A9">
      <w:pPr>
        <w:jc w:val="both"/>
        <w:rPr>
          <w:rFonts w:cstheme="minorHAnsi"/>
          <w:bCs/>
          <w:iCs/>
          <w:sz w:val="24"/>
          <w:szCs w:val="24"/>
          <w:lang w:val="sr-Latn-ME"/>
        </w:rPr>
      </w:pPr>
      <w:r>
        <w:rPr>
          <w:rFonts w:cstheme="minorHAnsi"/>
          <w:bCs/>
          <w:iCs/>
          <w:sz w:val="24"/>
          <w:szCs w:val="24"/>
          <w:lang w:val="sr-Latn-ME"/>
        </w:rPr>
        <w:t>Odogovri ispitanika na ovo pitanje su najvećim dijelom obuhvatili predloge za: dalje unapredjenje borbe protiv korupcije, uvodjenje jedinstvenog poreskog broja za svakog gradjanina, smanjenje broja konvencional nih šaltera,  podizanje svijesti o negativnim konsekvencama neformalne ekonomije i jačanje promotivne kampanje.</w:t>
      </w:r>
    </w:p>
    <w:p w14:paraId="3C5E4896" w14:textId="677D84B2" w:rsidR="00811046" w:rsidRPr="001565F3" w:rsidRDefault="00811046" w:rsidP="00811046">
      <w:pPr>
        <w:numPr>
          <w:ilvl w:val="0"/>
          <w:numId w:val="23"/>
        </w:numPr>
        <w:rPr>
          <w:rFonts w:cstheme="minorHAnsi"/>
          <w:b/>
          <w:bCs/>
          <w:sz w:val="24"/>
          <w:szCs w:val="24"/>
          <w:lang w:val="sr-Latn-ME"/>
        </w:rPr>
      </w:pPr>
      <w:bookmarkStart w:id="66" w:name="_Toc141249049"/>
      <w:r w:rsidRPr="005A5C62">
        <w:rPr>
          <w:rFonts w:cstheme="minorHAnsi"/>
          <w:b/>
          <w:bCs/>
          <w:sz w:val="24"/>
          <w:szCs w:val="24"/>
          <w:lang w:val="sr-Latn-ME"/>
        </w:rPr>
        <w:t>Generalni (uopšteni) zaključci</w:t>
      </w:r>
      <w:bookmarkEnd w:id="66"/>
    </w:p>
    <w:p w14:paraId="081364F5" w14:textId="77777777" w:rsidR="00811046" w:rsidRPr="005A5C62" w:rsidRDefault="00811046">
      <w:pPr>
        <w:numPr>
          <w:ilvl w:val="0"/>
          <w:numId w:val="17"/>
        </w:numPr>
        <w:rPr>
          <w:rFonts w:cstheme="minorHAnsi"/>
          <w:sz w:val="24"/>
          <w:szCs w:val="24"/>
          <w:lang w:val="sr-Latn-ME"/>
        </w:rPr>
      </w:pPr>
      <w:r w:rsidRPr="005A5C62">
        <w:rPr>
          <w:rFonts w:cstheme="minorHAnsi"/>
          <w:sz w:val="24"/>
          <w:szCs w:val="24"/>
          <w:lang w:val="sr-Latn-ME"/>
        </w:rPr>
        <w:t xml:space="preserve">Svi ispitanici smatraju da je prisutna neformalna (siva) ekonomija u Crnoj Gori. </w:t>
      </w:r>
    </w:p>
    <w:p w14:paraId="6B14C2E6" w14:textId="77777777" w:rsidR="00811046" w:rsidRPr="005A5C62" w:rsidRDefault="00811046">
      <w:pPr>
        <w:numPr>
          <w:ilvl w:val="0"/>
          <w:numId w:val="17"/>
        </w:numPr>
        <w:rPr>
          <w:rFonts w:cstheme="minorHAnsi"/>
          <w:sz w:val="24"/>
          <w:szCs w:val="24"/>
          <w:lang w:val="sr-Latn-ME"/>
        </w:rPr>
      </w:pPr>
      <w:r w:rsidRPr="005A5C62">
        <w:rPr>
          <w:rFonts w:cstheme="minorHAnsi"/>
          <w:sz w:val="24"/>
          <w:szCs w:val="24"/>
          <w:lang w:val="sr-Latn-ME"/>
        </w:rPr>
        <w:t>Uočavaju se institucionalni problemi prije svega u nedostatku koordinacije aktivnosti (ministarstva, inspekcije, policija, sudstvo, tužilastva) i inspekcijskom kadru.</w:t>
      </w:r>
    </w:p>
    <w:p w14:paraId="1685DEBA"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Digitalizacija je, smatraju ispitanici, jedna od ključnih „karika” u suzbijanju sive ekonomije, prije svega kroz digitalizaciju procesa ali i kroz povezivanje svih registara i kontrolu.</w:t>
      </w:r>
    </w:p>
    <w:p w14:paraId="28BE5213"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 xml:space="preserve">Unapređnje kontrole i kaznena politika smatra se važnim elementom u borbi protiv neformalne ekonomije. </w:t>
      </w:r>
    </w:p>
    <w:p w14:paraId="285F67D7"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 xml:space="preserve">Istraživanje ukazuje da treba unaprijediti zakonodavni i institucionalni okvir za borbu protiv neformalne ekonomije. </w:t>
      </w:r>
    </w:p>
    <w:p w14:paraId="6F1F5AC6"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Ukazano na značaj i potrebu podsticaja bezgotovinskog plaćanja, ali i potrebu za uredjenjem pitanja online trgovine.</w:t>
      </w:r>
    </w:p>
    <w:p w14:paraId="20EA5C90"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lastRenderedPageBreak/>
        <w:t>Ispitanici prepozanju MF kao vodeću instituciju za koordinaciju procesa.</w:t>
      </w:r>
    </w:p>
    <w:p w14:paraId="59EDB2E3"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Kao najveći uzočnik sive ekonomije vidi se u nepostojanju „poreskog morala”, odmah za njim je poresko opterećenje.</w:t>
      </w:r>
    </w:p>
    <w:p w14:paraId="0EF49F9C"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 xml:space="preserve">Korupcija i nedostatak političke volje ističe se kao veliki izazov za sprovođenje i kreiranje politike u ovoj oblasti. </w:t>
      </w:r>
    </w:p>
    <w:p w14:paraId="599BE1C9" w14:textId="77777777" w:rsidR="00811046" w:rsidRPr="005A5C62" w:rsidRDefault="00811046">
      <w:pPr>
        <w:numPr>
          <w:ilvl w:val="0"/>
          <w:numId w:val="17"/>
        </w:numPr>
        <w:rPr>
          <w:rFonts w:cstheme="minorHAnsi"/>
          <w:sz w:val="24"/>
          <w:szCs w:val="24"/>
          <w:lang w:val="pl-PL"/>
        </w:rPr>
      </w:pPr>
      <w:r w:rsidRPr="005A5C62">
        <w:rPr>
          <w:rFonts w:cstheme="minorHAnsi"/>
          <w:sz w:val="24"/>
          <w:szCs w:val="24"/>
          <w:lang w:val="pl-PL"/>
        </w:rPr>
        <w:t xml:space="preserve">Većina smatra da je poresko opterećenje zajedno sa nepostojanjem „poreskog morala” razlog neregistrovanih biznisa i zaposlenih. Tako mnogi smatraju da je put ka smanjivanju sive ekonomije u smanjivanju poreskog i parafiskalnog opterećenja. </w:t>
      </w:r>
    </w:p>
    <w:p w14:paraId="5951D665" w14:textId="77777777" w:rsidR="00811046" w:rsidRPr="00811046" w:rsidRDefault="00811046" w:rsidP="00811046">
      <w:pPr>
        <w:rPr>
          <w:lang w:val="pl-PL"/>
        </w:rPr>
      </w:pPr>
    </w:p>
    <w:sectPr w:rsidR="00811046" w:rsidRPr="00811046">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696EF" w14:textId="77777777" w:rsidR="00CA7653" w:rsidRDefault="00CA7653" w:rsidP="00680BA6">
      <w:pPr>
        <w:spacing w:after="0" w:line="240" w:lineRule="auto"/>
      </w:pPr>
      <w:r>
        <w:separator/>
      </w:r>
    </w:p>
  </w:endnote>
  <w:endnote w:type="continuationSeparator" w:id="0">
    <w:p w14:paraId="59F76FF0" w14:textId="77777777" w:rsidR="00CA7653" w:rsidRDefault="00CA7653" w:rsidP="0068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ropolis Mediu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008682"/>
      <w:docPartObj>
        <w:docPartGallery w:val="Page Numbers (Bottom of Page)"/>
        <w:docPartUnique/>
      </w:docPartObj>
    </w:sdtPr>
    <w:sdtEndPr>
      <w:rPr>
        <w:noProof/>
      </w:rPr>
    </w:sdtEndPr>
    <w:sdtContent>
      <w:p w14:paraId="1072EFEB" w14:textId="5509D53A" w:rsidR="00391D03" w:rsidRDefault="00391D03">
        <w:pPr>
          <w:pStyle w:val="Footer"/>
          <w:jc w:val="right"/>
        </w:pPr>
        <w:r>
          <w:fldChar w:fldCharType="begin"/>
        </w:r>
        <w:r>
          <w:instrText xml:space="preserve"> PAGE   \* MERGEFORMAT </w:instrText>
        </w:r>
        <w:r>
          <w:fldChar w:fldCharType="separate"/>
        </w:r>
        <w:r w:rsidR="00693290">
          <w:rPr>
            <w:noProof/>
          </w:rPr>
          <w:t>65</w:t>
        </w:r>
        <w:r>
          <w:rPr>
            <w:noProof/>
          </w:rPr>
          <w:fldChar w:fldCharType="end"/>
        </w:r>
      </w:p>
    </w:sdtContent>
  </w:sdt>
  <w:p w14:paraId="5F872A3C" w14:textId="77777777" w:rsidR="00391D03" w:rsidRDefault="0039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BF9A" w14:textId="77777777" w:rsidR="00CA7653" w:rsidRDefault="00CA7653" w:rsidP="00680BA6">
      <w:pPr>
        <w:spacing w:after="0" w:line="240" w:lineRule="auto"/>
      </w:pPr>
      <w:r>
        <w:separator/>
      </w:r>
    </w:p>
  </w:footnote>
  <w:footnote w:type="continuationSeparator" w:id="0">
    <w:p w14:paraId="169D3890" w14:textId="77777777" w:rsidR="00CA7653" w:rsidRDefault="00CA7653" w:rsidP="00680BA6">
      <w:pPr>
        <w:spacing w:after="0" w:line="240" w:lineRule="auto"/>
      </w:pPr>
      <w:r>
        <w:continuationSeparator/>
      </w:r>
    </w:p>
  </w:footnote>
  <w:footnote w:id="1">
    <w:p w14:paraId="7D1BC720" w14:textId="76D35C17" w:rsidR="00391D03" w:rsidRPr="007237BF" w:rsidRDefault="00391D03">
      <w:pPr>
        <w:pStyle w:val="FootnoteText"/>
        <w:rPr>
          <w:lang w:val="sr-Latn-ME"/>
        </w:rPr>
      </w:pPr>
      <w:r>
        <w:rPr>
          <w:rStyle w:val="FootnoteReference"/>
        </w:rPr>
        <w:footnoteRef/>
      </w:r>
      <w:r>
        <w:t xml:space="preserve"> </w:t>
      </w:r>
      <w:r>
        <w:rPr>
          <w:lang w:val="sr-Latn-ME"/>
        </w:rPr>
        <w:t>Metodologija navedenog istraživanja obuhvata istraživanje sive ekonomije samo kod registrovanih privrednih društava i preduzetnika</w:t>
      </w:r>
    </w:p>
  </w:footnote>
  <w:footnote w:id="2">
    <w:p w14:paraId="577A4C5F" w14:textId="77777777" w:rsidR="00391D03" w:rsidRDefault="00391D03" w:rsidP="00B02BCB">
      <w:pPr>
        <w:pStyle w:val="FootnoteText"/>
        <w:rPr>
          <w:rFonts w:ascii="Calibri" w:hAnsi="Calibri" w:cs="Times New Roman"/>
          <w:lang w:val="sr-Latn-ME"/>
        </w:rPr>
      </w:pPr>
      <w:r>
        <w:rPr>
          <w:rStyle w:val="FootnoteReference"/>
        </w:rPr>
        <w:footnoteRef/>
      </w:r>
      <w:r w:rsidRPr="00021CDC">
        <w:rPr>
          <w:lang w:val="pl-PL"/>
        </w:rPr>
        <w:t xml:space="preserve"> </w:t>
      </w:r>
      <w:r>
        <w:rPr>
          <w:lang w:val="sr-Latn-ME"/>
        </w:rPr>
        <w:t>Svjetska banka 2021.</w:t>
      </w:r>
    </w:p>
  </w:footnote>
  <w:footnote w:id="3">
    <w:p w14:paraId="5A10EBB7" w14:textId="3AB0BAE2" w:rsidR="00391D03" w:rsidRPr="004E3C2F" w:rsidRDefault="00391D03">
      <w:pPr>
        <w:pStyle w:val="FootnoteText"/>
        <w:rPr>
          <w:lang w:val="sr-Latn-ME"/>
        </w:rPr>
      </w:pPr>
      <w:r>
        <w:rPr>
          <w:rStyle w:val="FootnoteReference"/>
        </w:rPr>
        <w:footnoteRef/>
      </w:r>
      <w:r w:rsidRPr="00021CDC">
        <w:rPr>
          <w:lang w:val="pl-PL"/>
        </w:rPr>
        <w:t xml:space="preserve"> </w:t>
      </w:r>
      <w:r>
        <w:rPr>
          <w:lang w:val="sr-Latn-ME"/>
        </w:rPr>
        <w:t>Izvor: Smjernice makroekonomske i fiskalne politike 2023-2026.</w:t>
      </w:r>
    </w:p>
  </w:footnote>
  <w:footnote w:id="4">
    <w:p w14:paraId="7F20125C" w14:textId="218D6F7C" w:rsidR="00391D03" w:rsidRPr="00567F61" w:rsidRDefault="00391D03">
      <w:pPr>
        <w:pStyle w:val="FootnoteText"/>
        <w:rPr>
          <w:lang w:val="sr-Latn-ME"/>
        </w:rPr>
      </w:pPr>
      <w:r>
        <w:rPr>
          <w:rStyle w:val="FootnoteReference"/>
        </w:rPr>
        <w:footnoteRef/>
      </w:r>
      <w:r w:rsidRPr="00021CDC">
        <w:rPr>
          <w:lang w:val="pl-PL"/>
        </w:rPr>
        <w:t xml:space="preserve"> </w:t>
      </w:r>
      <w:r>
        <w:rPr>
          <w:lang w:val="sr-Latn-ME"/>
        </w:rPr>
        <w:t>Više detalja o tome je prikazano u narednom poglavlju</w:t>
      </w:r>
    </w:p>
  </w:footnote>
  <w:footnote w:id="5">
    <w:p w14:paraId="01A209C2" w14:textId="1DE71C37" w:rsidR="00391D03" w:rsidRPr="003F37B5" w:rsidRDefault="00391D03">
      <w:pPr>
        <w:pStyle w:val="FootnoteText"/>
        <w:rPr>
          <w:lang w:val="sr-Latn-ME"/>
        </w:rPr>
      </w:pPr>
      <w:r>
        <w:rPr>
          <w:rStyle w:val="FootnoteReference"/>
        </w:rPr>
        <w:footnoteRef/>
      </w:r>
      <w:r w:rsidRPr="00021CDC">
        <w:rPr>
          <w:lang w:val="pl-PL"/>
        </w:rPr>
        <w:t xml:space="preserve"> Po istoj metodi, učešće sive  ekonomije u EU u prosjeku iznosi  4,2% GDP , </w:t>
      </w:r>
      <w:r>
        <w:rPr>
          <w:lang w:val="pl-PL"/>
        </w:rPr>
        <w:t>d</w:t>
      </w:r>
      <w:r w:rsidRPr="00021CDC">
        <w:rPr>
          <w:lang w:val="pl-PL"/>
        </w:rPr>
        <w:t xml:space="preserve">ok po MIMIC metodi iznos 16,8% (ILO, 2016). </w:t>
      </w:r>
    </w:p>
  </w:footnote>
  <w:footnote w:id="6">
    <w:p w14:paraId="66B68A17" w14:textId="77777777" w:rsidR="00391D03" w:rsidRPr="00F172BF" w:rsidRDefault="00391D03" w:rsidP="00D256CD">
      <w:pPr>
        <w:pStyle w:val="FootnoteText"/>
        <w:rPr>
          <w:lang w:val="sr-Latn-ME"/>
        </w:rPr>
      </w:pPr>
      <w:r>
        <w:rPr>
          <w:rStyle w:val="FootnoteReference"/>
        </w:rPr>
        <w:footnoteRef/>
      </w:r>
      <w:r w:rsidRPr="00021CDC">
        <w:rPr>
          <w:lang w:val="pl-PL"/>
        </w:rPr>
        <w:t xml:space="preserve"> </w:t>
      </w:r>
      <w:r>
        <w:rPr>
          <w:lang w:val="sr-Latn-ME"/>
        </w:rPr>
        <w:t>Izvor: Vlada Crne Gore, Program „Evropa sad“ 2021.</w:t>
      </w:r>
    </w:p>
  </w:footnote>
  <w:footnote w:id="7">
    <w:p w14:paraId="7EF45418" w14:textId="5F453866" w:rsidR="00391D03" w:rsidRPr="00BF69E2" w:rsidRDefault="00391D03" w:rsidP="00102B09">
      <w:pPr>
        <w:pStyle w:val="FootnoteText"/>
        <w:jc w:val="both"/>
        <w:rPr>
          <w:b/>
          <w:bCs/>
          <w:lang w:val="pl-PL"/>
        </w:rPr>
      </w:pPr>
      <w:r>
        <w:rPr>
          <w:rStyle w:val="FootnoteReference"/>
        </w:rPr>
        <w:footnoteRef/>
      </w:r>
      <w:r w:rsidRPr="00BF69E2">
        <w:rPr>
          <w:lang w:val="pl-PL"/>
        </w:rPr>
        <w:t xml:space="preserve"> Procjena za dobit je napravljena tako što je uključena novoprijavljena dobit u 2023. za 2022.godinu i iznos poreza koji je na nju plaćen.  Za ovoliko je smanjen iznos neprijavljene dobiti iz istraživanja IPSOS-a, Radulović </w:t>
      </w:r>
      <w:r w:rsidR="006C691C">
        <w:rPr>
          <w:lang w:val="pl-PL"/>
        </w:rPr>
        <w:t>i</w:t>
      </w:r>
      <w:r w:rsidRPr="00BF69E2">
        <w:rPr>
          <w:lang w:val="pl-PL"/>
        </w:rPr>
        <w:t xml:space="preserve"> Krstić, 2022, odnosno procjene sive ekonomije u oblasti neprijavljene dobiti i izračunata kao % BDP. Procjena u dijelu smanjenja neprijavljenih zarada, je napravljena tako što je uzeto učešće neprijavljenih zarada u sivoj ekonomiji, koje prema IPSOS istraživanju čini 56,3% ili 670 miliona eura i umanjeno </w:t>
      </w:r>
      <w:r w:rsidR="006C691C">
        <w:rPr>
          <w:lang w:val="pl-PL"/>
        </w:rPr>
        <w:t xml:space="preserve">je </w:t>
      </w:r>
      <w:r w:rsidRPr="00BF69E2">
        <w:rPr>
          <w:lang w:val="pl-PL"/>
        </w:rPr>
        <w:t>za 42,4% iznosa novoprijavljenih neto zarada i iznosa procijenjenog povećanja prihoda od doprinosa na PIO za 2023. Prilikom simulacije, rezidual (dio povećanja zvanično procijenjenih prihoda od doprinosa koji nije objašnjen rastom zarada i zaposlenosti, kao i neobjašnjeni dio povećanja dobiti), objašnjen je smanjenjem sive ekonomije. Ukoliko se neobjašnjeni dio povećanja naplate prihoda od dobiti i doprinosa u potpunosti pripiše smanjenju sive ekonomije onda je procijenjeno učešće sive ekonomije u BDP-u 15,7% u 2023. Ukoliko se uzme da je 50% neobjašnjenog dijela povećanja prihoda od doprinosa i dobiti rezultat smanjenja sive ekonomije, onda je učešće sive ekonomije u BDP 18,2% u 2023.</w:t>
      </w:r>
    </w:p>
    <w:p w14:paraId="1743E4A6" w14:textId="7E4B22B0" w:rsidR="00391D03" w:rsidRPr="00BF69E2" w:rsidRDefault="00391D03" w:rsidP="00EA49F3">
      <w:pPr>
        <w:pStyle w:val="FootnoteText"/>
        <w:jc w:val="both"/>
        <w:rPr>
          <w:b/>
          <w:bCs/>
          <w:color w:val="FF0000"/>
          <w:lang w:val="pl-PL"/>
        </w:rPr>
      </w:pPr>
    </w:p>
    <w:p w14:paraId="74115CAD" w14:textId="22A762B0" w:rsidR="00391D03" w:rsidRPr="00BF69E2" w:rsidRDefault="00391D03" w:rsidP="00EA49F3">
      <w:pPr>
        <w:pStyle w:val="FootnoteText"/>
        <w:jc w:val="both"/>
        <w:rPr>
          <w:b/>
          <w:bCs/>
          <w:color w:val="FF0000"/>
          <w:lang w:val="pl-PL"/>
        </w:rPr>
      </w:pPr>
    </w:p>
    <w:p w14:paraId="591D614A" w14:textId="77777777" w:rsidR="00391D03" w:rsidRPr="008C364E" w:rsidRDefault="00391D03" w:rsidP="00EA49F3">
      <w:pPr>
        <w:pStyle w:val="FootnoteText"/>
        <w:jc w:val="both"/>
        <w:rPr>
          <w:color w:val="FF0000"/>
          <w:lang w:val="sr-Latn-ME"/>
        </w:rPr>
      </w:pPr>
    </w:p>
  </w:footnote>
  <w:footnote w:id="8">
    <w:p w14:paraId="3BC243A1" w14:textId="77777777" w:rsidR="00391D03" w:rsidRDefault="00391D03" w:rsidP="00C379A9">
      <w:pPr>
        <w:pStyle w:val="FootnoteText"/>
        <w:rPr>
          <w:lang w:val="sr-Latn-ME"/>
        </w:rPr>
      </w:pPr>
      <w:r>
        <w:rPr>
          <w:rStyle w:val="FootnoteReference"/>
        </w:rPr>
        <w:footnoteRef/>
      </w:r>
      <w:r w:rsidRPr="00021CDC">
        <w:rPr>
          <w:lang w:val="pl-PL"/>
        </w:rPr>
        <w:t xml:space="preserve"> </w:t>
      </w:r>
      <w:r>
        <w:rPr>
          <w:lang w:val="sr-Latn-ME"/>
        </w:rPr>
        <w:t>Ocjena Programa ekonomskih reformi Crne Gore 2021-2023.</w:t>
      </w:r>
    </w:p>
  </w:footnote>
  <w:footnote w:id="9">
    <w:p w14:paraId="103CEE5E" w14:textId="77777777" w:rsidR="00391D03" w:rsidRPr="00021CDC" w:rsidRDefault="00391D03" w:rsidP="000F4629">
      <w:pPr>
        <w:pStyle w:val="FootnoteText"/>
        <w:rPr>
          <w:lang w:val="sr-Latn-ME"/>
        </w:rPr>
      </w:pPr>
      <w:r>
        <w:rPr>
          <w:rStyle w:val="FootnoteReference"/>
        </w:rPr>
        <w:footnoteRef/>
      </w:r>
      <w:r w:rsidRPr="00021CDC">
        <w:rPr>
          <w:lang w:val="sr-Latn-ME"/>
        </w:rPr>
        <w:t xml:space="preserve"> </w:t>
      </w:r>
      <w:r>
        <w:t>MMF</w:t>
      </w:r>
    </w:p>
  </w:footnote>
  <w:footnote w:id="10">
    <w:p w14:paraId="2E9320BF" w14:textId="77777777" w:rsidR="00391D03" w:rsidRPr="00686BAF" w:rsidRDefault="00391D03" w:rsidP="000A5AFA">
      <w:pPr>
        <w:pStyle w:val="FootnoteText"/>
        <w:rPr>
          <w:sz w:val="18"/>
          <w:szCs w:val="18"/>
          <w:lang w:val="sr-Latn-RS"/>
        </w:rPr>
      </w:pPr>
      <w:r w:rsidRPr="00686BAF">
        <w:rPr>
          <w:rStyle w:val="FootnoteReference"/>
          <w:sz w:val="18"/>
          <w:szCs w:val="18"/>
        </w:rPr>
        <w:footnoteRef/>
      </w:r>
      <w:proofErr w:type="spellStart"/>
      <w:r w:rsidRPr="00686BAF">
        <w:rPr>
          <w:sz w:val="18"/>
          <w:szCs w:val="18"/>
        </w:rPr>
        <w:t>Istra</w:t>
      </w:r>
      <w:proofErr w:type="spellEnd"/>
      <w:r w:rsidRPr="00686BAF">
        <w:rPr>
          <w:sz w:val="18"/>
          <w:szCs w:val="18"/>
          <w:lang w:val="sr-Latn-ME"/>
        </w:rPr>
        <w:t>ž</w:t>
      </w:r>
      <w:proofErr w:type="spellStart"/>
      <w:r w:rsidRPr="00686BAF">
        <w:rPr>
          <w:sz w:val="18"/>
          <w:szCs w:val="18"/>
        </w:rPr>
        <w:t>ivanje</w:t>
      </w:r>
      <w:proofErr w:type="spellEnd"/>
      <w:r w:rsidRPr="00686BAF">
        <w:rPr>
          <w:sz w:val="18"/>
          <w:szCs w:val="18"/>
          <w:lang w:val="sr-Latn-ME"/>
        </w:rPr>
        <w:t xml:space="preserve"> </w:t>
      </w:r>
      <w:r w:rsidRPr="00686BAF">
        <w:rPr>
          <w:sz w:val="18"/>
          <w:szCs w:val="18"/>
        </w:rPr>
        <w:t>UNDP</w:t>
      </w:r>
      <w:r w:rsidRPr="00686BAF">
        <w:rPr>
          <w:sz w:val="18"/>
          <w:szCs w:val="18"/>
          <w:lang w:val="sr-Latn-ME"/>
        </w:rPr>
        <w:t xml:space="preserve"> </w:t>
      </w:r>
      <w:proofErr w:type="spellStart"/>
      <w:r w:rsidRPr="00686BAF">
        <w:rPr>
          <w:sz w:val="18"/>
          <w:szCs w:val="18"/>
        </w:rPr>
        <w:t>iz</w:t>
      </w:r>
      <w:proofErr w:type="spellEnd"/>
      <w:r w:rsidRPr="00686BAF">
        <w:rPr>
          <w:sz w:val="18"/>
          <w:szCs w:val="18"/>
          <w:lang w:val="sr-Latn-ME"/>
        </w:rPr>
        <w:t xml:space="preserve"> 2020 </w:t>
      </w:r>
      <w:proofErr w:type="spellStart"/>
      <w:r w:rsidRPr="00686BAF">
        <w:rPr>
          <w:sz w:val="18"/>
          <w:szCs w:val="18"/>
        </w:rPr>
        <w:t>na</w:t>
      </w:r>
      <w:proofErr w:type="spellEnd"/>
      <w:r w:rsidRPr="00686BAF">
        <w:rPr>
          <w:sz w:val="18"/>
          <w:szCs w:val="18"/>
          <w:lang w:val="sr-Latn-ME"/>
        </w:rPr>
        <w:t xml:space="preserve"> </w:t>
      </w:r>
      <w:proofErr w:type="spellStart"/>
      <w:r w:rsidRPr="00686BAF">
        <w:rPr>
          <w:sz w:val="18"/>
          <w:szCs w:val="18"/>
        </w:rPr>
        <w:t>linku</w:t>
      </w:r>
      <w:proofErr w:type="spellEnd"/>
      <w:r w:rsidRPr="00686BAF">
        <w:rPr>
          <w:sz w:val="18"/>
          <w:szCs w:val="18"/>
          <w:lang w:val="sr-Latn-ME"/>
        </w:rPr>
        <w:t xml:space="preserve">: </w:t>
      </w:r>
      <w:r w:rsidRPr="00686BAF">
        <w:rPr>
          <w:sz w:val="18"/>
          <w:szCs w:val="18"/>
        </w:rPr>
        <w:t>https</w:t>
      </w:r>
      <w:r w:rsidRPr="00686BAF">
        <w:rPr>
          <w:sz w:val="18"/>
          <w:szCs w:val="18"/>
          <w:lang w:val="sr-Latn-ME"/>
        </w:rPr>
        <w:t>://</w:t>
      </w:r>
      <w:r w:rsidRPr="00686BAF">
        <w:rPr>
          <w:sz w:val="18"/>
          <w:szCs w:val="18"/>
        </w:rPr>
        <w:t>www</w:t>
      </w:r>
      <w:r w:rsidRPr="00686BAF">
        <w:rPr>
          <w:sz w:val="18"/>
          <w:szCs w:val="18"/>
          <w:lang w:val="sr-Latn-ME"/>
        </w:rPr>
        <w:t>.</w:t>
      </w:r>
      <w:proofErr w:type="spellStart"/>
      <w:r w:rsidRPr="00686BAF">
        <w:rPr>
          <w:sz w:val="18"/>
          <w:szCs w:val="18"/>
        </w:rPr>
        <w:t>undp</w:t>
      </w:r>
      <w:proofErr w:type="spellEnd"/>
      <w:r w:rsidRPr="00686BAF">
        <w:rPr>
          <w:sz w:val="18"/>
          <w:szCs w:val="18"/>
          <w:lang w:val="sr-Latn-ME"/>
        </w:rPr>
        <w:t>.</w:t>
      </w:r>
      <w:r w:rsidRPr="00686BAF">
        <w:rPr>
          <w:sz w:val="18"/>
          <w:szCs w:val="18"/>
        </w:rPr>
        <w:t>org</w:t>
      </w:r>
      <w:r w:rsidRPr="00686BAF">
        <w:rPr>
          <w:sz w:val="18"/>
          <w:szCs w:val="18"/>
          <w:lang w:val="sr-Latn-ME"/>
        </w:rPr>
        <w:t>/</w:t>
      </w:r>
      <w:r w:rsidRPr="00686BAF">
        <w:rPr>
          <w:sz w:val="18"/>
          <w:szCs w:val="18"/>
        </w:rPr>
        <w:t>sites</w:t>
      </w:r>
      <w:r w:rsidRPr="00686BAF">
        <w:rPr>
          <w:sz w:val="18"/>
          <w:szCs w:val="18"/>
          <w:lang w:val="sr-Latn-ME"/>
        </w:rPr>
        <w:t>/</w:t>
      </w:r>
      <w:r w:rsidRPr="00686BAF">
        <w:rPr>
          <w:sz w:val="18"/>
          <w:szCs w:val="18"/>
        </w:rPr>
        <w:t>g</w:t>
      </w:r>
      <w:r w:rsidRPr="00686BAF">
        <w:rPr>
          <w:sz w:val="18"/>
          <w:szCs w:val="18"/>
          <w:lang w:val="sr-Latn-ME"/>
        </w:rPr>
        <w:t>/</w:t>
      </w:r>
      <w:r w:rsidRPr="00686BAF">
        <w:rPr>
          <w:sz w:val="18"/>
          <w:szCs w:val="18"/>
        </w:rPr>
        <w:t>files</w:t>
      </w:r>
      <w:r w:rsidRPr="00686BAF">
        <w:rPr>
          <w:sz w:val="18"/>
          <w:szCs w:val="18"/>
          <w:lang w:val="sr-Latn-ME"/>
        </w:rPr>
        <w:t>/</w:t>
      </w:r>
      <w:proofErr w:type="spellStart"/>
      <w:r w:rsidRPr="00686BAF">
        <w:rPr>
          <w:sz w:val="18"/>
          <w:szCs w:val="18"/>
        </w:rPr>
        <w:t>zskgke</w:t>
      </w:r>
      <w:proofErr w:type="spellEnd"/>
      <w:r w:rsidRPr="00686BAF">
        <w:rPr>
          <w:sz w:val="18"/>
          <w:szCs w:val="18"/>
          <w:lang w:val="sr-Latn-ME"/>
        </w:rPr>
        <w:t>326/</w:t>
      </w:r>
      <w:r w:rsidRPr="00686BAF">
        <w:rPr>
          <w:sz w:val="18"/>
          <w:szCs w:val="18"/>
        </w:rPr>
        <w:t>files</w:t>
      </w:r>
      <w:r w:rsidRPr="00686BAF">
        <w:rPr>
          <w:sz w:val="18"/>
          <w:szCs w:val="18"/>
          <w:lang w:val="sr-Latn-ME"/>
        </w:rPr>
        <w:t>/2022- 06/</w:t>
      </w:r>
      <w:proofErr w:type="spellStart"/>
      <w:r w:rsidRPr="00686BAF">
        <w:rPr>
          <w:sz w:val="18"/>
          <w:szCs w:val="18"/>
        </w:rPr>
        <w:t>Izvjestaj</w:t>
      </w:r>
      <w:proofErr w:type="spellEnd"/>
      <w:r w:rsidRPr="00686BAF">
        <w:rPr>
          <w:sz w:val="18"/>
          <w:szCs w:val="18"/>
          <w:lang w:val="sr-Latn-ME"/>
        </w:rPr>
        <w:t>%2</w:t>
      </w:r>
      <w:proofErr w:type="spellStart"/>
      <w:r w:rsidRPr="00686BAF">
        <w:rPr>
          <w:sz w:val="18"/>
          <w:szCs w:val="18"/>
        </w:rPr>
        <w:t>Bdoprinos</w:t>
      </w:r>
      <w:proofErr w:type="spellEnd"/>
      <w:r w:rsidRPr="00686BAF">
        <w:rPr>
          <w:sz w:val="18"/>
          <w:szCs w:val="18"/>
          <w:lang w:val="sr-Latn-ME"/>
        </w:rPr>
        <w:t>%2</w:t>
      </w:r>
      <w:proofErr w:type="spellStart"/>
      <w:r w:rsidRPr="00686BAF">
        <w:rPr>
          <w:sz w:val="18"/>
          <w:szCs w:val="18"/>
        </w:rPr>
        <w:t>Bzena</w:t>
      </w:r>
      <w:proofErr w:type="spellEnd"/>
      <w:r w:rsidRPr="00686BAF">
        <w:rPr>
          <w:sz w:val="18"/>
          <w:szCs w:val="18"/>
          <w:lang w:val="sr-Latn-ME"/>
        </w:rPr>
        <w:t>%2</w:t>
      </w:r>
      <w:proofErr w:type="spellStart"/>
      <w:r w:rsidRPr="00686BAF">
        <w:rPr>
          <w:sz w:val="18"/>
          <w:szCs w:val="18"/>
        </w:rPr>
        <w:t>Bekonomiji</w:t>
      </w:r>
      <w:proofErr w:type="spellEnd"/>
      <w:r w:rsidRPr="00686BAF">
        <w:rPr>
          <w:sz w:val="18"/>
          <w:szCs w:val="18"/>
          <w:lang w:val="sr-Latn-ME"/>
        </w:rPr>
        <w:t>%2</w:t>
      </w:r>
      <w:r w:rsidRPr="00686BAF">
        <w:rPr>
          <w:sz w:val="18"/>
          <w:szCs w:val="18"/>
        </w:rPr>
        <w:t>BCG</w:t>
      </w:r>
      <w:r w:rsidRPr="00686BAF">
        <w:rPr>
          <w:sz w:val="18"/>
          <w:szCs w:val="18"/>
          <w:lang w:val="sr-Latn-ME"/>
        </w:rPr>
        <w:t>%2</w:t>
      </w:r>
      <w:r w:rsidRPr="00686BAF">
        <w:rPr>
          <w:sz w:val="18"/>
          <w:szCs w:val="18"/>
        </w:rPr>
        <w:t>BMNE</w:t>
      </w:r>
      <w:r w:rsidRPr="00686BAF">
        <w:rPr>
          <w:sz w:val="18"/>
          <w:szCs w:val="18"/>
          <w:lang w:val="sr-Latn-ME"/>
        </w:rPr>
        <w:t>%2</w:t>
      </w:r>
      <w:r w:rsidRPr="00686BAF">
        <w:rPr>
          <w:sz w:val="18"/>
          <w:szCs w:val="18"/>
        </w:rPr>
        <w:t>BA</w:t>
      </w:r>
      <w:r w:rsidRPr="00686BAF">
        <w:rPr>
          <w:sz w:val="18"/>
          <w:szCs w:val="18"/>
          <w:lang w:val="sr-Latn-ME"/>
        </w:rPr>
        <w:t>4%2</w:t>
      </w:r>
      <w:r w:rsidRPr="00686BAF">
        <w:rPr>
          <w:sz w:val="18"/>
          <w:szCs w:val="18"/>
        </w:rPr>
        <w:t>BFINAL</w:t>
      </w:r>
      <w:r w:rsidRPr="00686BAF">
        <w:rPr>
          <w:sz w:val="18"/>
          <w:szCs w:val="18"/>
          <w:lang w:val="sr-Latn-ME"/>
        </w:rPr>
        <w:t>.</w:t>
      </w:r>
      <w:r w:rsidRPr="00686BAF">
        <w:rPr>
          <w:sz w:val="18"/>
          <w:szCs w:val="18"/>
        </w:rPr>
        <w:t>pdf</w:t>
      </w:r>
    </w:p>
  </w:footnote>
  <w:footnote w:id="11">
    <w:p w14:paraId="7F2AB72B" w14:textId="74FDE7BE" w:rsidR="00391D03" w:rsidRPr="003422A7" w:rsidRDefault="00391D03">
      <w:pPr>
        <w:pStyle w:val="FootnoteText"/>
        <w:rPr>
          <w:lang w:val="sr-Latn-ME"/>
        </w:rPr>
      </w:pPr>
      <w:r w:rsidRPr="00686BAF">
        <w:rPr>
          <w:rStyle w:val="FootnoteReference"/>
          <w:sz w:val="18"/>
          <w:szCs w:val="18"/>
        </w:rPr>
        <w:footnoteRef/>
      </w:r>
      <w:r w:rsidRPr="00686BAF">
        <w:rPr>
          <w:sz w:val="18"/>
          <w:szCs w:val="18"/>
          <w:lang w:val="pl-PL"/>
        </w:rPr>
        <w:t xml:space="preserve"> </w:t>
      </w:r>
      <w:r w:rsidRPr="00686BAF">
        <w:rPr>
          <w:sz w:val="18"/>
          <w:szCs w:val="18"/>
          <w:lang w:val="sr-Latn-ME"/>
        </w:rPr>
        <w:t>Npr. Broj nezaposlenih prema ARS je na kraju 2021.godine bio 42.200 lica, dok je prema administratvinom izvoru bio čak 57.386 (čemu je značajno dopinijela COVID-19 pandemija). Broj nezaposlenih prem ARS  na kraju 2022.godine je bio 43.200, dok je prema administrativnom izvoru bio 46.596. Dakle, nezaposlenost prema podacima ZZCG se smanjila i približila anketnoj što ukazuje na moguće smanjenje neformalne zaposlenosti</w:t>
      </w:r>
    </w:p>
  </w:footnote>
  <w:footnote w:id="12">
    <w:p w14:paraId="11D2F19D" w14:textId="512796F0" w:rsidR="00391D03" w:rsidRPr="006C1837" w:rsidRDefault="00391D03">
      <w:pPr>
        <w:pStyle w:val="FootnoteText"/>
        <w:rPr>
          <w:lang w:val="sr-Latn-ME"/>
        </w:rPr>
      </w:pPr>
      <w:r>
        <w:rPr>
          <w:rStyle w:val="FootnoteReference"/>
        </w:rPr>
        <w:footnoteRef/>
      </w:r>
      <w:r w:rsidRPr="00021CDC">
        <w:rPr>
          <w:lang w:val="pl-PL"/>
        </w:rPr>
        <w:t xml:space="preserve"> </w:t>
      </w:r>
      <w:r>
        <w:rPr>
          <w:lang w:val="sr-Latn-ME"/>
        </w:rPr>
        <w:t>SELDI mreža je u zemljama Zapadnog Balkana</w:t>
      </w:r>
    </w:p>
  </w:footnote>
  <w:footnote w:id="13">
    <w:p w14:paraId="1DDAF0D7" w14:textId="5B639C8B" w:rsidR="00391D03" w:rsidRPr="006D3DC8" w:rsidRDefault="00391D03">
      <w:pPr>
        <w:pStyle w:val="FootnoteText"/>
        <w:rPr>
          <w:lang w:val="sr-Latn-ME"/>
        </w:rPr>
      </w:pPr>
      <w:r>
        <w:rPr>
          <w:rStyle w:val="FootnoteReference"/>
        </w:rPr>
        <w:footnoteRef/>
      </w:r>
      <w:r w:rsidRPr="00021CDC">
        <w:rPr>
          <w:lang w:val="pl-PL"/>
        </w:rPr>
        <w:t xml:space="preserve"> </w:t>
      </w:r>
      <w:r>
        <w:rPr>
          <w:lang w:val="sr-Latn-ME"/>
        </w:rPr>
        <w:t xml:space="preserve">Informacija Vlade </w:t>
      </w:r>
      <w:r w:rsidRPr="00021CDC">
        <w:rPr>
          <w:lang w:val="pl-PL"/>
        </w:rPr>
        <w:t>o planu mjera na suzbijanju nelegalnog izdavanja smještaja, maj 2023.</w:t>
      </w:r>
    </w:p>
  </w:footnote>
  <w:footnote w:id="14">
    <w:p w14:paraId="76745394" w14:textId="77777777" w:rsidR="00391D03" w:rsidRPr="0096537C" w:rsidRDefault="00391D03" w:rsidP="004251E9">
      <w:pPr>
        <w:pStyle w:val="FootnoteText"/>
        <w:rPr>
          <w:lang w:val="sr-Latn-ME"/>
        </w:rPr>
      </w:pPr>
      <w:r>
        <w:rPr>
          <w:rStyle w:val="FootnoteReference"/>
        </w:rPr>
        <w:footnoteRef/>
      </w:r>
      <w:r>
        <w:t xml:space="preserve"> </w:t>
      </w:r>
      <w:r>
        <w:rPr>
          <w:lang w:val="sr-Latn-ME"/>
        </w:rPr>
        <w:t>Forest Stewardship Council</w:t>
      </w:r>
    </w:p>
  </w:footnote>
  <w:footnote w:id="15">
    <w:p w14:paraId="47D40479" w14:textId="4BF38EF2" w:rsidR="00391D03" w:rsidRPr="00360014" w:rsidRDefault="00391D03">
      <w:pPr>
        <w:pStyle w:val="FootnoteText"/>
        <w:rPr>
          <w:lang w:val="sr-Latn-ME"/>
        </w:rPr>
      </w:pPr>
      <w:r>
        <w:rPr>
          <w:rStyle w:val="FootnoteReference"/>
        </w:rPr>
        <w:footnoteRef/>
      </w:r>
      <w:r>
        <w:t xml:space="preserve"> </w:t>
      </w:r>
      <w:r>
        <w:rPr>
          <w:lang w:val="sr-Latn-ME"/>
        </w:rPr>
        <w:t>Vidjeti dio 2.3</w:t>
      </w:r>
    </w:p>
  </w:footnote>
  <w:footnote w:id="16">
    <w:p w14:paraId="69DEB2BE" w14:textId="77777777" w:rsidR="00391D03" w:rsidRDefault="00391D03" w:rsidP="002346A4">
      <w:pPr>
        <w:pStyle w:val="FootnoteText"/>
        <w:rPr>
          <w:lang w:val="sr-Latn-ME"/>
        </w:rPr>
      </w:pPr>
      <w:r>
        <w:rPr>
          <w:rStyle w:val="FootnoteReference"/>
        </w:rPr>
        <w:footnoteRef/>
      </w:r>
      <w:r w:rsidRPr="00021CDC">
        <w:rPr>
          <w:lang w:val="sr-Latn-ME"/>
        </w:rPr>
        <w:t xml:space="preserve"> </w:t>
      </w:r>
      <w:r>
        <w:rPr>
          <w:lang w:val="sr-Latn-ME"/>
        </w:rPr>
        <w:t>Prema OECD indeksu zaštite zaposlenosti</w:t>
      </w:r>
    </w:p>
  </w:footnote>
  <w:footnote w:id="17">
    <w:p w14:paraId="609B7E5A" w14:textId="4F0E1D0A" w:rsidR="00391D03" w:rsidRPr="007B58A8" w:rsidRDefault="00391D03">
      <w:pPr>
        <w:pStyle w:val="FootnoteText"/>
        <w:rPr>
          <w:lang w:val="sr-Latn-ME"/>
        </w:rPr>
      </w:pPr>
      <w:r>
        <w:rPr>
          <w:rStyle w:val="FootnoteReference"/>
        </w:rPr>
        <w:footnoteRef/>
      </w:r>
      <w:r w:rsidRPr="00021CDC">
        <w:rPr>
          <w:lang w:val="sr-Latn-ME"/>
        </w:rPr>
        <w:t xml:space="preserve"> </w:t>
      </w:r>
      <w:proofErr w:type="spellStart"/>
      <w:r>
        <w:rPr>
          <w:iCs/>
          <w:lang w:val="en-US"/>
        </w:rPr>
        <w:t>A</w:t>
      </w:r>
      <w:r w:rsidRPr="007B58A8">
        <w:rPr>
          <w:iCs/>
          <w:lang w:val="en-US"/>
        </w:rPr>
        <w:t>naliza</w:t>
      </w:r>
      <w:proofErr w:type="spellEnd"/>
      <w:r w:rsidRPr="00021CDC">
        <w:rPr>
          <w:iCs/>
          <w:lang w:val="sr-Latn-ME"/>
        </w:rPr>
        <w:t xml:space="preserve"> </w:t>
      </w:r>
      <w:proofErr w:type="spellStart"/>
      <w:r w:rsidRPr="007B58A8">
        <w:rPr>
          <w:iCs/>
          <w:lang w:val="en-US"/>
        </w:rPr>
        <w:t>realnosti</w:t>
      </w:r>
      <w:proofErr w:type="spellEnd"/>
      <w:r w:rsidRPr="00021CDC">
        <w:rPr>
          <w:iCs/>
          <w:lang w:val="sr-Latn-ME"/>
        </w:rPr>
        <w:t xml:space="preserve"> </w:t>
      </w:r>
      <w:proofErr w:type="spellStart"/>
      <w:r w:rsidRPr="007B58A8">
        <w:rPr>
          <w:iCs/>
          <w:lang w:val="en-US"/>
        </w:rPr>
        <w:t>poslovanja</w:t>
      </w:r>
      <w:proofErr w:type="spellEnd"/>
      <w:r w:rsidRPr="00021CDC">
        <w:rPr>
          <w:iCs/>
          <w:lang w:val="sr-Latn-ME"/>
        </w:rPr>
        <w:t xml:space="preserve"> </w:t>
      </w:r>
      <w:r w:rsidRPr="007B58A8">
        <w:rPr>
          <w:iCs/>
          <w:lang w:val="en-US"/>
        </w:rPr>
        <w:t>u</w:t>
      </w:r>
      <w:r w:rsidRPr="00021CDC">
        <w:rPr>
          <w:iCs/>
          <w:lang w:val="sr-Latn-ME"/>
        </w:rPr>
        <w:t xml:space="preserve"> </w:t>
      </w:r>
      <w:proofErr w:type="spellStart"/>
      <w:r w:rsidRPr="007B58A8">
        <w:rPr>
          <w:iCs/>
          <w:lang w:val="en-US"/>
        </w:rPr>
        <w:t>dugom</w:t>
      </w:r>
      <w:proofErr w:type="spellEnd"/>
      <w:r w:rsidRPr="00021CDC">
        <w:rPr>
          <w:iCs/>
          <w:lang w:val="sr-Latn-ME"/>
        </w:rPr>
        <w:t xml:space="preserve"> </w:t>
      </w:r>
      <w:proofErr w:type="spellStart"/>
      <w:r w:rsidRPr="007B58A8">
        <w:rPr>
          <w:iCs/>
          <w:lang w:val="en-US"/>
        </w:rPr>
        <w:t>roku</w:t>
      </w:r>
      <w:proofErr w:type="spellEnd"/>
      <w:r w:rsidRPr="00021CDC">
        <w:rPr>
          <w:iCs/>
          <w:lang w:val="sr-Latn-ME"/>
        </w:rPr>
        <w:t xml:space="preserve"> </w:t>
      </w:r>
      <w:proofErr w:type="spellStart"/>
      <w:r w:rsidRPr="007B58A8">
        <w:rPr>
          <w:iCs/>
          <w:lang w:val="en-US"/>
        </w:rPr>
        <w:t>sa</w:t>
      </w:r>
      <w:proofErr w:type="spellEnd"/>
      <w:r w:rsidRPr="00021CDC">
        <w:rPr>
          <w:iCs/>
          <w:lang w:val="sr-Latn-ME"/>
        </w:rPr>
        <w:t xml:space="preserve"> </w:t>
      </w:r>
      <w:proofErr w:type="spellStart"/>
      <w:r w:rsidRPr="007B58A8">
        <w:rPr>
          <w:iCs/>
          <w:lang w:val="en-US"/>
        </w:rPr>
        <w:t>negativnim</w:t>
      </w:r>
      <w:proofErr w:type="spellEnd"/>
      <w:r w:rsidRPr="00021CDC">
        <w:rPr>
          <w:iCs/>
          <w:lang w:val="sr-Latn-ME"/>
        </w:rPr>
        <w:t xml:space="preserve"> </w:t>
      </w:r>
      <w:r w:rsidRPr="007B58A8">
        <w:rPr>
          <w:iCs/>
          <w:lang w:val="en-US"/>
        </w:rPr>
        <w:t>mar</w:t>
      </w:r>
      <w:r w:rsidRPr="00021CDC">
        <w:rPr>
          <w:iCs/>
          <w:lang w:val="sr-Latn-ME"/>
        </w:rPr>
        <w:t>ž</w:t>
      </w:r>
      <w:proofErr w:type="spellStart"/>
      <w:r w:rsidRPr="007B58A8">
        <w:rPr>
          <w:iCs/>
          <w:lang w:val="en-US"/>
        </w:rPr>
        <w:t>ama</w:t>
      </w:r>
      <w:proofErr w:type="spellEnd"/>
      <w:r w:rsidRPr="00021CDC">
        <w:rPr>
          <w:iCs/>
          <w:lang w:val="sr-Latn-ME"/>
        </w:rPr>
        <w:t xml:space="preserve">, </w:t>
      </w:r>
      <w:proofErr w:type="spellStart"/>
      <w:r w:rsidRPr="007B58A8">
        <w:rPr>
          <w:iCs/>
          <w:lang w:val="en-US"/>
        </w:rPr>
        <w:t>provjera</w:t>
      </w:r>
      <w:proofErr w:type="spellEnd"/>
      <w:r w:rsidRPr="00021CDC">
        <w:rPr>
          <w:iCs/>
          <w:lang w:val="sr-Latn-ME"/>
        </w:rPr>
        <w:t xml:space="preserve"> </w:t>
      </w:r>
      <w:proofErr w:type="spellStart"/>
      <w:r w:rsidRPr="007B58A8">
        <w:rPr>
          <w:iCs/>
          <w:lang w:val="en-US"/>
        </w:rPr>
        <w:t>izdavanja</w:t>
      </w:r>
      <w:proofErr w:type="spellEnd"/>
      <w:r w:rsidRPr="00021CDC">
        <w:rPr>
          <w:iCs/>
          <w:lang w:val="sr-Latn-ME"/>
        </w:rPr>
        <w:t xml:space="preserve"> </w:t>
      </w:r>
      <w:proofErr w:type="spellStart"/>
      <w:r w:rsidRPr="007B58A8">
        <w:rPr>
          <w:iCs/>
          <w:lang w:val="en-US"/>
        </w:rPr>
        <w:t>fiktivnih</w:t>
      </w:r>
      <w:proofErr w:type="spellEnd"/>
      <w:r w:rsidRPr="00021CDC">
        <w:rPr>
          <w:iCs/>
          <w:lang w:val="sr-Latn-ME"/>
        </w:rPr>
        <w:t xml:space="preserve"> </w:t>
      </w:r>
      <w:r w:rsidRPr="007B58A8">
        <w:rPr>
          <w:iCs/>
          <w:lang w:val="en-US"/>
        </w:rPr>
        <w:t>faktura</w:t>
      </w:r>
      <w:r w:rsidRPr="00021CDC">
        <w:rPr>
          <w:iCs/>
          <w:lang w:val="sr-Latn-ME"/>
        </w:rPr>
        <w:t>, “</w:t>
      </w:r>
      <w:proofErr w:type="spellStart"/>
      <w:r w:rsidRPr="007B58A8">
        <w:rPr>
          <w:iCs/>
          <w:lang w:val="en-US"/>
        </w:rPr>
        <w:t>prebijanja</w:t>
      </w:r>
      <w:proofErr w:type="spellEnd"/>
      <w:r w:rsidRPr="00021CDC">
        <w:rPr>
          <w:iCs/>
          <w:lang w:val="sr-Latn-ME"/>
        </w:rPr>
        <w:t xml:space="preserve">” </w:t>
      </w:r>
      <w:r w:rsidRPr="007B58A8">
        <w:rPr>
          <w:iCs/>
          <w:lang w:val="en-US"/>
        </w:rPr>
        <w:t>PDV</w:t>
      </w:r>
      <w:r w:rsidRPr="00021CDC">
        <w:rPr>
          <w:iCs/>
          <w:lang w:val="sr-Latn-ME"/>
        </w:rPr>
        <w:t>-</w:t>
      </w:r>
      <w:r w:rsidRPr="007B58A8">
        <w:rPr>
          <w:iCs/>
          <w:lang w:val="en-US"/>
        </w:rPr>
        <w:t>a</w:t>
      </w:r>
      <w:r w:rsidRPr="00021CDC">
        <w:rPr>
          <w:iCs/>
          <w:lang w:val="sr-Latn-ME"/>
        </w:rPr>
        <w:t xml:space="preserve"> </w:t>
      </w:r>
      <w:proofErr w:type="spellStart"/>
      <w:r w:rsidRPr="007B58A8">
        <w:rPr>
          <w:iCs/>
          <w:lang w:val="en-US"/>
        </w:rPr>
        <w:t>izme</w:t>
      </w:r>
      <w:proofErr w:type="spellEnd"/>
      <w:r w:rsidRPr="00021CDC">
        <w:rPr>
          <w:iCs/>
          <w:lang w:val="sr-Latn-ME"/>
        </w:rPr>
        <w:t>đ</w:t>
      </w:r>
      <w:r w:rsidRPr="007B58A8">
        <w:rPr>
          <w:iCs/>
          <w:lang w:val="en-US"/>
        </w:rPr>
        <w:t>u</w:t>
      </w:r>
      <w:r w:rsidRPr="00021CDC">
        <w:rPr>
          <w:iCs/>
          <w:lang w:val="sr-Latn-ME"/>
        </w:rPr>
        <w:t xml:space="preserve"> </w:t>
      </w:r>
      <w:proofErr w:type="spellStart"/>
      <w:r w:rsidRPr="007B58A8">
        <w:rPr>
          <w:iCs/>
          <w:lang w:val="en-US"/>
        </w:rPr>
        <w:t>povezanih</w:t>
      </w:r>
      <w:proofErr w:type="spellEnd"/>
      <w:r w:rsidRPr="00021CDC">
        <w:rPr>
          <w:iCs/>
          <w:lang w:val="sr-Latn-ME"/>
        </w:rPr>
        <w:t xml:space="preserve"> </w:t>
      </w:r>
      <w:proofErr w:type="spellStart"/>
      <w:r w:rsidRPr="007B58A8">
        <w:rPr>
          <w:iCs/>
          <w:lang w:val="en-US"/>
        </w:rPr>
        <w:t>lica</w:t>
      </w:r>
      <w:proofErr w:type="spellEnd"/>
      <w:r w:rsidRPr="00021CDC">
        <w:rPr>
          <w:iCs/>
          <w:lang w:val="sr-Latn-ME"/>
        </w:rPr>
        <w:t xml:space="preserve">, </w:t>
      </w:r>
      <w:proofErr w:type="spellStart"/>
      <w:r w:rsidRPr="007B58A8">
        <w:rPr>
          <w:iCs/>
          <w:lang w:val="en-US"/>
        </w:rPr>
        <w:t>neadekvatnog</w:t>
      </w:r>
      <w:proofErr w:type="spellEnd"/>
      <w:r w:rsidRPr="00021CDC">
        <w:rPr>
          <w:iCs/>
          <w:lang w:val="sr-Latn-ME"/>
        </w:rPr>
        <w:t xml:space="preserve"> </w:t>
      </w:r>
      <w:r w:rsidRPr="007B58A8">
        <w:rPr>
          <w:iCs/>
          <w:lang w:val="en-US"/>
        </w:rPr>
        <w:t>ra</w:t>
      </w:r>
      <w:r w:rsidRPr="00021CDC">
        <w:rPr>
          <w:iCs/>
          <w:lang w:val="sr-Latn-ME"/>
        </w:rPr>
        <w:t>č</w:t>
      </w:r>
      <w:proofErr w:type="spellStart"/>
      <w:r w:rsidRPr="007B58A8">
        <w:rPr>
          <w:iCs/>
          <w:lang w:val="en-US"/>
        </w:rPr>
        <w:t>unovodstvenog</w:t>
      </w:r>
      <w:proofErr w:type="spellEnd"/>
      <w:r w:rsidRPr="00021CDC">
        <w:rPr>
          <w:iCs/>
          <w:lang w:val="sr-Latn-ME"/>
        </w:rPr>
        <w:t xml:space="preserve"> </w:t>
      </w:r>
      <w:proofErr w:type="spellStart"/>
      <w:r w:rsidRPr="007B58A8">
        <w:rPr>
          <w:iCs/>
          <w:lang w:val="en-US"/>
        </w:rPr>
        <w:t>tretmana</w:t>
      </w:r>
      <w:proofErr w:type="spellEnd"/>
      <w:r w:rsidRPr="00021CDC">
        <w:rPr>
          <w:iCs/>
          <w:lang w:val="sr-Latn-ME"/>
        </w:rPr>
        <w:t xml:space="preserve"> </w:t>
      </w:r>
      <w:proofErr w:type="spellStart"/>
      <w:r w:rsidRPr="007B58A8">
        <w:rPr>
          <w:iCs/>
          <w:lang w:val="en-US"/>
        </w:rPr>
        <w:t>investicionog</w:t>
      </w:r>
      <w:proofErr w:type="spellEnd"/>
      <w:r w:rsidRPr="00021CDC">
        <w:rPr>
          <w:iCs/>
          <w:lang w:val="sr-Latn-ME"/>
        </w:rPr>
        <w:t xml:space="preserve"> </w:t>
      </w:r>
      <w:proofErr w:type="spellStart"/>
      <w:r w:rsidRPr="007B58A8">
        <w:rPr>
          <w:iCs/>
          <w:lang w:val="en-US"/>
        </w:rPr>
        <w:t>ulaganja</w:t>
      </w:r>
      <w:proofErr w:type="spellEnd"/>
      <w:r w:rsidRPr="00021CDC">
        <w:rPr>
          <w:iCs/>
          <w:lang w:val="sr-Latn-ME"/>
        </w:rPr>
        <w:t xml:space="preserve"> </w:t>
      </w:r>
      <w:proofErr w:type="spellStart"/>
      <w:r w:rsidRPr="007B58A8">
        <w:rPr>
          <w:iCs/>
          <w:lang w:val="en-US"/>
        </w:rPr>
        <w:t>kod</w:t>
      </w:r>
      <w:proofErr w:type="spellEnd"/>
      <w:r w:rsidRPr="00021CDC">
        <w:rPr>
          <w:iCs/>
          <w:lang w:val="sr-Latn-ME"/>
        </w:rPr>
        <w:t xml:space="preserve"> </w:t>
      </w:r>
      <w:proofErr w:type="spellStart"/>
      <w:r w:rsidRPr="007B58A8">
        <w:rPr>
          <w:iCs/>
          <w:lang w:val="en-US"/>
        </w:rPr>
        <w:t>gra</w:t>
      </w:r>
      <w:proofErr w:type="spellEnd"/>
      <w:r w:rsidRPr="00021CDC">
        <w:rPr>
          <w:iCs/>
          <w:lang w:val="sr-Latn-ME"/>
        </w:rPr>
        <w:t>đ</w:t>
      </w:r>
      <w:proofErr w:type="spellStart"/>
      <w:r w:rsidRPr="007B58A8">
        <w:rPr>
          <w:iCs/>
          <w:lang w:val="en-US"/>
        </w:rPr>
        <w:t>evinskih</w:t>
      </w:r>
      <w:proofErr w:type="spellEnd"/>
      <w:r w:rsidRPr="00021CDC">
        <w:rPr>
          <w:iCs/>
          <w:lang w:val="sr-Latn-ME"/>
        </w:rPr>
        <w:t xml:space="preserve"> </w:t>
      </w:r>
      <w:proofErr w:type="spellStart"/>
      <w:r w:rsidRPr="007B58A8">
        <w:rPr>
          <w:iCs/>
          <w:lang w:val="en-US"/>
        </w:rPr>
        <w:t>projekata</w:t>
      </w:r>
      <w:proofErr w:type="spellEnd"/>
      <w:r w:rsidRPr="00021CDC">
        <w:rPr>
          <w:iCs/>
          <w:lang w:val="sr-Latn-ME"/>
        </w:rPr>
        <w:t xml:space="preserve">, </w:t>
      </w:r>
      <w:proofErr w:type="spellStart"/>
      <w:r w:rsidRPr="007B58A8">
        <w:rPr>
          <w:iCs/>
          <w:lang w:val="en-US"/>
        </w:rPr>
        <w:t>uvo</w:t>
      </w:r>
      <w:proofErr w:type="spellEnd"/>
      <w:r w:rsidRPr="00021CDC">
        <w:rPr>
          <w:iCs/>
          <w:lang w:val="sr-Latn-ME"/>
        </w:rPr>
        <w:t>đ</w:t>
      </w:r>
      <w:proofErr w:type="spellStart"/>
      <w:r w:rsidRPr="007B58A8">
        <w:rPr>
          <w:iCs/>
          <w:lang w:val="en-US"/>
        </w:rPr>
        <w:t>enje</w:t>
      </w:r>
      <w:proofErr w:type="spellEnd"/>
      <w:r w:rsidRPr="00021CDC">
        <w:rPr>
          <w:iCs/>
          <w:lang w:val="sr-Latn-ME"/>
        </w:rPr>
        <w:t xml:space="preserve"> </w:t>
      </w:r>
      <w:r w:rsidRPr="007B58A8">
        <w:rPr>
          <w:iCs/>
          <w:lang w:val="en-US"/>
        </w:rPr>
        <w:t>u</w:t>
      </w:r>
      <w:r w:rsidRPr="00021CDC">
        <w:rPr>
          <w:iCs/>
          <w:lang w:val="sr-Latn-ME"/>
        </w:rPr>
        <w:t xml:space="preserve"> </w:t>
      </w:r>
      <w:proofErr w:type="spellStart"/>
      <w:r w:rsidRPr="007B58A8">
        <w:rPr>
          <w:iCs/>
          <w:lang w:val="en-US"/>
        </w:rPr>
        <w:t>legalne</w:t>
      </w:r>
      <w:proofErr w:type="spellEnd"/>
      <w:r w:rsidRPr="00021CDC">
        <w:rPr>
          <w:iCs/>
          <w:lang w:val="sr-Latn-ME"/>
        </w:rPr>
        <w:t xml:space="preserve"> </w:t>
      </w:r>
      <w:proofErr w:type="spellStart"/>
      <w:r w:rsidRPr="007B58A8">
        <w:rPr>
          <w:iCs/>
          <w:lang w:val="en-US"/>
        </w:rPr>
        <w:t>tokove</w:t>
      </w:r>
      <w:proofErr w:type="spellEnd"/>
      <w:r w:rsidRPr="00021CDC">
        <w:rPr>
          <w:iCs/>
          <w:lang w:val="sr-Latn-ME"/>
        </w:rPr>
        <w:t xml:space="preserve"> </w:t>
      </w:r>
      <w:proofErr w:type="spellStart"/>
      <w:r w:rsidRPr="007B58A8">
        <w:rPr>
          <w:iCs/>
          <w:lang w:val="en-US"/>
        </w:rPr>
        <w:t>i</w:t>
      </w:r>
      <w:proofErr w:type="spellEnd"/>
      <w:r w:rsidRPr="00021CDC">
        <w:rPr>
          <w:iCs/>
          <w:lang w:val="sr-Latn-ME"/>
        </w:rPr>
        <w:t xml:space="preserve"> </w:t>
      </w:r>
      <w:proofErr w:type="spellStart"/>
      <w:r w:rsidRPr="007B58A8">
        <w:rPr>
          <w:iCs/>
          <w:lang w:val="en-US"/>
        </w:rPr>
        <w:t>oporezivanje</w:t>
      </w:r>
      <w:proofErr w:type="spellEnd"/>
      <w:r w:rsidRPr="00021CDC">
        <w:rPr>
          <w:iCs/>
          <w:lang w:val="sr-Latn-ME"/>
        </w:rPr>
        <w:t xml:space="preserve"> </w:t>
      </w:r>
      <w:proofErr w:type="spellStart"/>
      <w:r w:rsidRPr="007B58A8">
        <w:rPr>
          <w:iCs/>
          <w:lang w:val="en-US"/>
        </w:rPr>
        <w:t>prihoda</w:t>
      </w:r>
      <w:proofErr w:type="spellEnd"/>
      <w:r w:rsidRPr="00021CDC">
        <w:rPr>
          <w:iCs/>
          <w:lang w:val="sr-Latn-ME"/>
        </w:rPr>
        <w:t xml:space="preserve"> </w:t>
      </w:r>
      <w:r w:rsidRPr="007B58A8">
        <w:rPr>
          <w:iCs/>
          <w:lang w:val="en-US"/>
        </w:rPr>
        <w:t>od</w:t>
      </w:r>
      <w:r w:rsidRPr="00021CDC">
        <w:rPr>
          <w:iCs/>
          <w:lang w:val="sr-Latn-ME"/>
        </w:rPr>
        <w:t xml:space="preserve"> </w:t>
      </w:r>
      <w:proofErr w:type="spellStart"/>
      <w:r w:rsidRPr="007B58A8">
        <w:rPr>
          <w:iCs/>
          <w:lang w:val="en-US"/>
        </w:rPr>
        <w:t>rentiranja</w:t>
      </w:r>
      <w:proofErr w:type="spellEnd"/>
      <w:r w:rsidRPr="00021CDC">
        <w:rPr>
          <w:iCs/>
          <w:lang w:val="sr-Latn-ME"/>
        </w:rPr>
        <w:t xml:space="preserve"> </w:t>
      </w:r>
      <w:proofErr w:type="spellStart"/>
      <w:r w:rsidRPr="007B58A8">
        <w:rPr>
          <w:iCs/>
          <w:lang w:val="en-US"/>
        </w:rPr>
        <w:t>nekretnina</w:t>
      </w:r>
      <w:proofErr w:type="spellEnd"/>
      <w:r w:rsidRPr="00021CDC">
        <w:rPr>
          <w:iCs/>
          <w:lang w:val="sr-Latn-ME"/>
        </w:rPr>
        <w:t xml:space="preserve"> </w:t>
      </w:r>
      <w:proofErr w:type="spellStart"/>
      <w:r w:rsidRPr="007B58A8">
        <w:rPr>
          <w:iCs/>
          <w:lang w:val="en-US"/>
        </w:rPr>
        <w:t>itd</w:t>
      </w:r>
      <w:proofErr w:type="spellEnd"/>
    </w:p>
  </w:footnote>
  <w:footnote w:id="18">
    <w:p w14:paraId="09BCEAC8" w14:textId="77777777" w:rsidR="00391D03" w:rsidRPr="00C64CC8" w:rsidRDefault="00391D03" w:rsidP="006E1CD4">
      <w:pPr>
        <w:spacing w:after="0" w:line="240" w:lineRule="auto"/>
        <w:jc w:val="both"/>
        <w:rPr>
          <w:rFonts w:ascii="Times New Roman" w:hAnsi="Times New Roman" w:cs="Times New Roman"/>
          <w:sz w:val="18"/>
          <w:szCs w:val="18"/>
          <w:lang w:val="sr-Latn-ME"/>
        </w:rPr>
      </w:pPr>
      <w:r>
        <w:rPr>
          <w:rStyle w:val="FootnoteReference"/>
        </w:rPr>
        <w:footnoteRef/>
      </w:r>
      <w:r w:rsidRPr="00021CDC">
        <w:rPr>
          <w:lang w:val="sr-Latn-ME"/>
        </w:rPr>
        <w:t xml:space="preserve"> </w:t>
      </w:r>
      <w:r w:rsidRPr="00C64CC8">
        <w:rPr>
          <w:rFonts w:ascii="Times New Roman" w:hAnsi="Times New Roman" w:cs="Times New Roman"/>
          <w:sz w:val="18"/>
          <w:szCs w:val="18"/>
          <w:lang w:val="sr-Latn-ME"/>
        </w:rPr>
        <w:t>U februaru 2022.</w:t>
      </w:r>
      <w:r>
        <w:rPr>
          <w:rFonts w:ascii="Times New Roman" w:hAnsi="Times New Roman" w:cs="Times New Roman"/>
          <w:sz w:val="18"/>
          <w:szCs w:val="18"/>
          <w:lang w:val="sr-Latn-ME"/>
        </w:rPr>
        <w:t xml:space="preserve"> </w:t>
      </w:r>
      <w:r w:rsidRPr="00C64CC8">
        <w:rPr>
          <w:rFonts w:ascii="Times New Roman" w:hAnsi="Times New Roman" w:cs="Times New Roman"/>
          <w:sz w:val="18"/>
          <w:szCs w:val="18"/>
          <w:lang w:val="sr-Latn-ME"/>
        </w:rPr>
        <w:t>godine izg</w:t>
      </w:r>
      <w:r>
        <w:rPr>
          <w:rFonts w:ascii="Times New Roman" w:hAnsi="Times New Roman" w:cs="Times New Roman"/>
          <w:sz w:val="18"/>
          <w:szCs w:val="18"/>
          <w:lang w:val="sr-Latn-ME"/>
        </w:rPr>
        <w:t>lasano je nepovjerenje 42.V</w:t>
      </w:r>
      <w:r w:rsidRPr="00C64CC8">
        <w:rPr>
          <w:rFonts w:ascii="Times New Roman" w:hAnsi="Times New Roman" w:cs="Times New Roman"/>
          <w:sz w:val="18"/>
          <w:szCs w:val="18"/>
          <w:lang w:val="sr-Latn-ME"/>
        </w:rPr>
        <w:t xml:space="preserve">ladi. Nova 43. ( manjinska ) Vlada izabrana je u aprilu 2022.godine. Manje od četiri </w:t>
      </w:r>
      <w:r>
        <w:rPr>
          <w:rFonts w:ascii="Times New Roman" w:hAnsi="Times New Roman" w:cs="Times New Roman"/>
          <w:sz w:val="18"/>
          <w:szCs w:val="18"/>
          <w:lang w:val="sr-Latn-ME"/>
        </w:rPr>
        <w:t>m</w:t>
      </w:r>
      <w:r w:rsidRPr="00C64CC8">
        <w:rPr>
          <w:rFonts w:ascii="Times New Roman" w:hAnsi="Times New Roman" w:cs="Times New Roman"/>
          <w:sz w:val="18"/>
          <w:szCs w:val="18"/>
          <w:lang w:val="sr-Latn-ME"/>
        </w:rPr>
        <w:t xml:space="preserve">jeseca od njenog formiranja izglasano je nepovjerenje i 43.Vladi, 19.avgusta 2022.godine. </w:t>
      </w:r>
    </w:p>
  </w:footnote>
  <w:footnote w:id="19">
    <w:p w14:paraId="6E7A8030" w14:textId="77777777" w:rsidR="00391D03" w:rsidRPr="00794942" w:rsidRDefault="00391D03" w:rsidP="006E1CD4">
      <w:pPr>
        <w:pStyle w:val="FootnoteText"/>
        <w:rPr>
          <w:lang w:val="sr-Latn-ME"/>
        </w:rPr>
      </w:pPr>
      <w:r>
        <w:rPr>
          <w:rStyle w:val="FootnoteReference"/>
        </w:rPr>
        <w:footnoteRef/>
      </w:r>
      <w:r w:rsidRPr="00C26AA5">
        <w:rPr>
          <w:lang w:val="pl-PL"/>
        </w:rPr>
        <w:t xml:space="preserve"> </w:t>
      </w:r>
      <w:r>
        <w:rPr>
          <w:lang w:val="sr-Latn-ME"/>
        </w:rPr>
        <w:t xml:space="preserve">UN analiza stanja </w:t>
      </w:r>
    </w:p>
  </w:footnote>
  <w:footnote w:id="20">
    <w:p w14:paraId="6C949371" w14:textId="77777777" w:rsidR="00391D03" w:rsidRPr="00C47CF0" w:rsidRDefault="00391D03" w:rsidP="006E1CD4">
      <w:pPr>
        <w:pStyle w:val="FootnoteText"/>
        <w:rPr>
          <w:lang w:val="sr-Latn-ME"/>
        </w:rPr>
      </w:pPr>
      <w:r>
        <w:rPr>
          <w:rStyle w:val="FootnoteReference"/>
        </w:rPr>
        <w:footnoteRef/>
      </w:r>
      <w:r w:rsidRPr="00C26AA5">
        <w:rPr>
          <w:lang w:val="pl-PL"/>
        </w:rPr>
        <w:t xml:space="preserve"> </w:t>
      </w:r>
      <w:r>
        <w:rPr>
          <w:lang w:val="sr-Latn-ME"/>
        </w:rPr>
        <w:t>Zvanični podaci MONSTATa</w:t>
      </w:r>
    </w:p>
  </w:footnote>
  <w:footnote w:id="21">
    <w:p w14:paraId="03F814DD" w14:textId="5E8451A3" w:rsidR="00391D03" w:rsidRPr="00EB0B3F" w:rsidRDefault="00391D03" w:rsidP="006E1CD4">
      <w:pPr>
        <w:pStyle w:val="FootnoteText"/>
        <w:rPr>
          <w:lang w:val="sr-Latn-ME"/>
        </w:rPr>
      </w:pPr>
      <w:r>
        <w:rPr>
          <w:rStyle w:val="FootnoteReference"/>
        </w:rPr>
        <w:footnoteRef/>
      </w:r>
      <w:r w:rsidRPr="00EB0B3F">
        <w:rPr>
          <w:lang w:val="pl-PL"/>
        </w:rPr>
        <w:t xml:space="preserve"> </w:t>
      </w:r>
      <w:r>
        <w:rPr>
          <w:lang w:val="sr-Latn-ME"/>
        </w:rPr>
        <w:t xml:space="preserve">Ne postoje zvanični podaci koliko je zastupljena neformalna ekonomija u sektoru obrazovanja. </w:t>
      </w:r>
    </w:p>
  </w:footnote>
  <w:footnote w:id="22">
    <w:p w14:paraId="7AADF0FF" w14:textId="77777777" w:rsidR="00391D03" w:rsidRPr="00363528" w:rsidRDefault="00391D03" w:rsidP="006E1CD4">
      <w:pPr>
        <w:pStyle w:val="FootnoteText"/>
        <w:rPr>
          <w:rFonts w:ascii="Times New Roman" w:hAnsi="Times New Roman" w:cs="Times New Roman"/>
          <w:sz w:val="18"/>
          <w:szCs w:val="18"/>
          <w:lang w:val="sr-Latn-ME"/>
        </w:rPr>
      </w:pPr>
      <w:r>
        <w:rPr>
          <w:rStyle w:val="FootnoteReference"/>
        </w:rPr>
        <w:footnoteRef/>
      </w:r>
      <w:r w:rsidRPr="00363528">
        <w:rPr>
          <w:lang w:val="sr-Latn-ME"/>
        </w:rPr>
        <w:t xml:space="preserve"> </w:t>
      </w:r>
      <w:r w:rsidRPr="007F5525">
        <w:rPr>
          <w:rFonts w:ascii="Times New Roman" w:hAnsi="Times New Roman" w:cs="Times New Roman"/>
          <w:sz w:val="18"/>
          <w:szCs w:val="18"/>
          <w:lang w:val="pl-PL"/>
        </w:rPr>
        <w:t>Ministarstvo</w:t>
      </w:r>
      <w:r w:rsidRPr="00363528">
        <w:rPr>
          <w:rFonts w:ascii="Times New Roman" w:hAnsi="Times New Roman" w:cs="Times New Roman"/>
          <w:sz w:val="18"/>
          <w:szCs w:val="18"/>
          <w:lang w:val="sr-Latn-ME"/>
        </w:rPr>
        <w:t xml:space="preserve"> </w:t>
      </w:r>
      <w:r w:rsidRPr="007F5525">
        <w:rPr>
          <w:rFonts w:ascii="Times New Roman" w:hAnsi="Times New Roman" w:cs="Times New Roman"/>
          <w:sz w:val="18"/>
          <w:szCs w:val="18"/>
          <w:lang w:val="pl-PL"/>
        </w:rPr>
        <w:t>prosvjete</w:t>
      </w:r>
    </w:p>
  </w:footnote>
  <w:footnote w:id="23">
    <w:p w14:paraId="70499600" w14:textId="77777777" w:rsidR="00391D03" w:rsidRPr="001E013C" w:rsidRDefault="00391D03" w:rsidP="006E1CD4">
      <w:pPr>
        <w:pStyle w:val="FootnoteText"/>
        <w:rPr>
          <w:lang w:val="sr-Latn-ME"/>
        </w:rPr>
      </w:pPr>
      <w:r>
        <w:rPr>
          <w:rStyle w:val="FootnoteReference"/>
        </w:rPr>
        <w:footnoteRef/>
      </w:r>
      <w:r w:rsidRPr="001E013C">
        <w:rPr>
          <w:lang w:val="pl-PL"/>
        </w:rPr>
        <w:t xml:space="preserve"> </w:t>
      </w:r>
      <w:r>
        <w:rPr>
          <w:lang w:val="sr-Latn-ME"/>
        </w:rPr>
        <w:t>Strategija digitalne transformacije Crne Gore do 2026.godine</w:t>
      </w:r>
    </w:p>
  </w:footnote>
  <w:footnote w:id="24">
    <w:p w14:paraId="340291A3" w14:textId="3BF699E0" w:rsidR="00391D03" w:rsidRPr="007D7009" w:rsidRDefault="00391D03">
      <w:pPr>
        <w:pStyle w:val="FootnoteText"/>
        <w:rPr>
          <w:lang w:val="sr-Latn-ME"/>
        </w:rPr>
      </w:pPr>
      <w:r>
        <w:rPr>
          <w:rStyle w:val="FootnoteReference"/>
        </w:rPr>
        <w:footnoteRef/>
      </w:r>
      <w:r w:rsidRPr="00021CDC">
        <w:rPr>
          <w:lang w:val="pl-PL"/>
        </w:rPr>
        <w:t xml:space="preserve"> Siva ekonomija je posmatrana kao šira kategorija od neformalne ekonomije </w:t>
      </w:r>
    </w:p>
  </w:footnote>
  <w:footnote w:id="25">
    <w:p w14:paraId="0C63175B" w14:textId="20FDF713" w:rsidR="00391D03" w:rsidRPr="00BF7E70" w:rsidRDefault="00391D03">
      <w:pPr>
        <w:pStyle w:val="FootnoteText"/>
        <w:rPr>
          <w:lang w:val="sr-Latn-ME"/>
        </w:rPr>
      </w:pPr>
      <w:r>
        <w:rPr>
          <w:rStyle w:val="FootnoteReference"/>
        </w:rPr>
        <w:footnoteRef/>
      </w:r>
      <w:r w:rsidRPr="005D1D51">
        <w:rPr>
          <w:lang w:val="pl-PL"/>
        </w:rPr>
        <w:t xml:space="preserve"> </w:t>
      </w:r>
      <w:r>
        <w:rPr>
          <w:lang w:val="sr-Latn-ME"/>
        </w:rPr>
        <w:t>Odnosi se na sivu ekonomiju u registrovanim privrednim subjektima</w:t>
      </w:r>
    </w:p>
  </w:footnote>
  <w:footnote w:id="26">
    <w:p w14:paraId="63B8D56E" w14:textId="4B7C08C8" w:rsidR="00391D03" w:rsidRPr="00C30C31" w:rsidRDefault="00391D03">
      <w:pPr>
        <w:pStyle w:val="FootnoteText"/>
        <w:rPr>
          <w:lang w:val="sr-Latn-ME"/>
        </w:rPr>
      </w:pPr>
      <w:r>
        <w:rPr>
          <w:rStyle w:val="FootnoteReference"/>
        </w:rPr>
        <w:footnoteRef/>
      </w:r>
      <w:r w:rsidRPr="00021CDC">
        <w:rPr>
          <w:lang w:val="pl-PL"/>
        </w:rPr>
        <w:t xml:space="preserve"> </w:t>
      </w:r>
      <w:r>
        <w:rPr>
          <w:lang w:val="sr-Latn-ME"/>
        </w:rPr>
        <w:t xml:space="preserve">Procjena za potrebe  ovog Programa ukazuje da je siva ekonomija u 2023. godini smanjena </w:t>
      </w:r>
      <w:r w:rsidRPr="00C30C31">
        <w:rPr>
          <w:lang w:val="sr-Latn-ME"/>
        </w:rPr>
        <w:t>na izmedju 15,7% i 18,2 % BDP</w:t>
      </w:r>
    </w:p>
  </w:footnote>
  <w:footnote w:id="27">
    <w:p w14:paraId="0A5F30D2" w14:textId="1D6953D4" w:rsidR="00391D03" w:rsidRPr="003F6C79" w:rsidRDefault="00391D03">
      <w:pPr>
        <w:pStyle w:val="FootnoteText"/>
        <w:rPr>
          <w:lang w:val="sr-Latn-ME"/>
        </w:rPr>
      </w:pPr>
      <w:r>
        <w:rPr>
          <w:rStyle w:val="FootnoteReference"/>
        </w:rPr>
        <w:footnoteRef/>
      </w:r>
      <w:r w:rsidRPr="00021CDC">
        <w:rPr>
          <w:lang w:val="pl-PL"/>
        </w:rPr>
        <w:t xml:space="preserve"> Projekcija izvornih javnih prihoda u Sjernicama makroekonomske i fiskalne politike za period 2023-2026.  iznosi 39,8% BDP u 2025. i 39,3% BDP u 2026.godini, što je nešto niže u odnosu na ovaj Program jer Smjernice ne obuhvataju mjere iz ovog Programa koje trebaju doprinijeti boljoj naplati Prihoda.</w:t>
      </w:r>
    </w:p>
  </w:footnote>
  <w:footnote w:id="28">
    <w:p w14:paraId="63CF29E9" w14:textId="4CA3F4D6" w:rsidR="00391D03" w:rsidRPr="00A24105" w:rsidRDefault="00391D03" w:rsidP="00C23B93">
      <w:pPr>
        <w:pStyle w:val="FootnoteText"/>
        <w:jc w:val="both"/>
        <w:rPr>
          <w:lang w:val="sr-Latn-ME"/>
        </w:rPr>
      </w:pPr>
      <w:r>
        <w:rPr>
          <w:rStyle w:val="FootnoteReference"/>
        </w:rPr>
        <w:footnoteRef/>
      </w:r>
      <w:r w:rsidRPr="00021CDC">
        <w:rPr>
          <w:lang w:val="sr-Latn-ME"/>
        </w:rPr>
        <w:t xml:space="preserve"> </w:t>
      </w:r>
      <w:r>
        <w:rPr>
          <w:lang w:val="sr-Latn-ME"/>
        </w:rPr>
        <w:t xml:space="preserve">Indikator ukazuje na pad prihoda u 2022. kao kratkoročne posljedice reforme zbog uvođenja poreskog praga kod oporezivanja dohotka i ukidanja doprinosa na obavezno zdravstveno osiguranje. Procjena rasta ukupnih javnih prihoda od doprinosa i poreza na dohodak fizičkih lica je 11,7% u </w:t>
      </w:r>
      <w:r w:rsidR="00756CAA">
        <w:rPr>
          <w:lang w:val="sr-Latn-ME"/>
        </w:rPr>
        <w:t xml:space="preserve">2023. u </w:t>
      </w:r>
      <w:r>
        <w:rPr>
          <w:lang w:val="sr-Latn-ME"/>
        </w:rPr>
        <w:t>odnosu na 2022.</w:t>
      </w:r>
      <w:r w:rsidR="00756CAA">
        <w:rPr>
          <w:lang w:val="sr-Latn-ME"/>
        </w:rPr>
        <w:t xml:space="preserve"> </w:t>
      </w:r>
      <w:r>
        <w:rPr>
          <w:lang w:val="sr-Latn-ME"/>
        </w:rPr>
        <w:t>godinu i ona uključuje efekte reforme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4B9"/>
    <w:multiLevelType w:val="hybridMultilevel"/>
    <w:tmpl w:val="63B0AEC4"/>
    <w:lvl w:ilvl="0" w:tplc="C4DE10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887CB5"/>
    <w:multiLevelType w:val="hybridMultilevel"/>
    <w:tmpl w:val="21A87054"/>
    <w:lvl w:ilvl="0" w:tplc="77E2952C">
      <w:start w:val="1"/>
      <w:numFmt w:val="decimal"/>
      <w:lvlText w:val="%1."/>
      <w:lvlJc w:val="left"/>
      <w:pPr>
        <w:ind w:left="720" w:hanging="360"/>
      </w:pPr>
      <w:rPr>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C36F25"/>
    <w:multiLevelType w:val="hybridMultilevel"/>
    <w:tmpl w:val="3BB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03B5C"/>
    <w:multiLevelType w:val="hybridMultilevel"/>
    <w:tmpl w:val="BE1E0F50"/>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81877BA"/>
    <w:multiLevelType w:val="hybridMultilevel"/>
    <w:tmpl w:val="DD0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D09C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151DF"/>
    <w:multiLevelType w:val="hybridMultilevel"/>
    <w:tmpl w:val="1DAE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007DB"/>
    <w:multiLevelType w:val="multilevel"/>
    <w:tmpl w:val="8432EF4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81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26FA4"/>
    <w:multiLevelType w:val="hybridMultilevel"/>
    <w:tmpl w:val="5F1E883A"/>
    <w:lvl w:ilvl="0" w:tplc="98127D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760E2"/>
    <w:multiLevelType w:val="multilevel"/>
    <w:tmpl w:val="439E8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A6A5E72"/>
    <w:multiLevelType w:val="hybridMultilevel"/>
    <w:tmpl w:val="056C60B2"/>
    <w:lvl w:ilvl="0" w:tplc="98127D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B37E5"/>
    <w:multiLevelType w:val="multilevel"/>
    <w:tmpl w:val="1C5C6144"/>
    <w:lvl w:ilvl="0">
      <w:start w:val="3"/>
      <w:numFmt w:val="decimal"/>
      <w:lvlText w:val="%1."/>
      <w:lvlJc w:val="left"/>
      <w:pPr>
        <w:ind w:left="450" w:hanging="450"/>
      </w:pPr>
      <w:rPr>
        <w:rFonts w:hint="default"/>
      </w:rPr>
    </w:lvl>
    <w:lvl w:ilvl="1">
      <w:start w:val="1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116967"/>
    <w:multiLevelType w:val="hybridMultilevel"/>
    <w:tmpl w:val="C8E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E3068"/>
    <w:multiLevelType w:val="hybridMultilevel"/>
    <w:tmpl w:val="76DE8EEA"/>
    <w:lvl w:ilvl="0" w:tplc="C4DE10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080BD2"/>
    <w:multiLevelType w:val="hybridMultilevel"/>
    <w:tmpl w:val="33E8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A384A"/>
    <w:multiLevelType w:val="hybridMultilevel"/>
    <w:tmpl w:val="7744C61E"/>
    <w:lvl w:ilvl="0" w:tplc="98127D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27029"/>
    <w:multiLevelType w:val="multilevel"/>
    <w:tmpl w:val="610A4B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332BDB"/>
    <w:multiLevelType w:val="hybridMultilevel"/>
    <w:tmpl w:val="90C202B8"/>
    <w:lvl w:ilvl="0" w:tplc="98127DF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1C1EA0"/>
    <w:multiLevelType w:val="hybridMultilevel"/>
    <w:tmpl w:val="3DB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A4ADD"/>
    <w:multiLevelType w:val="multilevel"/>
    <w:tmpl w:val="6BB0DCFA"/>
    <w:lvl w:ilvl="0">
      <w:start w:val="3"/>
      <w:numFmt w:val="decimal"/>
      <w:lvlText w:val="%1."/>
      <w:lvlJc w:val="left"/>
      <w:pPr>
        <w:ind w:left="400" w:hanging="400"/>
      </w:pPr>
      <w:rPr>
        <w:rFonts w:hint="default"/>
      </w:rPr>
    </w:lvl>
    <w:lvl w:ilvl="1">
      <w:start w:val="10"/>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4101F1"/>
    <w:multiLevelType w:val="multilevel"/>
    <w:tmpl w:val="469EAD90"/>
    <w:lvl w:ilvl="0">
      <w:start w:val="1"/>
      <w:numFmt w:val="decimal"/>
      <w:lvlText w:val="%1."/>
      <w:lvlJc w:val="left"/>
      <w:pPr>
        <w:ind w:left="720" w:hanging="360"/>
      </w:pPr>
    </w:lvl>
    <w:lvl w:ilvl="1">
      <w:start w:val="3"/>
      <w:numFmt w:val="decimal"/>
      <w:isLgl/>
      <w:lvlText w:val="%1.%2"/>
      <w:lvlJc w:val="left"/>
      <w:pPr>
        <w:ind w:left="1044" w:hanging="6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7F353D"/>
    <w:multiLevelType w:val="multilevel"/>
    <w:tmpl w:val="610A4B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A9965C3"/>
    <w:multiLevelType w:val="hybridMultilevel"/>
    <w:tmpl w:val="8D101D6E"/>
    <w:lvl w:ilvl="0" w:tplc="C4DE10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9D58EB"/>
    <w:multiLevelType w:val="hybridMultilevel"/>
    <w:tmpl w:val="1164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84293"/>
    <w:multiLevelType w:val="hybridMultilevel"/>
    <w:tmpl w:val="6F1E4DFE"/>
    <w:lvl w:ilvl="0" w:tplc="1C1A000F">
      <w:start w:val="1"/>
      <w:numFmt w:val="decimal"/>
      <w:lvlText w:val="%1."/>
      <w:lvlJc w:val="left"/>
      <w:pPr>
        <w:ind w:left="720" w:hanging="360"/>
      </w:p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abstractNum w:abstractNumId="25" w15:restartNumberingAfterBreak="0">
    <w:nsid w:val="75AD3CC2"/>
    <w:multiLevelType w:val="multilevel"/>
    <w:tmpl w:val="610A4B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D807C70"/>
    <w:multiLevelType w:val="hybridMultilevel"/>
    <w:tmpl w:val="2DA68E56"/>
    <w:lvl w:ilvl="0" w:tplc="98127D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6"/>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0"/>
  </w:num>
  <w:num w:numId="9">
    <w:abstractNumId w:val="13"/>
  </w:num>
  <w:num w:numId="10">
    <w:abstractNumId w:val="24"/>
  </w:num>
  <w:num w:numId="11">
    <w:abstractNumId w:val="20"/>
  </w:num>
  <w:num w:numId="12">
    <w:abstractNumId w:val="5"/>
  </w:num>
  <w:num w:numId="13">
    <w:abstractNumId w:val="9"/>
  </w:num>
  <w:num w:numId="14">
    <w:abstractNumId w:val="10"/>
  </w:num>
  <w:num w:numId="15">
    <w:abstractNumId w:val="8"/>
  </w:num>
  <w:num w:numId="16">
    <w:abstractNumId w:val="15"/>
  </w:num>
  <w:num w:numId="17">
    <w:abstractNumId w:val="12"/>
  </w:num>
  <w:num w:numId="18">
    <w:abstractNumId w:val="25"/>
  </w:num>
  <w:num w:numId="19">
    <w:abstractNumId w:val="17"/>
  </w:num>
  <w:num w:numId="20">
    <w:abstractNumId w:val="14"/>
  </w:num>
  <w:num w:numId="21">
    <w:abstractNumId w:val="26"/>
  </w:num>
  <w:num w:numId="22">
    <w:abstractNumId w:val="19"/>
  </w:num>
  <w:num w:numId="23">
    <w:abstractNumId w:val="1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num>
  <w:num w:numId="27">
    <w:abstractNumId w:val="1"/>
  </w:num>
  <w:num w:numId="28">
    <w:abstractNumId w:val="21"/>
  </w:num>
  <w:num w:numId="2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88"/>
    <w:rsid w:val="00004245"/>
    <w:rsid w:val="00006697"/>
    <w:rsid w:val="00013F7F"/>
    <w:rsid w:val="0001557A"/>
    <w:rsid w:val="000156DF"/>
    <w:rsid w:val="000200D2"/>
    <w:rsid w:val="00021CDC"/>
    <w:rsid w:val="00022367"/>
    <w:rsid w:val="00022894"/>
    <w:rsid w:val="00026CA4"/>
    <w:rsid w:val="00033B0B"/>
    <w:rsid w:val="00034A07"/>
    <w:rsid w:val="000350D6"/>
    <w:rsid w:val="000422AA"/>
    <w:rsid w:val="00044498"/>
    <w:rsid w:val="000456F3"/>
    <w:rsid w:val="00047A71"/>
    <w:rsid w:val="00051280"/>
    <w:rsid w:val="00051D3A"/>
    <w:rsid w:val="00051DC0"/>
    <w:rsid w:val="000520CA"/>
    <w:rsid w:val="00052F55"/>
    <w:rsid w:val="000557E8"/>
    <w:rsid w:val="00060C54"/>
    <w:rsid w:val="00062CBF"/>
    <w:rsid w:val="00063E7B"/>
    <w:rsid w:val="00066CA7"/>
    <w:rsid w:val="00072E78"/>
    <w:rsid w:val="00075408"/>
    <w:rsid w:val="000818DB"/>
    <w:rsid w:val="0008301C"/>
    <w:rsid w:val="00085064"/>
    <w:rsid w:val="000859FF"/>
    <w:rsid w:val="000864AF"/>
    <w:rsid w:val="0008727F"/>
    <w:rsid w:val="000874D7"/>
    <w:rsid w:val="00092DF7"/>
    <w:rsid w:val="000A45AF"/>
    <w:rsid w:val="000A4CB0"/>
    <w:rsid w:val="000A5AFA"/>
    <w:rsid w:val="000A7784"/>
    <w:rsid w:val="000B0338"/>
    <w:rsid w:val="000B0E8F"/>
    <w:rsid w:val="000B344C"/>
    <w:rsid w:val="000B3742"/>
    <w:rsid w:val="000B4347"/>
    <w:rsid w:val="000B4658"/>
    <w:rsid w:val="000B4FAD"/>
    <w:rsid w:val="000B58E4"/>
    <w:rsid w:val="000B6E8E"/>
    <w:rsid w:val="000D4F29"/>
    <w:rsid w:val="000D5FB2"/>
    <w:rsid w:val="000D74D0"/>
    <w:rsid w:val="000E16A3"/>
    <w:rsid w:val="000E18D4"/>
    <w:rsid w:val="000E32F2"/>
    <w:rsid w:val="000E6504"/>
    <w:rsid w:val="000E7104"/>
    <w:rsid w:val="000F44B4"/>
    <w:rsid w:val="000F4629"/>
    <w:rsid w:val="000F7C45"/>
    <w:rsid w:val="000F7CF3"/>
    <w:rsid w:val="0010001D"/>
    <w:rsid w:val="00102B09"/>
    <w:rsid w:val="00103978"/>
    <w:rsid w:val="00104E23"/>
    <w:rsid w:val="0010775C"/>
    <w:rsid w:val="001139FB"/>
    <w:rsid w:val="0012056B"/>
    <w:rsid w:val="00123FE9"/>
    <w:rsid w:val="00125FC3"/>
    <w:rsid w:val="001262CA"/>
    <w:rsid w:val="0013035E"/>
    <w:rsid w:val="001305B4"/>
    <w:rsid w:val="00132C60"/>
    <w:rsid w:val="001341BB"/>
    <w:rsid w:val="001344F8"/>
    <w:rsid w:val="00137335"/>
    <w:rsid w:val="00142721"/>
    <w:rsid w:val="001427A5"/>
    <w:rsid w:val="00143D72"/>
    <w:rsid w:val="0015369F"/>
    <w:rsid w:val="00153B1A"/>
    <w:rsid w:val="001565F3"/>
    <w:rsid w:val="00160216"/>
    <w:rsid w:val="00160691"/>
    <w:rsid w:val="001613D9"/>
    <w:rsid w:val="001616C6"/>
    <w:rsid w:val="00161E6C"/>
    <w:rsid w:val="00172FEC"/>
    <w:rsid w:val="0017670E"/>
    <w:rsid w:val="001817BD"/>
    <w:rsid w:val="0018197B"/>
    <w:rsid w:val="00182F68"/>
    <w:rsid w:val="00191E68"/>
    <w:rsid w:val="0019301F"/>
    <w:rsid w:val="001936AC"/>
    <w:rsid w:val="00194840"/>
    <w:rsid w:val="00197135"/>
    <w:rsid w:val="001A14FC"/>
    <w:rsid w:val="001A4329"/>
    <w:rsid w:val="001A4561"/>
    <w:rsid w:val="001A5DA2"/>
    <w:rsid w:val="001A7E2E"/>
    <w:rsid w:val="001B34AD"/>
    <w:rsid w:val="001B36F9"/>
    <w:rsid w:val="001B558D"/>
    <w:rsid w:val="001B6E02"/>
    <w:rsid w:val="001C0B69"/>
    <w:rsid w:val="001C2549"/>
    <w:rsid w:val="001C74E8"/>
    <w:rsid w:val="001C7881"/>
    <w:rsid w:val="001C78E3"/>
    <w:rsid w:val="001D0030"/>
    <w:rsid w:val="001D35E1"/>
    <w:rsid w:val="001E2FCB"/>
    <w:rsid w:val="001E557D"/>
    <w:rsid w:val="001E5BF1"/>
    <w:rsid w:val="001E6D8B"/>
    <w:rsid w:val="001E76A7"/>
    <w:rsid w:val="001F0B35"/>
    <w:rsid w:val="001F29E7"/>
    <w:rsid w:val="001F7DF6"/>
    <w:rsid w:val="00201945"/>
    <w:rsid w:val="00203011"/>
    <w:rsid w:val="002034F7"/>
    <w:rsid w:val="00205868"/>
    <w:rsid w:val="00207271"/>
    <w:rsid w:val="00210C26"/>
    <w:rsid w:val="00211931"/>
    <w:rsid w:val="00214E78"/>
    <w:rsid w:val="002150C7"/>
    <w:rsid w:val="00215261"/>
    <w:rsid w:val="00216A31"/>
    <w:rsid w:val="00223E4C"/>
    <w:rsid w:val="0022467F"/>
    <w:rsid w:val="00226091"/>
    <w:rsid w:val="00226AA3"/>
    <w:rsid w:val="00231557"/>
    <w:rsid w:val="002346A4"/>
    <w:rsid w:val="00235C27"/>
    <w:rsid w:val="00243D4D"/>
    <w:rsid w:val="00247E6F"/>
    <w:rsid w:val="00254E3A"/>
    <w:rsid w:val="00256211"/>
    <w:rsid w:val="002577AA"/>
    <w:rsid w:val="00257A76"/>
    <w:rsid w:val="002675FC"/>
    <w:rsid w:val="00267957"/>
    <w:rsid w:val="00267ED5"/>
    <w:rsid w:val="00273072"/>
    <w:rsid w:val="0027431C"/>
    <w:rsid w:val="00280942"/>
    <w:rsid w:val="00281886"/>
    <w:rsid w:val="00284613"/>
    <w:rsid w:val="00284E23"/>
    <w:rsid w:val="00287B88"/>
    <w:rsid w:val="00291A64"/>
    <w:rsid w:val="00293313"/>
    <w:rsid w:val="002A0315"/>
    <w:rsid w:val="002A35FE"/>
    <w:rsid w:val="002A3B4E"/>
    <w:rsid w:val="002A59F9"/>
    <w:rsid w:val="002A683B"/>
    <w:rsid w:val="002A74DC"/>
    <w:rsid w:val="002A7B9C"/>
    <w:rsid w:val="002A7C54"/>
    <w:rsid w:val="002B13CA"/>
    <w:rsid w:val="002B168E"/>
    <w:rsid w:val="002B312A"/>
    <w:rsid w:val="002C1385"/>
    <w:rsid w:val="002C2263"/>
    <w:rsid w:val="002C25DD"/>
    <w:rsid w:val="002C5875"/>
    <w:rsid w:val="002C645B"/>
    <w:rsid w:val="002D528D"/>
    <w:rsid w:val="002E0607"/>
    <w:rsid w:val="002E7882"/>
    <w:rsid w:val="002F0A3A"/>
    <w:rsid w:val="002F1121"/>
    <w:rsid w:val="002F2EB5"/>
    <w:rsid w:val="002F46F5"/>
    <w:rsid w:val="002F4D14"/>
    <w:rsid w:val="0030022E"/>
    <w:rsid w:val="00301923"/>
    <w:rsid w:val="003056CA"/>
    <w:rsid w:val="0030596E"/>
    <w:rsid w:val="00306626"/>
    <w:rsid w:val="003126C8"/>
    <w:rsid w:val="003134BE"/>
    <w:rsid w:val="003142B7"/>
    <w:rsid w:val="00314E8C"/>
    <w:rsid w:val="003236D9"/>
    <w:rsid w:val="00323D61"/>
    <w:rsid w:val="00325717"/>
    <w:rsid w:val="00326C30"/>
    <w:rsid w:val="0033097C"/>
    <w:rsid w:val="003332A8"/>
    <w:rsid w:val="00334BDF"/>
    <w:rsid w:val="00337F92"/>
    <w:rsid w:val="00341AD6"/>
    <w:rsid w:val="003422A7"/>
    <w:rsid w:val="00343BCE"/>
    <w:rsid w:val="00343D8D"/>
    <w:rsid w:val="003453D1"/>
    <w:rsid w:val="00351EA6"/>
    <w:rsid w:val="00352596"/>
    <w:rsid w:val="00352FF0"/>
    <w:rsid w:val="00360014"/>
    <w:rsid w:val="003613E7"/>
    <w:rsid w:val="00363169"/>
    <w:rsid w:val="003720F0"/>
    <w:rsid w:val="00372A08"/>
    <w:rsid w:val="00380167"/>
    <w:rsid w:val="003849BC"/>
    <w:rsid w:val="00385001"/>
    <w:rsid w:val="00391D03"/>
    <w:rsid w:val="003928D6"/>
    <w:rsid w:val="00395A2B"/>
    <w:rsid w:val="00396C8F"/>
    <w:rsid w:val="00396CE9"/>
    <w:rsid w:val="003A393C"/>
    <w:rsid w:val="003A5156"/>
    <w:rsid w:val="003B02BE"/>
    <w:rsid w:val="003C07B4"/>
    <w:rsid w:val="003C5FB1"/>
    <w:rsid w:val="003C6DC3"/>
    <w:rsid w:val="003D2BF3"/>
    <w:rsid w:val="003D46F9"/>
    <w:rsid w:val="003D7308"/>
    <w:rsid w:val="003D7BA8"/>
    <w:rsid w:val="003E397B"/>
    <w:rsid w:val="003E3B5A"/>
    <w:rsid w:val="003E6940"/>
    <w:rsid w:val="003E6990"/>
    <w:rsid w:val="003E6FBC"/>
    <w:rsid w:val="003F15FD"/>
    <w:rsid w:val="003F374E"/>
    <w:rsid w:val="003F37B5"/>
    <w:rsid w:val="003F3BC6"/>
    <w:rsid w:val="003F401E"/>
    <w:rsid w:val="003F6877"/>
    <w:rsid w:val="003F6C79"/>
    <w:rsid w:val="004036C1"/>
    <w:rsid w:val="00403D11"/>
    <w:rsid w:val="00405577"/>
    <w:rsid w:val="00410838"/>
    <w:rsid w:val="00413D95"/>
    <w:rsid w:val="00414BCB"/>
    <w:rsid w:val="0042027A"/>
    <w:rsid w:val="00420684"/>
    <w:rsid w:val="00423784"/>
    <w:rsid w:val="004251E9"/>
    <w:rsid w:val="00425CEF"/>
    <w:rsid w:val="00426F1A"/>
    <w:rsid w:val="00433E06"/>
    <w:rsid w:val="00436016"/>
    <w:rsid w:val="004361F1"/>
    <w:rsid w:val="00436275"/>
    <w:rsid w:val="00436D1C"/>
    <w:rsid w:val="0043756E"/>
    <w:rsid w:val="00437BA6"/>
    <w:rsid w:val="00440CF4"/>
    <w:rsid w:val="00442888"/>
    <w:rsid w:val="0044369A"/>
    <w:rsid w:val="00444B8D"/>
    <w:rsid w:val="004472B2"/>
    <w:rsid w:val="00460990"/>
    <w:rsid w:val="00464F16"/>
    <w:rsid w:val="00466AD3"/>
    <w:rsid w:val="00466D15"/>
    <w:rsid w:val="00466D1B"/>
    <w:rsid w:val="00467ED6"/>
    <w:rsid w:val="00470183"/>
    <w:rsid w:val="00470D56"/>
    <w:rsid w:val="00472384"/>
    <w:rsid w:val="0048001E"/>
    <w:rsid w:val="0048101D"/>
    <w:rsid w:val="00482B01"/>
    <w:rsid w:val="00482B3D"/>
    <w:rsid w:val="004844A4"/>
    <w:rsid w:val="0048459F"/>
    <w:rsid w:val="0048506E"/>
    <w:rsid w:val="00490986"/>
    <w:rsid w:val="00495069"/>
    <w:rsid w:val="004957DF"/>
    <w:rsid w:val="00495ACA"/>
    <w:rsid w:val="004A20E5"/>
    <w:rsid w:val="004A3EC8"/>
    <w:rsid w:val="004A4044"/>
    <w:rsid w:val="004A531E"/>
    <w:rsid w:val="004B4783"/>
    <w:rsid w:val="004C11C0"/>
    <w:rsid w:val="004C18BA"/>
    <w:rsid w:val="004C2003"/>
    <w:rsid w:val="004C4672"/>
    <w:rsid w:val="004C4A16"/>
    <w:rsid w:val="004C5951"/>
    <w:rsid w:val="004C5CB3"/>
    <w:rsid w:val="004C63AD"/>
    <w:rsid w:val="004D285C"/>
    <w:rsid w:val="004D2B40"/>
    <w:rsid w:val="004D3553"/>
    <w:rsid w:val="004D3AA4"/>
    <w:rsid w:val="004D48C0"/>
    <w:rsid w:val="004D6CA1"/>
    <w:rsid w:val="004E2305"/>
    <w:rsid w:val="004E2F2C"/>
    <w:rsid w:val="004E3C2F"/>
    <w:rsid w:val="004F5428"/>
    <w:rsid w:val="004F7DED"/>
    <w:rsid w:val="005023C9"/>
    <w:rsid w:val="00503333"/>
    <w:rsid w:val="0050635B"/>
    <w:rsid w:val="005071BE"/>
    <w:rsid w:val="00515F65"/>
    <w:rsid w:val="00521064"/>
    <w:rsid w:val="0052133B"/>
    <w:rsid w:val="00521E1E"/>
    <w:rsid w:val="005226B4"/>
    <w:rsid w:val="0052342C"/>
    <w:rsid w:val="0052664B"/>
    <w:rsid w:val="0053278A"/>
    <w:rsid w:val="00544A1D"/>
    <w:rsid w:val="00544DD4"/>
    <w:rsid w:val="00544EB2"/>
    <w:rsid w:val="00545B24"/>
    <w:rsid w:val="00553689"/>
    <w:rsid w:val="005544AD"/>
    <w:rsid w:val="005546B6"/>
    <w:rsid w:val="00555726"/>
    <w:rsid w:val="00557DEA"/>
    <w:rsid w:val="00560B16"/>
    <w:rsid w:val="005631B0"/>
    <w:rsid w:val="00564C58"/>
    <w:rsid w:val="00565C35"/>
    <w:rsid w:val="00567F61"/>
    <w:rsid w:val="00567FAF"/>
    <w:rsid w:val="005722CD"/>
    <w:rsid w:val="00572D9E"/>
    <w:rsid w:val="00574077"/>
    <w:rsid w:val="00576E04"/>
    <w:rsid w:val="00576E2F"/>
    <w:rsid w:val="0057780D"/>
    <w:rsid w:val="005800D0"/>
    <w:rsid w:val="00591888"/>
    <w:rsid w:val="00592907"/>
    <w:rsid w:val="00595311"/>
    <w:rsid w:val="005A3E50"/>
    <w:rsid w:val="005A5C62"/>
    <w:rsid w:val="005B073B"/>
    <w:rsid w:val="005B2451"/>
    <w:rsid w:val="005B5992"/>
    <w:rsid w:val="005C0985"/>
    <w:rsid w:val="005C12B6"/>
    <w:rsid w:val="005C3E2F"/>
    <w:rsid w:val="005C4837"/>
    <w:rsid w:val="005D01E5"/>
    <w:rsid w:val="005D1D51"/>
    <w:rsid w:val="005D2C45"/>
    <w:rsid w:val="005D33C2"/>
    <w:rsid w:val="005D4D12"/>
    <w:rsid w:val="005D5BB0"/>
    <w:rsid w:val="005D5C0E"/>
    <w:rsid w:val="005D60A7"/>
    <w:rsid w:val="005E144E"/>
    <w:rsid w:val="005E578D"/>
    <w:rsid w:val="005F0852"/>
    <w:rsid w:val="005F41C3"/>
    <w:rsid w:val="005F597A"/>
    <w:rsid w:val="005F639E"/>
    <w:rsid w:val="005F7D91"/>
    <w:rsid w:val="00603CD2"/>
    <w:rsid w:val="00603D89"/>
    <w:rsid w:val="006110E5"/>
    <w:rsid w:val="006250A5"/>
    <w:rsid w:val="0062630F"/>
    <w:rsid w:val="00627AA5"/>
    <w:rsid w:val="00631845"/>
    <w:rsid w:val="006318F0"/>
    <w:rsid w:val="00632429"/>
    <w:rsid w:val="00632689"/>
    <w:rsid w:val="00636E34"/>
    <w:rsid w:val="006371CD"/>
    <w:rsid w:val="00641737"/>
    <w:rsid w:val="006428A5"/>
    <w:rsid w:val="00646E9C"/>
    <w:rsid w:val="00647C98"/>
    <w:rsid w:val="00651D2A"/>
    <w:rsid w:val="00653407"/>
    <w:rsid w:val="006622F7"/>
    <w:rsid w:val="006626FD"/>
    <w:rsid w:val="00670F1C"/>
    <w:rsid w:val="00672312"/>
    <w:rsid w:val="00675C33"/>
    <w:rsid w:val="00676688"/>
    <w:rsid w:val="00677241"/>
    <w:rsid w:val="00677FF4"/>
    <w:rsid w:val="00680BA6"/>
    <w:rsid w:val="00681042"/>
    <w:rsid w:val="006824BB"/>
    <w:rsid w:val="00686BAF"/>
    <w:rsid w:val="006870C2"/>
    <w:rsid w:val="00690214"/>
    <w:rsid w:val="006928B3"/>
    <w:rsid w:val="00693290"/>
    <w:rsid w:val="00693B98"/>
    <w:rsid w:val="00693E9C"/>
    <w:rsid w:val="006959A1"/>
    <w:rsid w:val="00696C42"/>
    <w:rsid w:val="00697609"/>
    <w:rsid w:val="006A031D"/>
    <w:rsid w:val="006A14E5"/>
    <w:rsid w:val="006A55BD"/>
    <w:rsid w:val="006A65DE"/>
    <w:rsid w:val="006A6EFE"/>
    <w:rsid w:val="006A7C3A"/>
    <w:rsid w:val="006B2349"/>
    <w:rsid w:val="006B688A"/>
    <w:rsid w:val="006C1837"/>
    <w:rsid w:val="006C2AF8"/>
    <w:rsid w:val="006C691C"/>
    <w:rsid w:val="006C7DD3"/>
    <w:rsid w:val="006D3DC8"/>
    <w:rsid w:val="006E18EC"/>
    <w:rsid w:val="006E1CD4"/>
    <w:rsid w:val="006E4194"/>
    <w:rsid w:val="006E71DE"/>
    <w:rsid w:val="006F03C5"/>
    <w:rsid w:val="006F1603"/>
    <w:rsid w:val="006F3F60"/>
    <w:rsid w:val="00700D5C"/>
    <w:rsid w:val="007028EE"/>
    <w:rsid w:val="00704A02"/>
    <w:rsid w:val="00705949"/>
    <w:rsid w:val="007066D0"/>
    <w:rsid w:val="00706D20"/>
    <w:rsid w:val="007130D4"/>
    <w:rsid w:val="007237BF"/>
    <w:rsid w:val="00724F7C"/>
    <w:rsid w:val="007312E3"/>
    <w:rsid w:val="0073160D"/>
    <w:rsid w:val="007406B0"/>
    <w:rsid w:val="007459FE"/>
    <w:rsid w:val="007479EB"/>
    <w:rsid w:val="00750D29"/>
    <w:rsid w:val="007519E7"/>
    <w:rsid w:val="00752F3F"/>
    <w:rsid w:val="0075407E"/>
    <w:rsid w:val="007549FC"/>
    <w:rsid w:val="00756CAA"/>
    <w:rsid w:val="00757DA4"/>
    <w:rsid w:val="007666DA"/>
    <w:rsid w:val="007718B8"/>
    <w:rsid w:val="007722AC"/>
    <w:rsid w:val="0077669F"/>
    <w:rsid w:val="00777A24"/>
    <w:rsid w:val="00777D05"/>
    <w:rsid w:val="00781DDD"/>
    <w:rsid w:val="00785B52"/>
    <w:rsid w:val="0079009F"/>
    <w:rsid w:val="00791B19"/>
    <w:rsid w:val="00791EB1"/>
    <w:rsid w:val="00793509"/>
    <w:rsid w:val="0079613B"/>
    <w:rsid w:val="007A0CC4"/>
    <w:rsid w:val="007B2206"/>
    <w:rsid w:val="007B3476"/>
    <w:rsid w:val="007B579A"/>
    <w:rsid w:val="007B58A8"/>
    <w:rsid w:val="007B7AA3"/>
    <w:rsid w:val="007C0E18"/>
    <w:rsid w:val="007C15F1"/>
    <w:rsid w:val="007C225A"/>
    <w:rsid w:val="007C287D"/>
    <w:rsid w:val="007C3E65"/>
    <w:rsid w:val="007C582D"/>
    <w:rsid w:val="007C76C2"/>
    <w:rsid w:val="007D1D90"/>
    <w:rsid w:val="007D3DDF"/>
    <w:rsid w:val="007D5091"/>
    <w:rsid w:val="007D7009"/>
    <w:rsid w:val="007E133A"/>
    <w:rsid w:val="007E1DD2"/>
    <w:rsid w:val="007E3EDD"/>
    <w:rsid w:val="007E63A9"/>
    <w:rsid w:val="007E6B08"/>
    <w:rsid w:val="007E71C8"/>
    <w:rsid w:val="007E76F2"/>
    <w:rsid w:val="007E7BB2"/>
    <w:rsid w:val="007E7EFB"/>
    <w:rsid w:val="007F48E3"/>
    <w:rsid w:val="00804E1C"/>
    <w:rsid w:val="00805A48"/>
    <w:rsid w:val="00805F2E"/>
    <w:rsid w:val="008061F1"/>
    <w:rsid w:val="008070D9"/>
    <w:rsid w:val="00811046"/>
    <w:rsid w:val="00815617"/>
    <w:rsid w:val="00816474"/>
    <w:rsid w:val="008179E2"/>
    <w:rsid w:val="00817ED1"/>
    <w:rsid w:val="00822209"/>
    <w:rsid w:val="008259C1"/>
    <w:rsid w:val="00826894"/>
    <w:rsid w:val="00831EFC"/>
    <w:rsid w:val="008322D3"/>
    <w:rsid w:val="00835E26"/>
    <w:rsid w:val="008361D3"/>
    <w:rsid w:val="00844F63"/>
    <w:rsid w:val="0084627E"/>
    <w:rsid w:val="00852C91"/>
    <w:rsid w:val="00856334"/>
    <w:rsid w:val="008620CB"/>
    <w:rsid w:val="00863857"/>
    <w:rsid w:val="00867AF6"/>
    <w:rsid w:val="00880901"/>
    <w:rsid w:val="008846C4"/>
    <w:rsid w:val="00885BD3"/>
    <w:rsid w:val="00887E19"/>
    <w:rsid w:val="00891B8D"/>
    <w:rsid w:val="00892DA3"/>
    <w:rsid w:val="0089460A"/>
    <w:rsid w:val="00895772"/>
    <w:rsid w:val="008A376A"/>
    <w:rsid w:val="008A5BEB"/>
    <w:rsid w:val="008A687C"/>
    <w:rsid w:val="008B1A8F"/>
    <w:rsid w:val="008B4B6E"/>
    <w:rsid w:val="008C0127"/>
    <w:rsid w:val="008C1677"/>
    <w:rsid w:val="008C364E"/>
    <w:rsid w:val="008C4A9E"/>
    <w:rsid w:val="008C62C7"/>
    <w:rsid w:val="008C70C8"/>
    <w:rsid w:val="008D0A71"/>
    <w:rsid w:val="008D3762"/>
    <w:rsid w:val="008D5C65"/>
    <w:rsid w:val="008D5F1B"/>
    <w:rsid w:val="008D64BE"/>
    <w:rsid w:val="008E24C4"/>
    <w:rsid w:val="008E40A0"/>
    <w:rsid w:val="008F1161"/>
    <w:rsid w:val="008F4CE7"/>
    <w:rsid w:val="008F501B"/>
    <w:rsid w:val="008F6255"/>
    <w:rsid w:val="00900D76"/>
    <w:rsid w:val="00902734"/>
    <w:rsid w:val="00903F36"/>
    <w:rsid w:val="009065CD"/>
    <w:rsid w:val="00912634"/>
    <w:rsid w:val="00916E1E"/>
    <w:rsid w:val="00920BB1"/>
    <w:rsid w:val="00921305"/>
    <w:rsid w:val="00923D1D"/>
    <w:rsid w:val="00930934"/>
    <w:rsid w:val="00933BF3"/>
    <w:rsid w:val="00934D7F"/>
    <w:rsid w:val="009364EF"/>
    <w:rsid w:val="009370B8"/>
    <w:rsid w:val="0094122A"/>
    <w:rsid w:val="00942088"/>
    <w:rsid w:val="00942E25"/>
    <w:rsid w:val="00943E5A"/>
    <w:rsid w:val="00944562"/>
    <w:rsid w:val="00947B3E"/>
    <w:rsid w:val="0095047F"/>
    <w:rsid w:val="00950567"/>
    <w:rsid w:val="00951E02"/>
    <w:rsid w:val="009530C2"/>
    <w:rsid w:val="00953FF1"/>
    <w:rsid w:val="00957F32"/>
    <w:rsid w:val="00962796"/>
    <w:rsid w:val="00963A00"/>
    <w:rsid w:val="0096537C"/>
    <w:rsid w:val="0096597E"/>
    <w:rsid w:val="0096688D"/>
    <w:rsid w:val="00966AA7"/>
    <w:rsid w:val="00970494"/>
    <w:rsid w:val="0097192F"/>
    <w:rsid w:val="00972291"/>
    <w:rsid w:val="00975DB7"/>
    <w:rsid w:val="00981BFB"/>
    <w:rsid w:val="00983076"/>
    <w:rsid w:val="009914AD"/>
    <w:rsid w:val="009925C9"/>
    <w:rsid w:val="0099488D"/>
    <w:rsid w:val="0099562E"/>
    <w:rsid w:val="009960CB"/>
    <w:rsid w:val="009A054B"/>
    <w:rsid w:val="009A5A8F"/>
    <w:rsid w:val="009A6541"/>
    <w:rsid w:val="009A7324"/>
    <w:rsid w:val="009B039E"/>
    <w:rsid w:val="009B2BFF"/>
    <w:rsid w:val="009C081E"/>
    <w:rsid w:val="009C442F"/>
    <w:rsid w:val="009D037A"/>
    <w:rsid w:val="009D1610"/>
    <w:rsid w:val="009E0E77"/>
    <w:rsid w:val="009F137B"/>
    <w:rsid w:val="00A02D39"/>
    <w:rsid w:val="00A0312E"/>
    <w:rsid w:val="00A03DDB"/>
    <w:rsid w:val="00A05A0A"/>
    <w:rsid w:val="00A10668"/>
    <w:rsid w:val="00A10719"/>
    <w:rsid w:val="00A1101D"/>
    <w:rsid w:val="00A12289"/>
    <w:rsid w:val="00A12D84"/>
    <w:rsid w:val="00A13179"/>
    <w:rsid w:val="00A15351"/>
    <w:rsid w:val="00A168CB"/>
    <w:rsid w:val="00A21C38"/>
    <w:rsid w:val="00A24105"/>
    <w:rsid w:val="00A253FA"/>
    <w:rsid w:val="00A26FDE"/>
    <w:rsid w:val="00A30186"/>
    <w:rsid w:val="00A302CA"/>
    <w:rsid w:val="00A30FE6"/>
    <w:rsid w:val="00A312CD"/>
    <w:rsid w:val="00A326DF"/>
    <w:rsid w:val="00A34D1F"/>
    <w:rsid w:val="00A41BF1"/>
    <w:rsid w:val="00A42AB0"/>
    <w:rsid w:val="00A42DF7"/>
    <w:rsid w:val="00A4700F"/>
    <w:rsid w:val="00A525B1"/>
    <w:rsid w:val="00A53D7B"/>
    <w:rsid w:val="00A55198"/>
    <w:rsid w:val="00A56EE4"/>
    <w:rsid w:val="00A63E9C"/>
    <w:rsid w:val="00A63F7E"/>
    <w:rsid w:val="00A6463F"/>
    <w:rsid w:val="00A6584E"/>
    <w:rsid w:val="00A67D32"/>
    <w:rsid w:val="00A70602"/>
    <w:rsid w:val="00A72731"/>
    <w:rsid w:val="00A72E00"/>
    <w:rsid w:val="00A74809"/>
    <w:rsid w:val="00A751A1"/>
    <w:rsid w:val="00A775CB"/>
    <w:rsid w:val="00A80485"/>
    <w:rsid w:val="00A83C98"/>
    <w:rsid w:val="00A84AB8"/>
    <w:rsid w:val="00A85074"/>
    <w:rsid w:val="00A853FE"/>
    <w:rsid w:val="00A91095"/>
    <w:rsid w:val="00A942C4"/>
    <w:rsid w:val="00A97732"/>
    <w:rsid w:val="00AA02FC"/>
    <w:rsid w:val="00AA19FC"/>
    <w:rsid w:val="00AA1C54"/>
    <w:rsid w:val="00AA1E48"/>
    <w:rsid w:val="00AA265E"/>
    <w:rsid w:val="00AA68D8"/>
    <w:rsid w:val="00AB0650"/>
    <w:rsid w:val="00AB2DF8"/>
    <w:rsid w:val="00AB3A06"/>
    <w:rsid w:val="00AC000E"/>
    <w:rsid w:val="00AC4DD1"/>
    <w:rsid w:val="00AC7373"/>
    <w:rsid w:val="00AC7CAF"/>
    <w:rsid w:val="00AD079F"/>
    <w:rsid w:val="00AD5E08"/>
    <w:rsid w:val="00AE214B"/>
    <w:rsid w:val="00AE30E9"/>
    <w:rsid w:val="00AF0115"/>
    <w:rsid w:val="00AF0E0E"/>
    <w:rsid w:val="00AF4820"/>
    <w:rsid w:val="00AF6AED"/>
    <w:rsid w:val="00B01028"/>
    <w:rsid w:val="00B01395"/>
    <w:rsid w:val="00B0276B"/>
    <w:rsid w:val="00B02BCB"/>
    <w:rsid w:val="00B05CAB"/>
    <w:rsid w:val="00B0708C"/>
    <w:rsid w:val="00B1046C"/>
    <w:rsid w:val="00B1232E"/>
    <w:rsid w:val="00B1397C"/>
    <w:rsid w:val="00B13D13"/>
    <w:rsid w:val="00B161CD"/>
    <w:rsid w:val="00B22EF7"/>
    <w:rsid w:val="00B23DA6"/>
    <w:rsid w:val="00B264D2"/>
    <w:rsid w:val="00B27BE9"/>
    <w:rsid w:val="00B27C3F"/>
    <w:rsid w:val="00B27EAA"/>
    <w:rsid w:val="00B351C7"/>
    <w:rsid w:val="00B407C5"/>
    <w:rsid w:val="00B40F8B"/>
    <w:rsid w:val="00B44913"/>
    <w:rsid w:val="00B4650F"/>
    <w:rsid w:val="00B47DA8"/>
    <w:rsid w:val="00B52D7F"/>
    <w:rsid w:val="00B54BED"/>
    <w:rsid w:val="00B555D4"/>
    <w:rsid w:val="00B6027A"/>
    <w:rsid w:val="00B6745C"/>
    <w:rsid w:val="00B67C80"/>
    <w:rsid w:val="00B67D63"/>
    <w:rsid w:val="00B67E97"/>
    <w:rsid w:val="00B72A00"/>
    <w:rsid w:val="00B754F3"/>
    <w:rsid w:val="00B77C62"/>
    <w:rsid w:val="00B81405"/>
    <w:rsid w:val="00B81F40"/>
    <w:rsid w:val="00B83D0A"/>
    <w:rsid w:val="00B859CD"/>
    <w:rsid w:val="00B86DE9"/>
    <w:rsid w:val="00B90CE3"/>
    <w:rsid w:val="00B94270"/>
    <w:rsid w:val="00B95170"/>
    <w:rsid w:val="00B96872"/>
    <w:rsid w:val="00B9744C"/>
    <w:rsid w:val="00BA6E1E"/>
    <w:rsid w:val="00BA7951"/>
    <w:rsid w:val="00BB278D"/>
    <w:rsid w:val="00BB4232"/>
    <w:rsid w:val="00BB53AA"/>
    <w:rsid w:val="00BB56E8"/>
    <w:rsid w:val="00BB5ED2"/>
    <w:rsid w:val="00BB74A1"/>
    <w:rsid w:val="00BC01C9"/>
    <w:rsid w:val="00BC0BCC"/>
    <w:rsid w:val="00BC22BA"/>
    <w:rsid w:val="00BC6A0F"/>
    <w:rsid w:val="00BD4DDC"/>
    <w:rsid w:val="00BE08F0"/>
    <w:rsid w:val="00BE2113"/>
    <w:rsid w:val="00BE224F"/>
    <w:rsid w:val="00BE5454"/>
    <w:rsid w:val="00BF19D8"/>
    <w:rsid w:val="00BF5A29"/>
    <w:rsid w:val="00BF5D96"/>
    <w:rsid w:val="00BF69E2"/>
    <w:rsid w:val="00BF7E70"/>
    <w:rsid w:val="00C02416"/>
    <w:rsid w:val="00C03C27"/>
    <w:rsid w:val="00C12CD2"/>
    <w:rsid w:val="00C14381"/>
    <w:rsid w:val="00C1567F"/>
    <w:rsid w:val="00C22A10"/>
    <w:rsid w:val="00C23B93"/>
    <w:rsid w:val="00C270D5"/>
    <w:rsid w:val="00C30C31"/>
    <w:rsid w:val="00C32F60"/>
    <w:rsid w:val="00C379A9"/>
    <w:rsid w:val="00C41AA3"/>
    <w:rsid w:val="00C41EE1"/>
    <w:rsid w:val="00C4618D"/>
    <w:rsid w:val="00C46B5C"/>
    <w:rsid w:val="00C47B3C"/>
    <w:rsid w:val="00C5066E"/>
    <w:rsid w:val="00C50996"/>
    <w:rsid w:val="00C50A18"/>
    <w:rsid w:val="00C55209"/>
    <w:rsid w:val="00C65907"/>
    <w:rsid w:val="00C66C4D"/>
    <w:rsid w:val="00C7172D"/>
    <w:rsid w:val="00C71811"/>
    <w:rsid w:val="00C824C6"/>
    <w:rsid w:val="00C90A3A"/>
    <w:rsid w:val="00C97D16"/>
    <w:rsid w:val="00CA2D60"/>
    <w:rsid w:val="00CA535B"/>
    <w:rsid w:val="00CA7653"/>
    <w:rsid w:val="00CB06A6"/>
    <w:rsid w:val="00CB3AD9"/>
    <w:rsid w:val="00CC5B95"/>
    <w:rsid w:val="00CC687B"/>
    <w:rsid w:val="00CD033A"/>
    <w:rsid w:val="00CD1778"/>
    <w:rsid w:val="00CE07A9"/>
    <w:rsid w:val="00CE5DC7"/>
    <w:rsid w:val="00CE66D6"/>
    <w:rsid w:val="00CE69D2"/>
    <w:rsid w:val="00CE72EC"/>
    <w:rsid w:val="00CF0AB0"/>
    <w:rsid w:val="00CF13C6"/>
    <w:rsid w:val="00CF1986"/>
    <w:rsid w:val="00CF369D"/>
    <w:rsid w:val="00CF370D"/>
    <w:rsid w:val="00CF4587"/>
    <w:rsid w:val="00CF4A9A"/>
    <w:rsid w:val="00CF6200"/>
    <w:rsid w:val="00D01232"/>
    <w:rsid w:val="00D035F2"/>
    <w:rsid w:val="00D049BB"/>
    <w:rsid w:val="00D062FC"/>
    <w:rsid w:val="00D10392"/>
    <w:rsid w:val="00D15F24"/>
    <w:rsid w:val="00D17632"/>
    <w:rsid w:val="00D207E5"/>
    <w:rsid w:val="00D234E8"/>
    <w:rsid w:val="00D2393D"/>
    <w:rsid w:val="00D24440"/>
    <w:rsid w:val="00D25650"/>
    <w:rsid w:val="00D256CD"/>
    <w:rsid w:val="00D25C0A"/>
    <w:rsid w:val="00D25E53"/>
    <w:rsid w:val="00D2613D"/>
    <w:rsid w:val="00D26788"/>
    <w:rsid w:val="00D273CB"/>
    <w:rsid w:val="00D33487"/>
    <w:rsid w:val="00D33601"/>
    <w:rsid w:val="00D36C5E"/>
    <w:rsid w:val="00D435B0"/>
    <w:rsid w:val="00D45B03"/>
    <w:rsid w:val="00D462B2"/>
    <w:rsid w:val="00D47634"/>
    <w:rsid w:val="00D51402"/>
    <w:rsid w:val="00D529CC"/>
    <w:rsid w:val="00D52B1C"/>
    <w:rsid w:val="00D56C3B"/>
    <w:rsid w:val="00D57E90"/>
    <w:rsid w:val="00D62DF4"/>
    <w:rsid w:val="00D65836"/>
    <w:rsid w:val="00D67F17"/>
    <w:rsid w:val="00D72CC7"/>
    <w:rsid w:val="00D74EB5"/>
    <w:rsid w:val="00D75748"/>
    <w:rsid w:val="00D81ABB"/>
    <w:rsid w:val="00D87CF7"/>
    <w:rsid w:val="00D87D91"/>
    <w:rsid w:val="00D90C85"/>
    <w:rsid w:val="00D914FA"/>
    <w:rsid w:val="00D919F7"/>
    <w:rsid w:val="00D9298B"/>
    <w:rsid w:val="00D95367"/>
    <w:rsid w:val="00D95D4B"/>
    <w:rsid w:val="00DB0B00"/>
    <w:rsid w:val="00DB2A4E"/>
    <w:rsid w:val="00DB36F1"/>
    <w:rsid w:val="00DB388B"/>
    <w:rsid w:val="00DB4988"/>
    <w:rsid w:val="00DC124F"/>
    <w:rsid w:val="00DC2A52"/>
    <w:rsid w:val="00DD2F35"/>
    <w:rsid w:val="00DD3240"/>
    <w:rsid w:val="00DD326E"/>
    <w:rsid w:val="00DD766D"/>
    <w:rsid w:val="00DD7A47"/>
    <w:rsid w:val="00DE4A37"/>
    <w:rsid w:val="00DF5B5F"/>
    <w:rsid w:val="00DF78ED"/>
    <w:rsid w:val="00E027F5"/>
    <w:rsid w:val="00E03418"/>
    <w:rsid w:val="00E0731E"/>
    <w:rsid w:val="00E07530"/>
    <w:rsid w:val="00E10EF6"/>
    <w:rsid w:val="00E13CCE"/>
    <w:rsid w:val="00E14224"/>
    <w:rsid w:val="00E205A9"/>
    <w:rsid w:val="00E21238"/>
    <w:rsid w:val="00E219EC"/>
    <w:rsid w:val="00E21F32"/>
    <w:rsid w:val="00E22EC8"/>
    <w:rsid w:val="00E253A2"/>
    <w:rsid w:val="00E2637C"/>
    <w:rsid w:val="00E266CC"/>
    <w:rsid w:val="00E32FB0"/>
    <w:rsid w:val="00E3425B"/>
    <w:rsid w:val="00E369A1"/>
    <w:rsid w:val="00E379E8"/>
    <w:rsid w:val="00E47AAB"/>
    <w:rsid w:val="00E51B29"/>
    <w:rsid w:val="00E525AB"/>
    <w:rsid w:val="00E556C6"/>
    <w:rsid w:val="00E55EFC"/>
    <w:rsid w:val="00E573AD"/>
    <w:rsid w:val="00E578DF"/>
    <w:rsid w:val="00E6256D"/>
    <w:rsid w:val="00E626B7"/>
    <w:rsid w:val="00E64719"/>
    <w:rsid w:val="00E66AD5"/>
    <w:rsid w:val="00E67D76"/>
    <w:rsid w:val="00E7022F"/>
    <w:rsid w:val="00E772FE"/>
    <w:rsid w:val="00E77631"/>
    <w:rsid w:val="00E82A5E"/>
    <w:rsid w:val="00E85323"/>
    <w:rsid w:val="00E86454"/>
    <w:rsid w:val="00E9019A"/>
    <w:rsid w:val="00E91817"/>
    <w:rsid w:val="00E91A1A"/>
    <w:rsid w:val="00EA3D1B"/>
    <w:rsid w:val="00EA49F3"/>
    <w:rsid w:val="00EA52F5"/>
    <w:rsid w:val="00EA721D"/>
    <w:rsid w:val="00EA728A"/>
    <w:rsid w:val="00EB5DB0"/>
    <w:rsid w:val="00EB7A8B"/>
    <w:rsid w:val="00EC57D8"/>
    <w:rsid w:val="00EC5DBD"/>
    <w:rsid w:val="00EC769C"/>
    <w:rsid w:val="00ED14BE"/>
    <w:rsid w:val="00ED1C81"/>
    <w:rsid w:val="00ED22DC"/>
    <w:rsid w:val="00ED237E"/>
    <w:rsid w:val="00ED3285"/>
    <w:rsid w:val="00ED349D"/>
    <w:rsid w:val="00ED3BA2"/>
    <w:rsid w:val="00ED41E0"/>
    <w:rsid w:val="00EE1471"/>
    <w:rsid w:val="00EE289B"/>
    <w:rsid w:val="00EE3813"/>
    <w:rsid w:val="00EE4035"/>
    <w:rsid w:val="00EF0418"/>
    <w:rsid w:val="00EF22F9"/>
    <w:rsid w:val="00EF246B"/>
    <w:rsid w:val="00EF3227"/>
    <w:rsid w:val="00F0146E"/>
    <w:rsid w:val="00F034AA"/>
    <w:rsid w:val="00F14409"/>
    <w:rsid w:val="00F16377"/>
    <w:rsid w:val="00F172BF"/>
    <w:rsid w:val="00F20EB5"/>
    <w:rsid w:val="00F23386"/>
    <w:rsid w:val="00F24892"/>
    <w:rsid w:val="00F25916"/>
    <w:rsid w:val="00F27B9D"/>
    <w:rsid w:val="00F27E6E"/>
    <w:rsid w:val="00F3289B"/>
    <w:rsid w:val="00F34CDA"/>
    <w:rsid w:val="00F35B77"/>
    <w:rsid w:val="00F42C15"/>
    <w:rsid w:val="00F46059"/>
    <w:rsid w:val="00F466F5"/>
    <w:rsid w:val="00F47745"/>
    <w:rsid w:val="00F52856"/>
    <w:rsid w:val="00F53AD6"/>
    <w:rsid w:val="00F55BEF"/>
    <w:rsid w:val="00F621DD"/>
    <w:rsid w:val="00F62CE0"/>
    <w:rsid w:val="00F62D28"/>
    <w:rsid w:val="00F661E4"/>
    <w:rsid w:val="00F66218"/>
    <w:rsid w:val="00F670CE"/>
    <w:rsid w:val="00F67D9D"/>
    <w:rsid w:val="00F70484"/>
    <w:rsid w:val="00F7232A"/>
    <w:rsid w:val="00F7398A"/>
    <w:rsid w:val="00F73A5C"/>
    <w:rsid w:val="00F74087"/>
    <w:rsid w:val="00F779C8"/>
    <w:rsid w:val="00F8722D"/>
    <w:rsid w:val="00F93BD0"/>
    <w:rsid w:val="00F93ECC"/>
    <w:rsid w:val="00F96486"/>
    <w:rsid w:val="00F972B4"/>
    <w:rsid w:val="00F97E76"/>
    <w:rsid w:val="00FA047B"/>
    <w:rsid w:val="00FA16D7"/>
    <w:rsid w:val="00FA6FF3"/>
    <w:rsid w:val="00FA70A0"/>
    <w:rsid w:val="00FB504F"/>
    <w:rsid w:val="00FC0A1E"/>
    <w:rsid w:val="00FC14AB"/>
    <w:rsid w:val="00FC5FB2"/>
    <w:rsid w:val="00FC5FC7"/>
    <w:rsid w:val="00FC7E77"/>
    <w:rsid w:val="00FD2763"/>
    <w:rsid w:val="00FD59E8"/>
    <w:rsid w:val="00FE29C5"/>
    <w:rsid w:val="00FE2D78"/>
    <w:rsid w:val="00FE46E8"/>
    <w:rsid w:val="00FE5389"/>
    <w:rsid w:val="00FE567C"/>
    <w:rsid w:val="00FF0056"/>
    <w:rsid w:val="00FF087D"/>
    <w:rsid w:val="00FF212F"/>
    <w:rsid w:val="00FF221D"/>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5140"/>
  <w15:docId w15:val="{DF0630CE-FB9C-42B1-9A0C-4BE57A2E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1D3"/>
  </w:style>
  <w:style w:type="paragraph" w:styleId="Heading1">
    <w:name w:val="heading 1"/>
    <w:basedOn w:val="Normal"/>
    <w:next w:val="Normal"/>
    <w:link w:val="Heading1Char"/>
    <w:uiPriority w:val="9"/>
    <w:qFormat/>
    <w:rsid w:val="002A3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02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1046"/>
    <w:pPr>
      <w:keepNext/>
      <w:spacing w:before="240" w:after="60" w:line="240" w:lineRule="auto"/>
      <w:outlineLvl w:val="2"/>
    </w:pPr>
    <w:rPr>
      <w:rFonts w:ascii="Calibri Light" w:eastAsia="Times New Roman" w:hAnsi="Calibri Light" w:cs="Times New Roman"/>
      <w:b/>
      <w:bCs/>
      <w:kern w:val="0"/>
      <w:sz w:val="26"/>
      <w:szCs w:val="26"/>
      <w:lang w:val="sr-Latn-M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80BA6"/>
    <w:pPr>
      <w:spacing w:after="0" w:line="240" w:lineRule="auto"/>
    </w:pPr>
    <w:rPr>
      <w:kern w:val="0"/>
      <w:sz w:val="20"/>
      <w:szCs w:val="20"/>
      <w:lang w:val="en-GB"/>
    </w:rPr>
  </w:style>
  <w:style w:type="character" w:customStyle="1" w:styleId="FootnoteTextChar">
    <w:name w:val="Footnote Text Char"/>
    <w:basedOn w:val="DefaultParagraphFont"/>
    <w:link w:val="FootnoteText"/>
    <w:uiPriority w:val="99"/>
    <w:rsid w:val="00680BA6"/>
    <w:rPr>
      <w:kern w:val="0"/>
      <w:sz w:val="20"/>
      <w:szCs w:val="20"/>
      <w:lang w:val="en-GB"/>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Footnote text,Ref"/>
    <w:basedOn w:val="DefaultParagraphFont"/>
    <w:link w:val="BVIfnrChar1Char"/>
    <w:uiPriority w:val="99"/>
    <w:unhideWhenUsed/>
    <w:qFormat/>
    <w:rsid w:val="00680BA6"/>
    <w:rPr>
      <w:vertAlign w:val="superscript"/>
    </w:rPr>
  </w:style>
  <w:style w:type="paragraph" w:styleId="ListParagraph">
    <w:name w:val="List Paragraph"/>
    <w:aliases w:val="Table of contents numbered,123 List Paragraph,ANNEX,Bullet paras,Bullets,List Paragraph (numbered (a)),List Paragraph nowy,List Paragraph1,List_Paragraph,Liste 1,Main numbered paragraph,Multilevel para_II,Numbered List Paragraph,lp1,WB Pa"/>
    <w:basedOn w:val="Normal"/>
    <w:link w:val="ListParagraphChar"/>
    <w:uiPriority w:val="34"/>
    <w:qFormat/>
    <w:rsid w:val="00680BA6"/>
    <w:pPr>
      <w:ind w:left="720"/>
      <w:contextualSpacing/>
    </w:pPr>
    <w:rPr>
      <w:kern w:val="0"/>
      <w:lang w:val="en-GB"/>
    </w:rPr>
  </w:style>
  <w:style w:type="character" w:styleId="Hyperlink">
    <w:name w:val="Hyperlink"/>
    <w:basedOn w:val="DefaultParagraphFont"/>
    <w:uiPriority w:val="99"/>
    <w:unhideWhenUsed/>
    <w:rsid w:val="00680BA6"/>
    <w:rPr>
      <w:color w:val="0000FF"/>
      <w:u w:val="single"/>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qFormat/>
    <w:rsid w:val="00B02BCB"/>
    <w:pPr>
      <w:spacing w:before="100" w:beforeAutospacing="1" w:after="100" w:afterAutospacing="1" w:line="240" w:lineRule="exact"/>
      <w:jc w:val="both"/>
    </w:pPr>
    <w:rPr>
      <w:vertAlign w:val="superscript"/>
    </w:rPr>
  </w:style>
  <w:style w:type="paragraph" w:styleId="NoSpacing">
    <w:name w:val="No Spacing"/>
    <w:uiPriority w:val="1"/>
    <w:qFormat/>
    <w:rsid w:val="00ED14BE"/>
    <w:pPr>
      <w:spacing w:after="0" w:line="240" w:lineRule="auto"/>
    </w:pPr>
    <w:rPr>
      <w:rFonts w:ascii="Calibri" w:eastAsia="Calibri" w:hAnsi="Calibri" w:cs="Times New Roman"/>
      <w:kern w:val="0"/>
    </w:rPr>
  </w:style>
  <w:style w:type="table" w:styleId="TableGrid">
    <w:name w:val="Table Grid"/>
    <w:basedOn w:val="TableNormal"/>
    <w:uiPriority w:val="39"/>
    <w:rsid w:val="003F374E"/>
    <w:pPr>
      <w:spacing w:after="0" w:line="240" w:lineRule="auto"/>
    </w:pPr>
    <w:rPr>
      <w:rFonts w:ascii="Calibri" w:eastAsia="Calibri" w:hAnsi="Calibri" w:cs="Times New Roman"/>
      <w:kern w:val="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494"/>
    <w:rPr>
      <w:rFonts w:ascii="Times New Roman" w:hAnsi="Times New Roman" w:cs="Times New Roman"/>
      <w:sz w:val="24"/>
      <w:szCs w:val="24"/>
    </w:rPr>
  </w:style>
  <w:style w:type="table" w:customStyle="1" w:styleId="PlainTable21">
    <w:name w:val="Plain Table 21"/>
    <w:basedOn w:val="TableNormal"/>
    <w:next w:val="PlainTable2"/>
    <w:uiPriority w:val="42"/>
    <w:rsid w:val="005631B0"/>
    <w:pPr>
      <w:spacing w:after="0" w:line="240" w:lineRule="auto"/>
    </w:pPr>
    <w:rPr>
      <w:rFonts w:cs="Mangal"/>
      <w:kern w:val="0"/>
      <w:szCs w:val="20"/>
      <w:lang w:val="sr-Cyrl-BA" w:bidi="hi-I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631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013F7F"/>
    <w:pPr>
      <w:spacing w:after="0" w:line="240" w:lineRule="auto"/>
    </w:pPr>
    <w:rPr>
      <w:rFonts w:cs="Mangal"/>
      <w:kern w:val="0"/>
      <w:szCs w:val="20"/>
      <w:lang w:val="sr-Cyrl-BA" w:bidi="hi-I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itle">
    <w:name w:val="Title"/>
    <w:basedOn w:val="Normal"/>
    <w:next w:val="Normal"/>
    <w:link w:val="TitleChar"/>
    <w:uiPriority w:val="10"/>
    <w:qFormat/>
    <w:rsid w:val="005234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2C"/>
    <w:rPr>
      <w:rFonts w:asciiTheme="majorHAnsi" w:eastAsiaTheme="majorEastAsia" w:hAnsiTheme="majorHAnsi" w:cstheme="majorBidi"/>
      <w:spacing w:val="-10"/>
      <w:kern w:val="28"/>
      <w:sz w:val="56"/>
      <w:szCs w:val="56"/>
    </w:rPr>
  </w:style>
  <w:style w:type="character" w:customStyle="1" w:styleId="ListParagraphChar">
    <w:name w:val="List Paragraph Char"/>
    <w:aliases w:val="Table of contents numbered Char,123 List Paragraph Char,ANNEX Char,Bullet paras Char,Bullets Char,List Paragraph (numbered (a)) Char,List Paragraph nowy Char,List Paragraph1 Char,List_Paragraph Char,Liste 1 Char,lp1 Char,WB Pa Char"/>
    <w:link w:val="ListParagraph"/>
    <w:uiPriority w:val="34"/>
    <w:qFormat/>
    <w:locked/>
    <w:rsid w:val="005F597A"/>
    <w:rPr>
      <w:kern w:val="0"/>
      <w:lang w:val="en-GB"/>
    </w:rPr>
  </w:style>
  <w:style w:type="paragraph" w:styleId="Header">
    <w:name w:val="header"/>
    <w:basedOn w:val="Normal"/>
    <w:link w:val="HeaderChar"/>
    <w:uiPriority w:val="99"/>
    <w:unhideWhenUsed/>
    <w:rsid w:val="00DB3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6F1"/>
  </w:style>
  <w:style w:type="paragraph" w:styleId="Footer">
    <w:name w:val="footer"/>
    <w:basedOn w:val="Normal"/>
    <w:link w:val="FooterChar"/>
    <w:uiPriority w:val="99"/>
    <w:unhideWhenUsed/>
    <w:rsid w:val="00DB3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6F1"/>
  </w:style>
  <w:style w:type="table" w:styleId="GridTable4">
    <w:name w:val="Grid Table 4"/>
    <w:basedOn w:val="TableNormal"/>
    <w:uiPriority w:val="49"/>
    <w:rsid w:val="002152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AC4D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AC4D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3">
    <w:name w:val="Grid Table 4 Accent 3"/>
    <w:basedOn w:val="TableNormal"/>
    <w:uiPriority w:val="49"/>
    <w:rsid w:val="00923D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923D1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EE381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EE381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23">
    <w:name w:val="Plain Table 23"/>
    <w:basedOn w:val="TableNormal"/>
    <w:next w:val="PlainTable2"/>
    <w:uiPriority w:val="42"/>
    <w:rsid w:val="0089460A"/>
    <w:pPr>
      <w:spacing w:after="0" w:line="240" w:lineRule="auto"/>
    </w:pPr>
    <w:rPr>
      <w:rFonts w:cs="Mangal"/>
      <w:kern w:val="0"/>
      <w:szCs w:val="20"/>
      <w:lang w:val="sr-Cyrl-BA" w:bidi="hi-I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2-Accent1">
    <w:name w:val="Grid Table 2 Accent 1"/>
    <w:basedOn w:val="TableNormal"/>
    <w:uiPriority w:val="47"/>
    <w:rsid w:val="0089460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F35B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2A3B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3B4E"/>
    <w:pPr>
      <w:outlineLvl w:val="9"/>
    </w:pPr>
    <w:rPr>
      <w:kern w:val="0"/>
      <w14:ligatures w14:val="none"/>
    </w:rPr>
  </w:style>
  <w:style w:type="paragraph" w:styleId="TOC2">
    <w:name w:val="toc 2"/>
    <w:basedOn w:val="Normal"/>
    <w:next w:val="Normal"/>
    <w:autoRedefine/>
    <w:uiPriority w:val="39"/>
    <w:unhideWhenUsed/>
    <w:rsid w:val="00343D8D"/>
    <w:pPr>
      <w:tabs>
        <w:tab w:val="left" w:pos="1100"/>
        <w:tab w:val="right" w:leader="dot" w:pos="9350"/>
      </w:tabs>
      <w:spacing w:after="100"/>
      <w:ind w:left="220"/>
    </w:pPr>
  </w:style>
  <w:style w:type="paragraph" w:styleId="TOC1">
    <w:name w:val="toc 1"/>
    <w:basedOn w:val="Normal"/>
    <w:next w:val="Normal"/>
    <w:autoRedefine/>
    <w:uiPriority w:val="39"/>
    <w:unhideWhenUsed/>
    <w:rsid w:val="002A3B4E"/>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2A3B4E"/>
    <w:pPr>
      <w:spacing w:after="100"/>
      <w:ind w:left="440"/>
    </w:pPr>
    <w:rPr>
      <w:rFonts w:eastAsiaTheme="minorEastAsia" w:cs="Times New Roman"/>
      <w:kern w:val="0"/>
      <w14:ligatures w14:val="none"/>
    </w:rPr>
  </w:style>
  <w:style w:type="character" w:customStyle="1" w:styleId="Heading2Char">
    <w:name w:val="Heading 2 Char"/>
    <w:basedOn w:val="DefaultParagraphFont"/>
    <w:link w:val="Heading2"/>
    <w:uiPriority w:val="9"/>
    <w:rsid w:val="0042027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21CDC"/>
    <w:rPr>
      <w:sz w:val="16"/>
      <w:szCs w:val="16"/>
    </w:rPr>
  </w:style>
  <w:style w:type="paragraph" w:styleId="CommentText">
    <w:name w:val="annotation text"/>
    <w:basedOn w:val="Normal"/>
    <w:link w:val="CommentTextChar"/>
    <w:uiPriority w:val="99"/>
    <w:unhideWhenUsed/>
    <w:rsid w:val="00021CDC"/>
    <w:pPr>
      <w:spacing w:line="240" w:lineRule="auto"/>
    </w:pPr>
    <w:rPr>
      <w:sz w:val="20"/>
      <w:szCs w:val="20"/>
    </w:rPr>
  </w:style>
  <w:style w:type="character" w:customStyle="1" w:styleId="CommentTextChar">
    <w:name w:val="Comment Text Char"/>
    <w:basedOn w:val="DefaultParagraphFont"/>
    <w:link w:val="CommentText"/>
    <w:uiPriority w:val="99"/>
    <w:semiHidden/>
    <w:rsid w:val="00021CDC"/>
    <w:rPr>
      <w:sz w:val="20"/>
      <w:szCs w:val="20"/>
    </w:rPr>
  </w:style>
  <w:style w:type="paragraph" w:styleId="CommentSubject">
    <w:name w:val="annotation subject"/>
    <w:basedOn w:val="CommentText"/>
    <w:next w:val="CommentText"/>
    <w:link w:val="CommentSubjectChar"/>
    <w:uiPriority w:val="99"/>
    <w:semiHidden/>
    <w:unhideWhenUsed/>
    <w:rsid w:val="00021CDC"/>
    <w:rPr>
      <w:b/>
      <w:bCs/>
    </w:rPr>
  </w:style>
  <w:style w:type="character" w:customStyle="1" w:styleId="CommentSubjectChar">
    <w:name w:val="Comment Subject Char"/>
    <w:basedOn w:val="CommentTextChar"/>
    <w:link w:val="CommentSubject"/>
    <w:uiPriority w:val="99"/>
    <w:semiHidden/>
    <w:rsid w:val="00021CDC"/>
    <w:rPr>
      <w:b/>
      <w:bCs/>
      <w:sz w:val="20"/>
      <w:szCs w:val="20"/>
    </w:rPr>
  </w:style>
  <w:style w:type="paragraph" w:styleId="BalloonText">
    <w:name w:val="Balloon Text"/>
    <w:basedOn w:val="Normal"/>
    <w:link w:val="BalloonTextChar"/>
    <w:uiPriority w:val="99"/>
    <w:semiHidden/>
    <w:unhideWhenUsed/>
    <w:rsid w:val="00021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CDC"/>
    <w:rPr>
      <w:rFonts w:ascii="Segoe UI" w:hAnsi="Segoe UI" w:cs="Segoe UI"/>
      <w:sz w:val="18"/>
      <w:szCs w:val="18"/>
    </w:rPr>
  </w:style>
  <w:style w:type="character" w:customStyle="1" w:styleId="Heading3Char">
    <w:name w:val="Heading 3 Char"/>
    <w:basedOn w:val="DefaultParagraphFont"/>
    <w:link w:val="Heading3"/>
    <w:uiPriority w:val="9"/>
    <w:semiHidden/>
    <w:rsid w:val="00811046"/>
    <w:rPr>
      <w:rFonts w:ascii="Calibri Light" w:eastAsia="Times New Roman" w:hAnsi="Calibri Light" w:cs="Times New Roman"/>
      <w:b/>
      <w:bCs/>
      <w:kern w:val="0"/>
      <w:sz w:val="26"/>
      <w:szCs w:val="26"/>
      <w:lang w:val="sr-Latn-ME" w:eastAsia="x-none"/>
      <w14:ligatures w14:val="none"/>
    </w:rPr>
  </w:style>
  <w:style w:type="character" w:customStyle="1" w:styleId="UnresolvedMention1">
    <w:name w:val="Unresolved Mention1"/>
    <w:uiPriority w:val="99"/>
    <w:semiHidden/>
    <w:unhideWhenUsed/>
    <w:rsid w:val="00811046"/>
    <w:rPr>
      <w:color w:val="605E5C"/>
      <w:shd w:val="clear" w:color="auto" w:fill="E1DFDD"/>
    </w:rPr>
  </w:style>
  <w:style w:type="paragraph" w:customStyle="1" w:styleId="Pa2">
    <w:name w:val="Pa2"/>
    <w:basedOn w:val="Normal"/>
    <w:next w:val="Normal"/>
    <w:uiPriority w:val="99"/>
    <w:rsid w:val="00811046"/>
    <w:pPr>
      <w:autoSpaceDE w:val="0"/>
      <w:autoSpaceDN w:val="0"/>
      <w:adjustRightInd w:val="0"/>
      <w:spacing w:after="0" w:line="221" w:lineRule="atLeast"/>
    </w:pPr>
    <w:rPr>
      <w:rFonts w:ascii="Metropolis Medium" w:eastAsia="Calibri" w:hAnsi="Metropolis Medium" w:cs="Times New Roman"/>
      <w:kern w:val="0"/>
      <w:sz w:val="24"/>
      <w:szCs w:val="24"/>
      <w14:ligatures w14:val="none"/>
    </w:rPr>
  </w:style>
  <w:style w:type="character" w:customStyle="1" w:styleId="A3">
    <w:name w:val="A3"/>
    <w:uiPriority w:val="99"/>
    <w:rsid w:val="00811046"/>
    <w:rPr>
      <w:rFonts w:cs="Metropolis Medium"/>
      <w:color w:val="000000"/>
      <w:sz w:val="32"/>
      <w:szCs w:val="32"/>
    </w:rPr>
  </w:style>
  <w:style w:type="paragraph" w:customStyle="1" w:styleId="PTANormal">
    <w:name w:val="PTA_Normal"/>
    <w:basedOn w:val="Normal"/>
    <w:link w:val="PTANormalChar"/>
    <w:qFormat/>
    <w:rsid w:val="00811046"/>
    <w:pPr>
      <w:spacing w:after="0" w:line="240" w:lineRule="auto"/>
      <w:contextualSpacing/>
      <w:jc w:val="both"/>
    </w:pPr>
    <w:rPr>
      <w:rFonts w:ascii="Tahoma" w:eastAsia="Tahoma" w:hAnsi="Tahoma" w:cs="Times New Roman"/>
      <w:noProof/>
      <w:color w:val="262626"/>
      <w:kern w:val="0"/>
      <w:lang w:val="x-none" w:eastAsia="x-none"/>
      <w14:ligatures w14:val="none"/>
    </w:rPr>
  </w:style>
  <w:style w:type="character" w:customStyle="1" w:styleId="PTANormalChar">
    <w:name w:val="PTA_Normal Char"/>
    <w:link w:val="PTANormal"/>
    <w:rsid w:val="00811046"/>
    <w:rPr>
      <w:rFonts w:ascii="Tahoma" w:eastAsia="Tahoma" w:hAnsi="Tahoma" w:cs="Times New Roman"/>
      <w:noProof/>
      <w:color w:val="262626"/>
      <w:kern w:val="0"/>
      <w:lang w:val="x-none" w:eastAsia="x-none"/>
      <w14:ligatures w14:val="none"/>
    </w:rPr>
  </w:style>
  <w:style w:type="paragraph" w:customStyle="1" w:styleId="PTANormal02">
    <w:name w:val="PTA_Normal02"/>
    <w:basedOn w:val="Normal"/>
    <w:link w:val="PTANormal02Char"/>
    <w:qFormat/>
    <w:rsid w:val="00811046"/>
    <w:pPr>
      <w:spacing w:line="240" w:lineRule="auto"/>
    </w:pPr>
    <w:rPr>
      <w:rFonts w:ascii="Tahoma" w:eastAsia="Tahoma" w:hAnsi="Tahoma" w:cs="Times New Roman"/>
      <w:noProof/>
      <w:color w:val="262626"/>
      <w:kern w:val="0"/>
      <w:lang w:val="x-none" w:eastAsia="x-none"/>
      <w14:ligatures w14:val="none"/>
    </w:rPr>
  </w:style>
  <w:style w:type="character" w:customStyle="1" w:styleId="PTANormal02Char">
    <w:name w:val="PTA_Normal02 Char"/>
    <w:link w:val="PTANormal02"/>
    <w:rsid w:val="00811046"/>
    <w:rPr>
      <w:rFonts w:ascii="Tahoma" w:eastAsia="Tahoma" w:hAnsi="Tahoma" w:cs="Times New Roman"/>
      <w:noProof/>
      <w:color w:val="262626"/>
      <w:kern w:val="0"/>
      <w:lang w:val="x-none" w:eastAsia="x-none"/>
      <w14:ligatures w14:val="none"/>
    </w:rPr>
  </w:style>
  <w:style w:type="character" w:styleId="PlaceholderText">
    <w:name w:val="Placeholder Text"/>
    <w:uiPriority w:val="99"/>
    <w:semiHidden/>
    <w:rsid w:val="00811046"/>
    <w:rPr>
      <w:color w:val="808080"/>
    </w:rPr>
  </w:style>
  <w:style w:type="paragraph" w:customStyle="1" w:styleId="Default">
    <w:name w:val="Default"/>
    <w:rsid w:val="00811046"/>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CommentTextChar1">
    <w:name w:val="Comment Text Char1"/>
    <w:uiPriority w:val="99"/>
    <w:rsid w:val="00811046"/>
    <w:rPr>
      <w:lang w:val="sr-Latn-ME"/>
    </w:rPr>
  </w:style>
  <w:style w:type="paragraph" w:styleId="HTMLPreformatted">
    <w:name w:val="HTML Preformatted"/>
    <w:basedOn w:val="Normal"/>
    <w:link w:val="HTMLPreformattedChar"/>
    <w:uiPriority w:val="99"/>
    <w:unhideWhenUsed/>
    <w:rsid w:val="00811046"/>
    <w:pPr>
      <w:spacing w:before="40" w:after="0" w:line="240" w:lineRule="auto"/>
    </w:pPr>
    <w:rPr>
      <w:rFonts w:ascii="Consolas" w:eastAsia="Cambria" w:hAnsi="Consolas" w:cs="Times New Roman"/>
      <w:color w:val="595959"/>
      <w:kern w:val="20"/>
      <w:sz w:val="20"/>
      <w:szCs w:val="20"/>
      <w:lang w:val="en-GB" w:eastAsia="x-none"/>
      <w14:ligatures w14:val="none"/>
    </w:rPr>
  </w:style>
  <w:style w:type="character" w:customStyle="1" w:styleId="HTMLPreformattedChar">
    <w:name w:val="HTML Preformatted Char"/>
    <w:basedOn w:val="DefaultParagraphFont"/>
    <w:link w:val="HTMLPreformatted"/>
    <w:uiPriority w:val="99"/>
    <w:rsid w:val="00811046"/>
    <w:rPr>
      <w:rFonts w:ascii="Consolas" w:eastAsia="Cambria" w:hAnsi="Consolas" w:cs="Times New Roman"/>
      <w:color w:val="595959"/>
      <w:kern w:val="20"/>
      <w:sz w:val="20"/>
      <w:szCs w:val="20"/>
      <w:lang w:val="en-GB" w:eastAsia="x-none"/>
      <w14:ligatures w14:val="none"/>
    </w:rPr>
  </w:style>
  <w:style w:type="paragraph" w:styleId="Revision">
    <w:name w:val="Revision"/>
    <w:hidden/>
    <w:uiPriority w:val="99"/>
    <w:semiHidden/>
    <w:rsid w:val="00811046"/>
    <w:pPr>
      <w:spacing w:after="0" w:line="240" w:lineRule="auto"/>
    </w:pPr>
    <w:rPr>
      <w:rFonts w:ascii="Calibri" w:eastAsia="Calibri" w:hAnsi="Calibri" w:cs="Times New Roman"/>
      <w:kern w:val="0"/>
      <w:sz w:val="24"/>
      <w:szCs w:val="24"/>
      <w:lang w:val="sr-Latn-ME"/>
      <w14:ligatures w14:val="none"/>
    </w:rPr>
  </w:style>
  <w:style w:type="paragraph" w:customStyle="1" w:styleId="N03Y">
    <w:name w:val="N03Y"/>
    <w:basedOn w:val="Normal"/>
    <w:uiPriority w:val="99"/>
    <w:rsid w:val="00811046"/>
    <w:pPr>
      <w:autoSpaceDE w:val="0"/>
      <w:autoSpaceDN w:val="0"/>
      <w:adjustRightInd w:val="0"/>
      <w:spacing w:before="200" w:after="200" w:line="240" w:lineRule="auto"/>
      <w:jc w:val="center"/>
    </w:pPr>
    <w:rPr>
      <w:rFonts w:ascii="Times New Roman" w:eastAsia="Times New Roman" w:hAnsi="Times New Roman" w:cs="Times New Roman"/>
      <w:b/>
      <w:bCs/>
      <w:color w:val="000000"/>
      <w:kern w:val="0"/>
      <w:sz w:val="28"/>
      <w:szCs w:val="28"/>
      <w:lang w:val="sr-Latn-ME" w:eastAsia="sr-Latn-ME"/>
      <w14:ligatures w14:val="none"/>
    </w:rPr>
  </w:style>
  <w:style w:type="paragraph" w:customStyle="1" w:styleId="N05Y">
    <w:name w:val="N05Y"/>
    <w:basedOn w:val="Normal"/>
    <w:uiPriority w:val="99"/>
    <w:rsid w:val="00811046"/>
    <w:pPr>
      <w:autoSpaceDE w:val="0"/>
      <w:autoSpaceDN w:val="0"/>
      <w:adjustRightInd w:val="0"/>
      <w:spacing w:before="60" w:after="200" w:line="240" w:lineRule="auto"/>
      <w:jc w:val="center"/>
    </w:pPr>
    <w:rPr>
      <w:rFonts w:ascii="Times New Roman" w:eastAsia="Times New Roman" w:hAnsi="Times New Roman" w:cs="Times New Roman"/>
      <w:b/>
      <w:bCs/>
      <w:color w:val="000000"/>
      <w:kern w:val="0"/>
      <w:sz w:val="24"/>
      <w:szCs w:val="24"/>
      <w:lang w:val="sr-Latn-ME" w:eastAsia="sr-Latn-ME"/>
      <w14:ligatures w14:val="none"/>
    </w:rPr>
  </w:style>
  <w:style w:type="paragraph" w:customStyle="1" w:styleId="T30X">
    <w:name w:val="T30X"/>
    <w:basedOn w:val="Normal"/>
    <w:uiPriority w:val="99"/>
    <w:rsid w:val="00811046"/>
    <w:pPr>
      <w:autoSpaceDE w:val="0"/>
      <w:autoSpaceDN w:val="0"/>
      <w:adjustRightInd w:val="0"/>
      <w:spacing w:before="60" w:after="60" w:line="240" w:lineRule="auto"/>
      <w:ind w:firstLine="283"/>
      <w:jc w:val="both"/>
    </w:pPr>
    <w:rPr>
      <w:rFonts w:ascii="Times New Roman" w:eastAsia="Times New Roman" w:hAnsi="Times New Roman" w:cs="Times New Roman"/>
      <w:color w:val="000000"/>
      <w:kern w:val="0"/>
      <w:lang w:val="sr-Latn-ME" w:eastAsia="sr-Latn-ME"/>
      <w14:ligatures w14:val="none"/>
    </w:rPr>
  </w:style>
  <w:style w:type="paragraph" w:customStyle="1" w:styleId="clan">
    <w:name w:val="clan"/>
    <w:basedOn w:val="Normal"/>
    <w:rsid w:val="008110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1">
    <w:name w:val="Normal1"/>
    <w:basedOn w:val="Normal"/>
    <w:rsid w:val="008110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default">
    <w:name w:val="gmail_default"/>
    <w:basedOn w:val="DefaultParagraphFont"/>
    <w:rsid w:val="00811046"/>
  </w:style>
  <w:style w:type="character" w:styleId="FollowedHyperlink">
    <w:name w:val="FollowedHyperlink"/>
    <w:uiPriority w:val="99"/>
    <w:semiHidden/>
    <w:unhideWhenUsed/>
    <w:rsid w:val="00811046"/>
    <w:rPr>
      <w:color w:val="954F72"/>
      <w:u w:val="single"/>
    </w:rPr>
  </w:style>
  <w:style w:type="character" w:styleId="Strong">
    <w:name w:val="Strong"/>
    <w:uiPriority w:val="22"/>
    <w:qFormat/>
    <w:rsid w:val="00811046"/>
    <w:rPr>
      <w:b/>
      <w:bCs/>
    </w:rPr>
  </w:style>
  <w:style w:type="paragraph" w:styleId="EndnoteText">
    <w:name w:val="endnote text"/>
    <w:basedOn w:val="Normal"/>
    <w:link w:val="EndnoteTextChar"/>
    <w:uiPriority w:val="99"/>
    <w:semiHidden/>
    <w:unhideWhenUsed/>
    <w:rsid w:val="00811046"/>
    <w:pPr>
      <w:spacing w:after="0" w:line="240" w:lineRule="auto"/>
    </w:pPr>
    <w:rPr>
      <w:rFonts w:ascii="Calibri" w:eastAsia="Calibri" w:hAnsi="Calibri" w:cs="Times New Roman"/>
      <w:kern w:val="0"/>
      <w:sz w:val="20"/>
      <w:szCs w:val="20"/>
      <w:lang w:val="sr-Latn-ME"/>
      <w14:ligatures w14:val="none"/>
    </w:rPr>
  </w:style>
  <w:style w:type="character" w:customStyle="1" w:styleId="EndnoteTextChar">
    <w:name w:val="Endnote Text Char"/>
    <w:basedOn w:val="DefaultParagraphFont"/>
    <w:link w:val="EndnoteText"/>
    <w:uiPriority w:val="99"/>
    <w:semiHidden/>
    <w:rsid w:val="00811046"/>
    <w:rPr>
      <w:rFonts w:ascii="Calibri" w:eastAsia="Calibri" w:hAnsi="Calibri" w:cs="Times New Roman"/>
      <w:kern w:val="0"/>
      <w:sz w:val="20"/>
      <w:szCs w:val="20"/>
      <w:lang w:val="sr-Latn-ME"/>
      <w14:ligatures w14:val="none"/>
    </w:rPr>
  </w:style>
  <w:style w:type="character" w:styleId="EndnoteReference">
    <w:name w:val="endnote reference"/>
    <w:uiPriority w:val="99"/>
    <w:semiHidden/>
    <w:unhideWhenUsed/>
    <w:rsid w:val="00811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2970">
      <w:bodyDiv w:val="1"/>
      <w:marLeft w:val="0"/>
      <w:marRight w:val="0"/>
      <w:marTop w:val="0"/>
      <w:marBottom w:val="0"/>
      <w:divBdr>
        <w:top w:val="none" w:sz="0" w:space="0" w:color="auto"/>
        <w:left w:val="none" w:sz="0" w:space="0" w:color="auto"/>
        <w:bottom w:val="none" w:sz="0" w:space="0" w:color="auto"/>
        <w:right w:val="none" w:sz="0" w:space="0" w:color="auto"/>
      </w:divBdr>
    </w:div>
    <w:div w:id="627249452">
      <w:bodyDiv w:val="1"/>
      <w:marLeft w:val="0"/>
      <w:marRight w:val="0"/>
      <w:marTop w:val="0"/>
      <w:marBottom w:val="0"/>
      <w:divBdr>
        <w:top w:val="none" w:sz="0" w:space="0" w:color="auto"/>
        <w:left w:val="none" w:sz="0" w:space="0" w:color="auto"/>
        <w:bottom w:val="none" w:sz="0" w:space="0" w:color="auto"/>
        <w:right w:val="none" w:sz="0" w:space="0" w:color="auto"/>
      </w:divBdr>
    </w:div>
    <w:div w:id="652366889">
      <w:bodyDiv w:val="1"/>
      <w:marLeft w:val="0"/>
      <w:marRight w:val="0"/>
      <w:marTop w:val="0"/>
      <w:marBottom w:val="0"/>
      <w:divBdr>
        <w:top w:val="none" w:sz="0" w:space="0" w:color="auto"/>
        <w:left w:val="none" w:sz="0" w:space="0" w:color="auto"/>
        <w:bottom w:val="none" w:sz="0" w:space="0" w:color="auto"/>
        <w:right w:val="none" w:sz="0" w:space="0" w:color="auto"/>
      </w:divBdr>
    </w:div>
    <w:div w:id="844513690">
      <w:bodyDiv w:val="1"/>
      <w:marLeft w:val="0"/>
      <w:marRight w:val="0"/>
      <w:marTop w:val="0"/>
      <w:marBottom w:val="0"/>
      <w:divBdr>
        <w:top w:val="none" w:sz="0" w:space="0" w:color="auto"/>
        <w:left w:val="none" w:sz="0" w:space="0" w:color="auto"/>
        <w:bottom w:val="none" w:sz="0" w:space="0" w:color="auto"/>
        <w:right w:val="none" w:sz="0" w:space="0" w:color="auto"/>
      </w:divBdr>
    </w:div>
    <w:div w:id="898827996">
      <w:bodyDiv w:val="1"/>
      <w:marLeft w:val="0"/>
      <w:marRight w:val="0"/>
      <w:marTop w:val="0"/>
      <w:marBottom w:val="0"/>
      <w:divBdr>
        <w:top w:val="none" w:sz="0" w:space="0" w:color="auto"/>
        <w:left w:val="none" w:sz="0" w:space="0" w:color="auto"/>
        <w:bottom w:val="none" w:sz="0" w:space="0" w:color="auto"/>
        <w:right w:val="none" w:sz="0" w:space="0" w:color="auto"/>
      </w:divBdr>
    </w:div>
    <w:div w:id="1043627789">
      <w:bodyDiv w:val="1"/>
      <w:marLeft w:val="0"/>
      <w:marRight w:val="0"/>
      <w:marTop w:val="0"/>
      <w:marBottom w:val="0"/>
      <w:divBdr>
        <w:top w:val="none" w:sz="0" w:space="0" w:color="auto"/>
        <w:left w:val="none" w:sz="0" w:space="0" w:color="auto"/>
        <w:bottom w:val="none" w:sz="0" w:space="0" w:color="auto"/>
        <w:right w:val="none" w:sz="0" w:space="0" w:color="auto"/>
      </w:divBdr>
    </w:div>
    <w:div w:id="1909724998">
      <w:bodyDiv w:val="1"/>
      <w:marLeft w:val="0"/>
      <w:marRight w:val="0"/>
      <w:marTop w:val="0"/>
      <w:marBottom w:val="0"/>
      <w:divBdr>
        <w:top w:val="none" w:sz="0" w:space="0" w:color="auto"/>
        <w:left w:val="none" w:sz="0" w:space="0" w:color="auto"/>
        <w:bottom w:val="none" w:sz="0" w:space="0" w:color="auto"/>
        <w:right w:val="none" w:sz="0" w:space="0" w:color="auto"/>
      </w:divBdr>
    </w:div>
    <w:div w:id="203457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Data" Target="diagrams/data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Colors" Target="diagrams/colors2.xml"/><Relationship Id="rId28" Type="http://schemas.openxmlformats.org/officeDocument/2006/relationships/chart" Target="charts/chart9.xml"/><Relationship Id="rId10" Type="http://schemas.openxmlformats.org/officeDocument/2006/relationships/diagramLayout" Target="diagrams/layout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diagramQuickStyle" Target="diagrams/quickStyle2.xml"/><Relationship Id="rId27" Type="http://schemas.openxmlformats.org/officeDocument/2006/relationships/chart" Target="charts/chart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mn-lt"/>
                <a:ea typeface="+mn-ea"/>
                <a:cs typeface="+mn-cs"/>
              </a:defRPr>
            </a:pPr>
            <a:r>
              <a:rPr lang="sr-Latn-ME" sz="1100" b="1">
                <a:solidFill>
                  <a:sysClr val="windowText" lastClr="000000"/>
                </a:solidFill>
                <a:effectLst/>
              </a:rPr>
              <a:t>Grafik 1:</a:t>
            </a:r>
            <a:r>
              <a:rPr lang="sr-Latn-ME" sz="1100" b="1" baseline="0">
                <a:solidFill>
                  <a:sysClr val="windowText" lastClr="000000"/>
                </a:solidFill>
                <a:effectLst/>
              </a:rPr>
              <a:t> </a:t>
            </a:r>
            <a:r>
              <a:rPr lang="sr-Latn-ME" sz="1100" b="1">
                <a:solidFill>
                  <a:sysClr val="windowText" lastClr="000000"/>
                </a:solidFill>
                <a:effectLst/>
              </a:rPr>
              <a:t>Stope ekonomskog rasta u Crnoj Gori u odnosu na ostale male ekonomije, ZB6 i EU27</a:t>
            </a:r>
            <a:endParaRPr lang="en-US" sz="1100">
              <a:solidFill>
                <a:sysClr val="windowText" lastClr="000000"/>
              </a:solidFill>
              <a:effectLst/>
            </a:endParaRPr>
          </a:p>
        </c:rich>
      </c:tx>
      <c:layout>
        <c:manualLayout>
          <c:xMode val="edge"/>
          <c:yMode val="edge"/>
          <c:x val="0.1573471128608924"/>
          <c:y val="4.6296296296296294E-3"/>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Crna Gora</c:v>
                </c:pt>
              </c:strCache>
            </c:strRef>
          </c:tx>
          <c:spPr>
            <a:ln w="34925" cap="rnd">
              <a:solidFill>
                <a:schemeClr val="accent1">
                  <a:lumMod val="50000"/>
                </a:schemeClr>
              </a:solidFill>
              <a:round/>
            </a:ln>
            <a:effectLst>
              <a:outerShdw blurRad="57150" dist="19050" dir="5400000" algn="ctr" rotWithShape="0">
                <a:srgbClr val="000000">
                  <a:alpha val="63000"/>
                </a:srgbClr>
              </a:outerShdw>
            </a:effectLst>
          </c:spPr>
          <c:marker>
            <c:symbol val="none"/>
          </c:marker>
          <c:cat>
            <c:numRef>
              <c:f>Sheet1!$C$1:$X$1</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Sheet1!$C$2:$X$2</c:f>
              <c:numCache>
                <c:formatCode>General</c:formatCode>
                <c:ptCount val="22"/>
                <c:pt idx="0">
                  <c:v>1.1000000000000001</c:v>
                </c:pt>
                <c:pt idx="1">
                  <c:v>1.9</c:v>
                </c:pt>
                <c:pt idx="2">
                  <c:v>2.5</c:v>
                </c:pt>
                <c:pt idx="3">
                  <c:v>4.4000000000000004</c:v>
                </c:pt>
                <c:pt idx="4">
                  <c:v>4.2</c:v>
                </c:pt>
                <c:pt idx="5">
                  <c:v>8.6</c:v>
                </c:pt>
                <c:pt idx="6">
                  <c:v>6.8</c:v>
                </c:pt>
                <c:pt idx="8">
                  <c:v>-5.8</c:v>
                </c:pt>
                <c:pt idx="9">
                  <c:v>2.7</c:v>
                </c:pt>
                <c:pt idx="10">
                  <c:v>3.2</c:v>
                </c:pt>
                <c:pt idx="11">
                  <c:v>-2.7</c:v>
                </c:pt>
                <c:pt idx="12">
                  <c:v>3.5</c:v>
                </c:pt>
                <c:pt idx="13">
                  <c:v>1.8</c:v>
                </c:pt>
                <c:pt idx="14">
                  <c:v>3.4</c:v>
                </c:pt>
                <c:pt idx="15">
                  <c:v>2.9</c:v>
                </c:pt>
                <c:pt idx="16">
                  <c:v>4.7</c:v>
                </c:pt>
                <c:pt idx="17">
                  <c:v>5.0999999999999996</c:v>
                </c:pt>
                <c:pt idx="18">
                  <c:v>4.0999999999999996</c:v>
                </c:pt>
                <c:pt idx="19">
                  <c:v>-15.3</c:v>
                </c:pt>
                <c:pt idx="20">
                  <c:v>13</c:v>
                </c:pt>
                <c:pt idx="21">
                  <c:v>6.1</c:v>
                </c:pt>
              </c:numCache>
            </c:numRef>
          </c:val>
          <c:smooth val="0"/>
          <c:extLst>
            <c:ext xmlns:c16="http://schemas.microsoft.com/office/drawing/2014/chart" uri="{C3380CC4-5D6E-409C-BE32-E72D297353CC}">
              <c16:uniqueId val="{00000000-41D1-4281-99B2-5F0818B1CB30}"/>
            </c:ext>
          </c:extLst>
        </c:ser>
        <c:ser>
          <c:idx val="1"/>
          <c:order val="1"/>
          <c:tx>
            <c:strRef>
              <c:f>Sheet1!$B$3</c:f>
              <c:strCache>
                <c:ptCount val="1"/>
                <c:pt idx="0">
                  <c:v>Šest zemalja Zapadnog Balkana</c:v>
                </c:pt>
              </c:strCache>
            </c:strRef>
          </c:tx>
          <c:spPr>
            <a:ln w="34925" cap="rnd">
              <a:solidFill>
                <a:srgbClr val="C00000"/>
              </a:solidFill>
              <a:round/>
            </a:ln>
            <a:effectLst>
              <a:outerShdw blurRad="57150" dist="19050" dir="5400000" algn="ctr" rotWithShape="0">
                <a:srgbClr val="000000">
                  <a:alpha val="63000"/>
                </a:srgbClr>
              </a:outerShdw>
            </a:effectLst>
          </c:spPr>
          <c:marker>
            <c:symbol val="none"/>
          </c:marker>
          <c:cat>
            <c:numRef>
              <c:f>Sheet1!$C$1:$X$1</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Sheet1!$C$3:$X$3</c:f>
              <c:numCache>
                <c:formatCode>General</c:formatCode>
                <c:ptCount val="22"/>
                <c:pt idx="5">
                  <c:v>5.28</c:v>
                </c:pt>
                <c:pt idx="6">
                  <c:v>6.36</c:v>
                </c:pt>
                <c:pt idx="7">
                  <c:v>5.8</c:v>
                </c:pt>
                <c:pt idx="8">
                  <c:v>-1.4</c:v>
                </c:pt>
                <c:pt idx="9">
                  <c:v>1.7</c:v>
                </c:pt>
                <c:pt idx="10">
                  <c:v>2.17</c:v>
                </c:pt>
                <c:pt idx="11">
                  <c:v>-0.1</c:v>
                </c:pt>
                <c:pt idx="12">
                  <c:v>2.61</c:v>
                </c:pt>
                <c:pt idx="13">
                  <c:v>0.33</c:v>
                </c:pt>
                <c:pt idx="14">
                  <c:v>2.56</c:v>
                </c:pt>
                <c:pt idx="15">
                  <c:v>3.28</c:v>
                </c:pt>
                <c:pt idx="16">
                  <c:v>2.67</c:v>
                </c:pt>
                <c:pt idx="17">
                  <c:v>4.0199999999999996</c:v>
                </c:pt>
                <c:pt idx="18">
                  <c:v>3.54</c:v>
                </c:pt>
                <c:pt idx="19">
                  <c:v>-3</c:v>
                </c:pt>
                <c:pt idx="20">
                  <c:v>7.8</c:v>
                </c:pt>
                <c:pt idx="21">
                  <c:v>3.2</c:v>
                </c:pt>
              </c:numCache>
            </c:numRef>
          </c:val>
          <c:smooth val="0"/>
          <c:extLst>
            <c:ext xmlns:c16="http://schemas.microsoft.com/office/drawing/2014/chart" uri="{C3380CC4-5D6E-409C-BE32-E72D297353CC}">
              <c16:uniqueId val="{00000001-41D1-4281-99B2-5F0818B1CB30}"/>
            </c:ext>
          </c:extLst>
        </c:ser>
        <c:ser>
          <c:idx val="3"/>
          <c:order val="2"/>
          <c:tx>
            <c:strRef>
              <c:f>Sheet1!$B$5</c:f>
              <c:strCache>
                <c:ptCount val="1"/>
                <c:pt idx="0">
                  <c:v>EU-27</c:v>
                </c:pt>
              </c:strCache>
            </c:strRef>
          </c:tx>
          <c:spPr>
            <a:ln w="34925" cap="rnd">
              <a:solidFill>
                <a:schemeClr val="bg1">
                  <a:lumMod val="65000"/>
                </a:schemeClr>
              </a:solidFill>
              <a:round/>
            </a:ln>
            <a:effectLst>
              <a:outerShdw blurRad="57150" dist="19050" dir="5400000" algn="ctr" rotWithShape="0">
                <a:srgbClr val="000000">
                  <a:alpha val="63000"/>
                </a:srgbClr>
              </a:outerShdw>
            </a:effectLst>
          </c:spPr>
          <c:marker>
            <c:symbol val="none"/>
          </c:marker>
          <c:cat>
            <c:numRef>
              <c:f>Sheet1!$C$1:$X$1</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Sheet1!$C$5:$X$5</c:f>
              <c:numCache>
                <c:formatCode>General</c:formatCode>
                <c:ptCount val="22"/>
                <c:pt idx="0">
                  <c:v>2.2000000000000002</c:v>
                </c:pt>
                <c:pt idx="1">
                  <c:v>1.1000000000000001</c:v>
                </c:pt>
                <c:pt idx="2">
                  <c:v>0.9</c:v>
                </c:pt>
                <c:pt idx="3">
                  <c:v>2.6</c:v>
                </c:pt>
                <c:pt idx="4">
                  <c:v>1.9</c:v>
                </c:pt>
                <c:pt idx="5">
                  <c:v>3.5</c:v>
                </c:pt>
                <c:pt idx="6">
                  <c:v>3.2</c:v>
                </c:pt>
                <c:pt idx="7">
                  <c:v>0.6</c:v>
                </c:pt>
                <c:pt idx="8">
                  <c:v>-4.3</c:v>
                </c:pt>
                <c:pt idx="9">
                  <c:v>2.2000000000000002</c:v>
                </c:pt>
                <c:pt idx="10">
                  <c:v>1.9</c:v>
                </c:pt>
                <c:pt idx="11">
                  <c:v>-0.7</c:v>
                </c:pt>
                <c:pt idx="12">
                  <c:v>-0.1</c:v>
                </c:pt>
                <c:pt idx="13">
                  <c:v>1.6</c:v>
                </c:pt>
                <c:pt idx="14">
                  <c:v>2.2999999999999998</c:v>
                </c:pt>
                <c:pt idx="15">
                  <c:v>3</c:v>
                </c:pt>
                <c:pt idx="16">
                  <c:v>2.8</c:v>
                </c:pt>
                <c:pt idx="17">
                  <c:v>2.1</c:v>
                </c:pt>
                <c:pt idx="18">
                  <c:v>1.8</c:v>
                </c:pt>
                <c:pt idx="19">
                  <c:v>-5.7</c:v>
                </c:pt>
                <c:pt idx="20">
                  <c:v>5.5</c:v>
                </c:pt>
                <c:pt idx="21">
                  <c:v>3.5</c:v>
                </c:pt>
              </c:numCache>
            </c:numRef>
          </c:val>
          <c:smooth val="0"/>
          <c:extLst>
            <c:ext xmlns:c16="http://schemas.microsoft.com/office/drawing/2014/chart" uri="{C3380CC4-5D6E-409C-BE32-E72D297353CC}">
              <c16:uniqueId val="{00000002-41D1-4281-99B2-5F0818B1CB30}"/>
            </c:ext>
          </c:extLst>
        </c:ser>
        <c:dLbls>
          <c:showLegendKey val="0"/>
          <c:showVal val="0"/>
          <c:showCatName val="0"/>
          <c:showSerName val="0"/>
          <c:showPercent val="0"/>
          <c:showBubbleSize val="0"/>
        </c:dLbls>
        <c:smooth val="0"/>
        <c:axId val="1909006943"/>
        <c:axId val="1809047935"/>
      </c:lineChart>
      <c:catAx>
        <c:axId val="19090069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9047935"/>
        <c:crosses val="autoZero"/>
        <c:auto val="1"/>
        <c:lblAlgn val="ctr"/>
        <c:lblOffset val="100"/>
        <c:noMultiLvlLbl val="0"/>
      </c:catAx>
      <c:valAx>
        <c:axId val="1809047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006943"/>
        <c:crossesAt val="2"/>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lumMod val="85000"/>
      </a:sysClr>
    </a:solidFill>
    <a:ln w="9525" cap="flat" cmpd="sng" algn="ctr">
      <a:solidFill>
        <a:schemeClr val="bg1">
          <a:lumMod val="9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sr-Latn-ME" sz="1100">
                <a:solidFill>
                  <a:sysClr val="windowText" lastClr="000000"/>
                </a:solidFill>
              </a:rPr>
              <a:t>Grafik 2: Broj</a:t>
            </a:r>
            <a:r>
              <a:rPr lang="sr-Latn-ME" sz="1100" baseline="0">
                <a:solidFill>
                  <a:sysClr val="windowText" lastClr="000000"/>
                </a:solidFill>
              </a:rPr>
              <a:t> zaposlenih-administrativni i anketni podaci za period 2006-2022.</a:t>
            </a:r>
            <a:endParaRPr lang="en-US"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Sheet1!$B$29</c:f>
              <c:strCache>
                <c:ptCount val="1"/>
                <c:pt idx="0">
                  <c:v>Broj formalno zaposlenih lica u Crnoj Gori</c:v>
                </c:pt>
              </c:strCache>
            </c:strRef>
          </c:tx>
          <c:spPr>
            <a:ln w="34925" cap="rnd">
              <a:solidFill>
                <a:schemeClr val="accent1">
                  <a:lumMod val="50000"/>
                </a:schemeClr>
              </a:solidFill>
              <a:round/>
            </a:ln>
            <a:effectLst>
              <a:outerShdw blurRad="57150" dist="19050" dir="5400000" algn="ctr" rotWithShape="0">
                <a:srgbClr val="000000">
                  <a:alpha val="63000"/>
                </a:srgbClr>
              </a:outerShdw>
            </a:effectLst>
          </c:spPr>
          <c:marker>
            <c:symbol val="none"/>
          </c:marker>
          <c:cat>
            <c:numRef>
              <c:f>Sheet1!$C$28:$S$28</c:f>
              <c:numCache>
                <c:formatCode>General</c:formatCod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numCache>
            </c:numRef>
          </c:cat>
          <c:val>
            <c:numRef>
              <c:f>Sheet1!$C$29:$S$29</c:f>
              <c:numCache>
                <c:formatCode>General</c:formatCode>
                <c:ptCount val="17"/>
                <c:pt idx="0">
                  <c:v>160800</c:v>
                </c:pt>
                <c:pt idx="1">
                  <c:v>156408</c:v>
                </c:pt>
                <c:pt idx="2">
                  <c:v>166221</c:v>
                </c:pt>
                <c:pt idx="3">
                  <c:v>174152</c:v>
                </c:pt>
                <c:pt idx="4">
                  <c:v>161742</c:v>
                </c:pt>
                <c:pt idx="5">
                  <c:v>163082</c:v>
                </c:pt>
                <c:pt idx="6">
                  <c:v>166531</c:v>
                </c:pt>
                <c:pt idx="7">
                  <c:v>171474</c:v>
                </c:pt>
                <c:pt idx="8">
                  <c:v>173595</c:v>
                </c:pt>
                <c:pt idx="9">
                  <c:v>175617</c:v>
                </c:pt>
                <c:pt idx="10">
                  <c:v>177908</c:v>
                </c:pt>
                <c:pt idx="11">
                  <c:v>182368</c:v>
                </c:pt>
                <c:pt idx="12">
                  <c:v>190132</c:v>
                </c:pt>
                <c:pt idx="13">
                  <c:v>203545</c:v>
                </c:pt>
                <c:pt idx="14">
                  <c:v>176693</c:v>
                </c:pt>
                <c:pt idx="15">
                  <c:v>188964</c:v>
                </c:pt>
                <c:pt idx="16">
                  <c:v>223744</c:v>
                </c:pt>
              </c:numCache>
            </c:numRef>
          </c:val>
          <c:smooth val="0"/>
          <c:extLst>
            <c:ext xmlns:c16="http://schemas.microsoft.com/office/drawing/2014/chart" uri="{C3380CC4-5D6E-409C-BE32-E72D297353CC}">
              <c16:uniqueId val="{00000000-BF00-4F5D-9E66-0A1297AFFD25}"/>
            </c:ext>
          </c:extLst>
        </c:ser>
        <c:ser>
          <c:idx val="1"/>
          <c:order val="1"/>
          <c:tx>
            <c:strRef>
              <c:f>Sheet1!$B$30</c:f>
              <c:strCache>
                <c:ptCount val="1"/>
                <c:pt idx="0">
                  <c:v>Broj zaposlenih prema ARS</c:v>
                </c:pt>
              </c:strCache>
            </c:strRef>
          </c:tx>
          <c:spPr>
            <a:ln w="34925" cap="rnd">
              <a:solidFill>
                <a:srgbClr val="C00000"/>
              </a:solidFill>
              <a:round/>
            </a:ln>
            <a:effectLst>
              <a:outerShdw blurRad="57150" dist="19050" dir="5400000" algn="ctr" rotWithShape="0">
                <a:srgbClr val="000000">
                  <a:alpha val="63000"/>
                </a:srgbClr>
              </a:outerShdw>
            </a:effectLst>
          </c:spPr>
          <c:marker>
            <c:symbol val="none"/>
          </c:marker>
          <c:cat>
            <c:numRef>
              <c:f>Sheet1!$C$28:$S$28</c:f>
              <c:numCache>
                <c:formatCode>General</c:formatCod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numCache>
            </c:numRef>
          </c:cat>
          <c:val>
            <c:numRef>
              <c:f>Sheet1!$C$30:$S$30</c:f>
              <c:numCache>
                <c:formatCode>General</c:formatCode>
                <c:ptCount val="17"/>
                <c:pt idx="0">
                  <c:v>178364</c:v>
                </c:pt>
                <c:pt idx="1">
                  <c:v>263700</c:v>
                </c:pt>
                <c:pt idx="2">
                  <c:v>266700</c:v>
                </c:pt>
                <c:pt idx="3">
                  <c:v>213600</c:v>
                </c:pt>
                <c:pt idx="4">
                  <c:v>260700</c:v>
                </c:pt>
                <c:pt idx="5">
                  <c:v>244100</c:v>
                </c:pt>
                <c:pt idx="6">
                  <c:v>250400</c:v>
                </c:pt>
                <c:pt idx="7">
                  <c:v>250900</c:v>
                </c:pt>
                <c:pt idx="8">
                  <c:v>263700</c:v>
                </c:pt>
                <c:pt idx="9">
                  <c:v>268900</c:v>
                </c:pt>
                <c:pt idx="10">
                  <c:v>224200</c:v>
                </c:pt>
                <c:pt idx="11">
                  <c:v>229300</c:v>
                </c:pt>
                <c:pt idx="12">
                  <c:v>237400</c:v>
                </c:pt>
                <c:pt idx="13">
                  <c:v>243800</c:v>
                </c:pt>
                <c:pt idx="14">
                  <c:v>219400</c:v>
                </c:pt>
                <c:pt idx="15">
                  <c:v>212600</c:v>
                </c:pt>
                <c:pt idx="16">
                  <c:v>251200</c:v>
                </c:pt>
              </c:numCache>
            </c:numRef>
          </c:val>
          <c:smooth val="0"/>
          <c:extLst>
            <c:ext xmlns:c16="http://schemas.microsoft.com/office/drawing/2014/chart" uri="{C3380CC4-5D6E-409C-BE32-E72D297353CC}">
              <c16:uniqueId val="{00000001-BF00-4F5D-9E66-0A1297AFFD25}"/>
            </c:ext>
          </c:extLst>
        </c:ser>
        <c:dLbls>
          <c:showLegendKey val="0"/>
          <c:showVal val="0"/>
          <c:showCatName val="0"/>
          <c:showSerName val="0"/>
          <c:showPercent val="0"/>
          <c:showBubbleSize val="0"/>
        </c:dLbls>
        <c:smooth val="0"/>
        <c:axId val="1807985247"/>
        <c:axId val="1816406623"/>
      </c:lineChart>
      <c:catAx>
        <c:axId val="18079852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6406623"/>
        <c:crosses val="autoZero"/>
        <c:auto val="1"/>
        <c:lblAlgn val="ctr"/>
        <c:lblOffset val="100"/>
        <c:noMultiLvlLbl val="0"/>
      </c:catAx>
      <c:valAx>
        <c:axId val="1816406623"/>
        <c:scaling>
          <c:orientation val="minMax"/>
          <c:min val="12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985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sr-Latn-ME" b="1">
                <a:solidFill>
                  <a:sysClr val="windowText" lastClr="000000"/>
                </a:solidFill>
              </a:rPr>
              <a:t>Grafik 3: </a:t>
            </a:r>
            <a:r>
              <a:rPr lang="en-US" b="1">
                <a:solidFill>
                  <a:sysClr val="windowText" lastClr="000000"/>
                </a:solidFill>
              </a:rPr>
              <a:t>Izvorni</a:t>
            </a:r>
            <a:r>
              <a:rPr lang="en-US" b="1" baseline="0">
                <a:solidFill>
                  <a:sysClr val="windowText" lastClr="000000"/>
                </a:solidFill>
              </a:rPr>
              <a:t> prihodi u % BDP</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Sheet1!$C$35</c:f>
              <c:strCache>
                <c:ptCount val="1"/>
                <c:pt idx="0">
                  <c:v>Centralni budžet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Sheet1!$D$34:$N$34</c:f>
              <c:strCache>
                <c:ptCount val="11"/>
                <c:pt idx="0">
                  <c:v>2013</c:v>
                </c:pt>
                <c:pt idx="1">
                  <c:v>2014</c:v>
                </c:pt>
                <c:pt idx="2">
                  <c:v>2015</c:v>
                </c:pt>
                <c:pt idx="3">
                  <c:v>2016</c:v>
                </c:pt>
                <c:pt idx="4">
                  <c:v>2017</c:v>
                </c:pt>
                <c:pt idx="5">
                  <c:v>2018</c:v>
                </c:pt>
                <c:pt idx="6">
                  <c:v>2019</c:v>
                </c:pt>
                <c:pt idx="7">
                  <c:v>2020</c:v>
                </c:pt>
                <c:pt idx="8">
                  <c:v>2021</c:v>
                </c:pt>
                <c:pt idx="9">
                  <c:v>2022</c:v>
                </c:pt>
                <c:pt idx="10">
                  <c:v>2023p</c:v>
                </c:pt>
              </c:strCache>
            </c:strRef>
          </c:cat>
          <c:val>
            <c:numRef>
              <c:f>Sheet1!$D$35:$N$35</c:f>
              <c:numCache>
                <c:formatCode>General</c:formatCode>
                <c:ptCount val="11"/>
                <c:pt idx="0">
                  <c:v>37.4</c:v>
                </c:pt>
                <c:pt idx="1">
                  <c:v>39.1</c:v>
                </c:pt>
                <c:pt idx="2">
                  <c:v>36.6</c:v>
                </c:pt>
                <c:pt idx="3">
                  <c:v>39.799999999999997</c:v>
                </c:pt>
                <c:pt idx="4">
                  <c:v>37.6</c:v>
                </c:pt>
                <c:pt idx="5">
                  <c:v>37.9</c:v>
                </c:pt>
                <c:pt idx="6">
                  <c:v>39.130000000000003</c:v>
                </c:pt>
                <c:pt idx="7">
                  <c:v>38.299999999999997</c:v>
                </c:pt>
                <c:pt idx="8">
                  <c:v>39</c:v>
                </c:pt>
                <c:pt idx="9">
                  <c:v>35.299999999999997</c:v>
                </c:pt>
                <c:pt idx="10">
                  <c:v>36.6</c:v>
                </c:pt>
              </c:numCache>
            </c:numRef>
          </c:val>
          <c:extLst>
            <c:ext xmlns:c16="http://schemas.microsoft.com/office/drawing/2014/chart" uri="{C3380CC4-5D6E-409C-BE32-E72D297353CC}">
              <c16:uniqueId val="{00000000-FD03-41DE-BD8E-2252754E7071}"/>
            </c:ext>
          </c:extLst>
        </c:ser>
        <c:ser>
          <c:idx val="1"/>
          <c:order val="1"/>
          <c:tx>
            <c:strRef>
              <c:f>Sheet1!$C$36</c:f>
              <c:strCache>
                <c:ptCount val="1"/>
                <c:pt idx="0">
                  <c:v>Opšta država</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Sheet1!$D$34:$N$34</c:f>
              <c:strCache>
                <c:ptCount val="11"/>
                <c:pt idx="0">
                  <c:v>2013</c:v>
                </c:pt>
                <c:pt idx="1">
                  <c:v>2014</c:v>
                </c:pt>
                <c:pt idx="2">
                  <c:v>2015</c:v>
                </c:pt>
                <c:pt idx="3">
                  <c:v>2016</c:v>
                </c:pt>
                <c:pt idx="4">
                  <c:v>2017</c:v>
                </c:pt>
                <c:pt idx="5">
                  <c:v>2018</c:v>
                </c:pt>
                <c:pt idx="6">
                  <c:v>2019</c:v>
                </c:pt>
                <c:pt idx="7">
                  <c:v>2020</c:v>
                </c:pt>
                <c:pt idx="8">
                  <c:v>2021</c:v>
                </c:pt>
                <c:pt idx="9">
                  <c:v>2022</c:v>
                </c:pt>
                <c:pt idx="10">
                  <c:v>2023p</c:v>
                </c:pt>
              </c:strCache>
            </c:strRef>
          </c:cat>
          <c:val>
            <c:numRef>
              <c:f>Sheet1!$D$36:$N$36</c:f>
              <c:numCache>
                <c:formatCode>General</c:formatCode>
                <c:ptCount val="11"/>
                <c:pt idx="0">
                  <c:v>43</c:v>
                </c:pt>
                <c:pt idx="1">
                  <c:v>44.8</c:v>
                </c:pt>
                <c:pt idx="2">
                  <c:v>41.9</c:v>
                </c:pt>
                <c:pt idx="3">
                  <c:v>45.14</c:v>
                </c:pt>
                <c:pt idx="4">
                  <c:v>42.5</c:v>
                </c:pt>
                <c:pt idx="5">
                  <c:v>42.6</c:v>
                </c:pt>
                <c:pt idx="6">
                  <c:v>44.65</c:v>
                </c:pt>
                <c:pt idx="7">
                  <c:v>43.7</c:v>
                </c:pt>
                <c:pt idx="8">
                  <c:v>44</c:v>
                </c:pt>
                <c:pt idx="9">
                  <c:v>40.299999999999997</c:v>
                </c:pt>
                <c:pt idx="10">
                  <c:v>41.9</c:v>
                </c:pt>
              </c:numCache>
            </c:numRef>
          </c:val>
          <c:extLst>
            <c:ext xmlns:c16="http://schemas.microsoft.com/office/drawing/2014/chart" uri="{C3380CC4-5D6E-409C-BE32-E72D297353CC}">
              <c16:uniqueId val="{00000001-FD03-41DE-BD8E-2252754E7071}"/>
            </c:ext>
          </c:extLst>
        </c:ser>
        <c:dLbls>
          <c:showLegendKey val="0"/>
          <c:showVal val="0"/>
          <c:showCatName val="0"/>
          <c:showSerName val="0"/>
          <c:showPercent val="0"/>
          <c:showBubbleSize val="0"/>
        </c:dLbls>
        <c:gapWidth val="150"/>
        <c:shape val="box"/>
        <c:axId val="558513615"/>
        <c:axId val="551621855"/>
        <c:axId val="0"/>
      </c:bar3DChart>
      <c:catAx>
        <c:axId val="5585136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621855"/>
        <c:crosses val="autoZero"/>
        <c:auto val="1"/>
        <c:lblAlgn val="ctr"/>
        <c:lblOffset val="100"/>
        <c:noMultiLvlLbl val="0"/>
      </c:catAx>
      <c:valAx>
        <c:axId val="551621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51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lumMod val="85000"/>
      </a:sys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sr-Latn-ME"/>
              <a:t>Grafik 4: </a:t>
            </a:r>
            <a:r>
              <a:rPr lang="en-US"/>
              <a:t>Javni prihodi kao % BDP u 2019.</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c:f>
              <c:strCache>
                <c:ptCount val="1"/>
                <c:pt idx="0">
                  <c:v>Javni prihodi kao % BDP u 2019.</c:v>
                </c:pt>
              </c:strCache>
            </c:strRef>
          </c:tx>
          <c:spPr>
            <a:solidFill>
              <a:schemeClr val="accent1"/>
            </a:solidFill>
            <a:ln>
              <a:solidFill>
                <a:schemeClr val="accent1">
                  <a:lumMod val="50000"/>
                </a:schemeClr>
              </a:solidFill>
            </a:ln>
            <a:effectLst/>
            <a:sp3d>
              <a:contourClr>
                <a:schemeClr val="accent1">
                  <a:lumMod val="50000"/>
                </a:schemeClr>
              </a:contourClr>
            </a:sp3d>
          </c:spPr>
          <c:invertIfNegative val="0"/>
          <c:dPt>
            <c:idx val="2"/>
            <c:invertIfNegative val="0"/>
            <c:bubble3D val="0"/>
            <c:spPr>
              <a:solidFill>
                <a:srgbClr val="C00000"/>
              </a:solidFill>
              <a:ln>
                <a:solidFill>
                  <a:schemeClr val="accent1">
                    <a:lumMod val="50000"/>
                  </a:schemeClr>
                </a:solidFill>
              </a:ln>
              <a:effectLst/>
              <a:sp3d>
                <a:contourClr>
                  <a:schemeClr val="accent1">
                    <a:lumMod val="50000"/>
                  </a:schemeClr>
                </a:contourClr>
              </a:sp3d>
            </c:spPr>
            <c:extLst>
              <c:ext xmlns:c16="http://schemas.microsoft.com/office/drawing/2014/chart" uri="{C3380CC4-5D6E-409C-BE32-E72D297353CC}">
                <c16:uniqueId val="{00000001-D40D-418A-93FA-DB783779A20F}"/>
              </c:ext>
            </c:extLst>
          </c:dPt>
          <c:cat>
            <c:strRef>
              <c:f>Sheet1!$B$3:$B$9</c:f>
              <c:strCache>
                <c:ptCount val="7"/>
                <c:pt idx="0">
                  <c:v>Albanija</c:v>
                </c:pt>
                <c:pt idx="1">
                  <c:v>BiH</c:v>
                </c:pt>
                <c:pt idx="2">
                  <c:v>Crna Gora</c:v>
                </c:pt>
                <c:pt idx="3">
                  <c:v>EU</c:v>
                </c:pt>
                <c:pt idx="4">
                  <c:v>Kosovo</c:v>
                </c:pt>
                <c:pt idx="5">
                  <c:v>Sjeverna Makedonija</c:v>
                </c:pt>
                <c:pt idx="6">
                  <c:v>Srbija</c:v>
                </c:pt>
              </c:strCache>
            </c:strRef>
          </c:cat>
          <c:val>
            <c:numRef>
              <c:f>Sheet1!$C$3:$C$9</c:f>
              <c:numCache>
                <c:formatCode>General</c:formatCode>
                <c:ptCount val="7"/>
                <c:pt idx="0">
                  <c:v>28</c:v>
                </c:pt>
                <c:pt idx="1">
                  <c:v>41</c:v>
                </c:pt>
                <c:pt idx="2">
                  <c:v>44</c:v>
                </c:pt>
                <c:pt idx="3">
                  <c:v>44.5</c:v>
                </c:pt>
                <c:pt idx="4">
                  <c:v>26.5</c:v>
                </c:pt>
                <c:pt idx="5">
                  <c:v>32.5</c:v>
                </c:pt>
                <c:pt idx="6">
                  <c:v>40.5</c:v>
                </c:pt>
              </c:numCache>
            </c:numRef>
          </c:val>
          <c:extLst>
            <c:ext xmlns:c16="http://schemas.microsoft.com/office/drawing/2014/chart" uri="{C3380CC4-5D6E-409C-BE32-E72D297353CC}">
              <c16:uniqueId val="{00000002-D40D-418A-93FA-DB783779A20F}"/>
            </c:ext>
          </c:extLst>
        </c:ser>
        <c:dLbls>
          <c:showLegendKey val="0"/>
          <c:showVal val="0"/>
          <c:showCatName val="0"/>
          <c:showSerName val="0"/>
          <c:showPercent val="0"/>
          <c:showBubbleSize val="0"/>
        </c:dLbls>
        <c:gapWidth val="150"/>
        <c:shape val="box"/>
        <c:axId val="477840399"/>
        <c:axId val="374824767"/>
        <c:axId val="0"/>
      </c:bar3DChart>
      <c:catAx>
        <c:axId val="477840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824767"/>
        <c:crosses val="autoZero"/>
        <c:auto val="1"/>
        <c:lblAlgn val="ctr"/>
        <c:lblOffset val="100"/>
        <c:noMultiLvlLbl val="0"/>
      </c:catAx>
      <c:valAx>
        <c:axId val="374824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840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sr-Latn-ME" sz="1200">
                <a:solidFill>
                  <a:sysClr val="windowText" lastClr="000000"/>
                </a:solidFill>
              </a:rPr>
              <a:t>Grafik 5:</a:t>
            </a:r>
            <a:r>
              <a:rPr lang="sr-Latn-ME" sz="1200" baseline="0">
                <a:solidFill>
                  <a:sysClr val="windowText" lastClr="000000"/>
                </a:solidFill>
              </a:rPr>
              <a:t> </a:t>
            </a:r>
            <a:r>
              <a:rPr lang="en-US" sz="1200">
                <a:solidFill>
                  <a:sysClr val="windowText" lastClr="000000"/>
                </a:solidFill>
              </a:rPr>
              <a:t>Poresko opterećenje rada (%)  na različite iznose zarada (u EUR)</a:t>
            </a:r>
            <a:r>
              <a:rPr lang="sr-Latn-ME" sz="1200">
                <a:solidFill>
                  <a:sysClr val="windowText" lastClr="000000"/>
                </a:solidFill>
              </a:rPr>
              <a:t> nakon poreske</a:t>
            </a:r>
            <a:r>
              <a:rPr lang="sr-Latn-ME" sz="1200" baseline="0">
                <a:solidFill>
                  <a:sysClr val="windowText" lastClr="000000"/>
                </a:solidFill>
              </a:rPr>
              <a:t> reforme od 1.1.2022.</a:t>
            </a:r>
            <a:r>
              <a:rPr lang="sr-Latn-ME" sz="1200">
                <a:solidFill>
                  <a:sysClr val="windowText" lastClr="000000"/>
                </a:solidFill>
              </a:rPr>
              <a:t>  </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Sheet1!$D$23</c:f>
              <c:strCache>
                <c:ptCount val="1"/>
                <c:pt idx="0">
                  <c:v>gg</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Sheet1!$C$24:$C$36</c:f>
              <c:numCache>
                <c:formatCode>General</c:formatCode>
                <c:ptCount val="13"/>
                <c:pt idx="0">
                  <c:v>100</c:v>
                </c:pt>
                <c:pt idx="1">
                  <c:v>450</c:v>
                </c:pt>
                <c:pt idx="2">
                  <c:v>550</c:v>
                </c:pt>
                <c:pt idx="3">
                  <c:v>650</c:v>
                </c:pt>
                <c:pt idx="4">
                  <c:v>750</c:v>
                </c:pt>
                <c:pt idx="5">
                  <c:v>850</c:v>
                </c:pt>
                <c:pt idx="6">
                  <c:v>950</c:v>
                </c:pt>
                <c:pt idx="7">
                  <c:v>1000</c:v>
                </c:pt>
                <c:pt idx="8">
                  <c:v>1250</c:v>
                </c:pt>
                <c:pt idx="9">
                  <c:v>1500</c:v>
                </c:pt>
                <c:pt idx="10">
                  <c:v>1750</c:v>
                </c:pt>
                <c:pt idx="11">
                  <c:v>2000</c:v>
                </c:pt>
                <c:pt idx="12">
                  <c:v>2250</c:v>
                </c:pt>
              </c:numCache>
            </c:numRef>
          </c:cat>
          <c:val>
            <c:numRef>
              <c:f>Sheet1!$D$24:$D$36</c:f>
              <c:numCache>
                <c:formatCode>General</c:formatCode>
                <c:ptCount val="13"/>
                <c:pt idx="0">
                  <c:v>20.399999999999999</c:v>
                </c:pt>
                <c:pt idx="1">
                  <c:v>20.399999999999999</c:v>
                </c:pt>
                <c:pt idx="2">
                  <c:v>20.399999999999999</c:v>
                </c:pt>
                <c:pt idx="3">
                  <c:v>21.4</c:v>
                </c:pt>
                <c:pt idx="4">
                  <c:v>22.6</c:v>
                </c:pt>
                <c:pt idx="5">
                  <c:v>23.8</c:v>
                </c:pt>
                <c:pt idx="6">
                  <c:v>25.3</c:v>
                </c:pt>
                <c:pt idx="7">
                  <c:v>25.9</c:v>
                </c:pt>
                <c:pt idx="8">
                  <c:v>28.2</c:v>
                </c:pt>
                <c:pt idx="9">
                  <c:v>29.6</c:v>
                </c:pt>
                <c:pt idx="10">
                  <c:v>30.6</c:v>
                </c:pt>
                <c:pt idx="11">
                  <c:v>31.3</c:v>
                </c:pt>
                <c:pt idx="12">
                  <c:v>31.8</c:v>
                </c:pt>
              </c:numCache>
            </c:numRef>
          </c:val>
          <c:smooth val="0"/>
          <c:extLst>
            <c:ext xmlns:c16="http://schemas.microsoft.com/office/drawing/2014/chart" uri="{C3380CC4-5D6E-409C-BE32-E72D297353CC}">
              <c16:uniqueId val="{00000000-0059-4CF4-B7BA-46750C9598C8}"/>
            </c:ext>
          </c:extLst>
        </c:ser>
        <c:dLbls>
          <c:showLegendKey val="0"/>
          <c:showVal val="0"/>
          <c:showCatName val="0"/>
          <c:showSerName val="0"/>
          <c:showPercent val="0"/>
          <c:showBubbleSize val="0"/>
        </c:dLbls>
        <c:smooth val="0"/>
        <c:axId val="476760655"/>
        <c:axId val="475644143"/>
      </c:lineChart>
      <c:catAx>
        <c:axId val="476760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644143"/>
        <c:crosses val="autoZero"/>
        <c:auto val="1"/>
        <c:lblAlgn val="ctr"/>
        <c:lblOffset val="100"/>
        <c:noMultiLvlLbl val="0"/>
      </c:catAx>
      <c:valAx>
        <c:axId val="475644143"/>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760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2039">
          <a:noFill/>
        </a:ln>
      </c:spPr>
      <c:txPr>
        <a:bodyPr rot="0" spcFirstLastPara="1" vertOverflow="ellipsis" vert="horz" wrap="square" anchor="ctr" anchorCtr="1"/>
        <a:lstStyle/>
        <a:p>
          <a:pPr>
            <a:defRPr sz="1562"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Odgovori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226E-4409-BDE9-8260AA2791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6E-4409-BDE9-8260AA2791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226E-4409-BDE9-8260AA2791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6E-4409-BDE9-8260AA27917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226E-4409-BDE9-8260AA27917C}"/>
              </c:ext>
            </c:extLst>
          </c:dPt>
          <c:dPt>
            <c:idx val="5"/>
            <c:bubble3D val="0"/>
            <c:extLst>
              <c:ext xmlns:c16="http://schemas.microsoft.com/office/drawing/2014/chart" uri="{C3380CC4-5D6E-409C-BE32-E72D297353CC}">
                <c16:uniqueId val="{00000005-226E-4409-BDE9-8260AA27917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68"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826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Biznis zajednica</c:v>
                </c:pt>
                <c:pt idx="1">
                  <c:v>Dražavni organi</c:v>
                </c:pt>
                <c:pt idx="2">
                  <c:v>JLS</c:v>
                </c:pt>
                <c:pt idx="3">
                  <c:v>Sindikati</c:v>
                </c:pt>
                <c:pt idx="4">
                  <c:v>Univerziteti </c:v>
                </c:pt>
                <c:pt idx="5">
                  <c:v>Mediji </c:v>
                </c:pt>
              </c:strCache>
            </c:strRef>
          </c:cat>
          <c:val>
            <c:numRef>
              <c:f>Sheet1!$B$2:$B$7</c:f>
              <c:numCache>
                <c:formatCode>General</c:formatCode>
                <c:ptCount val="6"/>
                <c:pt idx="0">
                  <c:v>12</c:v>
                </c:pt>
                <c:pt idx="1">
                  <c:v>7</c:v>
                </c:pt>
                <c:pt idx="2">
                  <c:v>2</c:v>
                </c:pt>
                <c:pt idx="3">
                  <c:v>2</c:v>
                </c:pt>
                <c:pt idx="4">
                  <c:v>3</c:v>
                </c:pt>
                <c:pt idx="5">
                  <c:v>2</c:v>
                </c:pt>
              </c:numCache>
            </c:numRef>
          </c:val>
          <c:extLst>
            <c:ext xmlns:c16="http://schemas.microsoft.com/office/drawing/2014/chart" uri="{C3380CC4-5D6E-409C-BE32-E72D297353CC}">
              <c16:uniqueId val="{00000006-226E-4409-BDE9-8260AA27917C}"/>
            </c:ext>
          </c:extLst>
        </c:ser>
        <c:dLbls>
          <c:showLegendKey val="0"/>
          <c:showVal val="0"/>
          <c:showCatName val="0"/>
          <c:showSerName val="0"/>
          <c:showPercent val="0"/>
          <c:showBubbleSize val="0"/>
          <c:showLeaderLines val="1"/>
        </c:dLbls>
        <c:firstSliceAng val="0"/>
      </c:pieChart>
      <c:spPr>
        <a:noFill/>
        <a:ln w="22039">
          <a:noFill/>
        </a:ln>
      </c:spPr>
    </c:plotArea>
    <c:legend>
      <c:legendPos val="r"/>
      <c:layout>
        <c:manualLayout>
          <c:xMode val="edge"/>
          <c:yMode val="edge"/>
          <c:x val="0.80622837370242217"/>
          <c:y val="0.38607594936708861"/>
          <c:w val="0.17301038062283736"/>
          <c:h val="0.344936708860759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81"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826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3" b="0" i="0" u="none" strike="noStrike" kern="1200" spc="0" baseline="0">
                <a:solidFill>
                  <a:schemeClr val="tx1">
                    <a:lumMod val="65000"/>
                    <a:lumOff val="35000"/>
                  </a:schemeClr>
                </a:solidFill>
                <a:latin typeface="+mn-lt"/>
                <a:ea typeface="+mn-ea"/>
                <a:cs typeface="+mn-cs"/>
              </a:defRPr>
            </a:pPr>
            <a:r>
              <a:rPr kumimoji="0" lang="sr-Latn-ME" sz="1403"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U kojoj mjeri postoji siva ekonomija </a:t>
            </a:r>
            <a:endParaRPr lang="en-US"/>
          </a:p>
        </c:rich>
      </c:tx>
      <c:overlay val="0"/>
      <c:spPr>
        <a:noFill/>
        <a:ln w="25463">
          <a:noFill/>
        </a:ln>
      </c:spPr>
    </c:title>
    <c:autoTitleDeleted val="0"/>
    <c:plotArea>
      <c:layout/>
      <c:barChart>
        <c:barDir val="col"/>
        <c:grouping val="stacked"/>
        <c:varyColors val="0"/>
        <c:ser>
          <c:idx val="0"/>
          <c:order val="0"/>
          <c:tx>
            <c:strRef>
              <c:f>Sheet1!$B$1</c:f>
              <c:strCache>
                <c:ptCount val="1"/>
                <c:pt idx="0">
                  <c:v>Series 1</c:v>
                </c:pt>
              </c:strCache>
            </c:strRef>
          </c:tx>
          <c:invertIfNegative val="0"/>
          <c:dPt>
            <c:idx val="0"/>
            <c:invertIfNegative val="0"/>
            <c:bubble3D val="0"/>
            <c:spPr>
              <a:solidFill>
                <a:srgbClr val="5B9BD5"/>
              </a:solidFill>
              <a:ln w="25463">
                <a:noFill/>
              </a:ln>
            </c:spPr>
            <c:extLst>
              <c:ext xmlns:c16="http://schemas.microsoft.com/office/drawing/2014/chart" uri="{C3380CC4-5D6E-409C-BE32-E72D297353CC}">
                <c16:uniqueId val="{00000000-B45D-4FBC-A3E3-7701D485A1EA}"/>
              </c:ext>
            </c:extLst>
          </c:dPt>
          <c:dPt>
            <c:idx val="1"/>
            <c:invertIfNegative val="0"/>
            <c:bubble3D val="0"/>
            <c:spPr>
              <a:solidFill>
                <a:srgbClr val="ED7D31"/>
              </a:solidFill>
              <a:ln w="25463">
                <a:noFill/>
              </a:ln>
            </c:spPr>
            <c:extLst>
              <c:ext xmlns:c16="http://schemas.microsoft.com/office/drawing/2014/chart" uri="{C3380CC4-5D6E-409C-BE32-E72D297353CC}">
                <c16:uniqueId val="{00000001-B45D-4FBC-A3E3-7701D485A1EA}"/>
              </c:ext>
            </c:extLst>
          </c:dPt>
          <c:dPt>
            <c:idx val="2"/>
            <c:invertIfNegative val="0"/>
            <c:bubble3D val="0"/>
            <c:spPr>
              <a:solidFill>
                <a:srgbClr val="A5A5A5"/>
              </a:solidFill>
              <a:ln w="25463">
                <a:noFill/>
              </a:ln>
            </c:spPr>
            <c:extLst>
              <c:ext xmlns:c16="http://schemas.microsoft.com/office/drawing/2014/chart" uri="{C3380CC4-5D6E-409C-BE32-E72D297353CC}">
                <c16:uniqueId val="{00000002-B45D-4FBC-A3E3-7701D485A1EA}"/>
              </c:ext>
            </c:extLst>
          </c:dPt>
          <c:dPt>
            <c:idx val="3"/>
            <c:invertIfNegative val="0"/>
            <c:bubble3D val="0"/>
            <c:spPr>
              <a:solidFill>
                <a:srgbClr val="FFC000"/>
              </a:solidFill>
              <a:ln w="25463">
                <a:noFill/>
              </a:ln>
            </c:spPr>
            <c:extLst>
              <c:ext xmlns:c16="http://schemas.microsoft.com/office/drawing/2014/chart" uri="{C3380CC4-5D6E-409C-BE32-E72D297353CC}">
                <c16:uniqueId val="{00000003-B45D-4FBC-A3E3-7701D485A1EA}"/>
              </c:ext>
            </c:extLst>
          </c:dPt>
          <c:dPt>
            <c:idx val="4"/>
            <c:invertIfNegative val="0"/>
            <c:bubble3D val="0"/>
            <c:spPr>
              <a:solidFill>
                <a:srgbClr val="4472C4"/>
              </a:solidFill>
              <a:ln w="25463">
                <a:noFill/>
              </a:ln>
            </c:spPr>
            <c:extLst>
              <c:ext xmlns:c16="http://schemas.microsoft.com/office/drawing/2014/chart" uri="{C3380CC4-5D6E-409C-BE32-E72D297353CC}">
                <c16:uniqueId val="{00000004-B45D-4FBC-A3E3-7701D485A1EA}"/>
              </c:ext>
            </c:extLst>
          </c:dPt>
          <c:cat>
            <c:strRef>
              <c:f>Sheet1!$A$2:$A$6</c:f>
              <c:strCache>
                <c:ptCount val="5"/>
                <c:pt idx="0">
                  <c:v>Postoji u velikoj mjeri </c:v>
                </c:pt>
                <c:pt idx="1">
                  <c:v>Postoji, ali samo u manjem dijelu</c:v>
                </c:pt>
                <c:pt idx="2">
                  <c:v>Ne postoje </c:v>
                </c:pt>
                <c:pt idx="3">
                  <c:v>Ne znam </c:v>
                </c:pt>
                <c:pt idx="4">
                  <c:v>Drugo </c:v>
                </c:pt>
              </c:strCache>
            </c:strRef>
          </c:cat>
          <c:val>
            <c:numRef>
              <c:f>Sheet1!$B$2:$B$6</c:f>
              <c:numCache>
                <c:formatCode>General</c:formatCode>
                <c:ptCount val="5"/>
                <c:pt idx="0">
                  <c:v>19</c:v>
                </c:pt>
                <c:pt idx="1">
                  <c:v>9</c:v>
                </c:pt>
                <c:pt idx="2">
                  <c:v>0</c:v>
                </c:pt>
                <c:pt idx="3">
                  <c:v>0</c:v>
                </c:pt>
                <c:pt idx="4">
                  <c:v>0</c:v>
                </c:pt>
              </c:numCache>
            </c:numRef>
          </c:val>
          <c:extLst>
            <c:ext xmlns:c16="http://schemas.microsoft.com/office/drawing/2014/chart" uri="{C3380CC4-5D6E-409C-BE32-E72D297353CC}">
              <c16:uniqueId val="{00000005-B45D-4FBC-A3E3-7701D485A1EA}"/>
            </c:ext>
          </c:extLst>
        </c:ser>
        <c:ser>
          <c:idx val="1"/>
          <c:order val="1"/>
          <c:tx>
            <c:strRef>
              <c:f>Sheet1!$C$1</c:f>
              <c:strCache>
                <c:ptCount val="1"/>
                <c:pt idx="0">
                  <c:v>Column1</c:v>
                </c:pt>
              </c:strCache>
            </c:strRef>
          </c:tx>
          <c:invertIfNegative val="0"/>
          <c:dPt>
            <c:idx val="0"/>
            <c:invertIfNegative val="0"/>
            <c:bubble3D val="0"/>
            <c:spPr>
              <a:solidFill>
                <a:srgbClr val="5B9BD5"/>
              </a:solidFill>
              <a:ln w="25463">
                <a:noFill/>
              </a:ln>
            </c:spPr>
            <c:extLst>
              <c:ext xmlns:c16="http://schemas.microsoft.com/office/drawing/2014/chart" uri="{C3380CC4-5D6E-409C-BE32-E72D297353CC}">
                <c16:uniqueId val="{00000006-B45D-4FBC-A3E3-7701D485A1EA}"/>
              </c:ext>
            </c:extLst>
          </c:dPt>
          <c:dPt>
            <c:idx val="1"/>
            <c:invertIfNegative val="0"/>
            <c:bubble3D val="0"/>
            <c:spPr>
              <a:solidFill>
                <a:srgbClr val="ED7D31"/>
              </a:solidFill>
              <a:ln w="25463">
                <a:noFill/>
              </a:ln>
            </c:spPr>
            <c:extLst>
              <c:ext xmlns:c16="http://schemas.microsoft.com/office/drawing/2014/chart" uri="{C3380CC4-5D6E-409C-BE32-E72D297353CC}">
                <c16:uniqueId val="{00000007-B45D-4FBC-A3E3-7701D485A1EA}"/>
              </c:ext>
            </c:extLst>
          </c:dPt>
          <c:dPt>
            <c:idx val="2"/>
            <c:invertIfNegative val="0"/>
            <c:bubble3D val="0"/>
            <c:spPr>
              <a:solidFill>
                <a:srgbClr val="A5A5A5"/>
              </a:solidFill>
              <a:ln w="25463">
                <a:noFill/>
              </a:ln>
            </c:spPr>
            <c:extLst>
              <c:ext xmlns:c16="http://schemas.microsoft.com/office/drawing/2014/chart" uri="{C3380CC4-5D6E-409C-BE32-E72D297353CC}">
                <c16:uniqueId val="{00000008-B45D-4FBC-A3E3-7701D485A1EA}"/>
              </c:ext>
            </c:extLst>
          </c:dPt>
          <c:dPt>
            <c:idx val="3"/>
            <c:invertIfNegative val="0"/>
            <c:bubble3D val="0"/>
            <c:spPr>
              <a:solidFill>
                <a:srgbClr val="FFC000"/>
              </a:solidFill>
              <a:ln w="25463">
                <a:noFill/>
              </a:ln>
            </c:spPr>
            <c:extLst>
              <c:ext xmlns:c16="http://schemas.microsoft.com/office/drawing/2014/chart" uri="{C3380CC4-5D6E-409C-BE32-E72D297353CC}">
                <c16:uniqueId val="{00000009-B45D-4FBC-A3E3-7701D485A1EA}"/>
              </c:ext>
            </c:extLst>
          </c:dPt>
          <c:dPt>
            <c:idx val="4"/>
            <c:invertIfNegative val="0"/>
            <c:bubble3D val="0"/>
            <c:spPr>
              <a:solidFill>
                <a:srgbClr val="4472C4"/>
              </a:solidFill>
              <a:ln w="25463">
                <a:noFill/>
              </a:ln>
            </c:spPr>
            <c:extLst>
              <c:ext xmlns:c16="http://schemas.microsoft.com/office/drawing/2014/chart" uri="{C3380CC4-5D6E-409C-BE32-E72D297353CC}">
                <c16:uniqueId val="{0000000A-B45D-4FBC-A3E3-7701D485A1EA}"/>
              </c:ext>
            </c:extLst>
          </c:dPt>
          <c:cat>
            <c:strRef>
              <c:f>Sheet1!$A$2:$A$6</c:f>
              <c:strCache>
                <c:ptCount val="5"/>
                <c:pt idx="0">
                  <c:v>Postoji u velikoj mjeri </c:v>
                </c:pt>
                <c:pt idx="1">
                  <c:v>Postoji, ali samo u manjem dijelu</c:v>
                </c:pt>
                <c:pt idx="2">
                  <c:v>Ne postoje </c:v>
                </c:pt>
                <c:pt idx="3">
                  <c:v>Ne znam </c:v>
                </c:pt>
                <c:pt idx="4">
                  <c:v>Drugo </c:v>
                </c:pt>
              </c:strCache>
            </c:strRef>
          </c:cat>
          <c:val>
            <c:numRef>
              <c:f>Sheet1!$C$2:$C$6</c:f>
              <c:numCache>
                <c:formatCode>General</c:formatCode>
                <c:ptCount val="5"/>
              </c:numCache>
            </c:numRef>
          </c:val>
          <c:extLst>
            <c:ext xmlns:c16="http://schemas.microsoft.com/office/drawing/2014/chart" uri="{C3380CC4-5D6E-409C-BE32-E72D297353CC}">
              <c16:uniqueId val="{0000000B-B45D-4FBC-A3E3-7701D485A1EA}"/>
            </c:ext>
          </c:extLst>
        </c:ser>
        <c:ser>
          <c:idx val="2"/>
          <c:order val="2"/>
          <c:tx>
            <c:strRef>
              <c:f>Sheet1!$D$1</c:f>
              <c:strCache>
                <c:ptCount val="1"/>
                <c:pt idx="0">
                  <c:v>Column2</c:v>
                </c:pt>
              </c:strCache>
            </c:strRef>
          </c:tx>
          <c:invertIfNegative val="0"/>
          <c:dPt>
            <c:idx val="0"/>
            <c:invertIfNegative val="0"/>
            <c:bubble3D val="0"/>
            <c:spPr>
              <a:solidFill>
                <a:srgbClr val="5B9BD5"/>
              </a:solidFill>
              <a:ln w="25463">
                <a:noFill/>
              </a:ln>
            </c:spPr>
            <c:extLst>
              <c:ext xmlns:c16="http://schemas.microsoft.com/office/drawing/2014/chart" uri="{C3380CC4-5D6E-409C-BE32-E72D297353CC}">
                <c16:uniqueId val="{0000000C-B45D-4FBC-A3E3-7701D485A1EA}"/>
              </c:ext>
            </c:extLst>
          </c:dPt>
          <c:dPt>
            <c:idx val="1"/>
            <c:invertIfNegative val="0"/>
            <c:bubble3D val="0"/>
            <c:spPr>
              <a:solidFill>
                <a:srgbClr val="ED7D31"/>
              </a:solidFill>
              <a:ln w="25463">
                <a:noFill/>
              </a:ln>
            </c:spPr>
            <c:extLst>
              <c:ext xmlns:c16="http://schemas.microsoft.com/office/drawing/2014/chart" uri="{C3380CC4-5D6E-409C-BE32-E72D297353CC}">
                <c16:uniqueId val="{0000000D-B45D-4FBC-A3E3-7701D485A1EA}"/>
              </c:ext>
            </c:extLst>
          </c:dPt>
          <c:dPt>
            <c:idx val="2"/>
            <c:invertIfNegative val="0"/>
            <c:bubble3D val="0"/>
            <c:spPr>
              <a:solidFill>
                <a:srgbClr val="A5A5A5"/>
              </a:solidFill>
              <a:ln w="25463">
                <a:noFill/>
              </a:ln>
            </c:spPr>
            <c:extLst>
              <c:ext xmlns:c16="http://schemas.microsoft.com/office/drawing/2014/chart" uri="{C3380CC4-5D6E-409C-BE32-E72D297353CC}">
                <c16:uniqueId val="{0000000E-B45D-4FBC-A3E3-7701D485A1EA}"/>
              </c:ext>
            </c:extLst>
          </c:dPt>
          <c:dPt>
            <c:idx val="3"/>
            <c:invertIfNegative val="0"/>
            <c:bubble3D val="0"/>
            <c:spPr>
              <a:solidFill>
                <a:srgbClr val="FFC000"/>
              </a:solidFill>
              <a:ln w="25463">
                <a:noFill/>
              </a:ln>
            </c:spPr>
            <c:extLst>
              <c:ext xmlns:c16="http://schemas.microsoft.com/office/drawing/2014/chart" uri="{C3380CC4-5D6E-409C-BE32-E72D297353CC}">
                <c16:uniqueId val="{0000000F-B45D-4FBC-A3E3-7701D485A1EA}"/>
              </c:ext>
            </c:extLst>
          </c:dPt>
          <c:dPt>
            <c:idx val="4"/>
            <c:invertIfNegative val="0"/>
            <c:bubble3D val="0"/>
            <c:spPr>
              <a:solidFill>
                <a:srgbClr val="4472C4"/>
              </a:solidFill>
              <a:ln w="25463">
                <a:noFill/>
              </a:ln>
            </c:spPr>
            <c:extLst>
              <c:ext xmlns:c16="http://schemas.microsoft.com/office/drawing/2014/chart" uri="{C3380CC4-5D6E-409C-BE32-E72D297353CC}">
                <c16:uniqueId val="{00000010-B45D-4FBC-A3E3-7701D485A1EA}"/>
              </c:ext>
            </c:extLst>
          </c:dPt>
          <c:cat>
            <c:strRef>
              <c:f>Sheet1!$A$2:$A$6</c:f>
              <c:strCache>
                <c:ptCount val="5"/>
                <c:pt idx="0">
                  <c:v>Postoji u velikoj mjeri </c:v>
                </c:pt>
                <c:pt idx="1">
                  <c:v>Postoji, ali samo u manjem dijelu</c:v>
                </c:pt>
                <c:pt idx="2">
                  <c:v>Ne postoje </c:v>
                </c:pt>
                <c:pt idx="3">
                  <c:v>Ne znam </c:v>
                </c:pt>
                <c:pt idx="4">
                  <c:v>Drugo </c:v>
                </c:pt>
              </c:strCache>
            </c:strRef>
          </c:cat>
          <c:val>
            <c:numRef>
              <c:f>Sheet1!$D$2:$D$6</c:f>
              <c:numCache>
                <c:formatCode>General</c:formatCode>
                <c:ptCount val="5"/>
              </c:numCache>
            </c:numRef>
          </c:val>
          <c:extLst>
            <c:ext xmlns:c16="http://schemas.microsoft.com/office/drawing/2014/chart" uri="{C3380CC4-5D6E-409C-BE32-E72D297353CC}">
              <c16:uniqueId val="{00000011-B45D-4FBC-A3E3-7701D485A1EA}"/>
            </c:ext>
          </c:extLst>
        </c:ser>
        <c:dLbls>
          <c:showLegendKey val="0"/>
          <c:showVal val="0"/>
          <c:showCatName val="0"/>
          <c:showSerName val="0"/>
          <c:showPercent val="0"/>
          <c:showBubbleSize val="0"/>
        </c:dLbls>
        <c:gapWidth val="100"/>
        <c:overlap val="100"/>
        <c:axId val="933161392"/>
        <c:axId val="1"/>
      </c:barChart>
      <c:catAx>
        <c:axId val="93316139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933161392"/>
        <c:crosses val="autoZero"/>
        <c:crossBetween val="between"/>
      </c:valAx>
      <c:spPr>
        <a:noFill/>
        <a:ln w="25463">
          <a:noFill/>
        </a:ln>
      </c:spPr>
    </c:plotArea>
    <c:plotVisOnly val="1"/>
    <c:dispBlanksAs val="gap"/>
    <c:showDLblsOverMax val="0"/>
  </c:chart>
  <c:spPr>
    <a:solidFill>
      <a:schemeClr val="bg1"/>
    </a:solidFill>
    <a:ln w="954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sr-Latn-ME"/>
              <a:t>Uzroci</a:t>
            </a:r>
            <a:r>
              <a:rPr lang="sr-Latn-ME" baseline="0"/>
              <a:t> sive ekonomije</a:t>
            </a:r>
            <a:endParaRPr lang="en-US"/>
          </a:p>
        </c:rich>
      </c:tx>
      <c:overlay val="0"/>
      <c:spPr>
        <a:noFill/>
        <a:ln w="25421">
          <a:noFill/>
        </a:ln>
      </c:spPr>
    </c:title>
    <c:autoTitleDeleted val="0"/>
    <c:plotArea>
      <c:layout/>
      <c:barChart>
        <c:barDir val="col"/>
        <c:grouping val="clustered"/>
        <c:varyColors val="0"/>
        <c:ser>
          <c:idx val="0"/>
          <c:order val="0"/>
          <c:tx>
            <c:strRef>
              <c:f>Sheet1!$B$1</c:f>
              <c:strCache>
                <c:ptCount val="1"/>
                <c:pt idx="0">
                  <c:v>Ocjene </c:v>
                </c:pt>
              </c:strCache>
            </c:strRef>
          </c:tx>
          <c:spPr>
            <a:solidFill>
              <a:srgbClr val="5B9BD5"/>
            </a:solidFill>
            <a:ln w="25421">
              <a:noFill/>
            </a:ln>
          </c:spPr>
          <c:invertIfNegative val="0"/>
          <c:cat>
            <c:strRef>
              <c:f>Sheet1!$A$2:$A$10</c:f>
              <c:strCache>
                <c:ptCount val="9"/>
                <c:pt idx="0">
                  <c:v>Poresko opterećenje</c:v>
                </c:pt>
                <c:pt idx="1">
                  <c:v>Parafiskaliteti </c:v>
                </c:pt>
                <c:pt idx="2">
                  <c:v>Neefikasna javna uprava</c:v>
                </c:pt>
                <c:pt idx="3">
                  <c:v>Soc.politika</c:v>
                </c:pt>
                <c:pt idx="4">
                  <c:v>Vis.min.zarade</c:v>
                </c:pt>
                <c:pt idx="5">
                  <c:v>Visoke otpremnine</c:v>
                </c:pt>
                <c:pt idx="6">
                  <c:v>"Poreski moral"</c:v>
                </c:pt>
                <c:pt idx="7">
                  <c:v>Neloj. Konkurencija</c:v>
                </c:pt>
                <c:pt idx="8">
                  <c:v>Drugo</c:v>
                </c:pt>
              </c:strCache>
            </c:strRef>
          </c:cat>
          <c:val>
            <c:numRef>
              <c:f>Sheet1!$B$2:$B$10</c:f>
              <c:numCache>
                <c:formatCode>General</c:formatCode>
                <c:ptCount val="9"/>
                <c:pt idx="0">
                  <c:v>14</c:v>
                </c:pt>
                <c:pt idx="1">
                  <c:v>8</c:v>
                </c:pt>
                <c:pt idx="2">
                  <c:v>15</c:v>
                </c:pt>
                <c:pt idx="3">
                  <c:v>5</c:v>
                </c:pt>
                <c:pt idx="4">
                  <c:v>1</c:v>
                </c:pt>
                <c:pt idx="5">
                  <c:v>2</c:v>
                </c:pt>
                <c:pt idx="6">
                  <c:v>21</c:v>
                </c:pt>
                <c:pt idx="7">
                  <c:v>16</c:v>
                </c:pt>
                <c:pt idx="8">
                  <c:v>13</c:v>
                </c:pt>
              </c:numCache>
            </c:numRef>
          </c:val>
          <c:extLst>
            <c:ext xmlns:c16="http://schemas.microsoft.com/office/drawing/2014/chart" uri="{C3380CC4-5D6E-409C-BE32-E72D297353CC}">
              <c16:uniqueId val="{00000000-3EC9-406F-8F6D-0C5318A34914}"/>
            </c:ext>
          </c:extLst>
        </c:ser>
        <c:ser>
          <c:idx val="1"/>
          <c:order val="1"/>
          <c:tx>
            <c:strRef>
              <c:f>Sheet1!$C$1</c:f>
              <c:strCache>
                <c:ptCount val="1"/>
                <c:pt idx="0">
                  <c:v>Column1</c:v>
                </c:pt>
              </c:strCache>
            </c:strRef>
          </c:tx>
          <c:spPr>
            <a:solidFill>
              <a:srgbClr val="ED7D31"/>
            </a:solidFill>
            <a:ln w="25421">
              <a:noFill/>
            </a:ln>
          </c:spPr>
          <c:invertIfNegative val="0"/>
          <c:cat>
            <c:strRef>
              <c:f>Sheet1!$A$2:$A$10</c:f>
              <c:strCache>
                <c:ptCount val="9"/>
                <c:pt idx="0">
                  <c:v>Poresko opterećenje</c:v>
                </c:pt>
                <c:pt idx="1">
                  <c:v>Parafiskaliteti </c:v>
                </c:pt>
                <c:pt idx="2">
                  <c:v>Neefikasna javna uprava</c:v>
                </c:pt>
                <c:pt idx="3">
                  <c:v>Soc.politika</c:v>
                </c:pt>
                <c:pt idx="4">
                  <c:v>Vis.min.zarade</c:v>
                </c:pt>
                <c:pt idx="5">
                  <c:v>Visoke otpremnine</c:v>
                </c:pt>
                <c:pt idx="6">
                  <c:v>"Poreski moral"</c:v>
                </c:pt>
                <c:pt idx="7">
                  <c:v>Neloj. Konkurencija</c:v>
                </c:pt>
                <c:pt idx="8">
                  <c:v>Drugo</c:v>
                </c:pt>
              </c:strCache>
            </c:strRef>
          </c:cat>
          <c:val>
            <c:numRef>
              <c:f>Sheet1!$C$2:$C$10</c:f>
              <c:numCache>
                <c:formatCode>General</c:formatCode>
                <c:ptCount val="9"/>
              </c:numCache>
            </c:numRef>
          </c:val>
          <c:extLst>
            <c:ext xmlns:c16="http://schemas.microsoft.com/office/drawing/2014/chart" uri="{C3380CC4-5D6E-409C-BE32-E72D297353CC}">
              <c16:uniqueId val="{00000001-3EC9-406F-8F6D-0C5318A34914}"/>
            </c:ext>
          </c:extLst>
        </c:ser>
        <c:ser>
          <c:idx val="2"/>
          <c:order val="2"/>
          <c:tx>
            <c:strRef>
              <c:f>Sheet1!$D$1</c:f>
              <c:strCache>
                <c:ptCount val="1"/>
                <c:pt idx="0">
                  <c:v>Column2</c:v>
                </c:pt>
              </c:strCache>
            </c:strRef>
          </c:tx>
          <c:spPr>
            <a:solidFill>
              <a:srgbClr val="A5A5A5"/>
            </a:solidFill>
            <a:ln w="25421">
              <a:noFill/>
            </a:ln>
          </c:spPr>
          <c:invertIfNegative val="0"/>
          <c:cat>
            <c:strRef>
              <c:f>Sheet1!$A$2:$A$10</c:f>
              <c:strCache>
                <c:ptCount val="9"/>
                <c:pt idx="0">
                  <c:v>Poresko opterećenje</c:v>
                </c:pt>
                <c:pt idx="1">
                  <c:v>Parafiskaliteti </c:v>
                </c:pt>
                <c:pt idx="2">
                  <c:v>Neefikasna javna uprava</c:v>
                </c:pt>
                <c:pt idx="3">
                  <c:v>Soc.politika</c:v>
                </c:pt>
                <c:pt idx="4">
                  <c:v>Vis.min.zarade</c:v>
                </c:pt>
                <c:pt idx="5">
                  <c:v>Visoke otpremnine</c:v>
                </c:pt>
                <c:pt idx="6">
                  <c:v>"Poreski moral"</c:v>
                </c:pt>
                <c:pt idx="7">
                  <c:v>Neloj. Konkurencija</c:v>
                </c:pt>
                <c:pt idx="8">
                  <c:v>Drugo</c:v>
                </c:pt>
              </c:strCache>
            </c:strRef>
          </c:cat>
          <c:val>
            <c:numRef>
              <c:f>Sheet1!$D$2:$D$10</c:f>
              <c:numCache>
                <c:formatCode>General</c:formatCode>
                <c:ptCount val="9"/>
              </c:numCache>
            </c:numRef>
          </c:val>
          <c:extLst>
            <c:ext xmlns:c16="http://schemas.microsoft.com/office/drawing/2014/chart" uri="{C3380CC4-5D6E-409C-BE32-E72D297353CC}">
              <c16:uniqueId val="{00000002-3EC9-406F-8F6D-0C5318A34914}"/>
            </c:ext>
          </c:extLst>
        </c:ser>
        <c:dLbls>
          <c:showLegendKey val="0"/>
          <c:showVal val="0"/>
          <c:showCatName val="0"/>
          <c:showSerName val="0"/>
          <c:showPercent val="0"/>
          <c:showBubbleSize val="0"/>
        </c:dLbls>
        <c:gapWidth val="219"/>
        <c:overlap val="-27"/>
        <c:axId val="934067200"/>
        <c:axId val="1"/>
      </c:barChart>
      <c:catAx>
        <c:axId val="934067200"/>
        <c:scaling>
          <c:orientation val="minMax"/>
        </c:scaling>
        <c:delete val="0"/>
        <c:axPos val="b"/>
        <c:numFmt formatCode="General" sourceLinked="1"/>
        <c:majorTickMark val="none"/>
        <c:minorTickMark val="none"/>
        <c:tickLblPos val="nextTo"/>
        <c:spPr>
          <a:noFill/>
          <a:ln w="9533"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33" cap="flat" cmpd="sng" algn="ctr">
              <a:solidFill>
                <a:schemeClr val="tx1">
                  <a:lumMod val="15000"/>
                  <a:lumOff val="85000"/>
                </a:schemeClr>
              </a:solidFill>
              <a:round/>
            </a:ln>
            <a:effectLst/>
          </c:spPr>
        </c:majorGridlines>
        <c:numFmt formatCode="General" sourceLinked="1"/>
        <c:majorTickMark val="none"/>
        <c:minorTickMark val="none"/>
        <c:tickLblPos val="nextTo"/>
        <c:spPr>
          <a:ln w="6355">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934067200"/>
        <c:crosses val="autoZero"/>
        <c:crossBetween val="between"/>
      </c:valAx>
      <c:spPr>
        <a:noFill/>
        <a:ln w="25421">
          <a:noFill/>
        </a:ln>
      </c:spPr>
    </c:plotArea>
    <c:plotVisOnly val="1"/>
    <c:dispBlanksAs val="gap"/>
    <c:showDLblsOverMax val="0"/>
  </c:chart>
  <c:spPr>
    <a:solidFill>
      <a:schemeClr val="bg1"/>
    </a:solidFill>
    <a:ln w="953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3" b="0" i="0" u="none" strike="noStrike" kern="1200" spc="0" baseline="0">
                <a:solidFill>
                  <a:schemeClr val="tx1">
                    <a:lumMod val="65000"/>
                    <a:lumOff val="35000"/>
                  </a:schemeClr>
                </a:solidFill>
                <a:latin typeface="+mn-lt"/>
                <a:ea typeface="+mn-ea"/>
                <a:cs typeface="+mn-cs"/>
              </a:defRPr>
            </a:pPr>
            <a:r>
              <a:rPr lang="sr-Latn-ME"/>
              <a:t>Predlog</a:t>
            </a:r>
            <a:r>
              <a:rPr lang="sr-Latn-ME" baseline="0"/>
              <a:t> indikatora za praćenje Programa</a:t>
            </a:r>
            <a:endParaRPr lang="en-US"/>
          </a:p>
        </c:rich>
      </c:tx>
      <c:overlay val="0"/>
      <c:spPr>
        <a:noFill/>
        <a:ln w="25450">
          <a:noFill/>
        </a:ln>
      </c:spPr>
    </c:title>
    <c:autoTitleDeleted val="0"/>
    <c:plotArea>
      <c:layout/>
      <c:barChart>
        <c:barDir val="col"/>
        <c:grouping val="clustered"/>
        <c:varyColors val="0"/>
        <c:ser>
          <c:idx val="0"/>
          <c:order val="0"/>
          <c:tx>
            <c:strRef>
              <c:f>Sheet1!$B$1</c:f>
              <c:strCache>
                <c:ptCount val="1"/>
              </c:strCache>
            </c:strRef>
          </c:tx>
          <c:spPr>
            <a:solidFill>
              <a:srgbClr val="5B9BD5"/>
            </a:solidFill>
            <a:ln w="25450">
              <a:noFill/>
            </a:ln>
          </c:spPr>
          <c:invertIfNegative val="0"/>
          <c:dLbls>
            <c:spPr>
              <a:noFill/>
              <a:ln w="25450">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Visina poreskih stopa</c:v>
                </c:pt>
                <c:pt idx="1">
                  <c:v>Prihod od poreza</c:v>
                </c:pt>
                <c:pt idx="2">
                  <c:v>Prihod od akciza</c:v>
                </c:pt>
                <c:pt idx="3">
                  <c:v>Stopa form.zaposlenosti</c:v>
                </c:pt>
                <c:pt idx="4">
                  <c:v>Broj registrovanih PS</c:v>
                </c:pt>
                <c:pt idx="5">
                  <c:v>Broj izdatih prekršajnih naloga</c:v>
                </c:pt>
                <c:pt idx="6">
                  <c:v>Ostalo</c:v>
                </c:pt>
              </c:strCache>
            </c:strRef>
          </c:cat>
          <c:val>
            <c:numRef>
              <c:f>Sheet1!$B$2:$B$8</c:f>
              <c:numCache>
                <c:formatCode>General</c:formatCode>
                <c:ptCount val="7"/>
                <c:pt idx="0">
                  <c:v>9</c:v>
                </c:pt>
                <c:pt idx="1">
                  <c:v>14</c:v>
                </c:pt>
                <c:pt idx="2">
                  <c:v>9</c:v>
                </c:pt>
                <c:pt idx="3">
                  <c:v>20</c:v>
                </c:pt>
                <c:pt idx="4">
                  <c:v>13</c:v>
                </c:pt>
                <c:pt idx="5">
                  <c:v>14</c:v>
                </c:pt>
                <c:pt idx="6">
                  <c:v>0</c:v>
                </c:pt>
              </c:numCache>
            </c:numRef>
          </c:val>
          <c:extLst>
            <c:ext xmlns:c16="http://schemas.microsoft.com/office/drawing/2014/chart" uri="{C3380CC4-5D6E-409C-BE32-E72D297353CC}">
              <c16:uniqueId val="{00000000-B414-4511-9977-21F6DFEDA996}"/>
            </c:ext>
          </c:extLst>
        </c:ser>
        <c:ser>
          <c:idx val="1"/>
          <c:order val="1"/>
          <c:tx>
            <c:strRef>
              <c:f>Sheet1!$C$1</c:f>
              <c:strCache>
                <c:ptCount val="1"/>
              </c:strCache>
            </c:strRef>
          </c:tx>
          <c:spPr>
            <a:solidFill>
              <a:srgbClr val="ED7D31"/>
            </a:solidFill>
            <a:ln w="25450">
              <a:noFill/>
            </a:ln>
          </c:spPr>
          <c:invertIfNegative val="0"/>
          <c:dLbls>
            <c:spPr>
              <a:noFill/>
              <a:ln w="25450">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Visina poreskih stopa</c:v>
                </c:pt>
                <c:pt idx="1">
                  <c:v>Prihod od poreza</c:v>
                </c:pt>
                <c:pt idx="2">
                  <c:v>Prihod od akciza</c:v>
                </c:pt>
                <c:pt idx="3">
                  <c:v>Stopa form.zaposlenosti</c:v>
                </c:pt>
                <c:pt idx="4">
                  <c:v>Broj registrovanih PS</c:v>
                </c:pt>
                <c:pt idx="5">
                  <c:v>Broj izdatih prekršajnih naloga</c:v>
                </c:pt>
                <c:pt idx="6">
                  <c:v>Ostalo</c:v>
                </c:pt>
              </c:strCache>
            </c:strRef>
          </c:cat>
          <c:val>
            <c:numRef>
              <c:f>Sheet1!$C$2:$C$8</c:f>
              <c:numCache>
                <c:formatCode>General</c:formatCode>
                <c:ptCount val="7"/>
              </c:numCache>
            </c:numRef>
          </c:val>
          <c:extLst>
            <c:ext xmlns:c16="http://schemas.microsoft.com/office/drawing/2014/chart" uri="{C3380CC4-5D6E-409C-BE32-E72D297353CC}">
              <c16:uniqueId val="{00000001-B414-4511-9977-21F6DFEDA996}"/>
            </c:ext>
          </c:extLst>
        </c:ser>
        <c:ser>
          <c:idx val="2"/>
          <c:order val="2"/>
          <c:tx>
            <c:strRef>
              <c:f>Sheet1!$D$1</c:f>
              <c:strCache>
                <c:ptCount val="1"/>
              </c:strCache>
            </c:strRef>
          </c:tx>
          <c:spPr>
            <a:solidFill>
              <a:srgbClr val="A5A5A5"/>
            </a:solidFill>
            <a:ln w="25450">
              <a:noFill/>
            </a:ln>
          </c:spPr>
          <c:invertIfNegative val="0"/>
          <c:dLbls>
            <c:spPr>
              <a:noFill/>
              <a:ln w="25450">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Visina poreskih stopa</c:v>
                </c:pt>
                <c:pt idx="1">
                  <c:v>Prihod od poreza</c:v>
                </c:pt>
                <c:pt idx="2">
                  <c:v>Prihod od akciza</c:v>
                </c:pt>
                <c:pt idx="3">
                  <c:v>Stopa form.zaposlenosti</c:v>
                </c:pt>
                <c:pt idx="4">
                  <c:v>Broj registrovanih PS</c:v>
                </c:pt>
                <c:pt idx="5">
                  <c:v>Broj izdatih prekršajnih naloga</c:v>
                </c:pt>
                <c:pt idx="6">
                  <c:v>Ostalo</c:v>
                </c:pt>
              </c:strCache>
            </c:strRef>
          </c:cat>
          <c:val>
            <c:numRef>
              <c:f>Sheet1!$D$2:$D$8</c:f>
              <c:numCache>
                <c:formatCode>General</c:formatCode>
                <c:ptCount val="7"/>
              </c:numCache>
            </c:numRef>
          </c:val>
          <c:extLst>
            <c:ext xmlns:c16="http://schemas.microsoft.com/office/drawing/2014/chart" uri="{C3380CC4-5D6E-409C-BE32-E72D297353CC}">
              <c16:uniqueId val="{00000002-B414-4511-9977-21F6DFEDA996}"/>
            </c:ext>
          </c:extLst>
        </c:ser>
        <c:dLbls>
          <c:showLegendKey val="0"/>
          <c:showVal val="0"/>
          <c:showCatName val="0"/>
          <c:showSerName val="0"/>
          <c:showPercent val="0"/>
          <c:showBubbleSize val="0"/>
        </c:dLbls>
        <c:gapWidth val="219"/>
        <c:overlap val="-27"/>
        <c:axId val="928351536"/>
        <c:axId val="1"/>
      </c:barChart>
      <c:catAx>
        <c:axId val="928351536"/>
        <c:scaling>
          <c:orientation val="minMax"/>
        </c:scaling>
        <c:delete val="0"/>
        <c:axPos val="b"/>
        <c:numFmt formatCode="General" sourceLinked="1"/>
        <c:majorTickMark val="none"/>
        <c:minorTickMark val="none"/>
        <c:tickLblPos val="nextTo"/>
        <c:spPr>
          <a:noFill/>
          <a:ln w="9544" cap="flat" cmpd="sng" algn="ctr">
            <a:solidFill>
              <a:schemeClr val="tx1">
                <a:lumMod val="15000"/>
                <a:lumOff val="85000"/>
              </a:schemeClr>
            </a:solidFill>
            <a:round/>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44" cap="flat" cmpd="sng" algn="ctr">
              <a:solidFill>
                <a:schemeClr val="tx1">
                  <a:lumMod val="15000"/>
                  <a:lumOff val="85000"/>
                </a:schemeClr>
              </a:solidFill>
              <a:round/>
            </a:ln>
            <a:effectLst/>
          </c:spPr>
        </c:majorGridlines>
        <c:numFmt formatCode="General" sourceLinked="1"/>
        <c:majorTickMark val="none"/>
        <c:minorTickMark val="none"/>
        <c:tickLblPos val="nextTo"/>
        <c:spPr>
          <a:ln w="6363">
            <a:noFill/>
          </a:ln>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n-US"/>
          </a:p>
        </c:txPr>
        <c:crossAx val="928351536"/>
        <c:crosses val="autoZero"/>
        <c:crossBetween val="between"/>
      </c:valAx>
      <c:spPr>
        <a:noFill/>
        <a:ln w="25450">
          <a:noFill/>
        </a:ln>
      </c:spPr>
    </c:plotArea>
    <c:plotVisOnly val="1"/>
    <c:dispBlanksAs val="gap"/>
    <c:showDLblsOverMax val="0"/>
  </c:chart>
  <c:spPr>
    <a:solidFill>
      <a:schemeClr val="bg1"/>
    </a:solidFill>
    <a:ln w="954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2269F3-8815-40C9-98E8-967B28782CC1}" type="doc">
      <dgm:prSet loTypeId="urn:microsoft.com/office/officeart/2005/8/layout/vList4" loCatId="picture" qsTypeId="urn:microsoft.com/office/officeart/2005/8/quickstyle/simple2" qsCatId="simple" csTypeId="urn:microsoft.com/office/officeart/2005/8/colors/accent5_1" csCatId="accent5" phldr="1"/>
      <dgm:spPr/>
      <dgm:t>
        <a:bodyPr/>
        <a:lstStyle/>
        <a:p>
          <a:endParaRPr lang="en-US"/>
        </a:p>
      </dgm:t>
    </dgm:pt>
    <dgm:pt modelId="{612E34B1-9E78-48FD-81CA-24A4DAA90C12}">
      <dgm:prSet phldrT="[Text]" custT="1"/>
      <dgm:spPr/>
      <dgm:t>
        <a:bodyPr/>
        <a:lstStyle/>
        <a:p>
          <a:pPr algn="ctr"/>
          <a:r>
            <a:rPr lang="sr-Latn-ME" sz="900" b="1">
              <a:latin typeface="Calibri" panose="020F0502020204030204" pitchFamily="34" charset="0"/>
              <a:ea typeface="Calibri" panose="020F0502020204030204" pitchFamily="34" charset="0"/>
              <a:cs typeface="Calibri" panose="020F0502020204030204" pitchFamily="34" charset="0"/>
            </a:rPr>
            <a:t>Krovna strateška dokumenta </a:t>
          </a:r>
          <a:endParaRPr lang="en-US" sz="900" b="1">
            <a:latin typeface="Calibri" panose="020F0502020204030204" pitchFamily="34" charset="0"/>
            <a:ea typeface="Calibri" panose="020F0502020204030204" pitchFamily="34" charset="0"/>
            <a:cs typeface="Calibri" panose="020F0502020204030204" pitchFamily="34" charset="0"/>
          </a:endParaRPr>
        </a:p>
      </dgm:t>
    </dgm:pt>
    <dgm:pt modelId="{863D82F7-1C3D-4CEB-8BAB-92CDD3953CCE}" type="parTrans" cxnId="{6B436BBF-C7E9-48EC-8390-FCEB472CFAD5}">
      <dgm:prSet/>
      <dgm:spPr/>
      <dgm:t>
        <a:bodyPr/>
        <a:lstStyle/>
        <a:p>
          <a:endParaRPr lang="en-US"/>
        </a:p>
      </dgm:t>
    </dgm:pt>
    <dgm:pt modelId="{F35D4A2E-F97F-4632-AB27-FF397B2A9DEB}" type="sibTrans" cxnId="{6B436BBF-C7E9-48EC-8390-FCEB472CFAD5}">
      <dgm:prSet/>
      <dgm:spPr/>
      <dgm:t>
        <a:bodyPr/>
        <a:lstStyle/>
        <a:p>
          <a:endParaRPr lang="en-US"/>
        </a:p>
      </dgm:t>
    </dgm:pt>
    <dgm:pt modelId="{592E8AF3-986C-468E-AEB5-0349F6B8A69E}">
      <dgm:prSet phldrT="[Tex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Fiskalna strategija Crne Gore od 2021-2024.godine</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4BAFFC71-4DB3-42F4-8769-D90A90D214B8}" type="parTrans" cxnId="{2AF96468-0FC8-436C-99A1-28E1C4BB36A9}">
      <dgm:prSet/>
      <dgm:spPr/>
      <dgm:t>
        <a:bodyPr/>
        <a:lstStyle/>
        <a:p>
          <a:endParaRPr lang="en-US"/>
        </a:p>
      </dgm:t>
    </dgm:pt>
    <dgm:pt modelId="{27C379B4-5B21-4159-BB20-443D86F09896}" type="sibTrans" cxnId="{2AF96468-0FC8-436C-99A1-28E1C4BB36A9}">
      <dgm:prSet/>
      <dgm:spPr/>
      <dgm:t>
        <a:bodyPr/>
        <a:lstStyle/>
        <a:p>
          <a:endParaRPr lang="en-US"/>
        </a:p>
      </dgm:t>
    </dgm:pt>
    <dgm:pt modelId="{DB1FA265-0F22-4CFF-8B32-ED356EA88289}">
      <dgm:prSet phldrT="[Text]" custT="1"/>
      <dgm:spPr/>
      <dgm:t>
        <a:bodyPr/>
        <a:lstStyle/>
        <a:p>
          <a:pPr algn="ctr"/>
          <a:r>
            <a:rPr lang="sr-Latn-ME" sz="900" b="1">
              <a:latin typeface="Calibri" panose="020F0502020204030204" pitchFamily="34" charset="0"/>
              <a:ea typeface="Calibri" panose="020F0502020204030204" pitchFamily="34" charset="0"/>
              <a:cs typeface="Calibri" panose="020F0502020204030204" pitchFamily="34" charset="0"/>
            </a:rPr>
            <a:t>Sektorske strategije </a:t>
          </a:r>
          <a:endParaRPr lang="en-US" sz="900" b="1">
            <a:latin typeface="Calibri" panose="020F0502020204030204" pitchFamily="34" charset="0"/>
            <a:ea typeface="Calibri" panose="020F0502020204030204" pitchFamily="34" charset="0"/>
            <a:cs typeface="Calibri" panose="020F0502020204030204" pitchFamily="34" charset="0"/>
          </a:endParaRPr>
        </a:p>
      </dgm:t>
    </dgm:pt>
    <dgm:pt modelId="{2AA9964B-B9C8-431D-BEB8-4A6C54DF17B3}" type="parTrans" cxnId="{2C2BEDBC-70EE-4186-AEDF-6475A611B0AF}">
      <dgm:prSet/>
      <dgm:spPr/>
      <dgm:t>
        <a:bodyPr/>
        <a:lstStyle/>
        <a:p>
          <a:endParaRPr lang="en-US"/>
        </a:p>
      </dgm:t>
    </dgm:pt>
    <dgm:pt modelId="{FEB711BD-F904-4580-880C-72B3AA07E2B3}" type="sibTrans" cxnId="{2C2BEDBC-70EE-4186-AEDF-6475A611B0AF}">
      <dgm:prSet/>
      <dgm:spPr/>
      <dgm:t>
        <a:bodyPr/>
        <a:lstStyle/>
        <a:p>
          <a:endParaRPr lang="en-US"/>
        </a:p>
      </dgm:t>
    </dgm:pt>
    <dgm:pt modelId="{AF3A881E-0749-4E4D-A0E9-BD4189B7BFA0}">
      <dgm:prSet phldrT="[Text]" custT="1"/>
      <dgm:spPr/>
      <dgm:t>
        <a:bodyPr/>
        <a:lstStyle/>
        <a:p>
          <a:pPr algn="l"/>
          <a:r>
            <a:rPr lang="pl-PL" sz="900" b="0">
              <a:latin typeface="Calibri" panose="020F0502020204030204" pitchFamily="34" charset="0"/>
              <a:ea typeface="Calibri" panose="020F0502020204030204" pitchFamily="34" charset="0"/>
              <a:cs typeface="Calibri" panose="020F0502020204030204" pitchFamily="34" charset="0"/>
            </a:rPr>
            <a:t>Strategija reforme javne uprave od 2022-2026</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F8AAB932-C394-43BC-BA3A-E0E62C0AC941}" type="parTrans" cxnId="{B6B63C8C-4284-4706-B48B-527ABC3F565B}">
      <dgm:prSet/>
      <dgm:spPr/>
      <dgm:t>
        <a:bodyPr/>
        <a:lstStyle/>
        <a:p>
          <a:endParaRPr lang="en-US"/>
        </a:p>
      </dgm:t>
    </dgm:pt>
    <dgm:pt modelId="{A189607F-CA2F-409F-9B72-89D8DE85885A}" type="sibTrans" cxnId="{B6B63C8C-4284-4706-B48B-527ABC3F565B}">
      <dgm:prSet/>
      <dgm:spPr/>
      <dgm:t>
        <a:bodyPr/>
        <a:lstStyle/>
        <a:p>
          <a:endParaRPr lang="en-US"/>
        </a:p>
      </dgm:t>
    </dgm:pt>
    <dgm:pt modelId="{F3C687C9-A7B8-4568-9F72-055D7A658979}">
      <dgm:prSet phldrT="[Text]" custT="1"/>
      <dgm:spPr/>
      <dgm:t>
        <a:bodyPr/>
        <a:lstStyle/>
        <a:p>
          <a:pPr algn="l"/>
          <a:r>
            <a:rPr lang="pl-PL" sz="900" b="0">
              <a:latin typeface="Calibri" panose="020F0502020204030204" pitchFamily="34" charset="0"/>
              <a:ea typeface="Calibri" panose="020F0502020204030204" pitchFamily="34" charset="0"/>
              <a:cs typeface="Calibri" panose="020F0502020204030204" pitchFamily="34" charset="0"/>
            </a:rPr>
            <a:t>Strategija razvoja turizma Crne Gore od 2022-2025 </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1F577504-AC70-4ED9-9E6B-C73ADB8D5038}" type="parTrans" cxnId="{81FFE927-0622-47A1-9079-6F7CDD6DD37F}">
      <dgm:prSet/>
      <dgm:spPr/>
      <dgm:t>
        <a:bodyPr/>
        <a:lstStyle/>
        <a:p>
          <a:endParaRPr lang="en-US"/>
        </a:p>
      </dgm:t>
    </dgm:pt>
    <dgm:pt modelId="{9FDBE1BA-AECF-46C8-9214-D6723BDC2D9C}" type="sibTrans" cxnId="{81FFE927-0622-47A1-9079-6F7CDD6DD37F}">
      <dgm:prSet/>
      <dgm:spPr/>
      <dgm:t>
        <a:bodyPr/>
        <a:lstStyle/>
        <a:p>
          <a:endParaRPr lang="en-US"/>
        </a:p>
      </dgm:t>
    </dgm:pt>
    <dgm:pt modelId="{CC4E832C-0187-4FC1-AED3-BC5EADA1DD5A}">
      <dgm:prSet phldrT="[Text]" custT="1"/>
      <dgm:spPr/>
      <dgm:t>
        <a:bodyPr/>
        <a:lstStyle/>
        <a:p>
          <a:pPr algn="ctr"/>
          <a:r>
            <a:rPr lang="sr-Latn-ME" sz="900" b="1">
              <a:latin typeface="Calibri" panose="020F0502020204030204" pitchFamily="34" charset="0"/>
              <a:ea typeface="Calibri" panose="020F0502020204030204" pitchFamily="34" charset="0"/>
              <a:cs typeface="Calibri" panose="020F0502020204030204" pitchFamily="34" charset="0"/>
            </a:rPr>
            <a:t>Međunarodna dokumenta </a:t>
          </a:r>
          <a:endParaRPr lang="en-US" sz="900" b="1">
            <a:latin typeface="Calibri" panose="020F0502020204030204" pitchFamily="34" charset="0"/>
            <a:ea typeface="Calibri" panose="020F0502020204030204" pitchFamily="34" charset="0"/>
            <a:cs typeface="Calibri" panose="020F0502020204030204" pitchFamily="34" charset="0"/>
          </a:endParaRPr>
        </a:p>
      </dgm:t>
    </dgm:pt>
    <dgm:pt modelId="{2B508D5F-97EF-4758-8D88-D56860F97F87}" type="parTrans" cxnId="{74EAA3E2-96F0-4F27-AC81-FAD5DB93B077}">
      <dgm:prSet/>
      <dgm:spPr/>
      <dgm:t>
        <a:bodyPr/>
        <a:lstStyle/>
        <a:p>
          <a:endParaRPr lang="en-US"/>
        </a:p>
      </dgm:t>
    </dgm:pt>
    <dgm:pt modelId="{CAF870E9-EFC0-4BB0-A456-C0413C6733CD}" type="sibTrans" cxnId="{74EAA3E2-96F0-4F27-AC81-FAD5DB93B077}">
      <dgm:prSet/>
      <dgm:spPr/>
      <dgm:t>
        <a:bodyPr/>
        <a:lstStyle/>
        <a:p>
          <a:endParaRPr lang="en-US"/>
        </a:p>
      </dgm:t>
    </dgm:pt>
    <dgm:pt modelId="{1BD7FDF1-EDB4-42EF-9F32-01CE87BEB6F1}">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Nacionalna strategija održivog razvoja do 2030.godine</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36D104D1-774B-4AB2-9CB6-258DDC8DE996}" type="parTrans" cxnId="{1591F2B9-C342-461D-8FB4-5DEE5ADFE3BF}">
      <dgm:prSet/>
      <dgm:spPr/>
      <dgm:t>
        <a:bodyPr/>
        <a:lstStyle/>
        <a:p>
          <a:endParaRPr lang="en-US"/>
        </a:p>
      </dgm:t>
    </dgm:pt>
    <dgm:pt modelId="{EF1D53E1-2658-4F0E-A9B2-F95BF2377130}" type="sibTrans" cxnId="{1591F2B9-C342-461D-8FB4-5DEE5ADFE3BF}">
      <dgm:prSet/>
      <dgm:spPr/>
      <dgm:t>
        <a:bodyPr/>
        <a:lstStyle/>
        <a:p>
          <a:endParaRPr lang="en-US"/>
        </a:p>
      </dgm:t>
    </dgm:pt>
    <dgm:pt modelId="{B2576BBC-3BB0-47AA-ABC4-579960506112}">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Program ekonomskih reformi 2023-2025.</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F0D891BF-2718-499A-B77A-ACBF957D6E04}" type="parTrans" cxnId="{2BDF99FD-E68B-4BC6-BA89-50FC03190511}">
      <dgm:prSet/>
      <dgm:spPr/>
      <dgm:t>
        <a:bodyPr/>
        <a:lstStyle/>
        <a:p>
          <a:endParaRPr lang="en-US"/>
        </a:p>
      </dgm:t>
    </dgm:pt>
    <dgm:pt modelId="{BD8D393A-0055-49D1-9DB4-0DCD01C4C98E}" type="sibTrans" cxnId="{2BDF99FD-E68B-4BC6-BA89-50FC03190511}">
      <dgm:prSet/>
      <dgm:spPr/>
      <dgm:t>
        <a:bodyPr/>
        <a:lstStyle/>
        <a:p>
          <a:endParaRPr lang="en-US"/>
        </a:p>
      </dgm:t>
    </dgm:pt>
    <dgm:pt modelId="{BF07F1F7-60F0-427C-9CA8-C7D9F1CD6D4D}">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Platforma ekonomskog oporavka 2022-2026.</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65981C5C-CFB3-401A-925E-84765B21732F}" type="parTrans" cxnId="{5862B89B-3225-4E1A-AB86-C00972E09F69}">
      <dgm:prSet/>
      <dgm:spPr/>
      <dgm:t>
        <a:bodyPr/>
        <a:lstStyle/>
        <a:p>
          <a:endParaRPr lang="en-US"/>
        </a:p>
      </dgm:t>
    </dgm:pt>
    <dgm:pt modelId="{0188FF84-2414-43E3-9F99-209F23E8CEE6}" type="sibTrans" cxnId="{5862B89B-3225-4E1A-AB86-C00972E09F69}">
      <dgm:prSet/>
      <dgm:spPr/>
      <dgm:t>
        <a:bodyPr/>
        <a:lstStyle/>
        <a:p>
          <a:endParaRPr lang="en-US"/>
        </a:p>
      </dgm:t>
    </dgm:pt>
    <dgm:pt modelId="{F0163E7D-E262-43A0-98CE-D4D47A049401}">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Smjernice makroekonomske i fiskalne politike za period </a:t>
          </a:r>
          <a:r>
            <a:rPr lang="sr-Latn-ME" sz="900" b="0">
              <a:latin typeface="Calibri" panose="020F0502020204030204" pitchFamily="34" charset="0"/>
              <a:ea typeface="Calibri" panose="020F0502020204030204" pitchFamily="34" charset="0"/>
              <a:cs typeface="Calibri" panose="020F0502020204030204" pitchFamily="34" charset="0"/>
            </a:rPr>
            <a:t>2023-2026</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44F61085-A040-4BA6-BB2E-22B865F6F9B3}" type="parTrans" cxnId="{ECC615C9-EF1B-4DA9-8037-11A9C7DC2F35}">
      <dgm:prSet/>
      <dgm:spPr/>
      <dgm:t>
        <a:bodyPr/>
        <a:lstStyle/>
        <a:p>
          <a:endParaRPr lang="en-US"/>
        </a:p>
      </dgm:t>
    </dgm:pt>
    <dgm:pt modelId="{BD663536-37BF-424A-948F-6ED6A4283CB9}" type="sibTrans" cxnId="{ECC615C9-EF1B-4DA9-8037-11A9C7DC2F35}">
      <dgm:prSet/>
      <dgm:spPr/>
      <dgm:t>
        <a:bodyPr/>
        <a:lstStyle/>
        <a:p>
          <a:endParaRPr lang="en-US"/>
        </a:p>
      </dgm:t>
    </dgm:pt>
    <dgm:pt modelId="{3CC6131A-0AD8-4F35-A02A-4CA23F83C71F}">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Srednjoročni program rada Vlade od 2022-2024.godine</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8C81F624-ECD5-4F03-A58F-127DC67AA371}" type="parTrans" cxnId="{22CEC1FD-E371-4A66-9C3D-437CE6D256B8}">
      <dgm:prSet/>
      <dgm:spPr/>
      <dgm:t>
        <a:bodyPr/>
        <a:lstStyle/>
        <a:p>
          <a:endParaRPr lang="en-US"/>
        </a:p>
      </dgm:t>
    </dgm:pt>
    <dgm:pt modelId="{44E62F8B-31DF-40AE-AB5F-049AD5EEE872}" type="sibTrans" cxnId="{22CEC1FD-E371-4A66-9C3D-437CE6D256B8}">
      <dgm:prSet/>
      <dgm:spPr/>
      <dgm:t>
        <a:bodyPr/>
        <a:lstStyle/>
        <a:p>
          <a:endParaRPr lang="en-US"/>
        </a:p>
      </dgm:t>
    </dgm:pt>
    <dgm:pt modelId="{CAED87A4-CD57-43BB-AC3F-7449ADC10C29}">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Godišnji program rada Vlade za 2023.godinu</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E50F04DD-CF57-47EA-ADBF-B38366B52278}" type="parTrans" cxnId="{AF6F992D-9189-4C39-AFF1-B775ABECBD6C}">
      <dgm:prSet/>
      <dgm:spPr/>
      <dgm:t>
        <a:bodyPr/>
        <a:lstStyle/>
        <a:p>
          <a:endParaRPr lang="en-US"/>
        </a:p>
      </dgm:t>
    </dgm:pt>
    <dgm:pt modelId="{A66A798F-5BC3-40B2-971D-A9801568F412}" type="sibTrans" cxnId="{AF6F992D-9189-4C39-AFF1-B775ABECBD6C}">
      <dgm:prSet/>
      <dgm:spPr/>
      <dgm:t>
        <a:bodyPr/>
        <a:lstStyle/>
        <a:p>
          <a:endParaRPr lang="en-US"/>
        </a:p>
      </dgm:t>
    </dgm:pt>
    <dgm:pt modelId="{882B3063-0025-41AB-A0D9-F3EE37873925}">
      <dgm:prSet phldrT="[Text]" custT="1"/>
      <dgm:spPr/>
      <dgm:t>
        <a:bodyPr/>
        <a:lstStyle/>
        <a:p>
          <a:pPr algn="l"/>
          <a:r>
            <a:rPr lang="pl-PL" sz="900" b="0">
              <a:latin typeface="Calibri" panose="020F0502020204030204" pitchFamily="34" charset="0"/>
              <a:ea typeface="Calibri" panose="020F0502020204030204" pitchFamily="34" charset="0"/>
              <a:cs typeface="Calibri" panose="020F0502020204030204" pitchFamily="34" charset="0"/>
            </a:rPr>
            <a:t>Strategija digitalne transformacije Crne Gore 2022-2026 </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F81406DB-5ACF-4884-94C0-6DAF5DBE1E32}" type="parTrans" cxnId="{C175A468-FB65-45DB-B3F7-E1DD2CE7210C}">
      <dgm:prSet/>
      <dgm:spPr/>
      <dgm:t>
        <a:bodyPr/>
        <a:lstStyle/>
        <a:p>
          <a:endParaRPr lang="en-US"/>
        </a:p>
      </dgm:t>
    </dgm:pt>
    <dgm:pt modelId="{D45DE8DB-72F4-4367-95C2-2DA65984DC3F}" type="sibTrans" cxnId="{C175A468-FB65-45DB-B3F7-E1DD2CE7210C}">
      <dgm:prSet/>
      <dgm:spPr/>
      <dgm:t>
        <a:bodyPr/>
        <a:lstStyle/>
        <a:p>
          <a:endParaRPr lang="en-US"/>
        </a:p>
      </dgm:t>
    </dgm:pt>
    <dgm:pt modelId="{8A23AB78-C5EC-48E0-BEC0-612933FBA045}">
      <dgm:prSet phldrT="[Text]" custT="1"/>
      <dgm:spPr/>
      <dgm:t>
        <a:bodyPr/>
        <a:lstStyle/>
        <a:p>
          <a:pPr algn="l"/>
          <a:r>
            <a:rPr lang="pl-PL" sz="900" b="0">
              <a:latin typeface="Calibri" panose="020F0502020204030204" pitchFamily="34" charset="0"/>
              <a:ea typeface="Calibri" panose="020F0502020204030204" pitchFamily="34" charset="0"/>
              <a:cs typeface="Calibri" panose="020F0502020204030204" pitchFamily="34" charset="0"/>
            </a:rPr>
            <a:t>Strategija razvoja ženskog preduzetništva Crne Gore od 2021-2024.godine</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8E00DD5E-950D-42E4-896A-7F33BEE618F3}" type="parTrans" cxnId="{F02A4E0B-D14F-484F-8C3C-27B49554E029}">
      <dgm:prSet/>
      <dgm:spPr/>
      <dgm:t>
        <a:bodyPr/>
        <a:lstStyle/>
        <a:p>
          <a:endParaRPr lang="en-US"/>
        </a:p>
      </dgm:t>
    </dgm:pt>
    <dgm:pt modelId="{E5B1B7BE-D815-45CF-8140-3B29C7482973}" type="sibTrans" cxnId="{F02A4E0B-D14F-484F-8C3C-27B49554E029}">
      <dgm:prSet/>
      <dgm:spPr/>
      <dgm:t>
        <a:bodyPr/>
        <a:lstStyle/>
        <a:p>
          <a:endParaRPr lang="en-US"/>
        </a:p>
      </dgm:t>
    </dgm:pt>
    <dgm:pt modelId="{FE7B16B1-2EBA-4802-9FB5-8BAEA379BE0C}">
      <dgm:prSet phldrT="[Text]" custT="1"/>
      <dgm:spPr/>
      <dgm:t>
        <a:bodyPr/>
        <a:lstStyle/>
        <a:p>
          <a:pPr algn="l"/>
          <a:r>
            <a:rPr lang="sr-Latn-ME" sz="900" b="0">
              <a:latin typeface="Calibri" panose="020F0502020204030204" pitchFamily="34" charset="0"/>
              <a:ea typeface="Calibri" panose="020F0502020204030204" pitchFamily="34" charset="0"/>
              <a:cs typeface="Calibri" panose="020F0502020204030204" pitchFamily="34" charset="0"/>
            </a:rPr>
            <a:t>Multiannual financial framework EU 2021-2027.</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4FA9DFC1-D9F8-4977-B76A-A0D8C8FA9160}" type="parTrans" cxnId="{A8FBF33B-DADD-4898-8715-70A90606C268}">
      <dgm:prSet/>
      <dgm:spPr/>
      <dgm:t>
        <a:bodyPr/>
        <a:lstStyle/>
        <a:p>
          <a:endParaRPr lang="en-US"/>
        </a:p>
      </dgm:t>
    </dgm:pt>
    <dgm:pt modelId="{712A5E19-063C-4A2F-9BB8-DEA575DEF049}" type="sibTrans" cxnId="{A8FBF33B-DADD-4898-8715-70A90606C268}">
      <dgm:prSet/>
      <dgm:spPr/>
      <dgm:t>
        <a:bodyPr/>
        <a:lstStyle/>
        <a:p>
          <a:endParaRPr lang="en-US"/>
        </a:p>
      </dgm:t>
    </dgm:pt>
    <dgm:pt modelId="{7E1DC8DD-86A2-474F-8668-2F42191A1054}">
      <dgm:prSet phldrT="[Text]" custT="1"/>
      <dgm:spPr/>
      <dgm:t>
        <a:bodyPr/>
        <a:lstStyle/>
        <a:p>
          <a:pPr algn="l"/>
          <a:r>
            <a:rPr lang="sr-Latn-ME" sz="900" b="0">
              <a:latin typeface="Calibri" panose="020F0502020204030204" pitchFamily="34" charset="0"/>
              <a:ea typeface="Calibri" panose="020F0502020204030204" pitchFamily="34" charset="0"/>
              <a:cs typeface="Calibri" panose="020F0502020204030204" pitchFamily="34" charset="0"/>
            </a:rPr>
            <a:t>IPA III ( 2021-2027)</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D49BCB97-5536-4CDE-A5B8-5F94D80B3BDA}" type="parTrans" cxnId="{5A862CDB-E173-4FF6-A8BF-B08F3353EA1E}">
      <dgm:prSet/>
      <dgm:spPr/>
      <dgm:t>
        <a:bodyPr/>
        <a:lstStyle/>
        <a:p>
          <a:endParaRPr lang="en-US"/>
        </a:p>
      </dgm:t>
    </dgm:pt>
    <dgm:pt modelId="{AEC94886-32A3-4331-BA07-9A9B4DCA44CA}" type="sibTrans" cxnId="{5A862CDB-E173-4FF6-A8BF-B08F3353EA1E}">
      <dgm:prSet/>
      <dgm:spPr/>
      <dgm:t>
        <a:bodyPr/>
        <a:lstStyle/>
        <a:p>
          <a:endParaRPr lang="en-US"/>
        </a:p>
      </dgm:t>
    </dgm:pt>
    <dgm:pt modelId="{5CC7DB12-876D-499D-B3B4-C33A41F75D0B}">
      <dgm:prSet custT="1"/>
      <dgm:spPr/>
      <dgm:t>
        <a:bodyPr/>
        <a:lstStyle/>
        <a:p>
          <a:pPr algn="l"/>
          <a:endParaRPr lang="en-US" sz="900">
            <a:latin typeface="Times New Roman" panose="02020603050405020304" pitchFamily="18" charset="0"/>
            <a:cs typeface="Times New Roman" panose="02020603050405020304" pitchFamily="18" charset="0"/>
          </a:endParaRPr>
        </a:p>
      </dgm:t>
    </dgm:pt>
    <dgm:pt modelId="{30A574ED-997D-416C-9592-2B433A5D98D2}" type="parTrans" cxnId="{117C4211-8722-421D-BF27-98A2332BDC1A}">
      <dgm:prSet/>
      <dgm:spPr/>
      <dgm:t>
        <a:bodyPr/>
        <a:lstStyle/>
        <a:p>
          <a:endParaRPr lang="en-US"/>
        </a:p>
      </dgm:t>
    </dgm:pt>
    <dgm:pt modelId="{792432C1-D24D-485F-8B5E-B693CEFEA302}" type="sibTrans" cxnId="{117C4211-8722-421D-BF27-98A2332BDC1A}">
      <dgm:prSet/>
      <dgm:spPr/>
      <dgm:t>
        <a:bodyPr/>
        <a:lstStyle/>
        <a:p>
          <a:endParaRPr lang="en-US"/>
        </a:p>
      </dgm:t>
    </dgm:pt>
    <dgm:pt modelId="{4A381C71-2ECD-409B-8E74-3899280911A5}">
      <dgm:prSet custT="1"/>
      <dgm:spPr/>
      <dgm:t>
        <a:bodyPr/>
        <a:lstStyle/>
        <a:p>
          <a:pPr algn="l"/>
          <a:r>
            <a:rPr lang="pl-PL" sz="900" b="0">
              <a:latin typeface="Calibri" panose="020F0502020204030204" pitchFamily="34" charset="0"/>
              <a:ea typeface="Calibri" panose="020F0502020204030204" pitchFamily="34" charset="0"/>
              <a:cs typeface="Calibri" panose="020F0502020204030204" pitchFamily="34" charset="0"/>
            </a:rPr>
            <a:t>Program reforme upravljanja javnim finansijama</a:t>
          </a:r>
          <a:r>
            <a:rPr lang="sr-Latn-ME" sz="900" b="0">
              <a:latin typeface="Calibri" panose="020F0502020204030204" pitchFamily="34" charset="0"/>
              <a:ea typeface="Calibri" panose="020F0502020204030204" pitchFamily="34" charset="0"/>
              <a:cs typeface="Calibri" panose="020F0502020204030204" pitchFamily="34" charset="0"/>
            </a:rPr>
            <a:t> 2022-2026.</a:t>
          </a:r>
          <a:r>
            <a:rPr lang="pl-PL" sz="900" b="0">
              <a:latin typeface="Calibri" panose="020F0502020204030204" pitchFamily="34" charset="0"/>
              <a:ea typeface="Calibri" panose="020F0502020204030204" pitchFamily="34" charset="0"/>
              <a:cs typeface="Calibri" panose="020F0502020204030204" pitchFamily="34" charset="0"/>
            </a:rPr>
            <a:t>godine</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187C7209-17D6-409F-B22C-4A4ABD58995C}" type="parTrans" cxnId="{3DACCBB7-E174-4C8B-B89E-AD5AD013B871}">
      <dgm:prSet/>
      <dgm:spPr/>
      <dgm:t>
        <a:bodyPr/>
        <a:lstStyle/>
        <a:p>
          <a:endParaRPr lang="en-US"/>
        </a:p>
      </dgm:t>
    </dgm:pt>
    <dgm:pt modelId="{EAA46A18-B973-45C1-8A94-8EB27CC1CA5F}" type="sibTrans" cxnId="{3DACCBB7-E174-4C8B-B89E-AD5AD013B871}">
      <dgm:prSet/>
      <dgm:spPr/>
      <dgm:t>
        <a:bodyPr/>
        <a:lstStyle/>
        <a:p>
          <a:endParaRPr lang="en-US"/>
        </a:p>
      </dgm:t>
    </dgm:pt>
    <dgm:pt modelId="{95F6A7CB-1A2B-4B44-BB3E-BF013E94934B}">
      <dgm:prSet custT="1"/>
      <dgm:spPr/>
      <dgm:t>
        <a:bodyPr/>
        <a:lstStyle/>
        <a:p>
          <a:pPr algn="l"/>
          <a:r>
            <a:rPr lang="pl-PL" sz="900">
              <a:latin typeface="Calibri" panose="020F0502020204030204" pitchFamily="34" charset="0"/>
              <a:ea typeface="Calibri" panose="020F0502020204030204" pitchFamily="34" charset="0"/>
              <a:cs typeface="Calibri" panose="020F0502020204030204" pitchFamily="34" charset="0"/>
            </a:rPr>
            <a:t>Strategija pametne specijalizacije Crne Gore od 2019-2024 </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5CBBCF16-4E7F-4E73-8A57-C1736D05FD3C}" type="parTrans" cxnId="{98954D54-2301-4116-B0D0-B2EE3823A020}">
      <dgm:prSet/>
      <dgm:spPr/>
      <dgm:t>
        <a:bodyPr/>
        <a:lstStyle/>
        <a:p>
          <a:endParaRPr lang="en-US"/>
        </a:p>
      </dgm:t>
    </dgm:pt>
    <dgm:pt modelId="{4F4BCC55-53E5-4C73-BF50-25C8671F6A1C}" type="sibTrans" cxnId="{98954D54-2301-4116-B0D0-B2EE3823A020}">
      <dgm:prSet/>
      <dgm:spPr/>
      <dgm:t>
        <a:bodyPr/>
        <a:lstStyle/>
        <a:p>
          <a:endParaRPr lang="en-US"/>
        </a:p>
      </dgm:t>
    </dgm:pt>
    <dgm:pt modelId="{316669C0-9425-45DA-9865-3D6B7A1CC614}">
      <dgm:prSet phldrT="[Text]" custT="1"/>
      <dgm:spPr/>
      <dgm:t>
        <a:bodyPr/>
        <a:lstStyle/>
        <a:p>
          <a:pPr algn="l"/>
          <a:r>
            <a:rPr lang="sr-Latn-ME" sz="900" b="0">
              <a:latin typeface="Calibri" panose="020F0502020204030204" pitchFamily="34" charset="0"/>
              <a:ea typeface="Calibri" panose="020F0502020204030204" pitchFamily="34" charset="0"/>
              <a:cs typeface="Calibri" panose="020F0502020204030204" pitchFamily="34" charset="0"/>
            </a:rPr>
            <a:t>EU4DIGITAL( Digitalna agenda za Evropu)</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2481C829-8700-4DE8-9964-71F31D9EBDFF}" type="parTrans" cxnId="{9682E787-B9AB-44A7-B573-4F612F88101E}">
      <dgm:prSet/>
      <dgm:spPr/>
      <dgm:t>
        <a:bodyPr/>
        <a:lstStyle/>
        <a:p>
          <a:endParaRPr lang="en-US"/>
        </a:p>
      </dgm:t>
    </dgm:pt>
    <dgm:pt modelId="{65FCCB54-19C2-4B1D-BF04-C221A36B7A74}" type="sibTrans" cxnId="{9682E787-B9AB-44A7-B573-4F612F88101E}">
      <dgm:prSet/>
      <dgm:spPr/>
      <dgm:t>
        <a:bodyPr/>
        <a:lstStyle/>
        <a:p>
          <a:endParaRPr lang="en-US"/>
        </a:p>
      </dgm:t>
    </dgm:pt>
    <dgm:pt modelId="{251EABEF-FE17-43F5-B37C-9BC7B2357475}">
      <dgm:prSet phldrT="[Text]" custT="1"/>
      <dgm:spPr/>
      <dgm:t>
        <a:bodyPr/>
        <a:lstStyle/>
        <a:p>
          <a:pPr algn="l"/>
          <a:endParaRPr lang="en-US" sz="900">
            <a:latin typeface="Times New Roman" panose="02020603050405020304" pitchFamily="18" charset="0"/>
            <a:cs typeface="Times New Roman" panose="02020603050405020304" pitchFamily="18" charset="0"/>
          </a:endParaRPr>
        </a:p>
      </dgm:t>
    </dgm:pt>
    <dgm:pt modelId="{258DA11C-2CB4-40F0-8A49-B995602888C3}" type="parTrans" cxnId="{EB32799E-B3D5-4B13-AA93-F39125B9800A}">
      <dgm:prSet/>
      <dgm:spPr/>
      <dgm:t>
        <a:bodyPr/>
        <a:lstStyle/>
        <a:p>
          <a:endParaRPr lang="en-US"/>
        </a:p>
      </dgm:t>
    </dgm:pt>
    <dgm:pt modelId="{AA647642-597B-4B2A-A26C-694F3CBEE224}" type="sibTrans" cxnId="{EB32799E-B3D5-4B13-AA93-F39125B9800A}">
      <dgm:prSet/>
      <dgm:spPr/>
      <dgm:t>
        <a:bodyPr/>
        <a:lstStyle/>
        <a:p>
          <a:endParaRPr lang="en-US"/>
        </a:p>
      </dgm:t>
    </dgm:pt>
    <dgm:pt modelId="{EAF3F341-EE20-4C85-B10B-FA7757B82302}">
      <dgm:prSet phldrT="[Text]" custT="1"/>
      <dgm:spPr/>
      <dgm:t>
        <a:bodyPr/>
        <a:lstStyle/>
        <a:p>
          <a:pPr algn="l"/>
          <a:endParaRPr lang="en-US" sz="900">
            <a:latin typeface="Times New Roman" panose="02020603050405020304" pitchFamily="18" charset="0"/>
            <a:cs typeface="Times New Roman" panose="02020603050405020304" pitchFamily="18" charset="0"/>
          </a:endParaRPr>
        </a:p>
      </dgm:t>
    </dgm:pt>
    <dgm:pt modelId="{35F53B53-EEA2-4EBC-9002-B94F8D7C5E06}" type="parTrans" cxnId="{2D2D0D80-AA70-4794-BEC4-5239D58FA8DA}">
      <dgm:prSet/>
      <dgm:spPr/>
      <dgm:t>
        <a:bodyPr/>
        <a:lstStyle/>
        <a:p>
          <a:endParaRPr lang="en-US"/>
        </a:p>
      </dgm:t>
    </dgm:pt>
    <dgm:pt modelId="{98B41F53-66B1-4958-9F73-93FD4687262F}" type="sibTrans" cxnId="{2D2D0D80-AA70-4794-BEC4-5239D58FA8DA}">
      <dgm:prSet/>
      <dgm:spPr/>
      <dgm:t>
        <a:bodyPr/>
        <a:lstStyle/>
        <a:p>
          <a:endParaRPr lang="en-US"/>
        </a:p>
      </dgm:t>
    </dgm:pt>
    <dgm:pt modelId="{05B26387-F4B9-49F7-8A2E-636DD43E0E99}">
      <dgm:prSet phldrT="[Text]" custT="1"/>
      <dgm:spPr/>
      <dgm:t>
        <a:bodyPr/>
        <a:lstStyle/>
        <a:p>
          <a:pPr algn="l"/>
          <a:r>
            <a:rPr lang="pl-PL" sz="900" b="0">
              <a:latin typeface="Calibri" panose="020F0502020204030204" pitchFamily="34" charset="0"/>
              <a:ea typeface="Calibri" panose="020F0502020204030204" pitchFamily="34" charset="0"/>
              <a:cs typeface="Calibri" panose="020F0502020204030204" pitchFamily="34" charset="0"/>
            </a:rPr>
            <a:t>Strategija razvoja Jugoisto</a:t>
          </a:r>
          <a:r>
            <a:rPr lang="sr-Latn-ME" sz="900" b="0">
              <a:latin typeface="Calibri" panose="020F0502020204030204" pitchFamily="34" charset="0"/>
              <a:ea typeface="Calibri" panose="020F0502020204030204" pitchFamily="34" charset="0"/>
              <a:cs typeface="Calibri" panose="020F0502020204030204" pitchFamily="34" charset="0"/>
            </a:rPr>
            <a:t>č</a:t>
          </a:r>
          <a:r>
            <a:rPr lang="pl-PL" sz="900" b="0">
              <a:latin typeface="Calibri" panose="020F0502020204030204" pitchFamily="34" charset="0"/>
              <a:ea typeface="Calibri" panose="020F0502020204030204" pitchFamily="34" charset="0"/>
              <a:cs typeface="Calibri" panose="020F0502020204030204" pitchFamily="34" charset="0"/>
            </a:rPr>
            <a:t>ne Evrope do</a:t>
          </a:r>
          <a:r>
            <a:rPr lang="sr-Latn-ME" sz="900" b="0">
              <a:latin typeface="Calibri" panose="020F0502020204030204" pitchFamily="34" charset="0"/>
              <a:ea typeface="Calibri" panose="020F0502020204030204" pitchFamily="34" charset="0"/>
              <a:cs typeface="Calibri" panose="020F0502020204030204" pitchFamily="34" charset="0"/>
            </a:rPr>
            <a:t> 2030.</a:t>
          </a:r>
          <a:r>
            <a:rPr lang="pl-PL" sz="900" b="0">
              <a:latin typeface="Calibri" panose="020F0502020204030204" pitchFamily="34" charset="0"/>
              <a:ea typeface="Calibri" panose="020F0502020204030204" pitchFamily="34" charset="0"/>
              <a:cs typeface="Calibri" panose="020F0502020204030204" pitchFamily="34" charset="0"/>
            </a:rPr>
            <a:t>godine </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40B51C5A-F79F-459D-BFA6-ECBC902B067F}" type="parTrans" cxnId="{DA549A3A-C216-4ADA-9A4F-3EAF0EDA6B48}">
      <dgm:prSet/>
      <dgm:spPr/>
    </dgm:pt>
    <dgm:pt modelId="{FB5A18BC-82B9-4A9F-817D-32EC33790A77}" type="sibTrans" cxnId="{DA549A3A-C216-4ADA-9A4F-3EAF0EDA6B48}">
      <dgm:prSet/>
      <dgm:spPr/>
    </dgm:pt>
    <dgm:pt modelId="{72090764-1913-4E15-BC72-5940F69D021A}">
      <dgm:prSet phldrT="[Text]" custT="1"/>
      <dgm:spPr/>
      <dgm:t>
        <a:bodyPr/>
        <a:lstStyle/>
        <a:p>
          <a:pPr algn="l"/>
          <a:r>
            <a:rPr lang="sr-Latn-ME" sz="900">
              <a:latin typeface="Calibri" panose="020F0502020204030204" pitchFamily="34" charset="0"/>
              <a:ea typeface="Calibri" panose="020F0502020204030204" pitchFamily="34" charset="0"/>
              <a:cs typeface="Calibri" panose="020F0502020204030204" pitchFamily="34" charset="0"/>
            </a:rPr>
            <a:t>Evropa 2020</a:t>
          </a:r>
          <a:endParaRPr lang="en-US" sz="900">
            <a:latin typeface="Calibri" panose="020F0502020204030204" pitchFamily="34" charset="0"/>
            <a:ea typeface="Calibri" panose="020F0502020204030204" pitchFamily="34" charset="0"/>
            <a:cs typeface="Calibri" panose="020F0502020204030204" pitchFamily="34" charset="0"/>
          </a:endParaRPr>
        </a:p>
      </dgm:t>
    </dgm:pt>
    <dgm:pt modelId="{1D1E5717-5E88-458F-AC73-07173BAFFE75}" type="parTrans" cxnId="{45EEB114-744C-4C32-93E4-3D3706281792}">
      <dgm:prSet/>
      <dgm:spPr/>
    </dgm:pt>
    <dgm:pt modelId="{825AD97C-EE86-4F65-9734-F80DDC937A0D}" type="sibTrans" cxnId="{45EEB114-744C-4C32-93E4-3D3706281792}">
      <dgm:prSet/>
      <dgm:spPr/>
    </dgm:pt>
    <dgm:pt modelId="{7F8AD699-6EC7-4B2C-96F9-F359EC33DA52}">
      <dgm:prSet phldrT="[Text]" custT="1"/>
      <dgm:spPr/>
      <dgm:t>
        <a:bodyPr/>
        <a:lstStyle/>
        <a:p>
          <a:pPr algn="l"/>
          <a:r>
            <a:rPr lang="sr-Latn-ME" sz="900" b="0">
              <a:latin typeface="Calibri" panose="020F0502020204030204" pitchFamily="34" charset="0"/>
              <a:ea typeface="Calibri" panose="020F0502020204030204" pitchFamily="34" charset="0"/>
              <a:cs typeface="Calibri" panose="020F0502020204030204" pitchFamily="34" charset="0"/>
            </a:rPr>
            <a:t>UN Agenda 2030</a:t>
          </a:r>
          <a:endParaRPr lang="en-US" sz="900" b="0">
            <a:latin typeface="Calibri" panose="020F0502020204030204" pitchFamily="34" charset="0"/>
            <a:ea typeface="Calibri" panose="020F0502020204030204" pitchFamily="34" charset="0"/>
            <a:cs typeface="Calibri" panose="020F0502020204030204" pitchFamily="34" charset="0"/>
          </a:endParaRPr>
        </a:p>
      </dgm:t>
    </dgm:pt>
    <dgm:pt modelId="{5367D0B3-4E16-4024-A894-CED341223981}" type="parTrans" cxnId="{1D55544E-0135-4FB7-88C6-CF79380F0794}">
      <dgm:prSet/>
      <dgm:spPr/>
    </dgm:pt>
    <dgm:pt modelId="{9F95A27F-FC2F-4CF8-B2E4-FC1EB8EBB25F}" type="sibTrans" cxnId="{1D55544E-0135-4FB7-88C6-CF79380F0794}">
      <dgm:prSet/>
      <dgm:spPr/>
    </dgm:pt>
    <dgm:pt modelId="{DE1AE25A-654D-40A3-9580-AB8E7851D14B}" type="pres">
      <dgm:prSet presAssocID="{902269F3-8815-40C9-98E8-967B28782CC1}" presName="linear" presStyleCnt="0">
        <dgm:presLayoutVars>
          <dgm:dir/>
          <dgm:resizeHandles val="exact"/>
        </dgm:presLayoutVars>
      </dgm:prSet>
      <dgm:spPr/>
    </dgm:pt>
    <dgm:pt modelId="{89B9079D-B96E-43FD-807E-CF1DF7DAF04A}" type="pres">
      <dgm:prSet presAssocID="{612E34B1-9E78-48FD-81CA-24A4DAA90C12}" presName="comp" presStyleCnt="0"/>
      <dgm:spPr/>
    </dgm:pt>
    <dgm:pt modelId="{800AFD8D-841D-48FC-A8E2-F6A2BAE1060F}" type="pres">
      <dgm:prSet presAssocID="{612E34B1-9E78-48FD-81CA-24A4DAA90C12}" presName="box" presStyleLbl="node1" presStyleIdx="0" presStyleCnt="3" custScaleY="179762"/>
      <dgm:spPr/>
    </dgm:pt>
    <dgm:pt modelId="{5322E1D2-A695-4439-959F-0733A58D4FFB}" type="pres">
      <dgm:prSet presAssocID="{612E34B1-9E78-48FD-81CA-24A4DAA90C12}" presName="img" presStyleLbl="fgImgPlace1" presStyleIdx="0" presStyleCnt="3" custScaleY="198909"/>
      <dgm:spPr>
        <a:blipFill>
          <a:blip xmlns:r="http://schemas.openxmlformats.org/officeDocument/2006/relationships" r:embed="rId1" cstate="print">
            <a:duotone>
              <a:schemeClr val="accent5">
                <a:hueOff val="0"/>
                <a:satOff val="0"/>
                <a:lumOff val="0"/>
                <a:alphaOff val="0"/>
                <a:shade val="20000"/>
                <a:satMod val="200000"/>
              </a:schemeClr>
              <a:schemeClr val="accent5">
                <a:hueOff val="0"/>
                <a:satOff val="0"/>
                <a:lumOff val="0"/>
                <a:alphaOff val="0"/>
                <a:tint val="12000"/>
                <a:satMod val="190000"/>
              </a:schemeClr>
            </a:duotone>
            <a:extLst>
              <a:ext uri="{28A0092B-C50C-407E-A947-70E740481C1C}">
                <a14:useLocalDpi xmlns:a14="http://schemas.microsoft.com/office/drawing/2010/main" val="0"/>
              </a:ext>
            </a:extLst>
          </a:blip>
          <a:srcRect/>
          <a:stretch>
            <a:fillRect t="-11000" b="-11000"/>
          </a:stretch>
        </a:blipFill>
      </dgm:spPr>
    </dgm:pt>
    <dgm:pt modelId="{9B043D52-D095-45C4-A03A-A8F9E1D1E861}" type="pres">
      <dgm:prSet presAssocID="{612E34B1-9E78-48FD-81CA-24A4DAA90C12}" presName="text" presStyleLbl="node1" presStyleIdx="0" presStyleCnt="3">
        <dgm:presLayoutVars>
          <dgm:bulletEnabled val="1"/>
        </dgm:presLayoutVars>
      </dgm:prSet>
      <dgm:spPr/>
    </dgm:pt>
    <dgm:pt modelId="{8ECA919B-5188-46B4-99CB-10DF3804A6B2}" type="pres">
      <dgm:prSet presAssocID="{F35D4A2E-F97F-4632-AB27-FF397B2A9DEB}" presName="spacer" presStyleCnt="0"/>
      <dgm:spPr/>
    </dgm:pt>
    <dgm:pt modelId="{DA5E72FF-9F6C-4645-94E5-51746955467A}" type="pres">
      <dgm:prSet presAssocID="{DB1FA265-0F22-4CFF-8B32-ED356EA88289}" presName="comp" presStyleCnt="0"/>
      <dgm:spPr/>
    </dgm:pt>
    <dgm:pt modelId="{92221CAC-55B8-4F43-A6CF-5D9745A5D206}" type="pres">
      <dgm:prSet presAssocID="{DB1FA265-0F22-4CFF-8B32-ED356EA88289}" presName="box" presStyleLbl="node1" presStyleIdx="1" presStyleCnt="3" custScaleX="99074" custScaleY="113417"/>
      <dgm:spPr/>
    </dgm:pt>
    <dgm:pt modelId="{4C29F761-3942-4022-9F20-5414EDF3591B}" type="pres">
      <dgm:prSet presAssocID="{DB1FA265-0F22-4CFF-8B32-ED356EA88289}" presName="img" presStyleLbl="fgImgPlace1" presStyleIdx="1" presStyleCnt="3"/>
      <dgm:spPr>
        <a:blipFill>
          <a:blip xmlns:r="http://schemas.openxmlformats.org/officeDocument/2006/relationships" r:embed="rId2" cstate="print">
            <a:duotone>
              <a:schemeClr val="accent5">
                <a:hueOff val="0"/>
                <a:satOff val="0"/>
                <a:lumOff val="0"/>
                <a:alphaOff val="0"/>
                <a:shade val="20000"/>
                <a:satMod val="200000"/>
              </a:schemeClr>
              <a:schemeClr val="accent5">
                <a:hueOff val="0"/>
                <a:satOff val="0"/>
                <a:lumOff val="0"/>
                <a:alphaOff val="0"/>
                <a:tint val="12000"/>
                <a:satMod val="190000"/>
              </a:schemeClr>
            </a:duotone>
            <a:extLst>
              <a:ext uri="{28A0092B-C50C-407E-A947-70E740481C1C}">
                <a14:useLocalDpi xmlns:a14="http://schemas.microsoft.com/office/drawing/2010/main" val="0"/>
              </a:ext>
            </a:extLst>
          </a:blip>
          <a:srcRect/>
          <a:stretch>
            <a:fillRect l="-5000" r="-5000"/>
          </a:stretch>
        </a:blipFill>
      </dgm:spPr>
    </dgm:pt>
    <dgm:pt modelId="{4FDF85F1-6D2B-42F6-AFF0-F6D9CE871923}" type="pres">
      <dgm:prSet presAssocID="{DB1FA265-0F22-4CFF-8B32-ED356EA88289}" presName="text" presStyleLbl="node1" presStyleIdx="1" presStyleCnt="3">
        <dgm:presLayoutVars>
          <dgm:bulletEnabled val="1"/>
        </dgm:presLayoutVars>
      </dgm:prSet>
      <dgm:spPr/>
    </dgm:pt>
    <dgm:pt modelId="{2D529E54-4511-4BDB-8351-DBB6EFE04AEF}" type="pres">
      <dgm:prSet presAssocID="{FEB711BD-F904-4580-880C-72B3AA07E2B3}" presName="spacer" presStyleCnt="0"/>
      <dgm:spPr/>
    </dgm:pt>
    <dgm:pt modelId="{474BA154-D8C7-4F0A-8196-1754E1F65E46}" type="pres">
      <dgm:prSet presAssocID="{CC4E832C-0187-4FC1-AED3-BC5EADA1DD5A}" presName="comp" presStyleCnt="0"/>
      <dgm:spPr/>
    </dgm:pt>
    <dgm:pt modelId="{CB7A0691-8C08-48C8-9A2C-C10A61332DC4}" type="pres">
      <dgm:prSet presAssocID="{CC4E832C-0187-4FC1-AED3-BC5EADA1DD5A}" presName="box" presStyleLbl="node1" presStyleIdx="2" presStyleCnt="3" custScaleY="146320"/>
      <dgm:spPr/>
    </dgm:pt>
    <dgm:pt modelId="{B6D456A2-1367-4B66-ABAE-4149B3391B20}" type="pres">
      <dgm:prSet presAssocID="{CC4E832C-0187-4FC1-AED3-BC5EADA1DD5A}" presName="img" presStyleLbl="fgImgPlace1" presStyleIdx="2" presStyleCnt="3"/>
      <dgm:spPr>
        <a:blipFill>
          <a:blip xmlns:r="http://schemas.openxmlformats.org/officeDocument/2006/relationships" r:embed="rId3" cstate="print">
            <a:duotone>
              <a:schemeClr val="accent5">
                <a:hueOff val="0"/>
                <a:satOff val="0"/>
                <a:lumOff val="0"/>
                <a:alphaOff val="0"/>
                <a:shade val="20000"/>
                <a:satMod val="200000"/>
              </a:schemeClr>
              <a:schemeClr val="accent5">
                <a:hueOff val="0"/>
                <a:satOff val="0"/>
                <a:lumOff val="0"/>
                <a:alphaOff val="0"/>
                <a:tint val="12000"/>
                <a:satMod val="190000"/>
              </a:schemeClr>
            </a:duotone>
            <a:extLst>
              <a:ext uri="{28A0092B-C50C-407E-A947-70E740481C1C}">
                <a14:useLocalDpi xmlns:a14="http://schemas.microsoft.com/office/drawing/2010/main" val="0"/>
              </a:ext>
            </a:extLst>
          </a:blip>
          <a:srcRect/>
          <a:stretch>
            <a:fillRect l="-3000" r="-3000"/>
          </a:stretch>
        </a:blipFill>
      </dgm:spPr>
    </dgm:pt>
    <dgm:pt modelId="{62950F30-08F1-4065-A9E3-3356997240A7}" type="pres">
      <dgm:prSet presAssocID="{CC4E832C-0187-4FC1-AED3-BC5EADA1DD5A}" presName="text" presStyleLbl="node1" presStyleIdx="2" presStyleCnt="3">
        <dgm:presLayoutVars>
          <dgm:bulletEnabled val="1"/>
        </dgm:presLayoutVars>
      </dgm:prSet>
      <dgm:spPr/>
    </dgm:pt>
  </dgm:ptLst>
  <dgm:cxnLst>
    <dgm:cxn modelId="{F02A4E0B-D14F-484F-8C3C-27B49554E029}" srcId="{DB1FA265-0F22-4CFF-8B32-ED356EA88289}" destId="{8A23AB78-C5EC-48E0-BEC0-612933FBA045}" srcOrd="3" destOrd="0" parTransId="{8E00DD5E-950D-42E4-896A-7F33BEE618F3}" sibTransId="{E5B1B7BE-D815-45CF-8140-3B29C7482973}"/>
    <dgm:cxn modelId="{5D62760F-55AC-47DD-95D6-60DE54101EB9}" type="presOf" srcId="{B2576BBC-3BB0-47AA-ABC4-579960506112}" destId="{9B043D52-D095-45C4-A03A-A8F9E1D1E861}" srcOrd="1" destOrd="3" presId="urn:microsoft.com/office/officeart/2005/8/layout/vList4"/>
    <dgm:cxn modelId="{69298E10-D8C2-42AB-BEC3-DA70DA74320A}" type="presOf" srcId="{612E34B1-9E78-48FD-81CA-24A4DAA90C12}" destId="{800AFD8D-841D-48FC-A8E2-F6A2BAE1060F}" srcOrd="0" destOrd="0" presId="urn:microsoft.com/office/officeart/2005/8/layout/vList4"/>
    <dgm:cxn modelId="{117C4211-8722-421D-BF27-98A2332BDC1A}" srcId="{612E34B1-9E78-48FD-81CA-24A4DAA90C12}" destId="{5CC7DB12-876D-499D-B3B4-C33A41F75D0B}" srcOrd="9" destOrd="0" parTransId="{30A574ED-997D-416C-9592-2B433A5D98D2}" sibTransId="{792432C1-D24D-485F-8B5E-B693CEFEA302}"/>
    <dgm:cxn modelId="{E975D911-510C-48B1-8E29-4F1F2F909F1C}" type="presOf" srcId="{EAF3F341-EE20-4C85-B10B-FA7757B82302}" destId="{62950F30-08F1-4065-A9E3-3356997240A7}" srcOrd="1" destOrd="7" presId="urn:microsoft.com/office/officeart/2005/8/layout/vList4"/>
    <dgm:cxn modelId="{45EEB114-744C-4C32-93E4-3D3706281792}" srcId="{CC4E832C-0187-4FC1-AED3-BC5EADA1DD5A}" destId="{72090764-1913-4E15-BC72-5940F69D021A}" srcOrd="0" destOrd="0" parTransId="{1D1E5717-5E88-458F-AC73-07173BAFFE75}" sibTransId="{825AD97C-EE86-4F65-9734-F80DDC937A0D}"/>
    <dgm:cxn modelId="{3D8F6419-6B31-4737-869D-62779AA75C9C}" type="presOf" srcId="{FE7B16B1-2EBA-4802-9FB5-8BAEA379BE0C}" destId="{CB7A0691-8C08-48C8-9A2C-C10A61332DC4}" srcOrd="0" destOrd="3" presId="urn:microsoft.com/office/officeart/2005/8/layout/vList4"/>
    <dgm:cxn modelId="{721F3E1A-B3CD-4156-9722-793DD5FB209A}" type="presOf" srcId="{3CC6131A-0AD8-4F35-A02A-4CA23F83C71F}" destId="{9B043D52-D095-45C4-A03A-A8F9E1D1E861}" srcOrd="1" destOrd="7" presId="urn:microsoft.com/office/officeart/2005/8/layout/vList4"/>
    <dgm:cxn modelId="{5B246C1E-6CC2-445B-9485-F4B9660DCCC5}" type="presOf" srcId="{8A23AB78-C5EC-48E0-BEC0-612933FBA045}" destId="{4FDF85F1-6D2B-42F6-AFF0-F6D9CE871923}" srcOrd="1" destOrd="4" presId="urn:microsoft.com/office/officeart/2005/8/layout/vList4"/>
    <dgm:cxn modelId="{1A1EA422-BEFC-4A86-BC5A-CF37CB2AEE42}" type="presOf" srcId="{BF07F1F7-60F0-427C-9CA8-C7D9F1CD6D4D}" destId="{9B043D52-D095-45C4-A03A-A8F9E1D1E861}" srcOrd="1" destOrd="4" presId="urn:microsoft.com/office/officeart/2005/8/layout/vList4"/>
    <dgm:cxn modelId="{81FFE927-0622-47A1-9079-6F7CDD6DD37F}" srcId="{DB1FA265-0F22-4CFF-8B32-ED356EA88289}" destId="{F3C687C9-A7B8-4568-9F72-055D7A658979}" srcOrd="1" destOrd="0" parTransId="{1F577504-AC70-4ED9-9E6B-C73ADB8D5038}" sibTransId="{9FDBE1BA-AECF-46C8-9214-D6723BDC2D9C}"/>
    <dgm:cxn modelId="{AF6F992D-9189-4C39-AFF1-B775ABECBD6C}" srcId="{612E34B1-9E78-48FD-81CA-24A4DAA90C12}" destId="{CAED87A4-CD57-43BB-AC3F-7449ADC10C29}" srcOrd="7" destOrd="0" parTransId="{E50F04DD-CF57-47EA-ADBF-B38366B52278}" sibTransId="{A66A798F-5BC3-40B2-971D-A9801568F412}"/>
    <dgm:cxn modelId="{DA549A3A-C216-4ADA-9A4F-3EAF0EDA6B48}" srcId="{CC4E832C-0187-4FC1-AED3-BC5EADA1DD5A}" destId="{05B26387-F4B9-49F7-8A2E-636DD43E0E99}" srcOrd="5" destOrd="0" parTransId="{40B51C5A-F79F-459D-BFA6-ECBC902B067F}" sibTransId="{FB5A18BC-82B9-4A9F-817D-32EC33790A77}"/>
    <dgm:cxn modelId="{A8FBF33B-DADD-4898-8715-70A90606C268}" srcId="{CC4E832C-0187-4FC1-AED3-BC5EADA1DD5A}" destId="{FE7B16B1-2EBA-4802-9FB5-8BAEA379BE0C}" srcOrd="2" destOrd="0" parTransId="{4FA9DFC1-D9F8-4977-B76A-A0D8C8FA9160}" sibTransId="{712A5E19-063C-4A2F-9BB8-DEA575DEF049}"/>
    <dgm:cxn modelId="{73EEEF3D-38BE-49AD-B1C0-A321D5062203}" type="presOf" srcId="{882B3063-0025-41AB-A0D9-F3EE37873925}" destId="{4FDF85F1-6D2B-42F6-AFF0-F6D9CE871923}" srcOrd="1" destOrd="3" presId="urn:microsoft.com/office/officeart/2005/8/layout/vList4"/>
    <dgm:cxn modelId="{BFDACB40-AA76-4E55-88E5-3CACB3C66A9A}" type="presOf" srcId="{4A381C71-2ECD-409B-8E74-3899280911A5}" destId="{800AFD8D-841D-48FC-A8E2-F6A2BAE1060F}" srcOrd="0" destOrd="9" presId="urn:microsoft.com/office/officeart/2005/8/layout/vList4"/>
    <dgm:cxn modelId="{E2884E5B-0ADA-4622-B55B-D816A15ED03D}" type="presOf" srcId="{7E1DC8DD-86A2-474F-8668-2F42191A1054}" destId="{62950F30-08F1-4065-A9E3-3356997240A7}" srcOrd="1" destOrd="4" presId="urn:microsoft.com/office/officeart/2005/8/layout/vList4"/>
    <dgm:cxn modelId="{6EDFB85C-9860-455A-BCF6-26CCC41AA994}" type="presOf" srcId="{AF3A881E-0749-4E4D-A0E9-BD4189B7BFA0}" destId="{4FDF85F1-6D2B-42F6-AFF0-F6D9CE871923}" srcOrd="1" destOrd="1" presId="urn:microsoft.com/office/officeart/2005/8/layout/vList4"/>
    <dgm:cxn modelId="{EBE6A463-3359-45C1-802C-21262D3C33F8}" type="presOf" srcId="{F3C687C9-A7B8-4568-9F72-055D7A658979}" destId="{4FDF85F1-6D2B-42F6-AFF0-F6D9CE871923}" srcOrd="1" destOrd="2" presId="urn:microsoft.com/office/officeart/2005/8/layout/vList4"/>
    <dgm:cxn modelId="{034DA464-DB55-4172-AEC9-D20EB2A9EFCA}" type="presOf" srcId="{4A381C71-2ECD-409B-8E74-3899280911A5}" destId="{9B043D52-D095-45C4-A03A-A8F9E1D1E861}" srcOrd="1" destOrd="9" presId="urn:microsoft.com/office/officeart/2005/8/layout/vList4"/>
    <dgm:cxn modelId="{4D243547-15E6-46BD-A349-CFF634CB4302}" type="presOf" srcId="{CC4E832C-0187-4FC1-AED3-BC5EADA1DD5A}" destId="{62950F30-08F1-4065-A9E3-3356997240A7}" srcOrd="1" destOrd="0" presId="urn:microsoft.com/office/officeart/2005/8/layout/vList4"/>
    <dgm:cxn modelId="{40F52348-4B8D-440B-AB7E-1C3728A3F315}" type="presOf" srcId="{F3C687C9-A7B8-4568-9F72-055D7A658979}" destId="{92221CAC-55B8-4F43-A6CF-5D9745A5D206}" srcOrd="0" destOrd="2" presId="urn:microsoft.com/office/officeart/2005/8/layout/vList4"/>
    <dgm:cxn modelId="{BFEA3848-1D28-4884-BF6C-441B322EDC91}" type="presOf" srcId="{8A23AB78-C5EC-48E0-BEC0-612933FBA045}" destId="{92221CAC-55B8-4F43-A6CF-5D9745A5D206}" srcOrd="0" destOrd="4" presId="urn:microsoft.com/office/officeart/2005/8/layout/vList4"/>
    <dgm:cxn modelId="{2AF96468-0FC8-436C-99A1-28E1C4BB36A9}" srcId="{612E34B1-9E78-48FD-81CA-24A4DAA90C12}" destId="{592E8AF3-986C-468E-AEB5-0349F6B8A69E}" srcOrd="0" destOrd="0" parTransId="{4BAFFC71-4DB3-42F4-8769-D90A90D214B8}" sibTransId="{27C379B4-5B21-4159-BB20-443D86F09896}"/>
    <dgm:cxn modelId="{C175A468-FB65-45DB-B3F7-E1DD2CE7210C}" srcId="{DB1FA265-0F22-4CFF-8B32-ED356EA88289}" destId="{882B3063-0025-41AB-A0D9-F3EE37873925}" srcOrd="2" destOrd="0" parTransId="{F81406DB-5ACF-4884-94C0-6DAF5DBE1E32}" sibTransId="{D45DE8DB-72F4-4367-95C2-2DA65984DC3F}"/>
    <dgm:cxn modelId="{5D36026E-4D0A-4E06-9D81-00E9CAB65E3F}" type="presOf" srcId="{05B26387-F4B9-49F7-8A2E-636DD43E0E99}" destId="{62950F30-08F1-4065-A9E3-3356997240A7}" srcOrd="1" destOrd="6" presId="urn:microsoft.com/office/officeart/2005/8/layout/vList4"/>
    <dgm:cxn modelId="{FBD33F6E-5B51-4B73-90DF-5084100E7B0F}" type="presOf" srcId="{EAF3F341-EE20-4C85-B10B-FA7757B82302}" destId="{CB7A0691-8C08-48C8-9A2C-C10A61332DC4}" srcOrd="0" destOrd="7" presId="urn:microsoft.com/office/officeart/2005/8/layout/vList4"/>
    <dgm:cxn modelId="{1D55544E-0135-4FB7-88C6-CF79380F0794}" srcId="{CC4E832C-0187-4FC1-AED3-BC5EADA1DD5A}" destId="{7F8AD699-6EC7-4B2C-96F9-F359EC33DA52}" srcOrd="1" destOrd="0" parTransId="{5367D0B3-4E16-4024-A894-CED341223981}" sibTransId="{9F95A27F-FC2F-4CF8-B2E4-FC1EB8EBB25F}"/>
    <dgm:cxn modelId="{6F3F1350-D284-4674-9D13-FCF84232BED0}" type="presOf" srcId="{BF07F1F7-60F0-427C-9CA8-C7D9F1CD6D4D}" destId="{800AFD8D-841D-48FC-A8E2-F6A2BAE1060F}" srcOrd="0" destOrd="4" presId="urn:microsoft.com/office/officeart/2005/8/layout/vList4"/>
    <dgm:cxn modelId="{37DCBA72-C695-41D5-8471-3D1B7C7B262C}" type="presOf" srcId="{1BD7FDF1-EDB4-42EF-9F32-01CE87BEB6F1}" destId="{9B043D52-D095-45C4-A03A-A8F9E1D1E861}" srcOrd="1" destOrd="2" presId="urn:microsoft.com/office/officeart/2005/8/layout/vList4"/>
    <dgm:cxn modelId="{2FF0DA53-8936-4471-B2B4-57E3035384F7}" type="presOf" srcId="{72090764-1913-4E15-BC72-5940F69D021A}" destId="{CB7A0691-8C08-48C8-9A2C-C10A61332DC4}" srcOrd="0" destOrd="1" presId="urn:microsoft.com/office/officeart/2005/8/layout/vList4"/>
    <dgm:cxn modelId="{98954D54-2301-4116-B0D0-B2EE3823A020}" srcId="{612E34B1-9E78-48FD-81CA-24A4DAA90C12}" destId="{95F6A7CB-1A2B-4B44-BB3E-BF013E94934B}" srcOrd="5" destOrd="0" parTransId="{5CBBCF16-4E7F-4E73-8A57-C1736D05FD3C}" sibTransId="{4F4BCC55-53E5-4C73-BF50-25C8671F6A1C}"/>
    <dgm:cxn modelId="{5F80737B-7679-46F3-917D-9223192F41B4}" type="presOf" srcId="{3CC6131A-0AD8-4F35-A02A-4CA23F83C71F}" destId="{800AFD8D-841D-48FC-A8E2-F6A2BAE1060F}" srcOrd="0" destOrd="7" presId="urn:microsoft.com/office/officeart/2005/8/layout/vList4"/>
    <dgm:cxn modelId="{F148487F-DA22-4C07-9CCE-1FEAC6FC1ED5}" type="presOf" srcId="{7E1DC8DD-86A2-474F-8668-2F42191A1054}" destId="{CB7A0691-8C08-48C8-9A2C-C10A61332DC4}" srcOrd="0" destOrd="4" presId="urn:microsoft.com/office/officeart/2005/8/layout/vList4"/>
    <dgm:cxn modelId="{2001D77F-B415-4B08-B437-E1B32F8F3CAD}" type="presOf" srcId="{AF3A881E-0749-4E4D-A0E9-BD4189B7BFA0}" destId="{92221CAC-55B8-4F43-A6CF-5D9745A5D206}" srcOrd="0" destOrd="1" presId="urn:microsoft.com/office/officeart/2005/8/layout/vList4"/>
    <dgm:cxn modelId="{2D2D0D80-AA70-4794-BEC4-5239D58FA8DA}" srcId="{CC4E832C-0187-4FC1-AED3-BC5EADA1DD5A}" destId="{EAF3F341-EE20-4C85-B10B-FA7757B82302}" srcOrd="6" destOrd="0" parTransId="{35F53B53-EEA2-4EBC-9002-B94F8D7C5E06}" sibTransId="{98B41F53-66B1-4958-9F73-93FD4687262F}"/>
    <dgm:cxn modelId="{9682E787-B9AB-44A7-B573-4F612F88101E}" srcId="{CC4E832C-0187-4FC1-AED3-BC5EADA1DD5A}" destId="{316669C0-9425-45DA-9865-3D6B7A1CC614}" srcOrd="4" destOrd="0" parTransId="{2481C829-8700-4DE8-9964-71F31D9EBDFF}" sibTransId="{65FCCB54-19C2-4B1D-BF04-C221A36B7A74}"/>
    <dgm:cxn modelId="{7E00F18A-8238-4867-A0F1-03C1916548B2}" type="presOf" srcId="{251EABEF-FE17-43F5-B37C-9BC7B2357475}" destId="{62950F30-08F1-4065-A9E3-3356997240A7}" srcOrd="1" destOrd="8" presId="urn:microsoft.com/office/officeart/2005/8/layout/vList4"/>
    <dgm:cxn modelId="{B6B63C8C-4284-4706-B48B-527ABC3F565B}" srcId="{DB1FA265-0F22-4CFF-8B32-ED356EA88289}" destId="{AF3A881E-0749-4E4D-A0E9-BD4189B7BFA0}" srcOrd="0" destOrd="0" parTransId="{F8AAB932-C394-43BC-BA3A-E0E62C0AC941}" sibTransId="{A189607F-CA2F-409F-9B72-89D8DE85885A}"/>
    <dgm:cxn modelId="{A76A6993-B319-4776-9B21-E1E3C284EA01}" type="presOf" srcId="{FE7B16B1-2EBA-4802-9FB5-8BAEA379BE0C}" destId="{62950F30-08F1-4065-A9E3-3356997240A7}" srcOrd="1" destOrd="3" presId="urn:microsoft.com/office/officeart/2005/8/layout/vList4"/>
    <dgm:cxn modelId="{36FE6494-C65C-468D-AC29-BA06F6BEF635}" type="presOf" srcId="{882B3063-0025-41AB-A0D9-F3EE37873925}" destId="{92221CAC-55B8-4F43-A6CF-5D9745A5D206}" srcOrd="0" destOrd="3" presId="urn:microsoft.com/office/officeart/2005/8/layout/vList4"/>
    <dgm:cxn modelId="{CE95BD9A-604B-4232-95B0-9D5FC5B74A8C}" type="presOf" srcId="{F0163E7D-E262-43A0-98CE-D4D47A049401}" destId="{9B043D52-D095-45C4-A03A-A8F9E1D1E861}" srcOrd="1" destOrd="5" presId="urn:microsoft.com/office/officeart/2005/8/layout/vList4"/>
    <dgm:cxn modelId="{5862B89B-3225-4E1A-AB86-C00972E09F69}" srcId="{612E34B1-9E78-48FD-81CA-24A4DAA90C12}" destId="{BF07F1F7-60F0-427C-9CA8-C7D9F1CD6D4D}" srcOrd="3" destOrd="0" parTransId="{65981C5C-CFB3-401A-925E-84765B21732F}" sibTransId="{0188FF84-2414-43E3-9F99-209F23E8CEE6}"/>
    <dgm:cxn modelId="{EACA2A9E-6ACC-404A-9922-ABC12B60D2E8}" type="presOf" srcId="{316669C0-9425-45DA-9865-3D6B7A1CC614}" destId="{CB7A0691-8C08-48C8-9A2C-C10A61332DC4}" srcOrd="0" destOrd="5" presId="urn:microsoft.com/office/officeart/2005/8/layout/vList4"/>
    <dgm:cxn modelId="{EB32799E-B3D5-4B13-AA93-F39125B9800A}" srcId="{CC4E832C-0187-4FC1-AED3-BC5EADA1DD5A}" destId="{251EABEF-FE17-43F5-B37C-9BC7B2357475}" srcOrd="7" destOrd="0" parTransId="{258DA11C-2CB4-40F0-8A49-B995602888C3}" sibTransId="{AA647642-597B-4B2A-A26C-694F3CBEE224}"/>
    <dgm:cxn modelId="{A4FD4BA1-5B51-4DC3-8DA4-1EF477228B53}" type="presOf" srcId="{F0163E7D-E262-43A0-98CE-D4D47A049401}" destId="{800AFD8D-841D-48FC-A8E2-F6A2BAE1060F}" srcOrd="0" destOrd="5" presId="urn:microsoft.com/office/officeart/2005/8/layout/vList4"/>
    <dgm:cxn modelId="{4A1DE5A2-F86C-4224-A595-D17B9FBDBC4C}" type="presOf" srcId="{72090764-1913-4E15-BC72-5940F69D021A}" destId="{62950F30-08F1-4065-A9E3-3356997240A7}" srcOrd="1" destOrd="1" presId="urn:microsoft.com/office/officeart/2005/8/layout/vList4"/>
    <dgm:cxn modelId="{38C42EA6-75A7-4951-B4A5-E2AC140440EC}" type="presOf" srcId="{251EABEF-FE17-43F5-B37C-9BC7B2357475}" destId="{CB7A0691-8C08-48C8-9A2C-C10A61332DC4}" srcOrd="0" destOrd="8" presId="urn:microsoft.com/office/officeart/2005/8/layout/vList4"/>
    <dgm:cxn modelId="{465149A8-B39A-4C6E-9879-1D19AB9AAA0D}" type="presOf" srcId="{05B26387-F4B9-49F7-8A2E-636DD43E0E99}" destId="{CB7A0691-8C08-48C8-9A2C-C10A61332DC4}" srcOrd="0" destOrd="6" presId="urn:microsoft.com/office/officeart/2005/8/layout/vList4"/>
    <dgm:cxn modelId="{74D8DBA9-9DDD-4D53-ADB9-93765DF16212}" type="presOf" srcId="{902269F3-8815-40C9-98E8-967B28782CC1}" destId="{DE1AE25A-654D-40A3-9580-AB8E7851D14B}" srcOrd="0" destOrd="0" presId="urn:microsoft.com/office/officeart/2005/8/layout/vList4"/>
    <dgm:cxn modelId="{2E21B1AA-19FA-437F-9178-C4D4BB460046}" type="presOf" srcId="{CAED87A4-CD57-43BB-AC3F-7449ADC10C29}" destId="{800AFD8D-841D-48FC-A8E2-F6A2BAE1060F}" srcOrd="0" destOrd="8" presId="urn:microsoft.com/office/officeart/2005/8/layout/vList4"/>
    <dgm:cxn modelId="{570005B2-EF5B-408D-9C67-41DB90DBFA78}" type="presOf" srcId="{95F6A7CB-1A2B-4B44-BB3E-BF013E94934B}" destId="{9B043D52-D095-45C4-A03A-A8F9E1D1E861}" srcOrd="1" destOrd="6" presId="urn:microsoft.com/office/officeart/2005/8/layout/vList4"/>
    <dgm:cxn modelId="{3DACCBB7-E174-4C8B-B89E-AD5AD013B871}" srcId="{612E34B1-9E78-48FD-81CA-24A4DAA90C12}" destId="{4A381C71-2ECD-409B-8E74-3899280911A5}" srcOrd="8" destOrd="0" parTransId="{187C7209-17D6-409F-B22C-4A4ABD58995C}" sibTransId="{EAA46A18-B973-45C1-8A94-8EB27CC1CA5F}"/>
    <dgm:cxn modelId="{1591F2B9-C342-461D-8FB4-5DEE5ADFE3BF}" srcId="{612E34B1-9E78-48FD-81CA-24A4DAA90C12}" destId="{1BD7FDF1-EDB4-42EF-9F32-01CE87BEB6F1}" srcOrd="1" destOrd="0" parTransId="{36D104D1-774B-4AB2-9CB6-258DDC8DE996}" sibTransId="{EF1D53E1-2658-4F0E-A9B2-F95BF2377130}"/>
    <dgm:cxn modelId="{C29DAEBA-591B-464A-A9A5-F07EFAF9E1DF}" type="presOf" srcId="{CAED87A4-CD57-43BB-AC3F-7449ADC10C29}" destId="{9B043D52-D095-45C4-A03A-A8F9E1D1E861}" srcOrd="1" destOrd="8" presId="urn:microsoft.com/office/officeart/2005/8/layout/vList4"/>
    <dgm:cxn modelId="{2C2BEDBC-70EE-4186-AEDF-6475A611B0AF}" srcId="{902269F3-8815-40C9-98E8-967B28782CC1}" destId="{DB1FA265-0F22-4CFF-8B32-ED356EA88289}" srcOrd="1" destOrd="0" parTransId="{2AA9964B-B9C8-431D-BEB8-4A6C54DF17B3}" sibTransId="{FEB711BD-F904-4580-880C-72B3AA07E2B3}"/>
    <dgm:cxn modelId="{BAE00DBE-0A00-49A7-B326-C081FC8D6CC1}" type="presOf" srcId="{592E8AF3-986C-468E-AEB5-0349F6B8A69E}" destId="{800AFD8D-841D-48FC-A8E2-F6A2BAE1060F}" srcOrd="0" destOrd="1" presId="urn:microsoft.com/office/officeart/2005/8/layout/vList4"/>
    <dgm:cxn modelId="{6B436BBF-C7E9-48EC-8390-FCEB472CFAD5}" srcId="{902269F3-8815-40C9-98E8-967B28782CC1}" destId="{612E34B1-9E78-48FD-81CA-24A4DAA90C12}" srcOrd="0" destOrd="0" parTransId="{863D82F7-1C3D-4CEB-8BAB-92CDD3953CCE}" sibTransId="{F35D4A2E-F97F-4632-AB27-FF397B2A9DEB}"/>
    <dgm:cxn modelId="{257302C2-5AFF-4908-9167-196A4F0FBEE2}" type="presOf" srcId="{5CC7DB12-876D-499D-B3B4-C33A41F75D0B}" destId="{800AFD8D-841D-48FC-A8E2-F6A2BAE1060F}" srcOrd="0" destOrd="10" presId="urn:microsoft.com/office/officeart/2005/8/layout/vList4"/>
    <dgm:cxn modelId="{6EE7AFC4-7134-49FA-9487-94643EAFC271}" type="presOf" srcId="{592E8AF3-986C-468E-AEB5-0349F6B8A69E}" destId="{9B043D52-D095-45C4-A03A-A8F9E1D1E861}" srcOrd="1" destOrd="1" presId="urn:microsoft.com/office/officeart/2005/8/layout/vList4"/>
    <dgm:cxn modelId="{ECC615C9-EF1B-4DA9-8037-11A9C7DC2F35}" srcId="{612E34B1-9E78-48FD-81CA-24A4DAA90C12}" destId="{F0163E7D-E262-43A0-98CE-D4D47A049401}" srcOrd="4" destOrd="0" parTransId="{44F61085-A040-4BA6-BB2E-22B865F6F9B3}" sibTransId="{BD663536-37BF-424A-948F-6ED6A4283CB9}"/>
    <dgm:cxn modelId="{248A95D3-0D1E-42DB-913A-DA2A57E75AB9}" type="presOf" srcId="{612E34B1-9E78-48FD-81CA-24A4DAA90C12}" destId="{9B043D52-D095-45C4-A03A-A8F9E1D1E861}" srcOrd="1" destOrd="0" presId="urn:microsoft.com/office/officeart/2005/8/layout/vList4"/>
    <dgm:cxn modelId="{5A862CDB-E173-4FF6-A8BF-B08F3353EA1E}" srcId="{CC4E832C-0187-4FC1-AED3-BC5EADA1DD5A}" destId="{7E1DC8DD-86A2-474F-8668-2F42191A1054}" srcOrd="3" destOrd="0" parTransId="{D49BCB97-5536-4CDE-A5B8-5F94D80B3BDA}" sibTransId="{AEC94886-32A3-4331-BA07-9A9B4DCA44CA}"/>
    <dgm:cxn modelId="{D827BDDC-A8EC-4EA4-A6BC-36945D2B447B}" type="presOf" srcId="{95F6A7CB-1A2B-4B44-BB3E-BF013E94934B}" destId="{800AFD8D-841D-48FC-A8E2-F6A2BAE1060F}" srcOrd="0" destOrd="6" presId="urn:microsoft.com/office/officeart/2005/8/layout/vList4"/>
    <dgm:cxn modelId="{BE988CDF-76B3-4C69-BBF3-B28F3BAB8966}" type="presOf" srcId="{7F8AD699-6EC7-4B2C-96F9-F359EC33DA52}" destId="{62950F30-08F1-4065-A9E3-3356997240A7}" srcOrd="1" destOrd="2" presId="urn:microsoft.com/office/officeart/2005/8/layout/vList4"/>
    <dgm:cxn modelId="{A14358E0-00AA-47FC-8F68-A0A9EFCDE1AA}" type="presOf" srcId="{1BD7FDF1-EDB4-42EF-9F32-01CE87BEB6F1}" destId="{800AFD8D-841D-48FC-A8E2-F6A2BAE1060F}" srcOrd="0" destOrd="2" presId="urn:microsoft.com/office/officeart/2005/8/layout/vList4"/>
    <dgm:cxn modelId="{74EAA3E2-96F0-4F27-AC81-FAD5DB93B077}" srcId="{902269F3-8815-40C9-98E8-967B28782CC1}" destId="{CC4E832C-0187-4FC1-AED3-BC5EADA1DD5A}" srcOrd="2" destOrd="0" parTransId="{2B508D5F-97EF-4758-8D88-D56860F97F87}" sibTransId="{CAF870E9-EFC0-4BB0-A456-C0413C6733CD}"/>
    <dgm:cxn modelId="{96E211E4-D905-4514-B289-139FA2198514}" type="presOf" srcId="{B2576BBC-3BB0-47AA-ABC4-579960506112}" destId="{800AFD8D-841D-48FC-A8E2-F6A2BAE1060F}" srcOrd="0" destOrd="3" presId="urn:microsoft.com/office/officeart/2005/8/layout/vList4"/>
    <dgm:cxn modelId="{03DF0FEA-170D-4A32-B15D-D660A34E3C84}" type="presOf" srcId="{316669C0-9425-45DA-9865-3D6B7A1CC614}" destId="{62950F30-08F1-4065-A9E3-3356997240A7}" srcOrd="1" destOrd="5" presId="urn:microsoft.com/office/officeart/2005/8/layout/vList4"/>
    <dgm:cxn modelId="{13854CEA-30FF-4834-8544-BC9289452242}" type="presOf" srcId="{DB1FA265-0F22-4CFF-8B32-ED356EA88289}" destId="{92221CAC-55B8-4F43-A6CF-5D9745A5D206}" srcOrd="0" destOrd="0" presId="urn:microsoft.com/office/officeart/2005/8/layout/vList4"/>
    <dgm:cxn modelId="{2C6BFEEA-E687-4016-A2C5-4825C8B5AB8C}" type="presOf" srcId="{DB1FA265-0F22-4CFF-8B32-ED356EA88289}" destId="{4FDF85F1-6D2B-42F6-AFF0-F6D9CE871923}" srcOrd="1" destOrd="0" presId="urn:microsoft.com/office/officeart/2005/8/layout/vList4"/>
    <dgm:cxn modelId="{203FE0F6-B791-45EC-958A-18FB68D6AAF9}" type="presOf" srcId="{7F8AD699-6EC7-4B2C-96F9-F359EC33DA52}" destId="{CB7A0691-8C08-48C8-9A2C-C10A61332DC4}" srcOrd="0" destOrd="2" presId="urn:microsoft.com/office/officeart/2005/8/layout/vList4"/>
    <dgm:cxn modelId="{0F94EDF8-913A-412F-9F23-9D38EF3A3667}" type="presOf" srcId="{CC4E832C-0187-4FC1-AED3-BC5EADA1DD5A}" destId="{CB7A0691-8C08-48C8-9A2C-C10A61332DC4}" srcOrd="0" destOrd="0" presId="urn:microsoft.com/office/officeart/2005/8/layout/vList4"/>
    <dgm:cxn modelId="{75934FFD-E774-4337-866F-2FE22366F13C}" type="presOf" srcId="{5CC7DB12-876D-499D-B3B4-C33A41F75D0B}" destId="{9B043D52-D095-45C4-A03A-A8F9E1D1E861}" srcOrd="1" destOrd="10" presId="urn:microsoft.com/office/officeart/2005/8/layout/vList4"/>
    <dgm:cxn modelId="{2BDF99FD-E68B-4BC6-BA89-50FC03190511}" srcId="{612E34B1-9E78-48FD-81CA-24A4DAA90C12}" destId="{B2576BBC-3BB0-47AA-ABC4-579960506112}" srcOrd="2" destOrd="0" parTransId="{F0D891BF-2718-499A-B77A-ACBF957D6E04}" sibTransId="{BD8D393A-0055-49D1-9DB4-0DCD01C4C98E}"/>
    <dgm:cxn modelId="{22CEC1FD-E371-4A66-9C3D-437CE6D256B8}" srcId="{612E34B1-9E78-48FD-81CA-24A4DAA90C12}" destId="{3CC6131A-0AD8-4F35-A02A-4CA23F83C71F}" srcOrd="6" destOrd="0" parTransId="{8C81F624-ECD5-4F03-A58F-127DC67AA371}" sibTransId="{44E62F8B-31DF-40AE-AB5F-049AD5EEE872}"/>
    <dgm:cxn modelId="{C73CDB80-2D6F-4372-9654-CD3B4B1C9533}" type="presParOf" srcId="{DE1AE25A-654D-40A3-9580-AB8E7851D14B}" destId="{89B9079D-B96E-43FD-807E-CF1DF7DAF04A}" srcOrd="0" destOrd="0" presId="urn:microsoft.com/office/officeart/2005/8/layout/vList4"/>
    <dgm:cxn modelId="{2E7255E4-A358-4A32-91A5-C5450C2F70F1}" type="presParOf" srcId="{89B9079D-B96E-43FD-807E-CF1DF7DAF04A}" destId="{800AFD8D-841D-48FC-A8E2-F6A2BAE1060F}" srcOrd="0" destOrd="0" presId="urn:microsoft.com/office/officeart/2005/8/layout/vList4"/>
    <dgm:cxn modelId="{119BD2B6-BBFE-4CA8-AC07-B7E7084538DE}" type="presParOf" srcId="{89B9079D-B96E-43FD-807E-CF1DF7DAF04A}" destId="{5322E1D2-A695-4439-959F-0733A58D4FFB}" srcOrd="1" destOrd="0" presId="urn:microsoft.com/office/officeart/2005/8/layout/vList4"/>
    <dgm:cxn modelId="{95AA9939-9E16-4048-B54D-3A8363847095}" type="presParOf" srcId="{89B9079D-B96E-43FD-807E-CF1DF7DAF04A}" destId="{9B043D52-D095-45C4-A03A-A8F9E1D1E861}" srcOrd="2" destOrd="0" presId="urn:microsoft.com/office/officeart/2005/8/layout/vList4"/>
    <dgm:cxn modelId="{2E5C00C5-B528-480C-8AC9-6D08518165F6}" type="presParOf" srcId="{DE1AE25A-654D-40A3-9580-AB8E7851D14B}" destId="{8ECA919B-5188-46B4-99CB-10DF3804A6B2}" srcOrd="1" destOrd="0" presId="urn:microsoft.com/office/officeart/2005/8/layout/vList4"/>
    <dgm:cxn modelId="{4C15D555-1E41-4530-BE9C-B44079949EA7}" type="presParOf" srcId="{DE1AE25A-654D-40A3-9580-AB8E7851D14B}" destId="{DA5E72FF-9F6C-4645-94E5-51746955467A}" srcOrd="2" destOrd="0" presId="urn:microsoft.com/office/officeart/2005/8/layout/vList4"/>
    <dgm:cxn modelId="{60A5F9CA-C8DA-4343-9036-6F313BA06211}" type="presParOf" srcId="{DA5E72FF-9F6C-4645-94E5-51746955467A}" destId="{92221CAC-55B8-4F43-A6CF-5D9745A5D206}" srcOrd="0" destOrd="0" presId="urn:microsoft.com/office/officeart/2005/8/layout/vList4"/>
    <dgm:cxn modelId="{61492C16-B641-465B-A300-D0EF010267AA}" type="presParOf" srcId="{DA5E72FF-9F6C-4645-94E5-51746955467A}" destId="{4C29F761-3942-4022-9F20-5414EDF3591B}" srcOrd="1" destOrd="0" presId="urn:microsoft.com/office/officeart/2005/8/layout/vList4"/>
    <dgm:cxn modelId="{50327F24-15DD-492A-988D-077DB9A5AE7D}" type="presParOf" srcId="{DA5E72FF-9F6C-4645-94E5-51746955467A}" destId="{4FDF85F1-6D2B-42F6-AFF0-F6D9CE871923}" srcOrd="2" destOrd="0" presId="urn:microsoft.com/office/officeart/2005/8/layout/vList4"/>
    <dgm:cxn modelId="{14D141AB-03A3-4991-8875-877B0C5B9C4A}" type="presParOf" srcId="{DE1AE25A-654D-40A3-9580-AB8E7851D14B}" destId="{2D529E54-4511-4BDB-8351-DBB6EFE04AEF}" srcOrd="3" destOrd="0" presId="urn:microsoft.com/office/officeart/2005/8/layout/vList4"/>
    <dgm:cxn modelId="{07FC4C27-8626-43BE-8BB9-D9B9DA754370}" type="presParOf" srcId="{DE1AE25A-654D-40A3-9580-AB8E7851D14B}" destId="{474BA154-D8C7-4F0A-8196-1754E1F65E46}" srcOrd="4" destOrd="0" presId="urn:microsoft.com/office/officeart/2005/8/layout/vList4"/>
    <dgm:cxn modelId="{21F69DD2-97D0-4F29-AB94-A6227F01496F}" type="presParOf" srcId="{474BA154-D8C7-4F0A-8196-1754E1F65E46}" destId="{CB7A0691-8C08-48C8-9A2C-C10A61332DC4}" srcOrd="0" destOrd="0" presId="urn:microsoft.com/office/officeart/2005/8/layout/vList4"/>
    <dgm:cxn modelId="{97B0D624-1ECC-48D3-A154-474090219539}" type="presParOf" srcId="{474BA154-D8C7-4F0A-8196-1754E1F65E46}" destId="{B6D456A2-1367-4B66-ABAE-4149B3391B20}" srcOrd="1" destOrd="0" presId="urn:microsoft.com/office/officeart/2005/8/layout/vList4"/>
    <dgm:cxn modelId="{F8EAAA18-29A7-4852-B1F5-8234E5F7AF4A}" type="presParOf" srcId="{474BA154-D8C7-4F0A-8196-1754E1F65E46}" destId="{62950F30-08F1-4065-A9E3-3356997240A7}" srcOrd="2" destOrd="0" presId="urn:microsoft.com/office/officeart/2005/8/layout/vList4"/>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E2DD7450-D40F-4D5A-BA40-3D19E06ED4F8}" type="doc">
      <dgm:prSet loTypeId="urn:microsoft.com/office/officeart/2011/layout/HexagonRadial" loCatId="cycle" qsTypeId="urn:microsoft.com/office/officeart/2005/8/quickstyle/3d2" qsCatId="3D" csTypeId="urn:microsoft.com/office/officeart/2005/8/colors/accent5_2" csCatId="accent5" phldr="1"/>
      <dgm:spPr/>
      <dgm:t>
        <a:bodyPr/>
        <a:lstStyle/>
        <a:p>
          <a:endParaRPr lang="en-US"/>
        </a:p>
      </dgm:t>
    </dgm:pt>
    <dgm:pt modelId="{BB86B9E7-A540-431C-8ED5-588FB16F483C}">
      <dgm:prSet phldrT="[Text]" custT="1"/>
      <dgm:spPr/>
      <dgm:t>
        <a:bodyPr/>
        <a:lstStyle/>
        <a:p>
          <a:r>
            <a:rPr lang="sr-Latn-ME" sz="1400" b="1">
              <a:solidFill>
                <a:schemeClr val="accent4">
                  <a:lumMod val="60000"/>
                  <a:lumOff val="40000"/>
                </a:schemeClr>
              </a:solidFill>
            </a:rPr>
            <a:t>PESTLE</a:t>
          </a:r>
          <a:endParaRPr lang="en-US" sz="1400" b="1">
            <a:solidFill>
              <a:schemeClr val="accent4">
                <a:lumMod val="60000"/>
                <a:lumOff val="40000"/>
              </a:schemeClr>
            </a:solidFill>
          </a:endParaRPr>
        </a:p>
      </dgm:t>
    </dgm:pt>
    <dgm:pt modelId="{C2FC30E6-9A9F-4B8D-B21D-D0D0EC92B7EE}" type="parTrans" cxnId="{B1211819-5316-40A6-AB91-7D1BE7F40049}">
      <dgm:prSet/>
      <dgm:spPr/>
      <dgm:t>
        <a:bodyPr/>
        <a:lstStyle/>
        <a:p>
          <a:endParaRPr lang="en-US"/>
        </a:p>
      </dgm:t>
    </dgm:pt>
    <dgm:pt modelId="{3BCF3F0B-3C3F-4B18-B4C5-516712DDE6A7}" type="sibTrans" cxnId="{B1211819-5316-40A6-AB91-7D1BE7F40049}">
      <dgm:prSet/>
      <dgm:spPr/>
      <dgm:t>
        <a:bodyPr/>
        <a:lstStyle/>
        <a:p>
          <a:endParaRPr lang="en-US"/>
        </a:p>
      </dgm:t>
    </dgm:pt>
    <dgm:pt modelId="{0360FF75-BF82-4CD9-95BF-A3E923D46CFE}">
      <dgm:prSet phldrT="[Text]"/>
      <dgm:spPr/>
      <dgm:t>
        <a:bodyPr/>
        <a:lstStyle/>
        <a:p>
          <a:r>
            <a:rPr lang="sr-Latn-ME">
              <a:solidFill>
                <a:sysClr val="windowText" lastClr="000000"/>
              </a:solidFill>
            </a:rPr>
            <a:t>POLITIČKO OKRUŽENJE </a:t>
          </a:r>
        </a:p>
        <a:p>
          <a:r>
            <a:rPr lang="sr-Latn-ME">
              <a:solidFill>
                <a:sysClr val="windowText" lastClr="000000"/>
              </a:solidFill>
            </a:rPr>
            <a:t>(P)</a:t>
          </a:r>
          <a:endParaRPr lang="en-US">
            <a:solidFill>
              <a:sysClr val="windowText" lastClr="000000"/>
            </a:solidFill>
          </a:endParaRPr>
        </a:p>
      </dgm:t>
    </dgm:pt>
    <dgm:pt modelId="{BC345CE2-50AD-4857-AAC2-57B8C095F629}" type="parTrans" cxnId="{0EA437E4-F3D6-466B-8F87-9BBD4CC12735}">
      <dgm:prSet/>
      <dgm:spPr/>
      <dgm:t>
        <a:bodyPr/>
        <a:lstStyle/>
        <a:p>
          <a:endParaRPr lang="en-US"/>
        </a:p>
      </dgm:t>
    </dgm:pt>
    <dgm:pt modelId="{F72A8AA8-CE2E-45FD-9739-B664251EC8C9}" type="sibTrans" cxnId="{0EA437E4-F3D6-466B-8F87-9BBD4CC12735}">
      <dgm:prSet/>
      <dgm:spPr/>
      <dgm:t>
        <a:bodyPr/>
        <a:lstStyle/>
        <a:p>
          <a:endParaRPr lang="en-US"/>
        </a:p>
      </dgm:t>
    </dgm:pt>
    <dgm:pt modelId="{5B090524-10C2-4634-8948-C6CA81657049}">
      <dgm:prSet phldrT="[Text]"/>
      <dgm:spPr/>
      <dgm:t>
        <a:bodyPr/>
        <a:lstStyle/>
        <a:p>
          <a:r>
            <a:rPr lang="sr-Latn-ME">
              <a:solidFill>
                <a:sysClr val="windowText" lastClr="000000"/>
              </a:solidFill>
            </a:rPr>
            <a:t>EKONOMSKO OKRUŽENJE</a:t>
          </a:r>
        </a:p>
        <a:p>
          <a:r>
            <a:rPr lang="sr-Latn-ME">
              <a:solidFill>
                <a:sysClr val="windowText" lastClr="000000"/>
              </a:solidFill>
            </a:rPr>
            <a:t>(E)</a:t>
          </a:r>
          <a:endParaRPr lang="en-US">
            <a:solidFill>
              <a:sysClr val="windowText" lastClr="000000"/>
            </a:solidFill>
          </a:endParaRPr>
        </a:p>
      </dgm:t>
    </dgm:pt>
    <dgm:pt modelId="{E8033499-0058-42EF-98F1-605ACC9ACC6E}" type="parTrans" cxnId="{FD7AD065-A154-4A7F-95ED-CC9D9C314D27}">
      <dgm:prSet/>
      <dgm:spPr/>
      <dgm:t>
        <a:bodyPr/>
        <a:lstStyle/>
        <a:p>
          <a:endParaRPr lang="en-US"/>
        </a:p>
      </dgm:t>
    </dgm:pt>
    <dgm:pt modelId="{9D7D5577-36DC-47CC-B7DE-6D089916E8BA}" type="sibTrans" cxnId="{FD7AD065-A154-4A7F-95ED-CC9D9C314D27}">
      <dgm:prSet/>
      <dgm:spPr/>
      <dgm:t>
        <a:bodyPr/>
        <a:lstStyle/>
        <a:p>
          <a:endParaRPr lang="en-US"/>
        </a:p>
      </dgm:t>
    </dgm:pt>
    <dgm:pt modelId="{75E03B6E-8B4F-4DE6-861A-9C5D50545EA7}">
      <dgm:prSet phldrT="[Text]"/>
      <dgm:spPr/>
      <dgm:t>
        <a:bodyPr/>
        <a:lstStyle/>
        <a:p>
          <a:r>
            <a:rPr lang="sr-Latn-ME">
              <a:solidFill>
                <a:sysClr val="windowText" lastClr="000000"/>
              </a:solidFill>
            </a:rPr>
            <a:t>DRUŠTVENO OKRUŽENJE</a:t>
          </a:r>
        </a:p>
        <a:p>
          <a:r>
            <a:rPr lang="sr-Latn-ME">
              <a:solidFill>
                <a:sysClr val="windowText" lastClr="000000"/>
              </a:solidFill>
            </a:rPr>
            <a:t>(S)</a:t>
          </a:r>
          <a:endParaRPr lang="en-US">
            <a:solidFill>
              <a:sysClr val="windowText" lastClr="000000"/>
            </a:solidFill>
          </a:endParaRPr>
        </a:p>
      </dgm:t>
    </dgm:pt>
    <dgm:pt modelId="{B9FC8F8D-9117-4D14-A9E6-3B48C0384E33}" type="parTrans" cxnId="{D408C48A-A7B2-4205-A995-9BF8934E3C6A}">
      <dgm:prSet/>
      <dgm:spPr/>
      <dgm:t>
        <a:bodyPr/>
        <a:lstStyle/>
        <a:p>
          <a:endParaRPr lang="en-US"/>
        </a:p>
      </dgm:t>
    </dgm:pt>
    <dgm:pt modelId="{1C0F8ECB-986D-4DB8-8CB0-DCBD95EA0E76}" type="sibTrans" cxnId="{D408C48A-A7B2-4205-A995-9BF8934E3C6A}">
      <dgm:prSet/>
      <dgm:spPr/>
      <dgm:t>
        <a:bodyPr/>
        <a:lstStyle/>
        <a:p>
          <a:endParaRPr lang="en-US"/>
        </a:p>
      </dgm:t>
    </dgm:pt>
    <dgm:pt modelId="{9D43EDEA-591B-43C4-BD63-69480791A309}">
      <dgm:prSet phldrT="[Text]"/>
      <dgm:spPr/>
      <dgm:t>
        <a:bodyPr/>
        <a:lstStyle/>
        <a:p>
          <a:r>
            <a:rPr lang="sr-Latn-ME">
              <a:solidFill>
                <a:sysClr val="windowText" lastClr="000000"/>
              </a:solidFill>
            </a:rPr>
            <a:t>TEHNOLOŠKO OKRUŽENJE</a:t>
          </a:r>
        </a:p>
        <a:p>
          <a:r>
            <a:rPr lang="sr-Latn-ME">
              <a:solidFill>
                <a:sysClr val="windowText" lastClr="000000"/>
              </a:solidFill>
            </a:rPr>
            <a:t>(T)</a:t>
          </a:r>
          <a:endParaRPr lang="en-US">
            <a:solidFill>
              <a:sysClr val="windowText" lastClr="000000"/>
            </a:solidFill>
          </a:endParaRPr>
        </a:p>
      </dgm:t>
    </dgm:pt>
    <dgm:pt modelId="{186A1A27-8D2D-4E6D-8222-68E5AC34F593}" type="parTrans" cxnId="{45455C72-31E3-4B30-B15C-2551E805A699}">
      <dgm:prSet/>
      <dgm:spPr/>
      <dgm:t>
        <a:bodyPr/>
        <a:lstStyle/>
        <a:p>
          <a:endParaRPr lang="en-US"/>
        </a:p>
      </dgm:t>
    </dgm:pt>
    <dgm:pt modelId="{BC6706A5-B637-4F49-8ADF-024379ACB515}" type="sibTrans" cxnId="{45455C72-31E3-4B30-B15C-2551E805A699}">
      <dgm:prSet/>
      <dgm:spPr/>
      <dgm:t>
        <a:bodyPr/>
        <a:lstStyle/>
        <a:p>
          <a:endParaRPr lang="en-US"/>
        </a:p>
      </dgm:t>
    </dgm:pt>
    <dgm:pt modelId="{EE7CC525-FFBB-4275-986E-3473C8CAE5E9}">
      <dgm:prSet phldrT="[Text]"/>
      <dgm:spPr/>
      <dgm:t>
        <a:bodyPr/>
        <a:lstStyle/>
        <a:p>
          <a:r>
            <a:rPr lang="sr-Latn-ME">
              <a:solidFill>
                <a:sysClr val="windowText" lastClr="000000"/>
              </a:solidFill>
            </a:rPr>
            <a:t>EKOLOŠKO OKRUŽENJE</a:t>
          </a:r>
        </a:p>
        <a:p>
          <a:r>
            <a:rPr lang="sr-Latn-ME">
              <a:solidFill>
                <a:sysClr val="windowText" lastClr="000000"/>
              </a:solidFill>
            </a:rPr>
            <a:t>(E)</a:t>
          </a:r>
          <a:endParaRPr lang="en-US">
            <a:solidFill>
              <a:sysClr val="windowText" lastClr="000000"/>
            </a:solidFill>
          </a:endParaRPr>
        </a:p>
      </dgm:t>
    </dgm:pt>
    <dgm:pt modelId="{BFE65846-9C8B-436C-949B-5A316C4B14C8}" type="parTrans" cxnId="{956D6A83-838E-4F76-AE04-C83A8C72CE6F}">
      <dgm:prSet/>
      <dgm:spPr/>
      <dgm:t>
        <a:bodyPr/>
        <a:lstStyle/>
        <a:p>
          <a:endParaRPr lang="en-US"/>
        </a:p>
      </dgm:t>
    </dgm:pt>
    <dgm:pt modelId="{99AA8A72-63FC-4BA6-B182-1162F567E8AD}" type="sibTrans" cxnId="{956D6A83-838E-4F76-AE04-C83A8C72CE6F}">
      <dgm:prSet/>
      <dgm:spPr/>
      <dgm:t>
        <a:bodyPr/>
        <a:lstStyle/>
        <a:p>
          <a:endParaRPr lang="en-US"/>
        </a:p>
      </dgm:t>
    </dgm:pt>
    <dgm:pt modelId="{0319A34C-3226-4DB5-A8A3-F60699F442A7}">
      <dgm:prSet phldrT="[Text]"/>
      <dgm:spPr/>
      <dgm:t>
        <a:bodyPr/>
        <a:lstStyle/>
        <a:p>
          <a:r>
            <a:rPr lang="sr-Latn-ME">
              <a:solidFill>
                <a:sysClr val="windowText" lastClr="000000"/>
              </a:solidFill>
            </a:rPr>
            <a:t>PRAVNO OKRUŽENJE</a:t>
          </a:r>
        </a:p>
        <a:p>
          <a:r>
            <a:rPr lang="sr-Latn-ME">
              <a:solidFill>
                <a:sysClr val="windowText" lastClr="000000"/>
              </a:solidFill>
            </a:rPr>
            <a:t>(L)</a:t>
          </a:r>
          <a:endParaRPr lang="en-US">
            <a:solidFill>
              <a:sysClr val="windowText" lastClr="000000"/>
            </a:solidFill>
          </a:endParaRPr>
        </a:p>
      </dgm:t>
    </dgm:pt>
    <dgm:pt modelId="{489A0540-B26D-4466-8463-667DF3A7E4DB}" type="parTrans" cxnId="{CA13F67D-2942-4594-A1F3-1C8C942B0C2F}">
      <dgm:prSet/>
      <dgm:spPr/>
      <dgm:t>
        <a:bodyPr/>
        <a:lstStyle/>
        <a:p>
          <a:endParaRPr lang="en-US"/>
        </a:p>
      </dgm:t>
    </dgm:pt>
    <dgm:pt modelId="{DE52B10A-43FD-4B6E-ABDD-AC704953636F}" type="sibTrans" cxnId="{CA13F67D-2942-4594-A1F3-1C8C942B0C2F}">
      <dgm:prSet/>
      <dgm:spPr/>
      <dgm:t>
        <a:bodyPr/>
        <a:lstStyle/>
        <a:p>
          <a:endParaRPr lang="en-US"/>
        </a:p>
      </dgm:t>
    </dgm:pt>
    <dgm:pt modelId="{283CA675-C25D-4B00-A038-2DB302565C39}" type="pres">
      <dgm:prSet presAssocID="{E2DD7450-D40F-4D5A-BA40-3D19E06ED4F8}" presName="Name0" presStyleCnt="0">
        <dgm:presLayoutVars>
          <dgm:chMax val="1"/>
          <dgm:chPref val="1"/>
          <dgm:dir/>
          <dgm:animOne val="branch"/>
          <dgm:animLvl val="lvl"/>
        </dgm:presLayoutVars>
      </dgm:prSet>
      <dgm:spPr/>
    </dgm:pt>
    <dgm:pt modelId="{99E6153F-B8EA-43BC-9CE0-A7462809015D}" type="pres">
      <dgm:prSet presAssocID="{BB86B9E7-A540-431C-8ED5-588FB16F483C}" presName="Parent" presStyleLbl="node0" presStyleIdx="0" presStyleCnt="1">
        <dgm:presLayoutVars>
          <dgm:chMax val="6"/>
          <dgm:chPref val="6"/>
        </dgm:presLayoutVars>
      </dgm:prSet>
      <dgm:spPr/>
    </dgm:pt>
    <dgm:pt modelId="{9A103A25-8843-4A2D-9689-80C7007AD51B}" type="pres">
      <dgm:prSet presAssocID="{0360FF75-BF82-4CD9-95BF-A3E923D46CFE}" presName="Accent1" presStyleCnt="0"/>
      <dgm:spPr/>
    </dgm:pt>
    <dgm:pt modelId="{4CB24609-8800-4258-9676-F259FEAB6AA1}" type="pres">
      <dgm:prSet presAssocID="{0360FF75-BF82-4CD9-95BF-A3E923D46CFE}" presName="Accent" presStyleLbl="bgShp" presStyleIdx="0" presStyleCnt="6"/>
      <dgm:spPr/>
    </dgm:pt>
    <dgm:pt modelId="{721685B2-4FE9-4F22-915D-C0E82076B208}" type="pres">
      <dgm:prSet presAssocID="{0360FF75-BF82-4CD9-95BF-A3E923D46CFE}" presName="Child1" presStyleLbl="node1" presStyleIdx="0" presStyleCnt="6">
        <dgm:presLayoutVars>
          <dgm:chMax val="0"/>
          <dgm:chPref val="0"/>
          <dgm:bulletEnabled val="1"/>
        </dgm:presLayoutVars>
      </dgm:prSet>
      <dgm:spPr/>
    </dgm:pt>
    <dgm:pt modelId="{B1D78604-656C-41EC-8FD4-0625AA9CA29E}" type="pres">
      <dgm:prSet presAssocID="{5B090524-10C2-4634-8948-C6CA81657049}" presName="Accent2" presStyleCnt="0"/>
      <dgm:spPr/>
    </dgm:pt>
    <dgm:pt modelId="{531E8E23-E5B0-4AE8-89BF-F3560B70E1D5}" type="pres">
      <dgm:prSet presAssocID="{5B090524-10C2-4634-8948-C6CA81657049}" presName="Accent" presStyleLbl="bgShp" presStyleIdx="1" presStyleCnt="6"/>
      <dgm:spPr/>
    </dgm:pt>
    <dgm:pt modelId="{1A45932A-DC31-4197-983B-361215F070A3}" type="pres">
      <dgm:prSet presAssocID="{5B090524-10C2-4634-8948-C6CA81657049}" presName="Child2" presStyleLbl="node1" presStyleIdx="1" presStyleCnt="6">
        <dgm:presLayoutVars>
          <dgm:chMax val="0"/>
          <dgm:chPref val="0"/>
          <dgm:bulletEnabled val="1"/>
        </dgm:presLayoutVars>
      </dgm:prSet>
      <dgm:spPr/>
    </dgm:pt>
    <dgm:pt modelId="{6B4CAEE1-7F2E-440A-860C-847E5CA56865}" type="pres">
      <dgm:prSet presAssocID="{75E03B6E-8B4F-4DE6-861A-9C5D50545EA7}" presName="Accent3" presStyleCnt="0"/>
      <dgm:spPr/>
    </dgm:pt>
    <dgm:pt modelId="{F2F5A8D3-DC87-4D48-A070-0F196262EB87}" type="pres">
      <dgm:prSet presAssocID="{75E03B6E-8B4F-4DE6-861A-9C5D50545EA7}" presName="Accent" presStyleLbl="bgShp" presStyleIdx="2" presStyleCnt="6"/>
      <dgm:spPr/>
    </dgm:pt>
    <dgm:pt modelId="{261CAB5D-DECB-4A17-886D-FE4A2B04ECDF}" type="pres">
      <dgm:prSet presAssocID="{75E03B6E-8B4F-4DE6-861A-9C5D50545EA7}" presName="Child3" presStyleLbl="node1" presStyleIdx="2" presStyleCnt="6">
        <dgm:presLayoutVars>
          <dgm:chMax val="0"/>
          <dgm:chPref val="0"/>
          <dgm:bulletEnabled val="1"/>
        </dgm:presLayoutVars>
      </dgm:prSet>
      <dgm:spPr/>
    </dgm:pt>
    <dgm:pt modelId="{5D08DBE8-B029-43AE-A1B7-B03E6655EB78}" type="pres">
      <dgm:prSet presAssocID="{9D43EDEA-591B-43C4-BD63-69480791A309}" presName="Accent4" presStyleCnt="0"/>
      <dgm:spPr/>
    </dgm:pt>
    <dgm:pt modelId="{8C93AC49-B2E1-41CD-8941-BC4CA8834A1D}" type="pres">
      <dgm:prSet presAssocID="{9D43EDEA-591B-43C4-BD63-69480791A309}" presName="Accent" presStyleLbl="bgShp" presStyleIdx="3" presStyleCnt="6"/>
      <dgm:spPr/>
    </dgm:pt>
    <dgm:pt modelId="{7A281003-540F-4C0B-BE2B-62EE68290B08}" type="pres">
      <dgm:prSet presAssocID="{9D43EDEA-591B-43C4-BD63-69480791A309}" presName="Child4" presStyleLbl="node1" presStyleIdx="3" presStyleCnt="6">
        <dgm:presLayoutVars>
          <dgm:chMax val="0"/>
          <dgm:chPref val="0"/>
          <dgm:bulletEnabled val="1"/>
        </dgm:presLayoutVars>
      </dgm:prSet>
      <dgm:spPr/>
    </dgm:pt>
    <dgm:pt modelId="{921C20A5-A54F-46B4-84F1-5E982F6AD4D7}" type="pres">
      <dgm:prSet presAssocID="{EE7CC525-FFBB-4275-986E-3473C8CAE5E9}" presName="Accent5" presStyleCnt="0"/>
      <dgm:spPr/>
    </dgm:pt>
    <dgm:pt modelId="{35D3278B-1B76-41E6-8104-3B28AB65D51C}" type="pres">
      <dgm:prSet presAssocID="{EE7CC525-FFBB-4275-986E-3473C8CAE5E9}" presName="Accent" presStyleLbl="bgShp" presStyleIdx="4" presStyleCnt="6"/>
      <dgm:spPr/>
    </dgm:pt>
    <dgm:pt modelId="{8AD38A0C-9A47-4F7F-87F5-0398D366C66F}" type="pres">
      <dgm:prSet presAssocID="{EE7CC525-FFBB-4275-986E-3473C8CAE5E9}" presName="Child5" presStyleLbl="node1" presStyleIdx="4" presStyleCnt="6">
        <dgm:presLayoutVars>
          <dgm:chMax val="0"/>
          <dgm:chPref val="0"/>
          <dgm:bulletEnabled val="1"/>
        </dgm:presLayoutVars>
      </dgm:prSet>
      <dgm:spPr/>
    </dgm:pt>
    <dgm:pt modelId="{A90E2A01-DFE8-482D-8122-ED46AC17A427}" type="pres">
      <dgm:prSet presAssocID="{0319A34C-3226-4DB5-A8A3-F60699F442A7}" presName="Accent6" presStyleCnt="0"/>
      <dgm:spPr/>
    </dgm:pt>
    <dgm:pt modelId="{222D0133-5670-4A97-A1E7-F1D9EAA0C484}" type="pres">
      <dgm:prSet presAssocID="{0319A34C-3226-4DB5-A8A3-F60699F442A7}" presName="Accent" presStyleLbl="bgShp" presStyleIdx="5" presStyleCnt="6"/>
      <dgm:spPr/>
    </dgm:pt>
    <dgm:pt modelId="{EB8CD8DF-B5E7-4BF5-A559-9E6B7A7E6635}" type="pres">
      <dgm:prSet presAssocID="{0319A34C-3226-4DB5-A8A3-F60699F442A7}" presName="Child6" presStyleLbl="node1" presStyleIdx="5" presStyleCnt="6">
        <dgm:presLayoutVars>
          <dgm:chMax val="0"/>
          <dgm:chPref val="0"/>
          <dgm:bulletEnabled val="1"/>
        </dgm:presLayoutVars>
      </dgm:prSet>
      <dgm:spPr/>
    </dgm:pt>
  </dgm:ptLst>
  <dgm:cxnLst>
    <dgm:cxn modelId="{B1211819-5316-40A6-AB91-7D1BE7F40049}" srcId="{E2DD7450-D40F-4D5A-BA40-3D19E06ED4F8}" destId="{BB86B9E7-A540-431C-8ED5-588FB16F483C}" srcOrd="0" destOrd="0" parTransId="{C2FC30E6-9A9F-4B8D-B21D-D0D0EC92B7EE}" sibTransId="{3BCF3F0B-3C3F-4B18-B4C5-516712DDE6A7}"/>
    <dgm:cxn modelId="{4C322424-8D3D-46FC-8D8E-CB4500B53CBA}" type="presOf" srcId="{0360FF75-BF82-4CD9-95BF-A3E923D46CFE}" destId="{721685B2-4FE9-4F22-915D-C0E82076B208}" srcOrd="0" destOrd="0" presId="urn:microsoft.com/office/officeart/2011/layout/HexagonRadial"/>
    <dgm:cxn modelId="{F3D6FB64-D35D-450D-AA53-6AF95AA4F0B9}" type="presOf" srcId="{E2DD7450-D40F-4D5A-BA40-3D19E06ED4F8}" destId="{283CA675-C25D-4B00-A038-2DB302565C39}" srcOrd="0" destOrd="0" presId="urn:microsoft.com/office/officeart/2011/layout/HexagonRadial"/>
    <dgm:cxn modelId="{FD7AD065-A154-4A7F-95ED-CC9D9C314D27}" srcId="{BB86B9E7-A540-431C-8ED5-588FB16F483C}" destId="{5B090524-10C2-4634-8948-C6CA81657049}" srcOrd="1" destOrd="0" parTransId="{E8033499-0058-42EF-98F1-605ACC9ACC6E}" sibTransId="{9D7D5577-36DC-47CC-B7DE-6D089916E8BA}"/>
    <dgm:cxn modelId="{45455C72-31E3-4B30-B15C-2551E805A699}" srcId="{BB86B9E7-A540-431C-8ED5-588FB16F483C}" destId="{9D43EDEA-591B-43C4-BD63-69480791A309}" srcOrd="3" destOrd="0" parTransId="{186A1A27-8D2D-4E6D-8222-68E5AC34F593}" sibTransId="{BC6706A5-B637-4F49-8ADF-024379ACB515}"/>
    <dgm:cxn modelId="{CA13F67D-2942-4594-A1F3-1C8C942B0C2F}" srcId="{BB86B9E7-A540-431C-8ED5-588FB16F483C}" destId="{0319A34C-3226-4DB5-A8A3-F60699F442A7}" srcOrd="5" destOrd="0" parTransId="{489A0540-B26D-4466-8463-667DF3A7E4DB}" sibTransId="{DE52B10A-43FD-4B6E-ABDD-AC704953636F}"/>
    <dgm:cxn modelId="{956D6A83-838E-4F76-AE04-C83A8C72CE6F}" srcId="{BB86B9E7-A540-431C-8ED5-588FB16F483C}" destId="{EE7CC525-FFBB-4275-986E-3473C8CAE5E9}" srcOrd="4" destOrd="0" parTransId="{BFE65846-9C8B-436C-949B-5A316C4B14C8}" sibTransId="{99AA8A72-63FC-4BA6-B182-1162F567E8AD}"/>
    <dgm:cxn modelId="{D408C48A-A7B2-4205-A995-9BF8934E3C6A}" srcId="{BB86B9E7-A540-431C-8ED5-588FB16F483C}" destId="{75E03B6E-8B4F-4DE6-861A-9C5D50545EA7}" srcOrd="2" destOrd="0" parTransId="{B9FC8F8D-9117-4D14-A9E6-3B48C0384E33}" sibTransId="{1C0F8ECB-986D-4DB8-8CB0-DCBD95EA0E76}"/>
    <dgm:cxn modelId="{351C9E94-8C50-497A-A72A-CB25E315BB03}" type="presOf" srcId="{75E03B6E-8B4F-4DE6-861A-9C5D50545EA7}" destId="{261CAB5D-DECB-4A17-886D-FE4A2B04ECDF}" srcOrd="0" destOrd="0" presId="urn:microsoft.com/office/officeart/2011/layout/HexagonRadial"/>
    <dgm:cxn modelId="{53FBF9C6-4ADD-403D-9419-94DB1AF66610}" type="presOf" srcId="{EE7CC525-FFBB-4275-986E-3473C8CAE5E9}" destId="{8AD38A0C-9A47-4F7F-87F5-0398D366C66F}" srcOrd="0" destOrd="0" presId="urn:microsoft.com/office/officeart/2011/layout/HexagonRadial"/>
    <dgm:cxn modelId="{0EA437E4-F3D6-466B-8F87-9BBD4CC12735}" srcId="{BB86B9E7-A540-431C-8ED5-588FB16F483C}" destId="{0360FF75-BF82-4CD9-95BF-A3E923D46CFE}" srcOrd="0" destOrd="0" parTransId="{BC345CE2-50AD-4857-AAC2-57B8C095F629}" sibTransId="{F72A8AA8-CE2E-45FD-9739-B664251EC8C9}"/>
    <dgm:cxn modelId="{74D0BDE4-D9B5-4541-AEE6-2903C9A48991}" type="presOf" srcId="{5B090524-10C2-4634-8948-C6CA81657049}" destId="{1A45932A-DC31-4197-983B-361215F070A3}" srcOrd="0" destOrd="0" presId="urn:microsoft.com/office/officeart/2011/layout/HexagonRadial"/>
    <dgm:cxn modelId="{EDC6E3ED-7798-4820-9581-8FDF3FFE2E40}" type="presOf" srcId="{9D43EDEA-591B-43C4-BD63-69480791A309}" destId="{7A281003-540F-4C0B-BE2B-62EE68290B08}" srcOrd="0" destOrd="0" presId="urn:microsoft.com/office/officeart/2011/layout/HexagonRadial"/>
    <dgm:cxn modelId="{2E9090EE-75C1-49CE-B477-88FFFD65EE20}" type="presOf" srcId="{BB86B9E7-A540-431C-8ED5-588FB16F483C}" destId="{99E6153F-B8EA-43BC-9CE0-A7462809015D}" srcOrd="0" destOrd="0" presId="urn:microsoft.com/office/officeart/2011/layout/HexagonRadial"/>
    <dgm:cxn modelId="{C8CE7AF4-4D63-4393-99C4-509F23643C79}" type="presOf" srcId="{0319A34C-3226-4DB5-A8A3-F60699F442A7}" destId="{EB8CD8DF-B5E7-4BF5-A559-9E6B7A7E6635}" srcOrd="0" destOrd="0" presId="urn:microsoft.com/office/officeart/2011/layout/HexagonRadial"/>
    <dgm:cxn modelId="{3AD9198A-2C87-4B35-B50D-09064192E674}" type="presParOf" srcId="{283CA675-C25D-4B00-A038-2DB302565C39}" destId="{99E6153F-B8EA-43BC-9CE0-A7462809015D}" srcOrd="0" destOrd="0" presId="urn:microsoft.com/office/officeart/2011/layout/HexagonRadial"/>
    <dgm:cxn modelId="{502A6ADE-0729-43A0-B6C3-B6570F134A45}" type="presParOf" srcId="{283CA675-C25D-4B00-A038-2DB302565C39}" destId="{9A103A25-8843-4A2D-9689-80C7007AD51B}" srcOrd="1" destOrd="0" presId="urn:microsoft.com/office/officeart/2011/layout/HexagonRadial"/>
    <dgm:cxn modelId="{1AB81F9B-FE12-4658-BEFA-EAE752069938}" type="presParOf" srcId="{9A103A25-8843-4A2D-9689-80C7007AD51B}" destId="{4CB24609-8800-4258-9676-F259FEAB6AA1}" srcOrd="0" destOrd="0" presId="urn:microsoft.com/office/officeart/2011/layout/HexagonRadial"/>
    <dgm:cxn modelId="{7B3EE365-D212-492C-BA4F-10FDB1310051}" type="presParOf" srcId="{283CA675-C25D-4B00-A038-2DB302565C39}" destId="{721685B2-4FE9-4F22-915D-C0E82076B208}" srcOrd="2" destOrd="0" presId="urn:microsoft.com/office/officeart/2011/layout/HexagonRadial"/>
    <dgm:cxn modelId="{12CCEB04-76CF-4C63-B7C3-581177870DE2}" type="presParOf" srcId="{283CA675-C25D-4B00-A038-2DB302565C39}" destId="{B1D78604-656C-41EC-8FD4-0625AA9CA29E}" srcOrd="3" destOrd="0" presId="urn:microsoft.com/office/officeart/2011/layout/HexagonRadial"/>
    <dgm:cxn modelId="{2F5079C9-6E24-406C-94A4-8BE2C22201EA}" type="presParOf" srcId="{B1D78604-656C-41EC-8FD4-0625AA9CA29E}" destId="{531E8E23-E5B0-4AE8-89BF-F3560B70E1D5}" srcOrd="0" destOrd="0" presId="urn:microsoft.com/office/officeart/2011/layout/HexagonRadial"/>
    <dgm:cxn modelId="{1EA4690D-00CC-4EEA-8FC9-F03B95EE0DB2}" type="presParOf" srcId="{283CA675-C25D-4B00-A038-2DB302565C39}" destId="{1A45932A-DC31-4197-983B-361215F070A3}" srcOrd="4" destOrd="0" presId="urn:microsoft.com/office/officeart/2011/layout/HexagonRadial"/>
    <dgm:cxn modelId="{9913E7CF-291E-48ED-9201-CB0A80102900}" type="presParOf" srcId="{283CA675-C25D-4B00-A038-2DB302565C39}" destId="{6B4CAEE1-7F2E-440A-860C-847E5CA56865}" srcOrd="5" destOrd="0" presId="urn:microsoft.com/office/officeart/2011/layout/HexagonRadial"/>
    <dgm:cxn modelId="{04F9AA2A-D098-4486-9B3F-FB3479E602C8}" type="presParOf" srcId="{6B4CAEE1-7F2E-440A-860C-847E5CA56865}" destId="{F2F5A8D3-DC87-4D48-A070-0F196262EB87}" srcOrd="0" destOrd="0" presId="urn:microsoft.com/office/officeart/2011/layout/HexagonRadial"/>
    <dgm:cxn modelId="{E3978C08-9770-4CC7-9D30-06F66207A798}" type="presParOf" srcId="{283CA675-C25D-4B00-A038-2DB302565C39}" destId="{261CAB5D-DECB-4A17-886D-FE4A2B04ECDF}" srcOrd="6" destOrd="0" presId="urn:microsoft.com/office/officeart/2011/layout/HexagonRadial"/>
    <dgm:cxn modelId="{CB7CB02F-8DBB-46B2-8A2C-415625C9066D}" type="presParOf" srcId="{283CA675-C25D-4B00-A038-2DB302565C39}" destId="{5D08DBE8-B029-43AE-A1B7-B03E6655EB78}" srcOrd="7" destOrd="0" presId="urn:microsoft.com/office/officeart/2011/layout/HexagonRadial"/>
    <dgm:cxn modelId="{B14A3DE1-BA7C-405C-8E33-56A53D5FABDE}" type="presParOf" srcId="{5D08DBE8-B029-43AE-A1B7-B03E6655EB78}" destId="{8C93AC49-B2E1-41CD-8941-BC4CA8834A1D}" srcOrd="0" destOrd="0" presId="urn:microsoft.com/office/officeart/2011/layout/HexagonRadial"/>
    <dgm:cxn modelId="{5BC9DE1D-7FC2-40C8-AE41-7F61453608B4}" type="presParOf" srcId="{283CA675-C25D-4B00-A038-2DB302565C39}" destId="{7A281003-540F-4C0B-BE2B-62EE68290B08}" srcOrd="8" destOrd="0" presId="urn:microsoft.com/office/officeart/2011/layout/HexagonRadial"/>
    <dgm:cxn modelId="{534B16AB-3AA5-45B4-AAAE-07CDB50E1605}" type="presParOf" srcId="{283CA675-C25D-4B00-A038-2DB302565C39}" destId="{921C20A5-A54F-46B4-84F1-5E982F6AD4D7}" srcOrd="9" destOrd="0" presId="urn:microsoft.com/office/officeart/2011/layout/HexagonRadial"/>
    <dgm:cxn modelId="{3D864883-39D1-44CD-9FC1-D26952917F23}" type="presParOf" srcId="{921C20A5-A54F-46B4-84F1-5E982F6AD4D7}" destId="{35D3278B-1B76-41E6-8104-3B28AB65D51C}" srcOrd="0" destOrd="0" presId="urn:microsoft.com/office/officeart/2011/layout/HexagonRadial"/>
    <dgm:cxn modelId="{8621172F-6EFE-4BA2-83C7-74493EAFD0E9}" type="presParOf" srcId="{283CA675-C25D-4B00-A038-2DB302565C39}" destId="{8AD38A0C-9A47-4F7F-87F5-0398D366C66F}" srcOrd="10" destOrd="0" presId="urn:microsoft.com/office/officeart/2011/layout/HexagonRadial"/>
    <dgm:cxn modelId="{CBAF3028-5288-4C93-BEFD-DD24E3929599}" type="presParOf" srcId="{283CA675-C25D-4B00-A038-2DB302565C39}" destId="{A90E2A01-DFE8-482D-8122-ED46AC17A427}" srcOrd="11" destOrd="0" presId="urn:microsoft.com/office/officeart/2011/layout/HexagonRadial"/>
    <dgm:cxn modelId="{A4F44EE8-8C34-49AE-A356-01118EC5CAD5}" type="presParOf" srcId="{A90E2A01-DFE8-482D-8122-ED46AC17A427}" destId="{222D0133-5670-4A97-A1E7-F1D9EAA0C484}" srcOrd="0" destOrd="0" presId="urn:microsoft.com/office/officeart/2011/layout/HexagonRadial"/>
    <dgm:cxn modelId="{E4173A16-3190-42BE-96D9-A0A225F669CE}" type="presParOf" srcId="{283CA675-C25D-4B00-A038-2DB302565C39}" destId="{EB8CD8DF-B5E7-4BF5-A559-9E6B7A7E6635}" srcOrd="12" destOrd="0" presId="urn:microsoft.com/office/officeart/2011/layout/HexagonRadial"/>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0AFD8D-841D-48FC-A8E2-F6A2BAE1060F}">
      <dsp:nvSpPr>
        <dsp:cNvPr id="0" name=""/>
        <dsp:cNvSpPr/>
      </dsp:nvSpPr>
      <dsp:spPr>
        <a:xfrm>
          <a:off x="0" y="0"/>
          <a:ext cx="5467350" cy="1522123"/>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sr-Latn-ME" sz="900" b="1" kern="1200">
              <a:latin typeface="Calibri" panose="020F0502020204030204" pitchFamily="34" charset="0"/>
              <a:ea typeface="Calibri" panose="020F0502020204030204" pitchFamily="34" charset="0"/>
              <a:cs typeface="Calibri" panose="020F0502020204030204" pitchFamily="34" charset="0"/>
            </a:rPr>
            <a:t>Krovna strateška dokumenta </a:t>
          </a:r>
          <a:endParaRPr lang="en-US" sz="900" b="1"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Fiskalna strategija Crne Gore od 2021-2024.godine</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Nacionalna strategija održivog razvoja do 2030.godine</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Program ekonomskih reformi 2023-2025.</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Platforma ekonomskog oporavka 2022-2026.</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Smjernice makroekonomske i fiskalne politike za period </a:t>
          </a:r>
          <a:r>
            <a:rPr lang="sr-Latn-ME" sz="900" b="0" kern="1200">
              <a:latin typeface="Calibri" panose="020F0502020204030204" pitchFamily="34" charset="0"/>
              <a:ea typeface="Calibri" panose="020F0502020204030204" pitchFamily="34" charset="0"/>
              <a:cs typeface="Calibri" panose="020F0502020204030204" pitchFamily="34" charset="0"/>
            </a:rPr>
            <a:t>2023-2026</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Strategija pametne specijalizacije Crne Gore od 2019-2024 </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Srednjoročni program rada Vlade od 2022-2024.godine</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kern="1200">
              <a:latin typeface="Calibri" panose="020F0502020204030204" pitchFamily="34" charset="0"/>
              <a:ea typeface="Calibri" panose="020F0502020204030204" pitchFamily="34" charset="0"/>
              <a:cs typeface="Calibri" panose="020F0502020204030204" pitchFamily="34" charset="0"/>
            </a:rPr>
            <a:t>Godišnji program rada Vlade za 2023.godinu</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b="0" kern="1200">
              <a:latin typeface="Calibri" panose="020F0502020204030204" pitchFamily="34" charset="0"/>
              <a:ea typeface="Calibri" panose="020F0502020204030204" pitchFamily="34" charset="0"/>
              <a:cs typeface="Calibri" panose="020F0502020204030204" pitchFamily="34" charset="0"/>
            </a:rPr>
            <a:t>Program reforme upravljanja javnim finansijama</a:t>
          </a:r>
          <a:r>
            <a:rPr lang="sr-Latn-ME" sz="900" b="0" kern="1200">
              <a:latin typeface="Calibri" panose="020F0502020204030204" pitchFamily="34" charset="0"/>
              <a:ea typeface="Calibri" panose="020F0502020204030204" pitchFamily="34" charset="0"/>
              <a:cs typeface="Calibri" panose="020F0502020204030204" pitchFamily="34" charset="0"/>
            </a:rPr>
            <a:t> 2022-2026.</a:t>
          </a:r>
          <a:r>
            <a:rPr lang="pl-PL" sz="900" b="0" kern="1200">
              <a:latin typeface="Calibri" panose="020F0502020204030204" pitchFamily="34" charset="0"/>
              <a:ea typeface="Calibri" panose="020F0502020204030204" pitchFamily="34" charset="0"/>
              <a:cs typeface="Calibri" panose="020F0502020204030204" pitchFamily="34" charset="0"/>
            </a:rPr>
            <a:t>godine</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endParaRPr lang="en-US" sz="900" kern="1200">
            <a:latin typeface="Times New Roman" panose="02020603050405020304" pitchFamily="18" charset="0"/>
            <a:cs typeface="Times New Roman" panose="02020603050405020304" pitchFamily="18" charset="0"/>
          </a:endParaRPr>
        </a:p>
      </dsp:txBody>
      <dsp:txXfrm>
        <a:off x="1178144" y="0"/>
        <a:ext cx="4289205" cy="1522123"/>
      </dsp:txXfrm>
    </dsp:sp>
    <dsp:sp modelId="{5322E1D2-A695-4439-959F-0733A58D4FFB}">
      <dsp:nvSpPr>
        <dsp:cNvPr id="0" name=""/>
        <dsp:cNvSpPr/>
      </dsp:nvSpPr>
      <dsp:spPr>
        <a:xfrm>
          <a:off x="84674" y="87361"/>
          <a:ext cx="1093470" cy="1347399"/>
        </a:xfrm>
        <a:prstGeom prst="roundRect">
          <a:avLst>
            <a:gd name="adj" fmla="val 10000"/>
          </a:avLst>
        </a:prstGeom>
        <a:blipFill>
          <a:blip xmlns:r="http://schemas.openxmlformats.org/officeDocument/2006/relationships" r:embed="rId1" cstate="print">
            <a:duotone>
              <a:schemeClr val="accent5">
                <a:hueOff val="0"/>
                <a:satOff val="0"/>
                <a:lumOff val="0"/>
                <a:alphaOff val="0"/>
                <a:shade val="20000"/>
                <a:satMod val="200000"/>
              </a:schemeClr>
              <a:schemeClr val="accent5">
                <a:hueOff val="0"/>
                <a:satOff val="0"/>
                <a:lumOff val="0"/>
                <a:alphaOff val="0"/>
                <a:tint val="12000"/>
                <a:satMod val="190000"/>
              </a:schemeClr>
            </a:duotone>
            <a:extLst>
              <a:ext uri="{28A0092B-C50C-407E-A947-70E740481C1C}">
                <a14:useLocalDpi xmlns:a14="http://schemas.microsoft.com/office/drawing/2010/main" val="0"/>
              </a:ext>
            </a:extLst>
          </a:blip>
          <a:srcRect/>
          <a:stretch>
            <a:fillRect t="-11000" b="-11000"/>
          </a:stretch>
        </a:blip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92221CAC-55B8-4F43-A6CF-5D9745A5D206}">
      <dsp:nvSpPr>
        <dsp:cNvPr id="0" name=""/>
        <dsp:cNvSpPr/>
      </dsp:nvSpPr>
      <dsp:spPr>
        <a:xfrm>
          <a:off x="25313" y="1606797"/>
          <a:ext cx="5416722" cy="960351"/>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sr-Latn-ME" sz="900" b="1" kern="1200">
              <a:latin typeface="Calibri" panose="020F0502020204030204" pitchFamily="34" charset="0"/>
              <a:ea typeface="Calibri" panose="020F0502020204030204" pitchFamily="34" charset="0"/>
              <a:cs typeface="Calibri" panose="020F0502020204030204" pitchFamily="34" charset="0"/>
            </a:rPr>
            <a:t>Sektorske strategije </a:t>
          </a:r>
          <a:endParaRPr lang="en-US" sz="900" b="1"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b="0" kern="1200">
              <a:latin typeface="Calibri" panose="020F0502020204030204" pitchFamily="34" charset="0"/>
              <a:ea typeface="Calibri" panose="020F0502020204030204" pitchFamily="34" charset="0"/>
              <a:cs typeface="Calibri" panose="020F0502020204030204" pitchFamily="34" charset="0"/>
            </a:rPr>
            <a:t>Strategija reforme javne uprave od 2022-2026</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b="0" kern="1200">
              <a:latin typeface="Calibri" panose="020F0502020204030204" pitchFamily="34" charset="0"/>
              <a:ea typeface="Calibri" panose="020F0502020204030204" pitchFamily="34" charset="0"/>
              <a:cs typeface="Calibri" panose="020F0502020204030204" pitchFamily="34" charset="0"/>
            </a:rPr>
            <a:t>Strategija razvoja turizma Crne Gore od 2022-2025 </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b="0" kern="1200">
              <a:latin typeface="Calibri" panose="020F0502020204030204" pitchFamily="34" charset="0"/>
              <a:ea typeface="Calibri" panose="020F0502020204030204" pitchFamily="34" charset="0"/>
              <a:cs typeface="Calibri" panose="020F0502020204030204" pitchFamily="34" charset="0"/>
            </a:rPr>
            <a:t>Strategija digitalne transformacije Crne Gore 2022-2026 </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b="0" kern="1200">
              <a:latin typeface="Calibri" panose="020F0502020204030204" pitchFamily="34" charset="0"/>
              <a:ea typeface="Calibri" panose="020F0502020204030204" pitchFamily="34" charset="0"/>
              <a:cs typeface="Calibri" panose="020F0502020204030204" pitchFamily="34" charset="0"/>
            </a:rPr>
            <a:t>Strategija razvoja ženskog preduzetništva Crne Gore od 2021-2024.godine</a:t>
          </a:r>
          <a:endParaRPr lang="en-US" sz="900" b="0" kern="1200">
            <a:latin typeface="Calibri" panose="020F0502020204030204" pitchFamily="34" charset="0"/>
            <a:ea typeface="Calibri" panose="020F0502020204030204" pitchFamily="34" charset="0"/>
            <a:cs typeface="Calibri" panose="020F0502020204030204" pitchFamily="34" charset="0"/>
          </a:endParaRPr>
        </a:p>
      </dsp:txBody>
      <dsp:txXfrm>
        <a:off x="1192548" y="1606797"/>
        <a:ext cx="4249487" cy="960351"/>
      </dsp:txXfrm>
    </dsp:sp>
    <dsp:sp modelId="{4C29F761-3942-4022-9F20-5414EDF3591B}">
      <dsp:nvSpPr>
        <dsp:cNvPr id="0" name=""/>
        <dsp:cNvSpPr/>
      </dsp:nvSpPr>
      <dsp:spPr>
        <a:xfrm>
          <a:off x="84674" y="1748275"/>
          <a:ext cx="1093470" cy="677394"/>
        </a:xfrm>
        <a:prstGeom prst="roundRect">
          <a:avLst>
            <a:gd name="adj" fmla="val 10000"/>
          </a:avLst>
        </a:prstGeom>
        <a:blipFill>
          <a:blip xmlns:r="http://schemas.openxmlformats.org/officeDocument/2006/relationships" r:embed="rId2" cstate="print">
            <a:duotone>
              <a:schemeClr val="accent5">
                <a:hueOff val="0"/>
                <a:satOff val="0"/>
                <a:lumOff val="0"/>
                <a:alphaOff val="0"/>
                <a:shade val="20000"/>
                <a:satMod val="200000"/>
              </a:schemeClr>
              <a:schemeClr val="accent5">
                <a:hueOff val="0"/>
                <a:satOff val="0"/>
                <a:lumOff val="0"/>
                <a:alphaOff val="0"/>
                <a:tint val="12000"/>
                <a:satMod val="190000"/>
              </a:schemeClr>
            </a:duotone>
            <a:extLst>
              <a:ext uri="{28A0092B-C50C-407E-A947-70E740481C1C}">
                <a14:useLocalDpi xmlns:a14="http://schemas.microsoft.com/office/drawing/2010/main" val="0"/>
              </a:ext>
            </a:extLst>
          </a:blip>
          <a:srcRect/>
          <a:stretch>
            <a:fillRect l="-5000" r="-5000"/>
          </a:stretch>
        </a:blip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CB7A0691-8C08-48C8-9A2C-C10A61332DC4}">
      <dsp:nvSpPr>
        <dsp:cNvPr id="0" name=""/>
        <dsp:cNvSpPr/>
      </dsp:nvSpPr>
      <dsp:spPr>
        <a:xfrm>
          <a:off x="0" y="2651823"/>
          <a:ext cx="5467350" cy="1238955"/>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sr-Latn-ME" sz="900" b="1" kern="1200">
              <a:latin typeface="Calibri" panose="020F0502020204030204" pitchFamily="34" charset="0"/>
              <a:ea typeface="Calibri" panose="020F0502020204030204" pitchFamily="34" charset="0"/>
              <a:cs typeface="Calibri" panose="020F0502020204030204" pitchFamily="34" charset="0"/>
            </a:rPr>
            <a:t>Međunarodna dokumenta </a:t>
          </a:r>
          <a:endParaRPr lang="en-US" sz="900" b="1"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sr-Latn-ME" sz="900" kern="1200">
              <a:latin typeface="Calibri" panose="020F0502020204030204" pitchFamily="34" charset="0"/>
              <a:ea typeface="Calibri" panose="020F0502020204030204" pitchFamily="34" charset="0"/>
              <a:cs typeface="Calibri" panose="020F0502020204030204" pitchFamily="34" charset="0"/>
            </a:rPr>
            <a:t>Evropa 2020</a:t>
          </a:r>
          <a:endParaRPr lang="en-US" sz="90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sr-Latn-ME" sz="900" b="0" kern="1200">
              <a:latin typeface="Calibri" panose="020F0502020204030204" pitchFamily="34" charset="0"/>
              <a:ea typeface="Calibri" panose="020F0502020204030204" pitchFamily="34" charset="0"/>
              <a:cs typeface="Calibri" panose="020F0502020204030204" pitchFamily="34" charset="0"/>
            </a:rPr>
            <a:t>UN Agenda 2030</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sr-Latn-ME" sz="900" b="0" kern="1200">
              <a:latin typeface="Calibri" panose="020F0502020204030204" pitchFamily="34" charset="0"/>
              <a:ea typeface="Calibri" panose="020F0502020204030204" pitchFamily="34" charset="0"/>
              <a:cs typeface="Calibri" panose="020F0502020204030204" pitchFamily="34" charset="0"/>
            </a:rPr>
            <a:t>Multiannual financial framework EU 2021-2027.</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sr-Latn-ME" sz="900" b="0" kern="1200">
              <a:latin typeface="Calibri" panose="020F0502020204030204" pitchFamily="34" charset="0"/>
              <a:ea typeface="Calibri" panose="020F0502020204030204" pitchFamily="34" charset="0"/>
              <a:cs typeface="Calibri" panose="020F0502020204030204" pitchFamily="34" charset="0"/>
            </a:rPr>
            <a:t>IPA III ( 2021-2027)</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sr-Latn-ME" sz="900" b="0" kern="1200">
              <a:latin typeface="Calibri" panose="020F0502020204030204" pitchFamily="34" charset="0"/>
              <a:ea typeface="Calibri" panose="020F0502020204030204" pitchFamily="34" charset="0"/>
              <a:cs typeface="Calibri" panose="020F0502020204030204" pitchFamily="34" charset="0"/>
            </a:rPr>
            <a:t>EU4DIGITAL( Digitalna agenda za Evropu)</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r>
            <a:rPr lang="pl-PL" sz="900" b="0" kern="1200">
              <a:latin typeface="Calibri" panose="020F0502020204030204" pitchFamily="34" charset="0"/>
              <a:ea typeface="Calibri" panose="020F0502020204030204" pitchFamily="34" charset="0"/>
              <a:cs typeface="Calibri" panose="020F0502020204030204" pitchFamily="34" charset="0"/>
            </a:rPr>
            <a:t>Strategija razvoja Jugoisto</a:t>
          </a:r>
          <a:r>
            <a:rPr lang="sr-Latn-ME" sz="900" b="0" kern="1200">
              <a:latin typeface="Calibri" panose="020F0502020204030204" pitchFamily="34" charset="0"/>
              <a:ea typeface="Calibri" panose="020F0502020204030204" pitchFamily="34" charset="0"/>
              <a:cs typeface="Calibri" panose="020F0502020204030204" pitchFamily="34" charset="0"/>
            </a:rPr>
            <a:t>č</a:t>
          </a:r>
          <a:r>
            <a:rPr lang="pl-PL" sz="900" b="0" kern="1200">
              <a:latin typeface="Calibri" panose="020F0502020204030204" pitchFamily="34" charset="0"/>
              <a:ea typeface="Calibri" panose="020F0502020204030204" pitchFamily="34" charset="0"/>
              <a:cs typeface="Calibri" panose="020F0502020204030204" pitchFamily="34" charset="0"/>
            </a:rPr>
            <a:t>ne Evrope do</a:t>
          </a:r>
          <a:r>
            <a:rPr lang="sr-Latn-ME" sz="900" b="0" kern="1200">
              <a:latin typeface="Calibri" panose="020F0502020204030204" pitchFamily="34" charset="0"/>
              <a:ea typeface="Calibri" panose="020F0502020204030204" pitchFamily="34" charset="0"/>
              <a:cs typeface="Calibri" panose="020F0502020204030204" pitchFamily="34" charset="0"/>
            </a:rPr>
            <a:t> 2030.</a:t>
          </a:r>
          <a:r>
            <a:rPr lang="pl-PL" sz="900" b="0" kern="1200">
              <a:latin typeface="Calibri" panose="020F0502020204030204" pitchFamily="34" charset="0"/>
              <a:ea typeface="Calibri" panose="020F0502020204030204" pitchFamily="34" charset="0"/>
              <a:cs typeface="Calibri" panose="020F0502020204030204" pitchFamily="34" charset="0"/>
            </a:rPr>
            <a:t>godine </a:t>
          </a:r>
          <a:endParaRPr lang="en-US" sz="900" b="0" kern="1200">
            <a:latin typeface="Calibri" panose="020F0502020204030204" pitchFamily="34" charset="0"/>
            <a:ea typeface="Calibri" panose="020F0502020204030204" pitchFamily="34" charset="0"/>
            <a:cs typeface="Calibri" panose="020F0502020204030204" pitchFamily="34" charset="0"/>
          </a:endParaRPr>
        </a:p>
        <a:p>
          <a:pPr marL="57150" lvl="1" indent="-57150" algn="l" defTabSz="400050">
            <a:lnSpc>
              <a:spcPct val="90000"/>
            </a:lnSpc>
            <a:spcBef>
              <a:spcPct val="0"/>
            </a:spcBef>
            <a:spcAft>
              <a:spcPct val="15000"/>
            </a:spcAft>
            <a:buChar char="•"/>
          </a:pPr>
          <a:endParaRPr lang="en-US" sz="90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endParaRPr lang="en-US" sz="900" kern="1200">
            <a:latin typeface="Times New Roman" panose="02020603050405020304" pitchFamily="18" charset="0"/>
            <a:cs typeface="Times New Roman" panose="02020603050405020304" pitchFamily="18" charset="0"/>
          </a:endParaRPr>
        </a:p>
      </dsp:txBody>
      <dsp:txXfrm>
        <a:off x="1178144" y="2651823"/>
        <a:ext cx="4289205" cy="1238955"/>
      </dsp:txXfrm>
    </dsp:sp>
    <dsp:sp modelId="{B6D456A2-1367-4B66-ABAE-4149B3391B20}">
      <dsp:nvSpPr>
        <dsp:cNvPr id="0" name=""/>
        <dsp:cNvSpPr/>
      </dsp:nvSpPr>
      <dsp:spPr>
        <a:xfrm>
          <a:off x="84674" y="2932603"/>
          <a:ext cx="1093470" cy="677394"/>
        </a:xfrm>
        <a:prstGeom prst="roundRect">
          <a:avLst>
            <a:gd name="adj" fmla="val 10000"/>
          </a:avLst>
        </a:prstGeom>
        <a:blipFill>
          <a:blip xmlns:r="http://schemas.openxmlformats.org/officeDocument/2006/relationships" r:embed="rId3" cstate="print">
            <a:duotone>
              <a:schemeClr val="accent5">
                <a:hueOff val="0"/>
                <a:satOff val="0"/>
                <a:lumOff val="0"/>
                <a:alphaOff val="0"/>
                <a:shade val="20000"/>
                <a:satMod val="200000"/>
              </a:schemeClr>
              <a:schemeClr val="accent5">
                <a:hueOff val="0"/>
                <a:satOff val="0"/>
                <a:lumOff val="0"/>
                <a:alphaOff val="0"/>
                <a:tint val="12000"/>
                <a:satMod val="190000"/>
              </a:schemeClr>
            </a:duotone>
            <a:extLst>
              <a:ext uri="{28A0092B-C50C-407E-A947-70E740481C1C}">
                <a14:useLocalDpi xmlns:a14="http://schemas.microsoft.com/office/drawing/2010/main" val="0"/>
              </a:ext>
            </a:extLst>
          </a:blip>
          <a:srcRect/>
          <a:stretch>
            <a:fillRect l="-3000" r="-3000"/>
          </a:stretch>
        </a:blip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E6153F-B8EA-43BC-9CE0-A7462809015D}">
      <dsp:nvSpPr>
        <dsp:cNvPr id="0" name=""/>
        <dsp:cNvSpPr/>
      </dsp:nvSpPr>
      <dsp:spPr>
        <a:xfrm>
          <a:off x="2262480" y="729269"/>
          <a:ext cx="926933" cy="801834"/>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sr-Latn-ME" sz="1400" b="1" kern="1200">
              <a:solidFill>
                <a:schemeClr val="accent4">
                  <a:lumMod val="60000"/>
                  <a:lumOff val="40000"/>
                </a:schemeClr>
              </a:solidFill>
            </a:rPr>
            <a:t>PESTLE</a:t>
          </a:r>
          <a:endParaRPr lang="en-US" sz="1400" b="1" kern="1200">
            <a:solidFill>
              <a:schemeClr val="accent4">
                <a:lumMod val="60000"/>
                <a:lumOff val="40000"/>
              </a:schemeClr>
            </a:solidFill>
          </a:endParaRPr>
        </a:p>
      </dsp:txBody>
      <dsp:txXfrm>
        <a:off x="2416086" y="862144"/>
        <a:ext cx="619721" cy="536084"/>
      </dsp:txXfrm>
    </dsp:sp>
    <dsp:sp modelId="{531E8E23-E5B0-4AE8-89BF-F3560B70E1D5}">
      <dsp:nvSpPr>
        <dsp:cNvPr id="0" name=""/>
        <dsp:cNvSpPr/>
      </dsp:nvSpPr>
      <dsp:spPr>
        <a:xfrm>
          <a:off x="2842918" y="345645"/>
          <a:ext cx="349729" cy="301337"/>
        </a:xfrm>
        <a:prstGeom prst="hexagon">
          <a:avLst>
            <a:gd name="adj" fmla="val 28900"/>
            <a:gd name="vf" fmla="val 115470"/>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721685B2-4FE9-4F22-915D-C0E82076B208}">
      <dsp:nvSpPr>
        <dsp:cNvPr id="0" name=""/>
        <dsp:cNvSpPr/>
      </dsp:nvSpPr>
      <dsp:spPr>
        <a:xfrm>
          <a:off x="2347864" y="0"/>
          <a:ext cx="759615" cy="657156"/>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solidFill>
                <a:sysClr val="windowText" lastClr="000000"/>
              </a:solidFill>
            </a:rPr>
            <a:t>POLITIČKO OKRUŽENJE </a:t>
          </a:r>
        </a:p>
        <a:p>
          <a:pPr marL="0" lvl="0" indent="0" algn="ctr" defTabSz="266700">
            <a:lnSpc>
              <a:spcPct val="90000"/>
            </a:lnSpc>
            <a:spcBef>
              <a:spcPct val="0"/>
            </a:spcBef>
            <a:spcAft>
              <a:spcPct val="35000"/>
            </a:spcAft>
            <a:buNone/>
          </a:pPr>
          <a:r>
            <a:rPr lang="sr-Latn-ME" sz="600" kern="1200">
              <a:solidFill>
                <a:sysClr val="windowText" lastClr="000000"/>
              </a:solidFill>
            </a:rPr>
            <a:t>(P)</a:t>
          </a:r>
          <a:endParaRPr lang="en-US" sz="600" kern="1200">
            <a:solidFill>
              <a:sysClr val="windowText" lastClr="000000"/>
            </a:solidFill>
          </a:endParaRPr>
        </a:p>
      </dsp:txBody>
      <dsp:txXfrm>
        <a:off x="2473748" y="108905"/>
        <a:ext cx="507847" cy="439346"/>
      </dsp:txXfrm>
    </dsp:sp>
    <dsp:sp modelId="{F2F5A8D3-DC87-4D48-A070-0F196262EB87}">
      <dsp:nvSpPr>
        <dsp:cNvPr id="0" name=""/>
        <dsp:cNvSpPr/>
      </dsp:nvSpPr>
      <dsp:spPr>
        <a:xfrm>
          <a:off x="3251080" y="908987"/>
          <a:ext cx="349729" cy="301337"/>
        </a:xfrm>
        <a:prstGeom prst="hexagon">
          <a:avLst>
            <a:gd name="adj" fmla="val 28900"/>
            <a:gd name="vf" fmla="val 115470"/>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1A45932A-DC31-4197-983B-361215F070A3}">
      <dsp:nvSpPr>
        <dsp:cNvPr id="0" name=""/>
        <dsp:cNvSpPr/>
      </dsp:nvSpPr>
      <dsp:spPr>
        <a:xfrm>
          <a:off x="3044519" y="404195"/>
          <a:ext cx="759615" cy="657156"/>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solidFill>
                <a:sysClr val="windowText" lastClr="000000"/>
              </a:solidFill>
            </a:rPr>
            <a:t>EKONOMSKO OKRUŽENJE</a:t>
          </a:r>
        </a:p>
        <a:p>
          <a:pPr marL="0" lvl="0" indent="0" algn="ctr" defTabSz="266700">
            <a:lnSpc>
              <a:spcPct val="90000"/>
            </a:lnSpc>
            <a:spcBef>
              <a:spcPct val="0"/>
            </a:spcBef>
            <a:spcAft>
              <a:spcPct val="35000"/>
            </a:spcAft>
            <a:buNone/>
          </a:pPr>
          <a:r>
            <a:rPr lang="sr-Latn-ME" sz="600" kern="1200">
              <a:solidFill>
                <a:sysClr val="windowText" lastClr="000000"/>
              </a:solidFill>
            </a:rPr>
            <a:t>(E)</a:t>
          </a:r>
          <a:endParaRPr lang="en-US" sz="600" kern="1200">
            <a:solidFill>
              <a:sysClr val="windowText" lastClr="000000"/>
            </a:solidFill>
          </a:endParaRPr>
        </a:p>
      </dsp:txBody>
      <dsp:txXfrm>
        <a:off x="3170403" y="513100"/>
        <a:ext cx="507847" cy="439346"/>
      </dsp:txXfrm>
    </dsp:sp>
    <dsp:sp modelId="{8C93AC49-B2E1-41CD-8941-BC4CA8834A1D}">
      <dsp:nvSpPr>
        <dsp:cNvPr id="0" name=""/>
        <dsp:cNvSpPr/>
      </dsp:nvSpPr>
      <dsp:spPr>
        <a:xfrm>
          <a:off x="2967544" y="1544894"/>
          <a:ext cx="349729" cy="301337"/>
        </a:xfrm>
        <a:prstGeom prst="hexagon">
          <a:avLst>
            <a:gd name="adj" fmla="val 28900"/>
            <a:gd name="vf" fmla="val 115470"/>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261CAB5D-DECB-4A17-886D-FE4A2B04ECDF}">
      <dsp:nvSpPr>
        <dsp:cNvPr id="0" name=""/>
        <dsp:cNvSpPr/>
      </dsp:nvSpPr>
      <dsp:spPr>
        <a:xfrm>
          <a:off x="3044519" y="1198796"/>
          <a:ext cx="759615" cy="657156"/>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solidFill>
                <a:sysClr val="windowText" lastClr="000000"/>
              </a:solidFill>
            </a:rPr>
            <a:t>DRUŠTVENO OKRUŽENJE</a:t>
          </a:r>
        </a:p>
        <a:p>
          <a:pPr marL="0" lvl="0" indent="0" algn="ctr" defTabSz="266700">
            <a:lnSpc>
              <a:spcPct val="90000"/>
            </a:lnSpc>
            <a:spcBef>
              <a:spcPct val="0"/>
            </a:spcBef>
            <a:spcAft>
              <a:spcPct val="35000"/>
            </a:spcAft>
            <a:buNone/>
          </a:pPr>
          <a:r>
            <a:rPr lang="sr-Latn-ME" sz="600" kern="1200">
              <a:solidFill>
                <a:sysClr val="windowText" lastClr="000000"/>
              </a:solidFill>
            </a:rPr>
            <a:t>(S)</a:t>
          </a:r>
          <a:endParaRPr lang="en-US" sz="600" kern="1200">
            <a:solidFill>
              <a:sysClr val="windowText" lastClr="000000"/>
            </a:solidFill>
          </a:endParaRPr>
        </a:p>
      </dsp:txBody>
      <dsp:txXfrm>
        <a:off x="3170403" y="1307701"/>
        <a:ext cx="507847" cy="439346"/>
      </dsp:txXfrm>
    </dsp:sp>
    <dsp:sp modelId="{35D3278B-1B76-41E6-8104-3B28AB65D51C}">
      <dsp:nvSpPr>
        <dsp:cNvPr id="0" name=""/>
        <dsp:cNvSpPr/>
      </dsp:nvSpPr>
      <dsp:spPr>
        <a:xfrm>
          <a:off x="2264205" y="1610903"/>
          <a:ext cx="349729" cy="301337"/>
        </a:xfrm>
        <a:prstGeom prst="hexagon">
          <a:avLst>
            <a:gd name="adj" fmla="val 28900"/>
            <a:gd name="vf" fmla="val 115470"/>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7A281003-540F-4C0B-BE2B-62EE68290B08}">
      <dsp:nvSpPr>
        <dsp:cNvPr id="0" name=""/>
        <dsp:cNvSpPr/>
      </dsp:nvSpPr>
      <dsp:spPr>
        <a:xfrm>
          <a:off x="2347864" y="1603443"/>
          <a:ext cx="759615" cy="657156"/>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solidFill>
                <a:sysClr val="windowText" lastClr="000000"/>
              </a:solidFill>
            </a:rPr>
            <a:t>TEHNOLOŠKO OKRUŽENJE</a:t>
          </a:r>
        </a:p>
        <a:p>
          <a:pPr marL="0" lvl="0" indent="0" algn="ctr" defTabSz="266700">
            <a:lnSpc>
              <a:spcPct val="90000"/>
            </a:lnSpc>
            <a:spcBef>
              <a:spcPct val="0"/>
            </a:spcBef>
            <a:spcAft>
              <a:spcPct val="35000"/>
            </a:spcAft>
            <a:buNone/>
          </a:pPr>
          <a:r>
            <a:rPr lang="sr-Latn-ME" sz="600" kern="1200">
              <a:solidFill>
                <a:sysClr val="windowText" lastClr="000000"/>
              </a:solidFill>
            </a:rPr>
            <a:t>(T)</a:t>
          </a:r>
          <a:endParaRPr lang="en-US" sz="600" kern="1200">
            <a:solidFill>
              <a:sysClr val="windowText" lastClr="000000"/>
            </a:solidFill>
          </a:endParaRPr>
        </a:p>
      </dsp:txBody>
      <dsp:txXfrm>
        <a:off x="2473748" y="1712348"/>
        <a:ext cx="507847" cy="439346"/>
      </dsp:txXfrm>
    </dsp:sp>
    <dsp:sp modelId="{222D0133-5670-4A97-A1E7-F1D9EAA0C484}">
      <dsp:nvSpPr>
        <dsp:cNvPr id="0" name=""/>
        <dsp:cNvSpPr/>
      </dsp:nvSpPr>
      <dsp:spPr>
        <a:xfrm>
          <a:off x="1849360" y="1047788"/>
          <a:ext cx="349729" cy="301337"/>
        </a:xfrm>
        <a:prstGeom prst="hexagon">
          <a:avLst>
            <a:gd name="adj" fmla="val 28900"/>
            <a:gd name="vf" fmla="val 115470"/>
          </a:avLst>
        </a:prstGeom>
        <a:gradFill rotWithShape="0">
          <a:gsLst>
            <a:gs pos="0">
              <a:schemeClr val="accent5">
                <a:tint val="40000"/>
                <a:hueOff val="0"/>
                <a:satOff val="0"/>
                <a:lumOff val="0"/>
                <a:alphaOff val="0"/>
                <a:satMod val="103000"/>
                <a:lumMod val="102000"/>
                <a:tint val="94000"/>
              </a:schemeClr>
            </a:gs>
            <a:gs pos="50000">
              <a:schemeClr val="accent5">
                <a:tint val="40000"/>
                <a:hueOff val="0"/>
                <a:satOff val="0"/>
                <a:lumOff val="0"/>
                <a:alphaOff val="0"/>
                <a:satMod val="110000"/>
                <a:lumMod val="100000"/>
                <a:shade val="100000"/>
              </a:schemeClr>
            </a:gs>
            <a:gs pos="100000">
              <a:schemeClr val="accent5">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8AD38A0C-9A47-4F7F-87F5-0398D366C66F}">
      <dsp:nvSpPr>
        <dsp:cNvPr id="0" name=""/>
        <dsp:cNvSpPr/>
      </dsp:nvSpPr>
      <dsp:spPr>
        <a:xfrm>
          <a:off x="1647974" y="1199248"/>
          <a:ext cx="759615" cy="657156"/>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solidFill>
                <a:sysClr val="windowText" lastClr="000000"/>
              </a:solidFill>
            </a:rPr>
            <a:t>EKOLOŠKO OKRUŽENJE</a:t>
          </a:r>
        </a:p>
        <a:p>
          <a:pPr marL="0" lvl="0" indent="0" algn="ctr" defTabSz="266700">
            <a:lnSpc>
              <a:spcPct val="90000"/>
            </a:lnSpc>
            <a:spcBef>
              <a:spcPct val="0"/>
            </a:spcBef>
            <a:spcAft>
              <a:spcPct val="35000"/>
            </a:spcAft>
            <a:buNone/>
          </a:pPr>
          <a:r>
            <a:rPr lang="sr-Latn-ME" sz="600" kern="1200">
              <a:solidFill>
                <a:sysClr val="windowText" lastClr="000000"/>
              </a:solidFill>
            </a:rPr>
            <a:t>(E)</a:t>
          </a:r>
          <a:endParaRPr lang="en-US" sz="600" kern="1200">
            <a:solidFill>
              <a:sysClr val="windowText" lastClr="000000"/>
            </a:solidFill>
          </a:endParaRPr>
        </a:p>
      </dsp:txBody>
      <dsp:txXfrm>
        <a:off x="1773858" y="1308153"/>
        <a:ext cx="507847" cy="439346"/>
      </dsp:txXfrm>
    </dsp:sp>
    <dsp:sp modelId="{EB8CD8DF-B5E7-4BF5-A559-9E6B7A7E6635}">
      <dsp:nvSpPr>
        <dsp:cNvPr id="0" name=""/>
        <dsp:cNvSpPr/>
      </dsp:nvSpPr>
      <dsp:spPr>
        <a:xfrm>
          <a:off x="1647974" y="403291"/>
          <a:ext cx="759615" cy="657156"/>
        </a:xfrm>
        <a:prstGeom prst="hexagon">
          <a:avLst>
            <a:gd name="adj" fmla="val 28570"/>
            <a:gd name="vf" fmla="val 11547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solidFill>
                <a:sysClr val="windowText" lastClr="000000"/>
              </a:solidFill>
            </a:rPr>
            <a:t>PRAVNO OKRUŽENJE</a:t>
          </a:r>
        </a:p>
        <a:p>
          <a:pPr marL="0" lvl="0" indent="0" algn="ctr" defTabSz="266700">
            <a:lnSpc>
              <a:spcPct val="90000"/>
            </a:lnSpc>
            <a:spcBef>
              <a:spcPct val="0"/>
            </a:spcBef>
            <a:spcAft>
              <a:spcPct val="35000"/>
            </a:spcAft>
            <a:buNone/>
          </a:pPr>
          <a:r>
            <a:rPr lang="sr-Latn-ME" sz="600" kern="1200">
              <a:solidFill>
                <a:sysClr val="windowText" lastClr="000000"/>
              </a:solidFill>
            </a:rPr>
            <a:t>(L)</a:t>
          </a:r>
          <a:endParaRPr lang="en-US" sz="600" kern="1200">
            <a:solidFill>
              <a:sysClr val="windowText" lastClr="000000"/>
            </a:solidFill>
          </a:endParaRPr>
        </a:p>
      </dsp:txBody>
      <dsp:txXfrm>
        <a:off x="1773858" y="512196"/>
        <a:ext cx="507847" cy="439346"/>
      </dsp:txXfrm>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0.2623</cdr:x>
      <cdr:y>0.21151</cdr:y>
    </cdr:from>
    <cdr:to>
      <cdr:x>0.2638</cdr:x>
      <cdr:y>0.76285</cdr:y>
    </cdr:to>
    <cdr:cxnSp macro="">
      <cdr:nvCxnSpPr>
        <cdr:cNvPr id="3" name="Straight Connector 2">
          <a:extLst xmlns:a="http://schemas.openxmlformats.org/drawingml/2006/main">
            <a:ext uri="{FF2B5EF4-FFF2-40B4-BE49-F238E27FC236}">
              <a16:creationId xmlns:a16="http://schemas.microsoft.com/office/drawing/2014/main" id="{7BD652B0-42B2-130D-A064-E14D182CF884}"/>
            </a:ext>
          </a:extLst>
        </cdr:cNvPr>
        <cdr:cNvCxnSpPr/>
      </cdr:nvCxnSpPr>
      <cdr:spPr>
        <a:xfrm xmlns:a="http://schemas.openxmlformats.org/drawingml/2006/main">
          <a:off x="1563022" y="626964"/>
          <a:ext cx="8939" cy="1634271"/>
        </a:xfrm>
        <a:prstGeom xmlns:a="http://schemas.openxmlformats.org/drawingml/2006/main" prst="line">
          <a:avLst/>
        </a:prstGeom>
        <a:ln xmlns:a="http://schemas.openxmlformats.org/drawingml/2006/main" w="190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0.155</cdr:x>
      <cdr:y>0.175</cdr:y>
    </cdr:from>
    <cdr:to>
      <cdr:x>0.43667</cdr:x>
      <cdr:y>0.30278</cdr:y>
    </cdr:to>
    <cdr:sp macro="" textlink="">
      <cdr:nvSpPr>
        <cdr:cNvPr id="4" name="TextBox 8">
          <a:extLst xmlns:a="http://schemas.openxmlformats.org/drawingml/2006/main">
            <a:ext uri="{FF2B5EF4-FFF2-40B4-BE49-F238E27FC236}">
              <a16:creationId xmlns:a16="http://schemas.microsoft.com/office/drawing/2014/main" id="{5CF9F8D9-280A-0861-81CE-8C4AE2275DB2}"/>
            </a:ext>
          </a:extLst>
        </cdr:cNvPr>
        <cdr:cNvSpPr txBox="1"/>
      </cdr:nvSpPr>
      <cdr:spPr>
        <a:xfrm xmlns:a="http://schemas.openxmlformats.org/drawingml/2006/main">
          <a:off x="708660" y="480060"/>
          <a:ext cx="1287780" cy="35051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r-Latn-ME" sz="900" b="1"/>
            <a:t>Nezavisnost</a:t>
          </a:r>
          <a:endParaRPr lang="en-US" sz="900" b="1"/>
        </a:p>
      </cdr:txBody>
    </cdr:sp>
  </cdr:relSizeAnchor>
  <cdr:relSizeAnchor xmlns:cdr="http://schemas.openxmlformats.org/drawingml/2006/chartDrawing">
    <cdr:from>
      <cdr:x>0.38753</cdr:x>
      <cdr:y>0.22365</cdr:y>
    </cdr:from>
    <cdr:to>
      <cdr:x>0.39003</cdr:x>
      <cdr:y>0.76779</cdr:y>
    </cdr:to>
    <cdr:cxnSp macro="">
      <cdr:nvCxnSpPr>
        <cdr:cNvPr id="5" name="Straight Connector 4">
          <a:extLst xmlns:a="http://schemas.openxmlformats.org/drawingml/2006/main">
            <a:ext uri="{FF2B5EF4-FFF2-40B4-BE49-F238E27FC236}">
              <a16:creationId xmlns:a16="http://schemas.microsoft.com/office/drawing/2014/main" id="{2A18F5F7-127A-F372-E6CD-F9A01A08A138}"/>
            </a:ext>
          </a:extLst>
        </cdr:cNvPr>
        <cdr:cNvCxnSpPr/>
      </cdr:nvCxnSpPr>
      <cdr:spPr>
        <a:xfrm xmlns:a="http://schemas.openxmlformats.org/drawingml/2006/main" flipH="1">
          <a:off x="2309204" y="662953"/>
          <a:ext cx="14897" cy="1612900"/>
        </a:xfrm>
        <a:prstGeom xmlns:a="http://schemas.openxmlformats.org/drawingml/2006/main" prst="line">
          <a:avLst/>
        </a:prstGeom>
        <a:ln xmlns:a="http://schemas.openxmlformats.org/drawingml/2006/main" w="190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0.405</cdr:x>
      <cdr:y>0.17222</cdr:y>
    </cdr:from>
    <cdr:to>
      <cdr:x>0.49906</cdr:x>
      <cdr:y>0.34722</cdr:y>
    </cdr:to>
    <cdr:sp macro="" textlink="">
      <cdr:nvSpPr>
        <cdr:cNvPr id="10" name="TextBox 1">
          <a:extLst xmlns:a="http://schemas.openxmlformats.org/drawingml/2006/main">
            <a:ext uri="{FF2B5EF4-FFF2-40B4-BE49-F238E27FC236}">
              <a16:creationId xmlns:a16="http://schemas.microsoft.com/office/drawing/2014/main" id="{AF731B39-A543-72F5-7135-12FEC10AC299}"/>
            </a:ext>
          </a:extLst>
        </cdr:cNvPr>
        <cdr:cNvSpPr txBox="1"/>
      </cdr:nvSpPr>
      <cdr:spPr>
        <a:xfrm xmlns:a="http://schemas.openxmlformats.org/drawingml/2006/main">
          <a:off x="1851659" y="472440"/>
          <a:ext cx="430033" cy="48006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t>Global</a:t>
          </a:r>
          <a:r>
            <a:rPr lang="sr-Latn-ME" sz="900" b="1"/>
            <a:t>na</a:t>
          </a:r>
        </a:p>
        <a:p xmlns:a="http://schemas.openxmlformats.org/drawingml/2006/main">
          <a:r>
            <a:rPr lang="sr-Latn-ME" sz="900" b="1" baseline="0"/>
            <a:t> finansijska</a:t>
          </a:r>
        </a:p>
        <a:p xmlns:a="http://schemas.openxmlformats.org/drawingml/2006/main">
          <a:r>
            <a:rPr lang="sr-Latn-ME" sz="900" b="1"/>
            <a:t>kriza</a:t>
          </a:r>
          <a:endParaRPr lang="en-US" sz="900" b="1"/>
        </a:p>
      </cdr:txBody>
    </cdr:sp>
  </cdr:relSizeAnchor>
  <cdr:relSizeAnchor xmlns:cdr="http://schemas.openxmlformats.org/drawingml/2006/chartDrawing">
    <cdr:from>
      <cdr:x>0.52261</cdr:x>
      <cdr:y>0.23479</cdr:y>
    </cdr:from>
    <cdr:to>
      <cdr:x>0.52493</cdr:x>
      <cdr:y>0.77417</cdr:y>
    </cdr:to>
    <cdr:cxnSp macro="">
      <cdr:nvCxnSpPr>
        <cdr:cNvPr id="11" name="Straight Connector 10">
          <a:extLst xmlns:a="http://schemas.openxmlformats.org/drawingml/2006/main">
            <a:ext uri="{FF2B5EF4-FFF2-40B4-BE49-F238E27FC236}">
              <a16:creationId xmlns:a16="http://schemas.microsoft.com/office/drawing/2014/main" id="{6DFFF862-116F-A7F5-4642-C44F7C8C8F4F}"/>
            </a:ext>
          </a:extLst>
        </cdr:cNvPr>
        <cdr:cNvCxnSpPr/>
      </cdr:nvCxnSpPr>
      <cdr:spPr>
        <a:xfrm xmlns:a="http://schemas.openxmlformats.org/drawingml/2006/main">
          <a:off x="3114155" y="695968"/>
          <a:ext cx="13824" cy="1598819"/>
        </a:xfrm>
        <a:prstGeom xmlns:a="http://schemas.openxmlformats.org/drawingml/2006/main" prst="line">
          <a:avLst/>
        </a:prstGeom>
        <a:ln xmlns:a="http://schemas.openxmlformats.org/drawingml/2006/main" w="190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0.55944</cdr:x>
      <cdr:y>0.16852</cdr:y>
    </cdr:from>
    <cdr:to>
      <cdr:x>0.68167</cdr:x>
      <cdr:y>0.34352</cdr:y>
    </cdr:to>
    <cdr:sp macro="" textlink="">
      <cdr:nvSpPr>
        <cdr:cNvPr id="36" name="TextBox 1">
          <a:extLst xmlns:a="http://schemas.openxmlformats.org/drawingml/2006/main">
            <a:ext uri="{FF2B5EF4-FFF2-40B4-BE49-F238E27FC236}">
              <a16:creationId xmlns:a16="http://schemas.microsoft.com/office/drawing/2014/main" id="{4B5E9F44-FA48-5A3D-F769-B18EFFE3F03F}"/>
            </a:ext>
          </a:extLst>
        </cdr:cNvPr>
        <cdr:cNvSpPr txBox="1"/>
      </cdr:nvSpPr>
      <cdr:spPr>
        <a:xfrm xmlns:a="http://schemas.openxmlformats.org/drawingml/2006/main">
          <a:off x="2557780" y="462280"/>
          <a:ext cx="558799" cy="48006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r-Latn-ME" sz="900" b="1"/>
            <a:t>Dužnička </a:t>
          </a:r>
          <a:endParaRPr lang="sr-Latn-ME" sz="900" b="1" baseline="0"/>
        </a:p>
        <a:p xmlns:a="http://schemas.openxmlformats.org/drawingml/2006/main">
          <a:r>
            <a:rPr lang="sr-Latn-ME" sz="900" b="1"/>
            <a:t>kriza u EU</a:t>
          </a:r>
          <a:endParaRPr lang="en-US" sz="900" b="1"/>
        </a:p>
      </cdr:txBody>
    </cdr:sp>
  </cdr:relSizeAnchor>
  <cdr:relSizeAnchor xmlns:cdr="http://schemas.openxmlformats.org/drawingml/2006/chartDrawing">
    <cdr:from>
      <cdr:x>0.84783</cdr:x>
      <cdr:y>0.16452</cdr:y>
    </cdr:from>
    <cdr:to>
      <cdr:x>0.98333</cdr:x>
      <cdr:y>0.19794</cdr:y>
    </cdr:to>
    <cdr:sp macro="" textlink="">
      <cdr:nvSpPr>
        <cdr:cNvPr id="37" name="TextBox 1">
          <a:extLst xmlns:a="http://schemas.openxmlformats.org/drawingml/2006/main">
            <a:ext uri="{FF2B5EF4-FFF2-40B4-BE49-F238E27FC236}">
              <a16:creationId xmlns:a16="http://schemas.microsoft.com/office/drawing/2014/main" id="{A3161AA1-CA3C-5EAD-7B8D-955004689FA1}"/>
            </a:ext>
          </a:extLst>
        </cdr:cNvPr>
        <cdr:cNvSpPr txBox="1"/>
      </cdr:nvSpPr>
      <cdr:spPr>
        <a:xfrm xmlns:a="http://schemas.openxmlformats.org/drawingml/2006/main">
          <a:off x="5052060" y="487680"/>
          <a:ext cx="807447" cy="9906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t>COVID</a:t>
          </a:r>
          <a:r>
            <a:rPr lang="sr-Latn-ME" sz="900" b="1"/>
            <a:t>-</a:t>
          </a:r>
          <a:r>
            <a:rPr lang="en-US" sz="900" b="1"/>
            <a:t>19</a:t>
          </a:r>
        </a:p>
      </cdr:txBody>
    </cdr:sp>
  </cdr:relSizeAnchor>
  <cdr:relSizeAnchor xmlns:cdr="http://schemas.openxmlformats.org/drawingml/2006/chartDrawing">
    <cdr:from>
      <cdr:x>0.86</cdr:x>
      <cdr:y>0.225</cdr:y>
    </cdr:from>
    <cdr:to>
      <cdr:x>0.86667</cdr:x>
      <cdr:y>0.76667</cdr:y>
    </cdr:to>
    <cdr:cxnSp macro="">
      <cdr:nvCxnSpPr>
        <cdr:cNvPr id="38" name="Straight Connector 37">
          <a:extLst xmlns:a="http://schemas.openxmlformats.org/drawingml/2006/main">
            <a:ext uri="{FF2B5EF4-FFF2-40B4-BE49-F238E27FC236}">
              <a16:creationId xmlns:a16="http://schemas.microsoft.com/office/drawing/2014/main" id="{021D77DF-5550-18F5-0CEE-D163E412DB91}"/>
            </a:ext>
          </a:extLst>
        </cdr:cNvPr>
        <cdr:cNvCxnSpPr/>
      </cdr:nvCxnSpPr>
      <cdr:spPr>
        <a:xfrm xmlns:a="http://schemas.openxmlformats.org/drawingml/2006/main">
          <a:off x="3931920" y="617220"/>
          <a:ext cx="30480" cy="1485900"/>
        </a:xfrm>
        <a:prstGeom xmlns:a="http://schemas.openxmlformats.org/drawingml/2006/main" prst="line">
          <a:avLst/>
        </a:prstGeom>
        <a:ln xmlns:a="http://schemas.openxmlformats.org/drawingml/2006/main" w="1905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FFBD-6653-4512-ACC9-D61B139F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23332</Words>
  <Characters>132994</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Sabina Metdjonaj</cp:lastModifiedBy>
  <cp:revision>2</cp:revision>
  <dcterms:created xsi:type="dcterms:W3CDTF">2023-10-12T12:04:00Z</dcterms:created>
  <dcterms:modified xsi:type="dcterms:W3CDTF">2023-10-12T12:04:00Z</dcterms:modified>
</cp:coreProperties>
</file>