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291B" w:rsidRDefault="0088291B">
      <w:pPr>
        <w:pStyle w:val="T30X"/>
      </w:pPr>
      <w:bookmarkStart w:id="0" w:name="_GoBack"/>
      <w:bookmarkEnd w:id="0"/>
      <w:r>
        <w:t>Prečišćeni tekst Uputstva o bližem načinu razmjene informacija kojima raspolaže organ uprave nadležan za poslove poreza sa nadležnim organom druge države obuhvata sljedeće propise:</w:t>
      </w:r>
    </w:p>
    <w:p w:rsidR="0088291B" w:rsidRDefault="0088291B">
      <w:pPr>
        <w:pStyle w:val="T30X"/>
        <w:ind w:left="567" w:hanging="283"/>
      </w:pPr>
      <w:r>
        <w:t>1. Uputstvo o bližem načinu razmjene informacija kojima raspolaže organ uprave nadležan za poslove poreza sa nadležnim organom druge države ("Službeni list Crne Gore", br. 053/26 od 17.04.2026),</w:t>
      </w:r>
    </w:p>
    <w:p w:rsidR="0088291B" w:rsidRDefault="0088291B">
      <w:pPr>
        <w:pStyle w:val="T30X"/>
        <w:ind w:left="567" w:hanging="283"/>
      </w:pPr>
      <w:r>
        <w:t>2. Uputstvo o izmjenama i dopunama Uputstva o bližem načinu razmjene informacija kojima raspolaže organ uprave nadležan za poslove poreza sa nadležnim organom druge države ("Službeni list Crne Gore", br. 096/26 od 06.07.2026), u kojima je naznačen njihov dan stupanja na snagu.</w:t>
      </w:r>
    </w:p>
    <w:p w:rsidR="0088291B" w:rsidRDefault="0088291B">
      <w:pPr>
        <w:pStyle w:val="N03Y"/>
      </w:pPr>
      <w:r>
        <w:t>UPUTSTVO</w:t>
      </w:r>
    </w:p>
    <w:p w:rsidR="0088291B" w:rsidRDefault="0088291B">
      <w:pPr>
        <w:pStyle w:val="N03Y"/>
      </w:pPr>
      <w:r>
        <w:t>O BLIŽEM NAČINU RAZMJENE INFORMACIJA KOJIMA RASPOLAŽE ORGAN UPRAVE NADLEŽAN ZA POSLOVE POREZA SA NADLEŽNIM ORGANOM DRUGE DRŽAVE</w:t>
      </w:r>
    </w:p>
    <w:p w:rsidR="0088291B" w:rsidRDefault="0088291B">
      <w:pPr>
        <w:pStyle w:val="N05Y"/>
      </w:pPr>
      <w:r>
        <w:t>("Službeni list Crne Gore", br. 053/26 od 17.04.2026, 096/26 od 06.07.2026)</w:t>
      </w:r>
    </w:p>
    <w:p w:rsidR="0088291B" w:rsidRDefault="0088291B">
      <w:pPr>
        <w:pStyle w:val="T30X"/>
        <w:ind w:left="283" w:hanging="283"/>
      </w:pPr>
      <w:r>
        <w:t>1. Ovim uputstvom propisuje se bliži način razmjene informacija kojima raspolaže organ uprave nadležan za poslove poreza (u daljem tekstu: Poreski organ) sa nadležnim organom države članice Evropske unije, druge države, odnosno teritorije države (u daljem tekstu: nadležni organ druge poreske jurisdikcije),u skladu sa potvrđenim međunarodnim sporazumom.</w:t>
      </w:r>
    </w:p>
    <w:p w:rsidR="0088291B" w:rsidRDefault="0088291B">
      <w:pPr>
        <w:pStyle w:val="T30X"/>
        <w:ind w:left="283" w:hanging="283"/>
      </w:pPr>
      <w:r>
        <w:t>2. Poreski organ, na zahtjev nadležnog organa druge poreske jurisdikcije, treba da dostavi informacije koje su od značaja za oporezivanje, a sa kojima raspolaže ili iste pribavi na osnovu tog zahtjeva tokom sprovođenja nadzora, provjere ili postupaka.</w:t>
      </w:r>
    </w:p>
    <w:p w:rsidR="0088291B" w:rsidRDefault="0088291B">
      <w:pPr>
        <w:pStyle w:val="T30X"/>
        <w:ind w:left="283" w:hanging="283"/>
      </w:pPr>
      <w:r>
        <w:t>3. Poreski organ, u postupku pribavljanja traženih informacija, primjenjuje iste postupke koje bi primjenilo kada postupa po sopstvenoj inicijativi ili na zahtjev drugog organa Crne Gore.</w:t>
      </w:r>
    </w:p>
    <w:p w:rsidR="0088291B" w:rsidRDefault="0088291B">
      <w:pPr>
        <w:pStyle w:val="T30X"/>
        <w:ind w:left="283" w:hanging="283"/>
      </w:pPr>
      <w:r>
        <w:t>4. Zahtjev iz tačke 2 ovog uputstva može biti podnijet elektronski, na standardnom obrascu, putem zajedničke komunikacione mreže, preko CLO, na službenom jeziku ili jednom od službenih jezika jurisdikcije koja prima zahtjev ili sadrži priloženi prevod na tom jeziku, a može biti primljen ili poslat poštom ili elektronskom komunikacijom od ili prema drugoj državi, odnosno teritoriji države.</w:t>
      </w:r>
    </w:p>
    <w:p w:rsidR="0088291B" w:rsidRDefault="0088291B">
      <w:pPr>
        <w:pStyle w:val="T30X"/>
        <w:ind w:left="283" w:hanging="283"/>
      </w:pPr>
      <w:r>
        <w:t>5. Informacije i dokumenta koji se dostavljaju, na osnovu zahtjeva iz tačke 2 ovog uputstva, su povjerljivi i uživaju zaštitu u skladu sa zakonom kojim je uređen poreski postupak i važećim potvrđenim međunarodnim sporazumom.</w:t>
      </w:r>
    </w:p>
    <w:p w:rsidR="0088291B" w:rsidRDefault="0088291B">
      <w:pPr>
        <w:pStyle w:val="T30X"/>
        <w:ind w:left="283" w:hanging="283"/>
      </w:pPr>
      <w:r>
        <w:t>6. Informacije iz tačke 2 ovog uputstva odnose se na sve vrste poreza koje uvodi i naplaćuje poreski organ ili organ jedinice lokalne samouprave Crne Gore ili nadležni organ države članice Evropske unije ili druge države, odnosno teritorije države, u skladu sa potvrđenim međunarodnim sporazumom ili drugim instrumentom, na osnovu kojeg je zahtjev za razmenu informacija podnijet.</w:t>
      </w:r>
    </w:p>
    <w:p w:rsidR="0088291B" w:rsidRDefault="0088291B">
      <w:pPr>
        <w:pStyle w:val="T30X"/>
        <w:ind w:left="283" w:hanging="283"/>
      </w:pPr>
      <w:r>
        <w:t>7. U slučaju podnijetog zahtjeva od ili prema državi članici Evropske unije, nezavisno od tačke 6, odredbe ovog uputstva ne primenjuju se na zahtjev za razmjenu informacija koje se odnose na porez na dodatu vrednost, carinske dažbine ili akcize koje obuhvataju drugi propisi Evropske Unije o administrativnoj saradnji između država članica, niti na doprinose za obavezno socijalno osiguranje koji se plaćaju državi članici Evropske unije ili jedinici države članice, ili institucijama socijalnog osiguranja osnovanim u skladu sa javnim pravom.</w:t>
      </w:r>
    </w:p>
    <w:p w:rsidR="0088291B" w:rsidRDefault="0088291B">
      <w:pPr>
        <w:pStyle w:val="T30X"/>
        <w:ind w:left="283" w:hanging="283"/>
      </w:pPr>
      <w:r>
        <w:t>8. Ovlašćenje poreskog organa da pribavlja informacije iz tačke 6 ovog uputstva nije ograničeno pravilima o tajnosti za posebne profesije, osim kada se tražene informacije odnose na povjerljivu komunikaciju između klijenta i advokata ili drugog ovlašćenog pravnog predstavnika i klijenta, koja je nastala radi traženja ili pružanja pravnog savjeta ili radi upotrebe u postojećim ili planiranim pravnim postupcima.</w:t>
      </w:r>
    </w:p>
    <w:p w:rsidR="0088291B" w:rsidRDefault="0088291B">
      <w:pPr>
        <w:pStyle w:val="T30X"/>
        <w:ind w:left="283" w:hanging="283"/>
      </w:pPr>
      <w:r>
        <w:t>9. Poreski organ će, odmah, a najkasnije u roku od sedam dana od dana prijema zahtjeva, potvrditi prijem zahtjeva iz tačke 2 ovog uputstva nadležnom organu druge poreske jurisdikcije.</w:t>
      </w:r>
    </w:p>
    <w:p w:rsidR="0088291B" w:rsidRDefault="0088291B">
      <w:pPr>
        <w:pStyle w:val="T30X"/>
        <w:ind w:left="283" w:hanging="283"/>
      </w:pPr>
      <w:r>
        <w:t>10. Poreski organ će, na zahtjev nadležnog organa druge poreske jurisdikcije, dostaviti tražene informacije što je prije moguće, a najkasnije u roku od tri mjeseca od dana prijema zahtjeva, a ako u trenutku prijema zahtjeva raspolaže sa traženim informacijama, te informacije će dostaviti u roku od dva mjeseca.</w:t>
      </w:r>
    </w:p>
    <w:p w:rsidR="0088291B" w:rsidRDefault="0088291B">
      <w:pPr>
        <w:pStyle w:val="T30X"/>
        <w:ind w:left="283" w:hanging="283"/>
      </w:pPr>
      <w:r>
        <w:t>11. Ako poreski organ ne može da, na zahtjev nadležnog organa druge poreske jurisdikcije, obezbjedi tražene informacije u propisanim rokovima, obavijestiće organ koji je podnio zahtjev, odmah, a najkasnije u roku od 90 dana od dana prijema zahtjeva, o razlozima kašnjenja i očekivanom vremenu za dostavljanje odgovora, ali rok ne smije biti duži od šest mjeseci od dana prijema zahtjeva.</w:t>
      </w:r>
    </w:p>
    <w:p w:rsidR="0088291B" w:rsidRDefault="0088291B">
      <w:pPr>
        <w:pStyle w:val="T30X"/>
        <w:ind w:left="283" w:hanging="283"/>
      </w:pPr>
      <w:r>
        <w:lastRenderedPageBreak/>
        <w:t>12. Ako je zahtev iz tačke 2 ovog uputstva nepotpun ili su potrebne dodatne informacije, poreski organ će o tome obavijestiti organ koji je podnio zahtjev u roku od 30 dana, a rokovi iz tačke 11 počinju da teku danom prijema dodatnih informacija.</w:t>
      </w:r>
    </w:p>
    <w:p w:rsidR="0088291B" w:rsidRDefault="0088291B">
      <w:pPr>
        <w:pStyle w:val="T30X"/>
        <w:ind w:left="283" w:hanging="283"/>
      </w:pPr>
      <w:r>
        <w:t>13. Ako poreski organ ne može da pribavi ili obezbjedi tražene informacije, o tome će odmah, a najkasnije u roku od 30 dana, obavijestiti organ koji je podnio zahtjev.</w:t>
      </w:r>
    </w:p>
    <w:p w:rsidR="0088291B" w:rsidRDefault="0088291B">
      <w:pPr>
        <w:pStyle w:val="T30X"/>
        <w:ind w:left="283" w:hanging="283"/>
      </w:pPr>
      <w:r>
        <w:t>14. Poreski organ će, odmah, a najkasnije u roku od 30 dana od dana prijema zahtjeva iz tačke 2 ovog uputstva, obavijesti nadležni organ druge poreske jurisdikcije da tražene informacije ne može da dostavi, jer:</w:t>
      </w:r>
    </w:p>
    <w:p w:rsidR="0088291B" w:rsidRDefault="0088291B">
      <w:pPr>
        <w:pStyle w:val="T30X"/>
        <w:ind w:left="567" w:hanging="283"/>
      </w:pPr>
      <w:r>
        <w:t xml:space="preserve">   - ne posjeduje informacije koje se traže u zahtjevu,</w:t>
      </w:r>
    </w:p>
    <w:p w:rsidR="0088291B" w:rsidRDefault="0088291B">
      <w:pPr>
        <w:pStyle w:val="T30X"/>
        <w:ind w:left="567" w:hanging="283"/>
      </w:pPr>
      <w:r>
        <w:t xml:space="preserve">   - nije u mogućnosti da dostavi informacije zbog zaštite poslovne tajne,</w:t>
      </w:r>
    </w:p>
    <w:p w:rsidR="0088291B" w:rsidRDefault="0088291B">
      <w:pPr>
        <w:pStyle w:val="T30X"/>
        <w:ind w:left="567" w:hanging="283"/>
      </w:pPr>
      <w:r>
        <w:t xml:space="preserve">   - bi dostavljanje tih informacija bilo u suprotnosti sa zakonom ili javnim interesom.</w:t>
      </w:r>
    </w:p>
    <w:p w:rsidR="0088291B" w:rsidRDefault="0088291B">
      <w:pPr>
        <w:pStyle w:val="T30X"/>
        <w:ind w:left="283" w:hanging="283"/>
      </w:pPr>
      <w:r>
        <w:t>15. Poreski organ može da, na zahtjev nadležnog organa druge poreske jurisdikcije, dostavi originalna dokumenta u skladu sa zakonom.</w:t>
      </w:r>
    </w:p>
    <w:p w:rsidR="0088291B" w:rsidRDefault="0088291B">
      <w:pPr>
        <w:pStyle w:val="T30X"/>
        <w:ind w:left="283" w:hanging="283"/>
      </w:pPr>
      <w:r>
        <w:t>16. Poreski organ će obavijestiti nadležne organe druge poreske jurisdikcije o bilo kojoj povredi povjerljivosti podataka u vezi razmijenjenih ili primljenih informacija.</w:t>
      </w:r>
    </w:p>
    <w:p w:rsidR="0088291B" w:rsidRDefault="0088291B">
      <w:pPr>
        <w:pStyle w:val="T30X"/>
        <w:ind w:left="283" w:hanging="283"/>
      </w:pPr>
      <w:r>
        <w:t>17. Poreski organ može da, u skladu sa zakonom kojim je uređen poreski postupak ili drugim primjenjivim instrumentom, automatskom razmjenom dostavi nadležnom organu države članice Evropske unije informacije o ostvarenim prihodima rezidenata te poreske jurisdikcije po osnovu određenih vrsta dohotka i kapitala, i to u vezi:</w:t>
      </w:r>
    </w:p>
    <w:p w:rsidR="0088291B" w:rsidRDefault="0088291B">
      <w:pPr>
        <w:pStyle w:val="T30X"/>
        <w:ind w:left="567" w:hanging="283"/>
      </w:pPr>
      <w:r>
        <w:t xml:space="preserve">   - dohotka od zaposlenja,</w:t>
      </w:r>
    </w:p>
    <w:p w:rsidR="0088291B" w:rsidRDefault="0088291B">
      <w:pPr>
        <w:pStyle w:val="T30X"/>
        <w:ind w:left="567" w:hanging="283"/>
      </w:pPr>
      <w:r>
        <w:t xml:space="preserve">   - naknade direktora,</w:t>
      </w:r>
    </w:p>
    <w:p w:rsidR="0088291B" w:rsidRDefault="0088291B">
      <w:pPr>
        <w:pStyle w:val="T30X"/>
        <w:ind w:left="567" w:hanging="283"/>
      </w:pPr>
      <w:r>
        <w:t xml:space="preserve">   - penzije,</w:t>
      </w:r>
    </w:p>
    <w:p w:rsidR="0088291B" w:rsidRDefault="0088291B">
      <w:pPr>
        <w:pStyle w:val="T30X"/>
        <w:ind w:left="567" w:hanging="283"/>
      </w:pPr>
      <w:r>
        <w:t xml:space="preserve">   - poslova životnog osiguranja,</w:t>
      </w:r>
    </w:p>
    <w:p w:rsidR="0088291B" w:rsidRDefault="0088291B">
      <w:pPr>
        <w:pStyle w:val="T30X"/>
        <w:ind w:left="567" w:hanging="283"/>
      </w:pPr>
      <w:r>
        <w:t xml:space="preserve">   - svojine i prihoda od imovine i imovinskih prava,</w:t>
      </w:r>
    </w:p>
    <w:p w:rsidR="0088291B" w:rsidRDefault="0088291B">
      <w:pPr>
        <w:pStyle w:val="T30X"/>
        <w:ind w:left="567" w:hanging="283"/>
      </w:pPr>
      <w:r>
        <w:t xml:space="preserve">   - kapitalnog dobitka,</w:t>
      </w:r>
    </w:p>
    <w:p w:rsidR="0088291B" w:rsidRDefault="0088291B">
      <w:pPr>
        <w:pStyle w:val="T30X"/>
        <w:ind w:left="567" w:hanging="283"/>
      </w:pPr>
      <w:r>
        <w:t xml:space="preserve">   - dohotka koji se ostvari od nekastodi dividendi, osim dohotka od dividendi koji ostvare povezana lica u državama članicama EU, koja su izuzeta od plaćanja poreza na dobit pravnih lica,</w:t>
      </w:r>
    </w:p>
    <w:p w:rsidR="0088291B" w:rsidRDefault="0088291B">
      <w:pPr>
        <w:pStyle w:val="T30X"/>
        <w:ind w:left="567" w:hanging="283"/>
      </w:pPr>
      <w:r>
        <w:t xml:space="preserve">   - autorskih naknada,</w:t>
      </w:r>
    </w:p>
    <w:p w:rsidR="0088291B" w:rsidRDefault="0088291B">
      <w:pPr>
        <w:pStyle w:val="T30X"/>
        <w:ind w:left="283" w:hanging="283"/>
      </w:pPr>
      <w:r>
        <w:t>18. Poreski organ može da, automatskom razmjenom, dostavi nadležnom organu države članice Evropske unije informacije o ostvarenim prihodima rezidenata te poreske jurisdikcije, za najmanje pet posebnih kategorija dohotka i kapitala iz tačke 17 ovog uputstva.</w:t>
      </w:r>
    </w:p>
    <w:p w:rsidR="0088291B" w:rsidRDefault="0088291B">
      <w:pPr>
        <w:pStyle w:val="T30X"/>
        <w:ind w:left="283" w:hanging="283"/>
      </w:pPr>
      <w:r>
        <w:t>19. Informacije iz tačke 17 ovog uputstva, treba da se dostave automatskom razmjenom nadležnom organu države članice Evropske unije najmanje jednom godišnje, u roku od šest mjeseci nakon isteka poreskog perioda tokom kojeg su informacije postale dostupne.</w:t>
      </w:r>
    </w:p>
    <w:p w:rsidR="0088291B" w:rsidRDefault="0088291B">
      <w:pPr>
        <w:pStyle w:val="T30X"/>
        <w:ind w:left="283" w:hanging="283"/>
      </w:pPr>
      <w:r>
        <w:t>20. U slučaju da Poreskom organu nijesu potrebne informacije o određenim vrstama dohotka i kapitala iz tačke 17 ovog uputstva, iz određene poreske jurisdikcije, koje se dostavljaju automatskom razmjenom, treba o tome da obavijesti nadležni organ te države članice Evropske unije i Evropsku komisiju.</w:t>
      </w:r>
    </w:p>
    <w:p w:rsidR="0088291B" w:rsidRDefault="0088291B">
      <w:pPr>
        <w:pStyle w:val="T30X"/>
        <w:ind w:left="283" w:hanging="283"/>
      </w:pPr>
      <w:r>
        <w:t>21. Poreski organ treba da obavijesti Evropsku komisiju o informacijama koje se odnose barem na četiri vrste dohotka i kapitala iz tačke 17 ovog uputstva, kao i o promjenama koje se odnose na te informacije, za poreske periode koji počinju na dan ili poslije 1. januara 2025. godine, a o informacijama koje se odnose na pet vrsta dohotka i kapitala za poreske periode koje počinju na dan ili poslije 1. januara 2026. godine.</w:t>
      </w:r>
    </w:p>
    <w:p w:rsidR="0088291B" w:rsidRDefault="0088291B">
      <w:pPr>
        <w:pStyle w:val="T30X"/>
        <w:ind w:left="283" w:hanging="283"/>
      </w:pPr>
      <w:r>
        <w:t>22. Poreski organ treba da obavijesti Evropsku komisiju da su mu potrebne informacije koje se odnose na vrste dohotka i kapitala iz tačke 17 ovog uputstva, u suprotnom smatraće se da ne želi da prima te informacije.</w:t>
      </w:r>
    </w:p>
    <w:p w:rsidR="0088291B" w:rsidRDefault="0088291B">
      <w:pPr>
        <w:pStyle w:val="T30X"/>
        <w:ind w:left="283" w:hanging="283"/>
      </w:pPr>
      <w:r>
        <w:t>23. Poreski organ treba da dostavi Evropskoj komisiji statističke podatke o obimu automatske razmjene informacija, kao i godišnju procjenu izvršene automatske razmjene informacija.</w:t>
      </w:r>
    </w:p>
    <w:p w:rsidR="0088291B" w:rsidRDefault="0088291B">
      <w:pPr>
        <w:pStyle w:val="T30X"/>
        <w:ind w:left="283" w:hanging="283"/>
      </w:pPr>
      <w:r>
        <w:t>24. Poreski organ treba da obavijesti Evropsku komisiju ako je u skladu sa primjenjivim instrumentom, obezbijedio automatsku razmjenu informacija o dodatnim vrstama dohotka i kapitala sa drugim državama članicama Evropske unije.</w:t>
      </w:r>
    </w:p>
    <w:p w:rsidR="0088291B" w:rsidRDefault="0088291B">
      <w:pPr>
        <w:pStyle w:val="T30X"/>
        <w:ind w:left="283" w:hanging="283"/>
      </w:pPr>
      <w:r>
        <w:t>24a. Poreski organ treba da dostavi automatskom razmjenom, u roku propisanom zakonom, nadležnom organu bilo koje države članice EU, informacije u vezi sa računom o kojim se izvještava, i to:</w:t>
      </w:r>
    </w:p>
    <w:p w:rsidR="0088291B" w:rsidRDefault="0088291B">
      <w:pPr>
        <w:pStyle w:val="T30X"/>
        <w:ind w:left="567" w:hanging="283"/>
      </w:pPr>
      <w:r>
        <w:t xml:space="preserve">   a) ime, adresa, poreski identifikacioni broj, datum i mjesto rođenja fizičkog lica, za svako lice o kojem se izvještava i koje je vlasnik računa i za bilo kojeg subjekta koji je vlasnik računa i za koji je, nakon primjene mjera produbljene provjere, utvrđeno da ima jedno ili više lica koja nad njim imaju kontrolu, a koja su lica o kojima se izvještava, ime, adresa i poreski identifikacioni broj subjekta, kao i ime, adresa, poreski identifikacioni broj i datum i mjesto rođenja svakog lica o kojem se izvještava;</w:t>
      </w:r>
    </w:p>
    <w:p w:rsidR="0088291B" w:rsidRDefault="0088291B">
      <w:pPr>
        <w:pStyle w:val="T30X"/>
        <w:ind w:left="567" w:hanging="283"/>
      </w:pPr>
      <w:r>
        <w:lastRenderedPageBreak/>
        <w:t xml:space="preserve">   b) broj računa (ili, u nedostatku broja računa, funkcionalno istovjetna oznaka);</w:t>
      </w:r>
    </w:p>
    <w:p w:rsidR="0088291B" w:rsidRDefault="0088291B">
      <w:pPr>
        <w:pStyle w:val="T30X"/>
        <w:ind w:left="567" w:hanging="283"/>
      </w:pPr>
      <w:r>
        <w:t xml:space="preserve">   c) naziv i identifikacioni broj (ako postoji) izvještajne finansijske institucije;</w:t>
      </w:r>
    </w:p>
    <w:p w:rsidR="0088291B" w:rsidRDefault="0088291B">
      <w:pPr>
        <w:pStyle w:val="T30X"/>
        <w:ind w:left="567" w:hanging="283"/>
      </w:pPr>
      <w:r>
        <w:t xml:space="preserve">   d) stanje ili vrijednost računa (uključujući, u slučaju ugovora o osiguranju uz mogućnost isplate otkupne vrijednosti polise ili ugovora o rentnom osiguranju, novčanu vrijednost ili otkupnu vrijednost) na kraju relevantne kalendarske godine ili drugog odgovarajućeg izvještajnog perioda ili, ako je tokom te godine ili tog perioda račun zatvoren, i zatvaranje računa;</w:t>
      </w:r>
    </w:p>
    <w:p w:rsidR="0088291B" w:rsidRDefault="0088291B">
      <w:pPr>
        <w:pStyle w:val="T30X"/>
        <w:ind w:left="567" w:hanging="283"/>
      </w:pPr>
      <w:r>
        <w:t xml:space="preserve">   e) u odnosu na kastodi račun:</w:t>
      </w:r>
    </w:p>
    <w:p w:rsidR="0088291B" w:rsidRDefault="0088291B">
      <w:pPr>
        <w:pStyle w:val="T30X"/>
        <w:ind w:left="1134" w:hanging="283"/>
      </w:pPr>
      <w:r>
        <w:t xml:space="preserve">      - ukupni bruto iznos kamata, dividendi i drugog dohotka ostvarenog od imovine na računu, ono što je plaćeno ili pripisano na račun (ili s obzirom na račun) tokom kalendarske godine ili drugog odgovarajućeg izvještajnog perioda; i</w:t>
      </w:r>
    </w:p>
    <w:p w:rsidR="0088291B" w:rsidRDefault="0088291B">
      <w:pPr>
        <w:pStyle w:val="T30X"/>
        <w:ind w:left="1134" w:hanging="283"/>
      </w:pPr>
      <w:r>
        <w:t xml:space="preserve">      - ukupni bruto primici od prodaje ili otkupa finansijske imovine plaćeni ili pripisani na račun tokom kalendarske godine ili drugog odgovarajućeg izvještajnog perioda u kojem je izvještajna finansijska institucija djelovala kao držalac, broker, punomoćnik ili zastupnik vlasnika računa po nekom drugom osnovu;</w:t>
      </w:r>
    </w:p>
    <w:p w:rsidR="0088291B" w:rsidRDefault="0088291B">
      <w:pPr>
        <w:pStyle w:val="T30X"/>
        <w:ind w:left="567" w:hanging="283"/>
      </w:pPr>
      <w:r>
        <w:t xml:space="preserve">   f) u odnosu na depozitni račun, ukupni bruto iznos kamata plaćenih ili pripisanih na račun tokom kalendarske godine ili drugog odgovarajućeg izvještajnog perioda;</w:t>
      </w:r>
    </w:p>
    <w:p w:rsidR="0088291B" w:rsidRDefault="0088291B">
      <w:pPr>
        <w:pStyle w:val="T30X"/>
        <w:ind w:left="567" w:hanging="283"/>
      </w:pPr>
      <w:r>
        <w:t xml:space="preserve">   g) u odnosu na račune koji nisu opisani kao kastodi ili depozitni račun, ukupni bruto iznos plaćen ili pripisan na račun vlasnika računa tokom kalendarske godine ili drugog odgovarajućeg izvještajnog perioda u kojem je izvještajna finansijska institucija obveznik ili dužnik, uključujući agregirani iznos svih isplata po osnovi otkupa vlasniku računa tokom kalendarske godine ili drugog odgovarajućeg izvještajnog perioda;</w:t>
      </w:r>
    </w:p>
    <w:p w:rsidR="0088291B" w:rsidRDefault="0088291B">
      <w:pPr>
        <w:pStyle w:val="T30X"/>
        <w:ind w:left="567" w:hanging="283"/>
      </w:pPr>
      <w:r>
        <w:t xml:space="preserve">   h) da li je za svakog vlasnika računa osigurana važeća izjava o rezidentnosti;</w:t>
      </w:r>
    </w:p>
    <w:p w:rsidR="0088291B" w:rsidRDefault="0088291B">
      <w:pPr>
        <w:pStyle w:val="T30X"/>
        <w:ind w:left="567" w:hanging="283"/>
      </w:pPr>
      <w:r>
        <w:t xml:space="preserve">   i) ulog na osnovu kojeg je svako lice o kojem se izvještava, koje je lice koje ima kontrolu nad subjektom koji je vlasnik računa, lice koje ima kontrolu nad subjektom i da li je za svako takvo lice o kojem se izvještava obezbjeđena važeća izjava o rezidentnosti;</w:t>
      </w:r>
    </w:p>
    <w:p w:rsidR="0088291B" w:rsidRDefault="0088291B">
      <w:pPr>
        <w:pStyle w:val="T30X"/>
        <w:ind w:left="567" w:hanging="283"/>
      </w:pPr>
      <w:r>
        <w:t xml:space="preserve">   j) vrsta računa, da li se radi o postojećem ili novom računu i da li je račun zajednički račun, uključujući broj vlasnika zajedničkog računa; i</w:t>
      </w:r>
    </w:p>
    <w:p w:rsidR="0088291B" w:rsidRDefault="0088291B">
      <w:pPr>
        <w:pStyle w:val="T30X"/>
        <w:ind w:left="567" w:hanging="283"/>
      </w:pPr>
      <w:r>
        <w:t xml:space="preserve">   k) u slučaju vlasničkih udjela u vlasništvu investicionog subjekta koji je pravni aranžman, uloga/e na osnovu kojih je lice o kojem se izvještava vlasnik tog udjela.</w:t>
      </w:r>
    </w:p>
    <w:p w:rsidR="0088291B" w:rsidRDefault="0088291B">
      <w:pPr>
        <w:pStyle w:val="T30X"/>
        <w:ind w:left="283" w:hanging="283"/>
      </w:pPr>
      <w:r>
        <w:t>24b. Radi razmjene informacija na osnovu tačke 24a ovog uputstva, osim ako je drugačije propisano, iznos i obilježja plaćanja s obzirom na račun o kojem se izvještava utvrđuju se u skladu sa zakonom.</w:t>
      </w:r>
    </w:p>
    <w:p w:rsidR="0088291B" w:rsidRDefault="0088291B">
      <w:pPr>
        <w:pStyle w:val="T30X"/>
        <w:ind w:left="283" w:hanging="283"/>
      </w:pPr>
      <w:r>
        <w:t>24c. Poreski organ dostavlja informacije date u tački 24a podtač. h do k ovog uputstva za poreske periode koji počinju od 1. januara 2026. godine.</w:t>
      </w:r>
    </w:p>
    <w:p w:rsidR="0088291B" w:rsidRDefault="0088291B">
      <w:pPr>
        <w:pStyle w:val="T30X"/>
        <w:ind w:left="283" w:hanging="283"/>
      </w:pPr>
      <w:r>
        <w:t>25. Poreski organ može da dostavi informacije kojima raspolaže nadležnom organu druge poreske jurisdikcije, ako:</w:t>
      </w:r>
    </w:p>
    <w:p w:rsidR="0088291B" w:rsidRDefault="0088291B">
      <w:pPr>
        <w:pStyle w:val="T30X"/>
        <w:ind w:left="567" w:hanging="283"/>
      </w:pPr>
      <w:r>
        <w:t xml:space="preserve">   - smatra da te informacije mogu biti od koristi tom organu,</w:t>
      </w:r>
    </w:p>
    <w:p w:rsidR="0088291B" w:rsidRDefault="0088291B">
      <w:pPr>
        <w:pStyle w:val="T30X"/>
        <w:ind w:left="567" w:hanging="283"/>
      </w:pPr>
      <w:r>
        <w:t xml:space="preserve">   - sumnja da postoji mogućnost gubitka poreza u toj poreskoj jurisdikciji,</w:t>
      </w:r>
    </w:p>
    <w:p w:rsidR="0088291B" w:rsidRDefault="0088291B">
      <w:pPr>
        <w:pStyle w:val="T30X"/>
        <w:ind w:left="567" w:hanging="283"/>
      </w:pPr>
      <w:r>
        <w:t xml:space="preserve">   - je poreski obveznik ostvario pravo na umanjenje ili oslobođenje od plaćanja poreza u Crnoj Gori, što bi moglo dovesti do povećanja poreza ili poreske obaveze u toj poreskoj jurisdikciji,</w:t>
      </w:r>
    </w:p>
    <w:p w:rsidR="0088291B" w:rsidRDefault="0088291B">
      <w:pPr>
        <w:pStyle w:val="T30X"/>
        <w:ind w:left="567" w:hanging="283"/>
      </w:pPr>
      <w:r>
        <w:t xml:space="preserve">   - poslovne transakcije između poreskog obveznika u Crnoj Gori i poreskog obveznika u drugoj poreskoj jurisdikciji se obavljaju kroz jednu ili više poreskih jurisdikcija, radi uštede poreza u Crnoj Gori ili toj poreskoj jurisdikciji,</w:t>
      </w:r>
    </w:p>
    <w:p w:rsidR="0088291B" w:rsidRDefault="0088291B">
      <w:pPr>
        <w:pStyle w:val="T30X"/>
        <w:ind w:left="567" w:hanging="283"/>
      </w:pPr>
      <w:r>
        <w:t xml:space="preserve">   - sumnja da ušteda poreza u jednoj poreskoj jurisdikciji, proizlazi iz fiktivnih prenosa dobiti između povezanih lica,</w:t>
      </w:r>
    </w:p>
    <w:p w:rsidR="0088291B" w:rsidRDefault="0088291B">
      <w:pPr>
        <w:pStyle w:val="T30X"/>
        <w:ind w:left="567" w:hanging="283"/>
      </w:pPr>
      <w:r>
        <w:t xml:space="preserve">   - informacije koje mu je dostavio nadležni organ druge poreske jurisdikcije su omogućile dobijanje drugih informacija koje mogu biti od značaja za utvrđivanje poreskih obaveza u poreskoj jurisdikciji koja je te informacije dostavila.</w:t>
      </w:r>
    </w:p>
    <w:p w:rsidR="0088291B" w:rsidRDefault="0088291B">
      <w:pPr>
        <w:pStyle w:val="T30X"/>
        <w:ind w:left="283" w:hanging="283"/>
      </w:pPr>
      <w:r>
        <w:t>26. Poreski organ može da dostavi i sve druge informacije koje mogu biti od koristi nadležnim organima drugih poreskih jurisdikcija.</w:t>
      </w:r>
    </w:p>
    <w:p w:rsidR="0088291B" w:rsidRDefault="0088291B">
      <w:pPr>
        <w:pStyle w:val="T30X"/>
        <w:ind w:left="283" w:hanging="283"/>
      </w:pPr>
      <w:r>
        <w:t>27. Poreski organ, informacije koje je dobio, a koje mogu biti od koristi nadležnom organu druge poreske jurisdikcije, dostavlja tom organu što je prije moguće, a najkasnije u roku od 30 dana od dana prijema informacija.</w:t>
      </w:r>
    </w:p>
    <w:p w:rsidR="0088291B" w:rsidRDefault="0088291B">
      <w:pPr>
        <w:pStyle w:val="T30X"/>
        <w:ind w:left="283" w:hanging="283"/>
      </w:pPr>
      <w:r>
        <w:t>28. Poreski organ može da potvrdi prijem informacija nadležnom organu koji je informacije dostavio, odmah, a najkasnije u roku od sedam dana od dana prijema informacija.</w:t>
      </w:r>
    </w:p>
    <w:p w:rsidR="0088291B" w:rsidRDefault="0088291B">
      <w:pPr>
        <w:pStyle w:val="T30X"/>
        <w:ind w:left="283" w:hanging="283"/>
      </w:pPr>
      <w:r>
        <w:t xml:space="preserve">29. Poreski organ, kada informacije dostavlja na zahtjev ili spontano, nadležnom organu druge jurisdikcije, može zatražiti od tog organa da ga povratno informiše, najkasnije u roku od tri mjeseca od saznanja o ishodu postupka, </w:t>
      </w:r>
      <w:r>
        <w:lastRenderedPageBreak/>
        <w:t>a kada poreski organ dobije informacije od nadležnog organa druge države, na zahtjev ili spontano, povratno će informisati tog organa najkasnije u roku od tri mjeseca od saznanja o ishodu postupka.</w:t>
      </w:r>
    </w:p>
    <w:p w:rsidR="0088291B" w:rsidRDefault="0088291B">
      <w:pPr>
        <w:pStyle w:val="T30X"/>
        <w:ind w:left="283" w:hanging="283"/>
      </w:pPr>
      <w:r>
        <w:t>30. Razmjena informacija na zahtjev nadležnog organa druge poreske jurisdikcije i spontana razmjena informacija vrši se na obrascima datim na internet stranici Poreskog organa.</w:t>
      </w:r>
    </w:p>
    <w:p w:rsidR="0088291B" w:rsidRDefault="0088291B">
      <w:pPr>
        <w:pStyle w:val="T30X"/>
        <w:ind w:left="283" w:hanging="283"/>
      </w:pPr>
      <w:r>
        <w:t>31. Uz obrasce iz tačke 30 ovog uputstva može da se dostavi izvještaj, izjava ili dokument, odnosno njegova ovjerena fotokopija.</w:t>
      </w:r>
    </w:p>
    <w:p w:rsidR="0088291B" w:rsidRDefault="0088291B">
      <w:pPr>
        <w:pStyle w:val="T30X"/>
        <w:ind w:left="283" w:hanging="283"/>
      </w:pPr>
      <w:r>
        <w:t>32. Danom stupanja na snagu ovog uputstva prestaje da važi Uputstvo o bližem načinu razmjene informacija kojima raspolaže organ uprave nadležan za poslove poreza sa nadležnim organom druge države ("Službeni list Crne Gore", broj 68/22).</w:t>
      </w:r>
    </w:p>
    <w:p w:rsidR="0088291B" w:rsidRDefault="0088291B">
      <w:pPr>
        <w:pStyle w:val="T30X"/>
        <w:ind w:left="283" w:hanging="283"/>
      </w:pPr>
      <w:r>
        <w:t>33. Ovo uputstvo stupa na snagu osmog dana od dana objavljivanja u "Službenom listu Crne Gore".</w:t>
      </w:r>
    </w:p>
    <w:sectPr w:rsidR="0088291B">
      <w:headerReference w:type="even" r:id="rId6"/>
      <w:headerReference w:type="default" r:id="rId7"/>
      <w:footerReference w:type="even" r:id="rId8"/>
      <w:footerReference w:type="default" r:id="rId9"/>
      <w:pgSz w:w="11906" w:h="16838"/>
      <w:pgMar w:top="850" w:right="850" w:bottom="850" w:left="850" w:header="567" w:footer="56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6D1" w:rsidRDefault="00B666D1">
      <w:r>
        <w:separator/>
      </w:r>
    </w:p>
  </w:endnote>
  <w:endnote w:type="continuationSeparator" w:id="0">
    <w:p w:rsidR="00B666D1" w:rsidRDefault="00B66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88291B">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88291B" w:rsidRDefault="0088291B">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88291B" w:rsidRDefault="0088291B">
          <w:pPr>
            <w:pStyle w:val="Fotter"/>
            <w:jc w:val="right"/>
          </w:pPr>
          <w:r>
            <w:fldChar w:fldCharType="begin"/>
          </w:r>
          <w:r>
            <w:instrText>PAGE</w:instrText>
          </w:r>
          <w:r>
            <w:fldChar w:fldCharType="separate"/>
          </w:r>
          <w:r w:rsidR="006F4297">
            <w:rPr>
              <w:noProof/>
            </w:rPr>
            <w:t>2</w:t>
          </w:r>
          <w:r>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top w:w="40" w:type="dxa"/>
        <w:left w:w="0" w:type="dxa"/>
        <w:bottom w:w="40" w:type="dxa"/>
        <w:right w:w="0" w:type="dxa"/>
      </w:tblCellMar>
      <w:tblLook w:val="0000" w:firstRow="0" w:lastRow="0" w:firstColumn="0" w:lastColumn="0" w:noHBand="0" w:noVBand="0"/>
    </w:tblPr>
    <w:tblGrid>
      <w:gridCol w:w="5102"/>
      <w:gridCol w:w="5103"/>
    </w:tblGrid>
    <w:tr w:rsidR="0088291B">
      <w:tblPrEx>
        <w:tblCellMar>
          <w:left w:w="0" w:type="dxa"/>
          <w:right w:w="0" w:type="dxa"/>
        </w:tblCellMar>
      </w:tblPrEx>
      <w:trPr>
        <w:cantSplit/>
        <w:trHeight w:val="240"/>
      </w:trPr>
      <w:tc>
        <w:tcPr>
          <w:tcW w:w="5102" w:type="dxa"/>
          <w:tcBorders>
            <w:top w:val="dotted" w:sz="4" w:space="0" w:color="000000"/>
            <w:left w:val="nil"/>
            <w:bottom w:val="nil"/>
            <w:right w:val="nil"/>
          </w:tcBorders>
          <w:shd w:val="clear" w:color="auto" w:fill="FFFFFF"/>
          <w:tcMar>
            <w:left w:w="68" w:type="dxa"/>
            <w:right w:w="68" w:type="dxa"/>
          </w:tcMar>
        </w:tcPr>
        <w:p w:rsidR="0088291B" w:rsidRDefault="0088291B">
          <w:pPr>
            <w:pStyle w:val="Fotter"/>
          </w:pPr>
          <w:hyperlink w:anchor="http___www_katalogpropisa_me" w:history="1">
            <w:r>
              <w:rPr>
                <w:rStyle w:val="Hyperlink"/>
                <w:rFonts w:cs="Verdana"/>
              </w:rPr>
              <w:t>Pravni ekspert doo, Podgorica</w:t>
            </w:r>
          </w:hyperlink>
        </w:p>
      </w:tc>
      <w:tc>
        <w:tcPr>
          <w:tcW w:w="5103" w:type="dxa"/>
          <w:tcBorders>
            <w:top w:val="dotted" w:sz="4" w:space="0" w:color="000000"/>
            <w:left w:val="nil"/>
            <w:bottom w:val="nil"/>
            <w:right w:val="nil"/>
          </w:tcBorders>
          <w:shd w:val="clear" w:color="auto" w:fill="FFFFFF"/>
          <w:tcMar>
            <w:left w:w="68" w:type="dxa"/>
            <w:right w:w="68" w:type="dxa"/>
          </w:tcMar>
        </w:tcPr>
        <w:p w:rsidR="0088291B" w:rsidRDefault="0088291B">
          <w:pPr>
            <w:pStyle w:val="Fotter"/>
            <w:jc w:val="right"/>
          </w:pPr>
          <w:r>
            <w:fldChar w:fldCharType="begin"/>
          </w:r>
          <w:r>
            <w:instrText>PAGE</w:instrText>
          </w:r>
          <w:r>
            <w:fldChar w:fldCharType="separate"/>
          </w:r>
          <w:r w:rsidR="006F4297">
            <w:rPr>
              <w:noProof/>
            </w:rP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6D1" w:rsidRDefault="00B666D1">
      <w:r>
        <w:separator/>
      </w:r>
    </w:p>
  </w:footnote>
  <w:footnote w:type="continuationSeparator" w:id="0">
    <w:p w:rsidR="00B666D1" w:rsidRDefault="00B66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91B" w:rsidRDefault="0088291B">
    <w:pPr>
      <w:pStyle w:val="Header"/>
    </w:pPr>
    <w:r>
      <w:t>Katalog propisa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8291B" w:rsidRDefault="0088291B">
    <w:pPr>
      <w:pStyle w:val="Header"/>
    </w:pPr>
    <w:r>
      <w:t>Katalog propisa 2026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97"/>
    <w:rsid w:val="006F4297"/>
    <w:rsid w:val="0088291B"/>
    <w:rsid w:val="00B666D1"/>
    <w:rsid w:val="00BC35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B165DB1-74EB-4BC3-9623-908F3B6A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autoSpaceDE w:val="0"/>
      <w:autoSpaceDN w:val="0"/>
      <w:adjustRightInd w:val="0"/>
      <w:spacing w:after="0" w:line="240" w:lineRule="auto"/>
    </w:pPr>
    <w:rPr>
      <w:rFonts w:ascii="Times New Roman" w:hAnsi="Times New Roman"/>
      <w:color w:val="000000"/>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0">
    <w:name w:val="DefaultParagraphFont"/>
  </w:style>
  <w:style w:type="paragraph" w:customStyle="1" w:styleId="Heading1">
    <w:name w:val="Heading1"/>
    <w:basedOn w:val="Normal"/>
    <w:uiPriority w:val="99"/>
    <w:pPr>
      <w:outlineLvl w:val="0"/>
    </w:pPr>
  </w:style>
  <w:style w:type="paragraph" w:customStyle="1" w:styleId="Heading2">
    <w:name w:val="Heading2"/>
    <w:basedOn w:val="Heading1"/>
    <w:uiPriority w:val="99"/>
    <w:pPr>
      <w:outlineLvl w:val="1"/>
    </w:pPr>
  </w:style>
  <w:style w:type="paragraph" w:customStyle="1" w:styleId="Heading3">
    <w:name w:val="Heading3"/>
    <w:basedOn w:val="Heading2"/>
    <w:uiPriority w:val="99"/>
    <w:pPr>
      <w:outlineLvl w:val="2"/>
    </w:pPr>
  </w:style>
  <w:style w:type="paragraph" w:customStyle="1" w:styleId="Heading4">
    <w:name w:val="Heading4"/>
    <w:basedOn w:val="Heading3"/>
    <w:uiPriority w:val="99"/>
    <w:pPr>
      <w:outlineLvl w:val="3"/>
    </w:pPr>
  </w:style>
  <w:style w:type="paragraph" w:customStyle="1" w:styleId="Heading5">
    <w:name w:val="Heading5"/>
    <w:basedOn w:val="Heading4"/>
    <w:uiPriority w:val="99"/>
    <w:pPr>
      <w:outlineLvl w:val="4"/>
    </w:pPr>
  </w:style>
  <w:style w:type="paragraph" w:customStyle="1" w:styleId="Heading6">
    <w:name w:val="Heading6"/>
    <w:basedOn w:val="Heading5"/>
    <w:uiPriority w:val="99"/>
    <w:pPr>
      <w:outlineLvl w:val="5"/>
    </w:pPr>
  </w:style>
  <w:style w:type="paragraph" w:customStyle="1" w:styleId="Heading7">
    <w:name w:val="Heading7"/>
    <w:basedOn w:val="Heading6"/>
    <w:uiPriority w:val="99"/>
    <w:pPr>
      <w:outlineLvl w:val="6"/>
    </w:pPr>
  </w:style>
  <w:style w:type="paragraph" w:customStyle="1" w:styleId="Heading8">
    <w:name w:val="Heading8"/>
    <w:basedOn w:val="Heading7"/>
    <w:uiPriority w:val="99"/>
    <w:pPr>
      <w:outlineLvl w:val="7"/>
    </w:pPr>
  </w:style>
  <w:style w:type="paragraph" w:customStyle="1" w:styleId="Heading9">
    <w:name w:val="Heading9"/>
    <w:basedOn w:val="Heading8"/>
    <w:uiPriority w:val="99"/>
    <w:pPr>
      <w:outlineLvl w:val="8"/>
    </w:pPr>
  </w:style>
  <w:style w:type="paragraph" w:styleId="List">
    <w:name w:val="List"/>
    <w:basedOn w:val="Normal"/>
    <w:uiPriority w:val="99"/>
  </w:style>
  <w:style w:type="paragraph" w:customStyle="1" w:styleId="Footnote">
    <w:name w:val="Footnote"/>
    <w:basedOn w:val="Normal"/>
    <w:uiPriority w:val="99"/>
  </w:style>
  <w:style w:type="paragraph" w:styleId="Header">
    <w:name w:val="header"/>
    <w:basedOn w:val="Normal"/>
    <w:link w:val="HeaderChar"/>
    <w:uiPriority w:val="99"/>
    <w:pPr>
      <w:pBdr>
        <w:bottom w:val="dotted" w:sz="4" w:space="0" w:color="4682B4"/>
      </w:pBdr>
      <w:tabs>
        <w:tab w:val="right" w:pos="9071"/>
      </w:tabs>
      <w:jc w:val="right"/>
    </w:pPr>
    <w:rPr>
      <w:rFonts w:ascii="Verdana" w:hAnsi="Verdana" w:cs="Verdana"/>
      <w:b/>
      <w:bCs/>
      <w:color w:val="4682B4"/>
      <w:sz w:val="18"/>
      <w:szCs w:val="18"/>
    </w:rPr>
  </w:style>
  <w:style w:type="character" w:customStyle="1" w:styleId="HeaderChar">
    <w:name w:val="Header Char"/>
    <w:basedOn w:val="DefaultParagraphFont"/>
    <w:link w:val="Header"/>
    <w:uiPriority w:val="99"/>
    <w:semiHidden/>
    <w:locked/>
    <w:rPr>
      <w:rFonts w:ascii="Times New Roman" w:hAnsi="Times New Roman" w:cs="Times New Roman"/>
      <w:color w:val="000000"/>
      <w:sz w:val="20"/>
      <w:szCs w:val="20"/>
    </w:rPr>
  </w:style>
  <w:style w:type="paragraph" w:styleId="Footer">
    <w:name w:val="footer"/>
    <w:basedOn w:val="Normal"/>
    <w:link w:val="FooterChar"/>
    <w:uiPriority w:val="99"/>
    <w:pPr>
      <w:pBdr>
        <w:top w:val="dotted" w:sz="4" w:space="0" w:color="4682B4"/>
      </w:pBdr>
      <w:tabs>
        <w:tab w:val="center" w:pos="5669"/>
      </w:tabs>
      <w:jc w:val="center"/>
    </w:pPr>
    <w:rPr>
      <w:rFonts w:ascii="Verdana" w:hAnsi="Verdana" w:cs="Verdana"/>
      <w:b/>
      <w:bCs/>
      <w:color w:val="4682B4"/>
      <w:sz w:val="18"/>
      <w:szCs w:val="18"/>
    </w:rPr>
  </w:style>
  <w:style w:type="character" w:customStyle="1" w:styleId="FooterChar">
    <w:name w:val="Footer Char"/>
    <w:basedOn w:val="DefaultParagraphFont"/>
    <w:link w:val="Footer"/>
    <w:uiPriority w:val="99"/>
    <w:semiHidden/>
    <w:locked/>
    <w:rPr>
      <w:rFonts w:ascii="Times New Roman" w:hAnsi="Times New Roman" w:cs="Times New Roman"/>
      <w:color w:val="000000"/>
      <w:sz w:val="20"/>
      <w:szCs w:val="20"/>
    </w:rPr>
  </w:style>
  <w:style w:type="character" w:styleId="Hyperlink">
    <w:name w:val="Hyperlink"/>
    <w:basedOn w:val="DefaultParagraphFont0"/>
    <w:uiPriority w:val="99"/>
    <w:rPr>
      <w:rFonts w:cs="Times New Roman"/>
    </w:rPr>
  </w:style>
  <w:style w:type="paragraph" w:customStyle="1" w:styleId="InvalidStyleName">
    <w:name w:val="InvalidStyleName"/>
    <w:basedOn w:val="Normal"/>
    <w:uiPriority w:val="99"/>
    <w:rPr>
      <w:b/>
      <w:bCs/>
      <w:color w:val="00FF00"/>
      <w:u w:val="dash"/>
    </w:rPr>
  </w:style>
  <w:style w:type="paragraph" w:customStyle="1" w:styleId="N03Y">
    <w:name w:val="N03Y"/>
    <w:basedOn w:val="Normal"/>
    <w:uiPriority w:val="99"/>
    <w:pPr>
      <w:spacing w:before="200" w:after="200"/>
      <w:jc w:val="center"/>
    </w:pPr>
    <w:rPr>
      <w:b/>
      <w:bCs/>
      <w:sz w:val="28"/>
      <w:szCs w:val="28"/>
    </w:rPr>
  </w:style>
  <w:style w:type="paragraph" w:customStyle="1" w:styleId="N01X">
    <w:name w:val="N01X"/>
    <w:basedOn w:val="Normal"/>
    <w:uiPriority w:val="99"/>
    <w:pPr>
      <w:spacing w:before="200" w:after="200"/>
      <w:jc w:val="center"/>
    </w:pPr>
    <w:rPr>
      <w:b/>
      <w:bCs/>
      <w:sz w:val="24"/>
      <w:szCs w:val="24"/>
    </w:rPr>
  </w:style>
  <w:style w:type="paragraph" w:customStyle="1" w:styleId="C30X">
    <w:name w:val="C30X"/>
    <w:basedOn w:val="Normal"/>
    <w:uiPriority w:val="99"/>
    <w:pPr>
      <w:spacing w:before="200" w:after="60"/>
      <w:jc w:val="center"/>
    </w:pPr>
    <w:rPr>
      <w:b/>
      <w:bCs/>
      <w:sz w:val="24"/>
      <w:szCs w:val="24"/>
    </w:rPr>
  </w:style>
  <w:style w:type="paragraph" w:customStyle="1" w:styleId="C31X">
    <w:name w:val="C31X"/>
    <w:basedOn w:val="Normal"/>
    <w:uiPriority w:val="99"/>
    <w:pPr>
      <w:spacing w:before="60" w:after="60"/>
      <w:jc w:val="center"/>
    </w:pPr>
    <w:rPr>
      <w:b/>
      <w:bCs/>
      <w:sz w:val="22"/>
      <w:szCs w:val="22"/>
    </w:rPr>
  </w:style>
  <w:style w:type="paragraph" w:customStyle="1" w:styleId="Fotter">
    <w:name w:val="Fotter"/>
    <w:basedOn w:val="Normal"/>
    <w:uiPriority w:val="99"/>
    <w:rPr>
      <w:rFonts w:ascii="Verdana" w:hAnsi="Verdana" w:cs="Verdana"/>
      <w:b/>
      <w:bCs/>
      <w:color w:val="4682B4"/>
      <w:sz w:val="18"/>
      <w:szCs w:val="18"/>
    </w:rPr>
  </w:style>
  <w:style w:type="paragraph" w:customStyle="1" w:styleId="ODRX">
    <w:name w:val="ODRX"/>
    <w:basedOn w:val="Normal"/>
    <w:uiPriority w:val="99"/>
    <w:pPr>
      <w:pBdr>
        <w:top w:val="single" w:sz="8" w:space="2" w:color="000000"/>
        <w:left w:val="single" w:sz="8" w:space="2" w:color="000000"/>
        <w:bottom w:val="single" w:sz="8" w:space="2" w:color="000000"/>
        <w:right w:val="single" w:sz="8" w:space="2" w:color="000000"/>
      </w:pBdr>
      <w:shd w:val="clear" w:color="auto" w:fill="D3D3D3"/>
      <w:spacing w:before="200" w:after="200"/>
      <w:jc w:val="center"/>
    </w:pPr>
    <w:rPr>
      <w:b/>
      <w:bCs/>
      <w:sz w:val="24"/>
      <w:szCs w:val="24"/>
    </w:rPr>
  </w:style>
  <w:style w:type="paragraph" w:customStyle="1" w:styleId="NVPX">
    <w:name w:val="NVPX"/>
    <w:basedOn w:val="Normal"/>
    <w:uiPriority w:val="99"/>
    <w:pPr>
      <w:pBdr>
        <w:top w:val="single" w:sz="8" w:space="2" w:color="000000"/>
        <w:left w:val="single" w:sz="8" w:space="2" w:color="000000"/>
        <w:bottom w:val="single" w:sz="8" w:space="2" w:color="000000"/>
        <w:right w:val="single" w:sz="8" w:space="2" w:color="000000"/>
      </w:pBdr>
      <w:shd w:val="clear" w:color="auto" w:fill="000000"/>
      <w:spacing w:before="200" w:after="200"/>
      <w:jc w:val="center"/>
    </w:pPr>
    <w:rPr>
      <w:b/>
      <w:bCs/>
      <w:color w:val="FFFFFF"/>
      <w:sz w:val="24"/>
      <w:szCs w:val="24"/>
    </w:rPr>
  </w:style>
  <w:style w:type="paragraph" w:customStyle="1" w:styleId="TextBox">
    <w:name w:val="TextBox"/>
    <w:basedOn w:val="Normal"/>
    <w:uiPriority w:val="99"/>
    <w:pPr>
      <w:pBdr>
        <w:top w:val="single" w:sz="20" w:space="3" w:color="000000"/>
        <w:left w:val="single" w:sz="20" w:space="3" w:color="000000"/>
        <w:bottom w:val="single" w:sz="20" w:space="3" w:color="000000"/>
        <w:right w:val="single" w:sz="20" w:space="3" w:color="000000"/>
      </w:pBdr>
      <w:shd w:val="clear" w:color="auto" w:fill="87CEEB"/>
      <w:jc w:val="both"/>
    </w:pPr>
  </w:style>
  <w:style w:type="paragraph" w:customStyle="1" w:styleId="TOC">
    <w:name w:val="TOC"/>
    <w:basedOn w:val="Normal"/>
    <w:uiPriority w:val="99"/>
    <w:pPr>
      <w:tabs>
        <w:tab w:val="right" w:leader="dot" w:pos="9071"/>
      </w:tabs>
    </w:pPr>
    <w:rPr>
      <w:color w:val="0000FF"/>
    </w:rPr>
  </w:style>
  <w:style w:type="paragraph" w:customStyle="1" w:styleId="N01Y">
    <w:name w:val="N01Y"/>
    <w:basedOn w:val="Normal"/>
    <w:uiPriority w:val="99"/>
    <w:pPr>
      <w:spacing w:before="60" w:after="60"/>
    </w:pPr>
    <w:rPr>
      <w:b/>
      <w:bCs/>
      <w:sz w:val="22"/>
      <w:szCs w:val="22"/>
    </w:rPr>
  </w:style>
  <w:style w:type="paragraph" w:customStyle="1" w:styleId="N02Y">
    <w:name w:val="N02Y"/>
    <w:basedOn w:val="Normal"/>
    <w:uiPriority w:val="99"/>
    <w:pPr>
      <w:spacing w:before="120" w:after="60"/>
      <w:ind w:firstLine="283"/>
      <w:jc w:val="both"/>
    </w:pPr>
    <w:rPr>
      <w:sz w:val="22"/>
      <w:szCs w:val="22"/>
    </w:rPr>
  </w:style>
  <w:style w:type="paragraph" w:customStyle="1" w:styleId="N05Y">
    <w:name w:val="N05Y"/>
    <w:basedOn w:val="Normal"/>
    <w:uiPriority w:val="99"/>
    <w:pPr>
      <w:spacing w:before="60" w:after="200"/>
      <w:jc w:val="center"/>
    </w:pPr>
    <w:rPr>
      <w:b/>
      <w:bCs/>
      <w:sz w:val="24"/>
      <w:szCs w:val="24"/>
    </w:rPr>
  </w:style>
  <w:style w:type="paragraph" w:customStyle="1" w:styleId="N01Z">
    <w:name w:val="N01Z"/>
    <w:basedOn w:val="Normal"/>
    <w:uiPriority w:val="99"/>
    <w:pPr>
      <w:spacing w:before="60" w:after="60"/>
      <w:jc w:val="center"/>
    </w:pPr>
    <w:rPr>
      <w:b/>
      <w:bCs/>
    </w:rPr>
  </w:style>
  <w:style w:type="paragraph" w:customStyle="1" w:styleId="T30X">
    <w:name w:val="T30X"/>
    <w:basedOn w:val="Normal"/>
    <w:uiPriority w:val="99"/>
    <w:pPr>
      <w:spacing w:before="60" w:after="60"/>
      <w:ind w:firstLine="283"/>
      <w:jc w:val="both"/>
    </w:pPr>
    <w:rPr>
      <w:sz w:val="22"/>
      <w:szCs w:val="22"/>
    </w:rPr>
  </w:style>
  <w:style w:type="paragraph" w:customStyle="1" w:styleId="TABELATE">
    <w:name w:val="TABELA_TE"/>
    <w:basedOn w:val="Normal"/>
    <w:uiPriority w:val="99"/>
    <w:pPr>
      <w:spacing w:before="60" w:after="60"/>
    </w:pPr>
    <w:rPr>
      <w:rFonts w:ascii="Courier New" w:hAnsi="Courier New" w:cs="Courier New"/>
      <w:sz w:val="16"/>
      <w:szCs w:val="16"/>
    </w:rPr>
  </w:style>
  <w:style w:type="paragraph" w:customStyle="1" w:styleId="T60X">
    <w:name w:val="T60X"/>
    <w:basedOn w:val="Normal"/>
    <w:uiPriority w:val="99"/>
    <w:pPr>
      <w:spacing w:before="60" w:after="60"/>
      <w:jc w:val="center"/>
    </w:pPr>
    <w:rPr>
      <w:i/>
      <w:iCs/>
      <w:sz w:val="22"/>
      <w:szCs w:val="22"/>
    </w:rPr>
  </w:style>
  <w:style w:type="paragraph" w:customStyle="1" w:styleId="FSNT">
    <w:name w:val="FSNT"/>
    <w:basedOn w:val="Normal"/>
    <w:uiPriority w:val="99"/>
    <w:pPr>
      <w:spacing w:before="200" w:after="120"/>
      <w:ind w:left="850" w:hanging="170"/>
    </w:pPr>
    <w:rPr>
      <w:sz w:val="18"/>
      <w:szCs w:val="18"/>
    </w:rPr>
  </w:style>
  <w:style w:type="paragraph" w:customStyle="1" w:styleId="HLINE">
    <w:name w:val="HLINE"/>
    <w:basedOn w:val="Normal"/>
    <w:uiPriority w:val="99"/>
    <w:pPr>
      <w:pBdr>
        <w:top w:val="single" w:sz="8" w:space="1" w:color="000000"/>
        <w:left w:val="none" w:sz="0" w:space="1" w:color="auto"/>
        <w:bottom w:val="none" w:sz="0" w:space="1" w:color="auto"/>
        <w:right w:val="none" w:sz="0" w:space="1" w:color="auto"/>
      </w:pBdr>
      <w:spacing w:before="60"/>
      <w:jc w:val="center"/>
    </w:pPr>
  </w:style>
  <w:style w:type="paragraph" w:customStyle="1" w:styleId="SPN">
    <w:name w:val="SPN"/>
    <w:basedOn w:val="Normal"/>
    <w:uiPriority w:val="99"/>
    <w:pPr>
      <w:spacing w:before="200" w:after="200"/>
      <w:jc w:val="center"/>
    </w:pPr>
    <w:rPr>
      <w:b/>
      <w:bCs/>
      <w:sz w:val="28"/>
      <w:szCs w:val="28"/>
    </w:rPr>
  </w:style>
  <w:style w:type="paragraph" w:customStyle="1" w:styleId="SPS">
    <w:name w:val="SPS"/>
    <w:basedOn w:val="Normal"/>
    <w:uiPriority w:val="99"/>
    <w:pPr>
      <w:spacing w:before="100" w:after="100"/>
    </w:pPr>
    <w:rPr>
      <w:color w:val="000080"/>
      <w:sz w:val="24"/>
      <w:szCs w:val="24"/>
    </w:rPr>
  </w:style>
  <w:style w:type="paragraph" w:customStyle="1" w:styleId="SPP">
    <w:name w:val="SPP"/>
    <w:basedOn w:val="Normal"/>
    <w:uiPriority w:val="99"/>
    <w:pPr>
      <w:spacing w:before="200" w:after="200"/>
      <w:jc w:val="center"/>
    </w:pPr>
    <w:rPr>
      <w:b/>
      <w:bCs/>
      <w:sz w:val="22"/>
      <w:szCs w:val="22"/>
    </w:rPr>
  </w:style>
  <w:style w:type="paragraph" w:customStyle="1" w:styleId="SPOB">
    <w:name w:val="SPOB"/>
    <w:basedOn w:val="Normal"/>
    <w:uiPriority w:val="99"/>
    <w:pPr>
      <w:spacing w:before="60" w:after="60"/>
      <w:jc w:val="center"/>
    </w:pPr>
    <w:rPr>
      <w:b/>
      <w:bCs/>
      <w:i/>
      <w:iCs/>
      <w:sz w:val="22"/>
      <w:szCs w:val="22"/>
    </w:rPr>
  </w:style>
  <w:style w:type="paragraph" w:customStyle="1" w:styleId="SPT">
    <w:name w:val="SPT"/>
    <w:basedOn w:val="Normal"/>
    <w:uiPriority w:val="99"/>
    <w:pPr>
      <w:spacing w:before="140" w:after="140"/>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2134</Words>
  <Characters>12167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vt:lpstr>
    </vt:vector>
  </TitlesOfParts>
  <Company/>
  <LinksUpToDate>false</LinksUpToDate>
  <CharactersWithSpaces>14273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
  <cp:lastModifiedBy>Milena Nikcevic</cp:lastModifiedBy>
  <cp:revision>2</cp:revision>
  <dcterms:created xsi:type="dcterms:W3CDTF">2026-08-28T08:33:00Z</dcterms:created>
  <dcterms:modified xsi:type="dcterms:W3CDTF">2026-08-28T08:33:00Z</dcterms:modified>
</cp:coreProperties>
</file>