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93F" w:rsidRPr="00AF793F" w:rsidRDefault="00707EBC" w:rsidP="00AF793F">
      <w:pPr>
        <w:rPr>
          <w:b/>
          <w:bCs/>
          <w:lang w:val="sr-Latn-ME"/>
        </w:rPr>
      </w:pPr>
      <w:r>
        <w:rPr>
          <w:b/>
          <w:bCs/>
          <w:lang w:val="sr-Latn-ME"/>
        </w:rPr>
        <w:t xml:space="preserve">Aneks IV: </w:t>
      </w:r>
      <w:r w:rsidR="00AF793F" w:rsidRPr="00AF793F">
        <w:rPr>
          <w:b/>
          <w:bCs/>
          <w:lang w:val="sr-Latn-ME"/>
        </w:rPr>
        <w:t xml:space="preserve">PARTNERSTVA U TURIZMU </w:t>
      </w:r>
    </w:p>
    <w:p w:rsidR="00AF793F" w:rsidRPr="003D39F1" w:rsidRDefault="00AF793F" w:rsidP="00AF793F">
      <w:pPr>
        <w:rPr>
          <w:bCs/>
          <w:lang w:val="sr-Latn-ME"/>
        </w:rPr>
      </w:pPr>
      <w:r w:rsidRPr="003D39F1">
        <w:rPr>
          <w:bCs/>
          <w:lang w:val="sr-Latn-ME"/>
        </w:rPr>
        <w:t>Za „Interes“ i „Uticaj/snaga“ date su ocjene od 1 do 5:</w:t>
      </w:r>
    </w:p>
    <w:p w:rsidR="00AF793F" w:rsidRPr="003D39F1" w:rsidRDefault="00AF793F" w:rsidP="00AF793F">
      <w:pPr>
        <w:rPr>
          <w:bCs/>
          <w:lang w:val="sr-Latn-ME"/>
        </w:rPr>
      </w:pPr>
      <w:r w:rsidRPr="003D39F1">
        <w:rPr>
          <w:bCs/>
          <w:lang w:val="sr-Latn-ME"/>
        </w:rPr>
        <w:t>-</w:t>
      </w:r>
      <w:r w:rsidRPr="003D39F1">
        <w:rPr>
          <w:bCs/>
          <w:lang w:val="sr-Latn-ME"/>
        </w:rPr>
        <w:tab/>
        <w:t>1 predstavlja najmanji interes zainteresovanih strana za sprovođenje strateškog dokumenta, kao i najmanji uticaj (snagu) zainteresovanih strana na sprovođenje strateškog dokumenta.</w:t>
      </w:r>
    </w:p>
    <w:p w:rsidR="00AF793F" w:rsidRPr="003D39F1" w:rsidRDefault="00AF793F" w:rsidP="00AF793F">
      <w:pPr>
        <w:rPr>
          <w:bCs/>
          <w:lang w:val="sr-Latn-ME"/>
        </w:rPr>
      </w:pPr>
      <w:r w:rsidRPr="003D39F1">
        <w:rPr>
          <w:bCs/>
          <w:lang w:val="sr-Latn-ME"/>
        </w:rPr>
        <w:t>-</w:t>
      </w:r>
      <w:r w:rsidRPr="003D39F1">
        <w:rPr>
          <w:bCs/>
          <w:lang w:val="sr-Latn-ME"/>
        </w:rPr>
        <w:tab/>
        <w:t>5 predstavlja najveći interes zainteresovanih strana za sprovođenje strateškog dokumenta, kao i najveći uticaj (snagu) zainteresovanih strana na sprovođenje strateškog dokumenta.</w:t>
      </w:r>
    </w:p>
    <w:p w:rsidR="00AF793F" w:rsidRPr="00B3485F" w:rsidRDefault="00AF793F" w:rsidP="00AF793F">
      <w:pPr>
        <w:rPr>
          <w:lang w:val="sr-Latn-ME"/>
        </w:rPr>
      </w:pPr>
      <w:r w:rsidRPr="00B3485F">
        <w:rPr>
          <w:b/>
          <w:bCs/>
          <w:lang w:val="sr-Latn-ME"/>
        </w:rPr>
        <w:t xml:space="preserve">Tabela </w:t>
      </w:r>
      <w:r>
        <w:rPr>
          <w:b/>
          <w:bCs/>
          <w:lang w:val="sr-Latn-ME"/>
        </w:rPr>
        <w:t xml:space="preserve">- </w:t>
      </w:r>
      <w:r>
        <w:rPr>
          <w:lang w:val="sr-Latn-ME"/>
        </w:rPr>
        <w:t xml:space="preserve">: </w:t>
      </w:r>
      <w:r w:rsidRPr="00B3485F">
        <w:rPr>
          <w:lang w:val="sr-Latn-ME"/>
        </w:rPr>
        <w:t>Zainteresovane strane i njihov uticaj i interes/snaga</w:t>
      </w:r>
      <w:r>
        <w:rPr>
          <w:lang w:val="sr-Latn-ME"/>
        </w:rPr>
        <w:t>, predlog</w:t>
      </w:r>
    </w:p>
    <w:tbl>
      <w:tblPr>
        <w:tblStyle w:val="GridTable5Dark-Accent11"/>
        <w:tblW w:w="5730" w:type="pct"/>
        <w:tblInd w:w="-840" w:type="dxa"/>
        <w:tblLook w:val="0420" w:firstRow="1" w:lastRow="0" w:firstColumn="0" w:lastColumn="0" w:noHBand="0" w:noVBand="1"/>
      </w:tblPr>
      <w:tblGrid>
        <w:gridCol w:w="2563"/>
        <w:gridCol w:w="5617"/>
        <w:gridCol w:w="1003"/>
        <w:gridCol w:w="1532"/>
      </w:tblGrid>
      <w:tr w:rsidR="00AF793F" w:rsidRPr="00B3485F" w:rsidTr="00907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6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Cs w:val="0"/>
                <w:lang w:val="sr-Latn-ME"/>
              </w:rPr>
            </w:pPr>
            <w:r w:rsidRPr="00B3485F">
              <w:rPr>
                <w:rFonts w:eastAsiaTheme="majorEastAsia" w:cstheme="minorHAnsi"/>
                <w:bCs w:val="0"/>
                <w:lang w:val="sr-Latn-ME"/>
              </w:rPr>
              <w:t>Zainteresovana strana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Cs w:val="0"/>
                <w:lang w:val="sr-Latn-ME"/>
              </w:rPr>
            </w:pPr>
            <w:r w:rsidRPr="00B3485F">
              <w:rPr>
                <w:rFonts w:eastAsiaTheme="majorEastAsia" w:cstheme="minorHAnsi"/>
                <w:bCs w:val="0"/>
                <w:lang w:val="sr-Latn-ME"/>
              </w:rPr>
              <w:t>Odnos (relacija) prema strateškom dokumentu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Cs w:val="0"/>
                <w:lang w:val="sr-Latn-ME"/>
              </w:rPr>
            </w:pPr>
            <w:r w:rsidRPr="00B3485F">
              <w:rPr>
                <w:rFonts w:eastAsiaTheme="majorEastAsia" w:cstheme="minorHAnsi"/>
                <w:bCs w:val="0"/>
                <w:lang w:val="sr-Latn-ME"/>
              </w:rPr>
              <w:t>Interes</w:t>
            </w:r>
          </w:p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Cs w:val="0"/>
                <w:lang w:val="sr-Latn-ME"/>
              </w:rPr>
            </w:pPr>
            <w:r w:rsidRPr="00B3485F">
              <w:rPr>
                <w:rFonts w:eastAsiaTheme="majorEastAsia" w:cstheme="minorHAnsi"/>
                <w:bCs w:val="0"/>
                <w:lang w:val="sr-Latn-ME"/>
              </w:rPr>
              <w:t>(ocjena od 1 do 5)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Cs w:val="0"/>
                <w:lang w:val="sr-Latn-ME"/>
              </w:rPr>
            </w:pPr>
            <w:r w:rsidRPr="00B3485F">
              <w:rPr>
                <w:rFonts w:eastAsiaTheme="majorEastAsia" w:cstheme="minorHAnsi"/>
                <w:bCs w:val="0"/>
                <w:lang w:val="sr-Latn-ME"/>
              </w:rPr>
              <w:t>Uticaj/snaga</w:t>
            </w:r>
          </w:p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Cs w:val="0"/>
                <w:lang w:val="sr-Latn-ME"/>
              </w:rPr>
            </w:pPr>
            <w:r w:rsidRPr="00B3485F">
              <w:rPr>
                <w:rFonts w:eastAsiaTheme="majorEastAsia" w:cstheme="minorHAnsi"/>
                <w:bCs w:val="0"/>
                <w:lang w:val="sr-Latn-ME"/>
              </w:rPr>
              <w:t>(ocjena od 1 do 5)</w:t>
            </w:r>
          </w:p>
        </w:tc>
      </w:tr>
      <w:tr w:rsidR="00AF793F" w:rsidRPr="00B3485F" w:rsidTr="0090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</w:p>
        </w:tc>
      </w:tr>
      <w:tr w:rsidR="00AF793F" w:rsidRPr="00B3485F" w:rsidTr="00907DBB">
        <w:trPr>
          <w:trHeight w:val="618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Ministarstvo ekonomskog razvoja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Nosioc i odgovorna institucija za implementaciju Strategije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</w:tr>
      <w:tr w:rsidR="00AF793F" w:rsidRPr="00B3485F" w:rsidTr="0090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2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Ministarstvo ekologije, prostornog  planiranja i urbanizma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Nadležno za razvoj turističke ponude kroz propisivanje uslova privređivanja u turizmu, održivu valorizaciju potencijala i ekoloških prednosti nacionalnih parkova i zaštićenih područja prirode sa aspekta razvoja turizma, povezivanje primorskog i kontinentalnog turizma, formiranje turističkih mjesta i područja, kategorizaciju i klasifikaciju turističkih objekata.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</w:tr>
      <w:tr w:rsidR="00AF793F" w:rsidRPr="00B3485F" w:rsidTr="00907DBB">
        <w:trPr>
          <w:trHeight w:val="935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Ministarstvo unutrašnjih poslova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Nadležno za vođenje registra boravišta RB90, a na osnovu Zakona o strancima. Administrativna baza podataka o turistima.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3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</w:tr>
      <w:tr w:rsidR="00AF793F" w:rsidRPr="00B3485F" w:rsidTr="0090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1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Ministarstvo finansija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Pripremanje predloga tekuće ekonomske politike Crne Gore i praćenje njenog ostvarivanja; pripremanje, planiranje, izradu i izvršenje budžeta Crne Gore.</w:t>
            </w:r>
          </w:p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Planiranje strateških ciljeva (Strategije razvoja turizma 2021-2025) u skladu sa srednjoročnim planom Ministarstva finansija.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</w:tr>
      <w:tr w:rsidR="00AF793F" w:rsidRPr="00B3485F" w:rsidTr="00907DBB">
        <w:trPr>
          <w:trHeight w:val="1538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Ministarstvo kapitalnih investicija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Vrši poslove koji se odnose na pripremu i ocjenu razvojnih investicionih projekata koji su od interesa za Crnu Goru iz oblasti energetike, rudarstva, saobraćaja i pomorstva,  kao i vođenje razvojne politike, praćenje stanja i preduzimanje mjera.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</w:tr>
      <w:tr w:rsidR="00AF793F" w:rsidRPr="00B3485F" w:rsidTr="0090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4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lastRenderedPageBreak/>
              <w:t>Ministarstvo zdravlja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Institucija koja prati razvoj zdravstvenih usluga, unapređenje zdravstvenog stanja i zdravstvenih potreba stanovništva, unapređenje zdravstvene njege pacijenata, kao i praćenje razvoja zdravstvenih standarda. Takođe, ono je nadležno i za praćenje implementacije rezolucija, deklaracija, konvencija i protokola u oblasti zaštite zdravlja, odnosno pripremu nacrta i predloga zakona i drugih propisa u oblasti zdravstvene zaštite, zdravstvenog osiguranja i drugih oblasti javnog zdravlja u skladu sa međunarodnim standardima.</w:t>
            </w:r>
          </w:p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U odnosu na Strategiju razvoja turizma, ovo Ministarstvo ima poseban uticaj kada je riječ o zdravstvenom turizmu, što je detaljno opisano u Programu razvoja zdravstvenog turizma, ali i kada je riječ o mjerama u pogledu  sigurnosti/zdravstvene bezbjednosti (posebno u vremenu pandemije) što se odražava na turizam.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</w:tr>
      <w:tr w:rsidR="00AF793F" w:rsidRPr="00B3485F" w:rsidTr="00907DBB">
        <w:trPr>
          <w:trHeight w:val="145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Nacionalna turistička organizacija</w:t>
            </w:r>
            <w:r w:rsidR="00294045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 xml:space="preserve"> Crne Gore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NTO planira, organizuje i sprovodi opštu turističko-propagandnu djelatnost Crne Gore u zemlji i inostranstvu, donosi godišnje programe turističko-propagandne djelatnosti, prati, analizira, organizuje istraživanja na domaćem i inostranom turističkom tržištu, stvara uslove i obezbjeđuje sredstva u cilju afirmisanja turističkih vrijednosti i mogućnosti Crne Gore. Učestvuje u formiranju i razvijanju jedinstvenog informacionog sistema u turizmu Crne Gore i obezbjeđuje njegovo povezivanje sa drugim informacionim sistemima, koordinira i objedinjava informativnu i promotivnu aktivnost svih subjekata u oblasti turizma i sarađuje sa turističkim organizacijama u zemlji i inostranstvu.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</w:tr>
      <w:tr w:rsidR="00294045" w:rsidRPr="00B3485F" w:rsidTr="0090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tcW w:w="1196" w:type="pct"/>
          </w:tcPr>
          <w:p w:rsidR="00294045" w:rsidRPr="00B3485F" w:rsidRDefault="00294045" w:rsidP="00907DBB">
            <w:pP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 xml:space="preserve">Lokalne turističke organizacije </w:t>
            </w:r>
          </w:p>
        </w:tc>
        <w:tc>
          <w:tcPr>
            <w:tcW w:w="2621" w:type="pct"/>
          </w:tcPr>
          <w:p w:rsidR="00C638B1" w:rsidRPr="00C638B1" w:rsidRDefault="00C638B1" w:rsidP="00C638B1">
            <w:pPr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L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okalne turističke organizacije unaprjeđ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uju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i promo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višu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izvornih vrijednosti područja opštine za koj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e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su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osnovan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e, 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uče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stvuju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u realizaciji projekata za razvoj i diverzifikaciju turističke ponude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kao i u 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stvaranj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a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uslova za aktiviranje turističkih resursa na teritoriji opštine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, 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podsti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ču, 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koordini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šu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i organiz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uju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kulturn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e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, umjetničk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e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, zabavn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e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, privredn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e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, sportsk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e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i drug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e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manifestacija, koje doprinose obogaćivanju turističke ponude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, zatim i 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pruža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ju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informacij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e</w:t>
            </w:r>
            <w:r w:rsidRPr="00C638B1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gostima o raspoloživim smještajnim kapacitetima u primarnim i komplementarnim ugostiteljskim objektima, ugostiteljskim objektima za pružanje usluge pripremanja i usluživanja hrane i pića i kapacitetima privatnog smještaja,​​ kulturnim manifestacijama, događajima i drugim servisnim informacijama o turističkim uslugama na teritoriji opštine</w:t>
            </w:r>
            <w:r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dr.</w:t>
            </w:r>
          </w:p>
          <w:p w:rsidR="00294045" w:rsidRPr="00B3485F" w:rsidRDefault="00294045" w:rsidP="00C638B1">
            <w:pPr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</w:p>
        </w:tc>
        <w:tc>
          <w:tcPr>
            <w:tcW w:w="468" w:type="pct"/>
          </w:tcPr>
          <w:p w:rsidR="00294045" w:rsidRPr="00B3485F" w:rsidRDefault="00294045" w:rsidP="00907DBB">
            <w:pPr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  <w:tc>
          <w:tcPr>
            <w:tcW w:w="715" w:type="pct"/>
          </w:tcPr>
          <w:p w:rsidR="00294045" w:rsidRDefault="00294045" w:rsidP="00907DBB">
            <w:pPr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</w:tr>
      <w:tr w:rsidR="00294045" w:rsidRPr="00B3485F" w:rsidTr="00907DBB">
        <w:trPr>
          <w:trHeight w:val="145"/>
        </w:trPr>
        <w:tc>
          <w:tcPr>
            <w:tcW w:w="1196" w:type="pct"/>
          </w:tcPr>
          <w:p w:rsidR="00294045" w:rsidRDefault="00294045" w:rsidP="00907DBB">
            <w:pP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 xml:space="preserve">Lokalne zajednice </w:t>
            </w:r>
          </w:p>
        </w:tc>
        <w:tc>
          <w:tcPr>
            <w:tcW w:w="2621" w:type="pct"/>
          </w:tcPr>
          <w:p w:rsidR="00294045" w:rsidRPr="00B3485F" w:rsidRDefault="001D325E" w:rsidP="00AB4849">
            <w:pPr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1D325E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Opština</w:t>
            </w:r>
            <w:r w:rsidR="00AB4849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</w:t>
            </w:r>
            <w:r w:rsidRPr="001D325E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uređuje i obezbjeđuje obavljanje i razvoj komunalnih djelatnosti, održavanje komunalne infrastrukture i </w:t>
            </w:r>
            <w:r w:rsidRPr="001D325E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lastRenderedPageBreak/>
              <w:t>komunalnog reda; uređuje i obezbjeđuje obavljanje poslova izgradnje, rekonstrukcije, održavanja i zaštite opštinskih puteva;</w:t>
            </w:r>
            <w:r w:rsidR="00AB4849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</w:t>
            </w:r>
            <w:r w:rsidRPr="001D325E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uređuje i obezbjeđuje prevoz putnika u gradskom i prigradskom linijskom saobraćaju i autotaksi prevoz;</w:t>
            </w:r>
            <w:r w:rsidR="00AB4849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</w:t>
            </w:r>
            <w:r w:rsidRPr="001D325E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reguliše saobraćaj;</w:t>
            </w:r>
            <w:r w:rsidR="00AB4849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</w:t>
            </w:r>
            <w:r w:rsidRPr="001D325E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uređuje građevinsko zemljište;</w:t>
            </w:r>
            <w:r w:rsidR="00AB4849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</w:t>
            </w:r>
            <w:r w:rsidRPr="001D325E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uređuje i obezbjeđuje uslove za razvoj preduzetništva;</w:t>
            </w:r>
            <w:r w:rsidR="00AB4849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</w:t>
            </w:r>
            <w:r w:rsidRPr="001D325E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obezbjeđuje uslove i stara se o zaštiti životne sredine i pojedinih njenih djelova (kvalitet vazduha, zaštita od buke, upravljanje otpadom i dr.);</w:t>
            </w:r>
            <w:r w:rsidR="00AB4849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</w:t>
            </w:r>
            <w:r w:rsidRPr="001D325E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uređuje, obezbjeđuje i stvara uslove za razvoj kulture i zaštitu kulturnih dobara;</w:t>
            </w:r>
            <w:r w:rsidR="00AB4849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</w:t>
            </w:r>
            <w:r w:rsidRPr="001D325E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uređuje, organizuje i stvara uslove i stara se o razvoju turizma, kao i razvoju djelatnosti kojima se unapređuje razvoj turizma;</w:t>
            </w:r>
            <w:r w:rsidR="00AB4849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</w:t>
            </w:r>
            <w:r w:rsidRPr="001D325E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stvara uslove za razvoj i unapređenje sporta djece, omladine i građana, kao i razvijanje međuopštinske sportske saradnje;</w:t>
            </w:r>
            <w:r w:rsidR="00AB4849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</w:t>
            </w:r>
            <w:r w:rsidRPr="001D325E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u skladu sa mogućnostima, uređuje i obezbjeđuje rješavanje stambenih potreba lica u stanju socijalne potrebe i lica sa invaliditetom i pomaže rad humanitarnih i nevladinih organizacija iz ovih oblasti</w:t>
            </w:r>
            <w:r w:rsidR="00AB4849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 i dr.</w:t>
            </w:r>
            <w:bookmarkStart w:id="0" w:name="_GoBack"/>
            <w:bookmarkEnd w:id="0"/>
          </w:p>
        </w:tc>
        <w:tc>
          <w:tcPr>
            <w:tcW w:w="468" w:type="pct"/>
          </w:tcPr>
          <w:p w:rsidR="00294045" w:rsidRDefault="00294045" w:rsidP="00907DBB">
            <w:pPr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lastRenderedPageBreak/>
              <w:t>5</w:t>
            </w:r>
          </w:p>
        </w:tc>
        <w:tc>
          <w:tcPr>
            <w:tcW w:w="715" w:type="pct"/>
          </w:tcPr>
          <w:p w:rsidR="00294045" w:rsidRDefault="00294045" w:rsidP="00907DBB">
            <w:pPr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</w:tr>
      <w:tr w:rsidR="00AF793F" w:rsidRPr="00B3485F" w:rsidTr="0090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Nacionalni parkovi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Nacionalni parkovi su predjeli posebne ljepote i značajnih i rijetkih prirodnih pojava. Oni čine ekološku i geografsku cjelinu koja se posebnim zakonom izdvaja i štiti. Svaki nacionalni park karakteriše specifična prirodna i kulturna baština. Nacionalni parkovi su odgovorni za zaštitu i upravljanje, pripremu i implementaciju programa zaštite, kontrolu korišćenja prirodnih resursa, utvrđivanje unutrašnjih pravila i promociju, u skladu sa relevantnim zakonima i aktima. 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</w:tr>
      <w:tr w:rsidR="00AF793F" w:rsidRPr="00B3485F" w:rsidTr="00907DBB">
        <w:trPr>
          <w:trHeight w:val="145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Uprava za statistiku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pStyle w:val="Default"/>
              <w:spacing w:line="276" w:lineRule="auto"/>
              <w:jc w:val="both"/>
              <w:rPr>
                <w:rFonts w:asciiTheme="minorHAnsi" w:eastAsiaTheme="majorEastAsia" w:hAnsiTheme="minorHAnsi" w:cstheme="minorHAnsi"/>
                <w:bCs/>
                <w:color w:val="365F91" w:themeColor="accent1" w:themeShade="BF"/>
                <w:sz w:val="22"/>
                <w:szCs w:val="22"/>
                <w:lang w:val="sr-Latn-ME"/>
              </w:rPr>
            </w:pPr>
            <w:r w:rsidRPr="00B3485F">
              <w:rPr>
                <w:rFonts w:asciiTheme="minorHAnsi" w:eastAsiaTheme="majorEastAsia" w:hAnsiTheme="minorHAnsi" w:cstheme="minorHAnsi"/>
                <w:bCs/>
                <w:color w:val="365F91" w:themeColor="accent1" w:themeShade="BF"/>
                <w:sz w:val="22"/>
                <w:szCs w:val="22"/>
                <w:lang w:val="sr-Latn-ME"/>
              </w:rPr>
              <w:t xml:space="preserve">Uprava za statistiku Crne Gore – Monstat je nadležno tijelo za proizvodnju zvanične statistike, i kao takva je prepoznata kod domaće i međunarodne javnosti. </w:t>
            </w:r>
          </w:p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Ispitivanje mogućnosti, kao i planiranje proizvodnje nedostajućih podataka iz oblasti turizma, kao i razvoj TSA.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4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</w:tr>
      <w:tr w:rsidR="00AF793F" w:rsidRPr="00B3485F" w:rsidTr="0090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Privredna komora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Nastojanja Privredne komore su usmjerena ka uspješnom zastupanju interesa crnogorskih preduzeća i stvaranju povoljnih uslova za unapređenje njihove konkurentnosti u globalnom privrednom ambijentu. Aktivnosti Komore usmjerene su prije svega na stvaranje najpovoljnijeg ambijenta za poslovanje. </w:t>
            </w:r>
          </w:p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Planiranje Strategije i njena implementacija zasigurno će imati uticaj na privredne subjekte i njihovo mišljenje je potrebno uzeti u obzir – gdje vide probleme, kako vide način njihovog rješavanja, viziju razvoja i sl. 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</w:tr>
      <w:tr w:rsidR="00AF793F" w:rsidRPr="00B3485F" w:rsidTr="00907DBB">
        <w:trPr>
          <w:trHeight w:val="145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Montenegro biznis alijansa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Montenegro Biznis Alijansa je poslovna asocijacija koja okuplja preduzetnike, domaće i strane investitore. Formirana </w:t>
            </w: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lastRenderedPageBreak/>
              <w:t>u septembru 2001. godine od strane deset firmi iz Crne Gore. Od svog osnivanja radi na promociji razvoja privatnog sektora i ukazuje na probleme u postojećoj zakonskoj regulativi, sa namjerom da kroz ponuđene predloge doprinese otklanjanju postojećih barijera i unapređenju ukupnog ambijenta za biznis u Crnoj Gori. Montenegro Biznis Alijansa danas okuplja oko 500 najuspješnijih preduzeća u Crnoj Gori.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lastRenderedPageBreak/>
              <w:t>5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</w:tr>
      <w:tr w:rsidR="00AF793F" w:rsidRPr="00B3485F" w:rsidTr="0090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 xml:space="preserve">Turistička udruženja - </w:t>
            </w: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Crnogorsko turističko udruženje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Crnogorsko turističko udruženje čine Udruženje hotelijera i restoratera Crne Gore, Udruženje hotela i Udruženje turističkih agencija. Osnovano kao nevladina organizacija 2006. godine.</w:t>
            </w:r>
            <w:r w:rsidRPr="00B3485F">
              <w:rPr>
                <w:rFonts w:cstheme="minorHAnsi"/>
                <w:lang w:val="sr-Latn-ME"/>
              </w:rPr>
              <w:t xml:space="preserve"> </w:t>
            </w: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Ključne aktivnosti ove organizacije su: zastupanje interesa turističke struke, razvoj dijaloga i pregovaranja u pitanjima od značaja za ostvarivanje interesa</w:t>
            </w:r>
            <w:r w:rsidRPr="00B3485F">
              <w:rPr>
                <w:rFonts w:cstheme="minorHAnsi"/>
                <w:lang w:val="sr-Latn-ME"/>
              </w:rPr>
              <w:t xml:space="preserve"> </w:t>
            </w: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turističke privrede, aktivno učestvovanje u izradi normativnih akata vezanih za turističku privredu, angažovanje na promociji i kvalitetu ponude Crne Gore kao turističke destinacije, pružanje usluga svojim članovima u cilju poboljšanja njihovog poslovanja, saradnja na domaćem i međunarodnom planu, saglasno međunarodnim standardima i preporukama i aktivna uloga u organima upravljanja LTO i NTO i ostalim institucijama javnog sektora u cilju razvijanja turističke privrede Crne Gore (Public Private Partnership).</w:t>
            </w:r>
          </w:p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Sa mišljenjem/iskustvom subjekata koji čine ovo udruženje, ili njihovih predstavnika, realnije se mogu sagledati problemi u sektoru turizma i bolje planirati ciljevi i mjere.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5</w:t>
            </w:r>
          </w:p>
        </w:tc>
      </w:tr>
      <w:tr w:rsidR="00AF793F" w:rsidRPr="00B3485F" w:rsidTr="00907DBB">
        <w:trPr>
          <w:trHeight w:val="145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Istraživački centri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Istraživački centri/agencije/instituti realizovali su različita istraživanja iz oblasti turizma. U nedostatku zvaničnih statističkih podataka, ili u cilju dobijanja novih kroz projekcije/procjene mogu se planirati kroz istraživačke centre.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2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2</w:t>
            </w:r>
          </w:p>
        </w:tc>
      </w:tr>
      <w:tr w:rsidR="00AF793F" w:rsidRPr="00B3485F" w:rsidTr="0090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Akademska zajednica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>Fakulteti koji u svom obrazovnom programu obuhvataju oblast turizma, značajno doprinose kvalitetu same Strategije. Naime, kroz različite stručne i naučne radove, projekte, istraživanja i analize, a koji su dijelom predstavljeni u okviru ove analize akademska zajednica može u značajnoj mejri doprinijeti kvalitetu Strategije, a kasnije i implementaciji planiranih aktivnosti kroz naučne projekte (npr. procjena sive ekonomije u oblasti turizma).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2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4</w:t>
            </w:r>
          </w:p>
        </w:tc>
      </w:tr>
      <w:tr w:rsidR="00AF793F" w:rsidRPr="00B3485F" w:rsidTr="00907DBB">
        <w:trPr>
          <w:trHeight w:val="145"/>
        </w:trPr>
        <w:tc>
          <w:tcPr>
            <w:tcW w:w="1196" w:type="pct"/>
          </w:tcPr>
          <w:p w:rsidR="00AF793F" w:rsidRPr="00B3485F" w:rsidRDefault="00AF793F" w:rsidP="00907DBB">
            <w:pPr>
              <w:spacing w:line="276" w:lineRule="auto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Nevladine organizacije iz sektora turizma</w:t>
            </w:r>
          </w:p>
        </w:tc>
        <w:tc>
          <w:tcPr>
            <w:tcW w:w="2621" w:type="pct"/>
          </w:tcPr>
          <w:p w:rsidR="00AF793F" w:rsidRPr="00B3485F" w:rsidRDefault="00AF793F" w:rsidP="00907DBB">
            <w:pPr>
              <w:spacing w:line="276" w:lineRule="auto"/>
              <w:jc w:val="both"/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t xml:space="preserve">Saradnja Vlade i civilnog društva de facto je postala sastavni dio političkih kriterijuma za punopravno članstvo u EU za </w:t>
            </w:r>
            <w:r w:rsidRPr="00B3485F">
              <w:rPr>
                <w:rFonts w:eastAsiaTheme="majorEastAsia" w:cstheme="minorHAnsi"/>
                <w:bCs/>
                <w:color w:val="365F91" w:themeColor="accent1" w:themeShade="BF"/>
                <w:lang w:val="sr-Latn-ME"/>
              </w:rPr>
              <w:lastRenderedPageBreak/>
              <w:t>zemlje zapadnog Balkana. Partnerski odnos između Vlade i NVO potvrđen je u izradi velikog broja nacionalnih i lokalnih strategija, reformskih programa i zakona. NVO kroz različite vidove pretpristupne pomoći i drugih fondova, mogu doprinijeti realizaciji strateških ciljeva.</w:t>
            </w:r>
          </w:p>
        </w:tc>
        <w:tc>
          <w:tcPr>
            <w:tcW w:w="468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lastRenderedPageBreak/>
              <w:t>3</w:t>
            </w:r>
          </w:p>
        </w:tc>
        <w:tc>
          <w:tcPr>
            <w:tcW w:w="715" w:type="pct"/>
          </w:tcPr>
          <w:p w:rsidR="00AF793F" w:rsidRPr="00B3485F" w:rsidRDefault="00AF793F" w:rsidP="00907DBB">
            <w:pPr>
              <w:spacing w:line="276" w:lineRule="auto"/>
              <w:jc w:val="center"/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</w:pPr>
            <w:r w:rsidRPr="00B3485F">
              <w:rPr>
                <w:rFonts w:eastAsiaTheme="majorEastAsia" w:cstheme="minorHAnsi"/>
                <w:b/>
                <w:color w:val="365F91" w:themeColor="accent1" w:themeShade="BF"/>
                <w:lang w:val="sr-Latn-ME"/>
              </w:rPr>
              <w:t>3</w:t>
            </w:r>
          </w:p>
        </w:tc>
      </w:tr>
    </w:tbl>
    <w:p w:rsidR="00AF793F" w:rsidRPr="00B3485F" w:rsidRDefault="00AF793F" w:rsidP="00AF793F">
      <w:pPr>
        <w:rPr>
          <w:lang w:val="sr-Latn-ME"/>
        </w:rPr>
      </w:pPr>
    </w:p>
    <w:p w:rsidR="003462E3" w:rsidRDefault="003462E3"/>
    <w:sectPr w:rsidR="003462E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6F4" w:rsidRDefault="003636F4" w:rsidP="00AF793F">
      <w:pPr>
        <w:spacing w:after="0" w:line="240" w:lineRule="auto"/>
      </w:pPr>
      <w:r>
        <w:separator/>
      </w:r>
    </w:p>
  </w:endnote>
  <w:endnote w:type="continuationSeparator" w:id="0">
    <w:p w:rsidR="003636F4" w:rsidRDefault="003636F4" w:rsidP="00AF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6F4" w:rsidRDefault="003636F4" w:rsidP="00AF793F">
      <w:pPr>
        <w:spacing w:after="0" w:line="240" w:lineRule="auto"/>
      </w:pPr>
      <w:r>
        <w:separator/>
      </w:r>
    </w:p>
  </w:footnote>
  <w:footnote w:type="continuationSeparator" w:id="0">
    <w:p w:rsidR="003636F4" w:rsidRDefault="003636F4" w:rsidP="00AF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93F" w:rsidRPr="00AF793F" w:rsidRDefault="00AF793F" w:rsidP="00AF793F">
    <w:pPr>
      <w:pStyle w:val="Header"/>
      <w:jc w:val="right"/>
      <w:rPr>
        <w:lang w:val="sr-Latn-M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C48E5"/>
    <w:rsid w:val="001D325E"/>
    <w:rsid w:val="00294045"/>
    <w:rsid w:val="003462E3"/>
    <w:rsid w:val="003636F4"/>
    <w:rsid w:val="003E351E"/>
    <w:rsid w:val="00707EBC"/>
    <w:rsid w:val="00AB4849"/>
    <w:rsid w:val="00AD1328"/>
    <w:rsid w:val="00AF793F"/>
    <w:rsid w:val="00C6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360F"/>
  <w15:docId w15:val="{E9E3FF03-76C1-4FB0-AFCB-7A1D0079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7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AF79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F7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93F"/>
  </w:style>
  <w:style w:type="paragraph" w:styleId="Footer">
    <w:name w:val="footer"/>
    <w:basedOn w:val="Normal"/>
    <w:link w:val="FooterChar"/>
    <w:uiPriority w:val="99"/>
    <w:unhideWhenUsed/>
    <w:rsid w:val="00AF7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Mugosa</dc:creator>
  <cp:lastModifiedBy>Aleksandra Slavuljica Gardasevic</cp:lastModifiedBy>
  <cp:revision>5</cp:revision>
  <dcterms:created xsi:type="dcterms:W3CDTF">2021-11-26T12:41:00Z</dcterms:created>
  <dcterms:modified xsi:type="dcterms:W3CDTF">2021-11-26T13:02:00Z</dcterms:modified>
</cp:coreProperties>
</file>