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D44F3A" w:rsidRDefault="00D44F3A" w:rsidP="00D44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</w:t>
      </w:r>
      <w:r w:rsidR="00E31C62">
        <w:rPr>
          <w:rFonts w:ascii="Arial" w:hAnsi="Arial" w:cs="Arial"/>
          <w:b/>
          <w:sz w:val="24"/>
          <w:szCs w:val="24"/>
        </w:rPr>
        <w:t xml:space="preserve">ZAKONA O IZMJENAMA I DOPUNAMA </w:t>
      </w:r>
      <w:r w:rsidR="008E0CF8">
        <w:rPr>
          <w:rFonts w:ascii="Arial" w:hAnsi="Arial" w:cs="Arial"/>
          <w:b/>
          <w:sz w:val="24"/>
          <w:szCs w:val="24"/>
        </w:rPr>
        <w:t>KRIVIČNOG ZAKONIKA</w:t>
      </w:r>
      <w:r w:rsidR="000175FC">
        <w:rPr>
          <w:rFonts w:ascii="Arial" w:hAnsi="Arial" w:cs="Arial"/>
          <w:b/>
          <w:sz w:val="24"/>
          <w:szCs w:val="24"/>
        </w:rPr>
        <w:t xml:space="preserve"> CRNE GORE</w:t>
      </w:r>
      <w:bookmarkStart w:id="0" w:name="_GoBack"/>
      <w:bookmarkEnd w:id="0"/>
    </w:p>
    <w:p w:rsidR="00D44F3A" w:rsidRDefault="00D44F3A" w:rsidP="00D44F3A">
      <w:pPr>
        <w:jc w:val="both"/>
        <w:rPr>
          <w:rFonts w:ascii="Arial" w:hAnsi="Arial" w:cs="Arial"/>
          <w:b/>
          <w:sz w:val="24"/>
          <w:szCs w:val="24"/>
        </w:rPr>
      </w:pPr>
    </w:p>
    <w:p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E31C62" w:rsidRPr="00E31C62">
        <w:rPr>
          <w:rFonts w:ascii="Arial" w:hAnsi="Arial" w:cs="Arial"/>
          <w:sz w:val="24"/>
          <w:szCs w:val="24"/>
        </w:rPr>
        <w:t xml:space="preserve">Nacrta zakona o izmjenama i dopunama Krivičnog zakonika Crne Gore </w:t>
      </w:r>
      <w:r>
        <w:rPr>
          <w:rFonts w:ascii="Arial" w:hAnsi="Arial" w:cs="Arial"/>
          <w:sz w:val="24"/>
          <w:szCs w:val="24"/>
        </w:rPr>
        <w:t xml:space="preserve">trajaće </w:t>
      </w:r>
      <w:r w:rsidR="008E0CF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0175FC" w:rsidRPr="002D527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ivona.djuraskovic@mpa.gov.me</w:t>
        </w:r>
      </w:hyperlink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Ivona Đurašković,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0175FC" w:rsidRPr="002D527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ivona.djuraskovic@mpa.gov.me</w:t>
        </w:r>
      </w:hyperlink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D44F3A" w:rsidRDefault="00D44F3A" w:rsidP="000175FC"/>
    <w:p w:rsidR="00D44F3A" w:rsidRDefault="00D44F3A" w:rsidP="00D44F3A">
      <w:pPr>
        <w:jc w:val="right"/>
      </w:pPr>
    </w:p>
    <w:p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Generalna direktorka</w:t>
      </w:r>
    </w:p>
    <w:p w:rsidR="00D44F3A" w:rsidRPr="009D06F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Jelena Grdinić</w:t>
      </w:r>
    </w:p>
    <w:p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8E0CF8"/>
    <w:rsid w:val="009B42A4"/>
    <w:rsid w:val="00D44F3A"/>
    <w:rsid w:val="00E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0BF2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na.djuraskovic@mpa.gov.me" TargetMode="External"/><Relationship Id="rId5" Type="http://schemas.openxmlformats.org/officeDocument/2006/relationships/hyperlink" Target="mailto:ivona.djurask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Ivona Djuraskovic</cp:lastModifiedBy>
  <cp:revision>2</cp:revision>
  <dcterms:created xsi:type="dcterms:W3CDTF">2024-02-26T13:02:00Z</dcterms:created>
  <dcterms:modified xsi:type="dcterms:W3CDTF">2024-02-26T13:02:00Z</dcterms:modified>
</cp:coreProperties>
</file>