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E1" w:rsidRDefault="00B16382" w:rsidP="00B16382">
      <w:pPr>
        <w:autoSpaceDE w:val="0"/>
        <w:autoSpaceDN w:val="0"/>
        <w:adjustRightInd w:val="0"/>
        <w:spacing w:after="0" w:line="240" w:lineRule="auto"/>
        <w:jc w:val="center"/>
        <w:rPr>
          <w:rFonts w:ascii="Arial" w:hAnsi="Arial" w:cs="Arial"/>
          <w:b/>
          <w:bCs/>
          <w:szCs w:val="24"/>
          <w:lang w:val="it-IT"/>
        </w:rPr>
      </w:pPr>
      <w:r w:rsidRPr="00DA3BD5">
        <w:rPr>
          <w:rFonts w:ascii="Arial" w:hAnsi="Arial" w:cs="Arial"/>
          <w:b/>
          <w:bCs/>
          <w:szCs w:val="24"/>
          <w:lang w:val="it-IT"/>
        </w:rPr>
        <w:t>IZVJEŠTAJ</w:t>
      </w:r>
      <w:r w:rsidR="00081CE1">
        <w:rPr>
          <w:rFonts w:ascii="Arial" w:hAnsi="Arial" w:cs="Arial"/>
          <w:b/>
          <w:bCs/>
          <w:szCs w:val="24"/>
          <w:lang w:val="it-IT"/>
        </w:rPr>
        <w:t xml:space="preserve"> SA </w:t>
      </w:r>
      <w:r w:rsidRPr="00DA3BD5">
        <w:rPr>
          <w:rFonts w:ascii="Arial" w:hAnsi="Arial" w:cs="Arial"/>
          <w:b/>
          <w:bCs/>
          <w:szCs w:val="24"/>
          <w:lang w:val="it-IT"/>
        </w:rPr>
        <w:t>JAVN</w:t>
      </w:r>
      <w:r w:rsidR="00081CE1">
        <w:rPr>
          <w:rFonts w:ascii="Arial" w:hAnsi="Arial" w:cs="Arial"/>
          <w:b/>
          <w:bCs/>
          <w:szCs w:val="24"/>
          <w:lang w:val="it-IT"/>
        </w:rPr>
        <w:t>E RASPRAVE</w:t>
      </w:r>
    </w:p>
    <w:p w:rsidR="00B16382" w:rsidRPr="00DA3BD5" w:rsidRDefault="00B16382" w:rsidP="00B16382">
      <w:pPr>
        <w:autoSpaceDE w:val="0"/>
        <w:autoSpaceDN w:val="0"/>
        <w:adjustRightInd w:val="0"/>
        <w:spacing w:after="0" w:line="240" w:lineRule="auto"/>
        <w:jc w:val="center"/>
        <w:rPr>
          <w:rFonts w:ascii="Arial" w:hAnsi="Arial" w:cs="Arial"/>
          <w:b/>
          <w:bCs/>
          <w:szCs w:val="24"/>
          <w:lang w:val="it-IT"/>
        </w:rPr>
      </w:pPr>
      <w:r w:rsidRPr="00DA3BD5">
        <w:rPr>
          <w:rFonts w:ascii="Arial" w:hAnsi="Arial" w:cs="Arial"/>
          <w:b/>
          <w:bCs/>
          <w:szCs w:val="24"/>
          <w:lang w:val="it-IT"/>
        </w:rPr>
        <w:t xml:space="preserve"> O NACRTU ZAKONA O</w:t>
      </w:r>
      <w:r w:rsidR="00081CE1">
        <w:rPr>
          <w:rFonts w:ascii="Arial" w:hAnsi="Arial" w:cs="Arial"/>
          <w:b/>
          <w:bCs/>
          <w:szCs w:val="24"/>
          <w:lang w:val="it-IT"/>
        </w:rPr>
        <w:t xml:space="preserve"> </w:t>
      </w:r>
      <w:r w:rsidR="00C756D7" w:rsidRPr="00DA3BD5">
        <w:rPr>
          <w:rFonts w:ascii="Arial" w:hAnsi="Arial" w:cs="Arial"/>
          <w:b/>
          <w:bCs/>
          <w:szCs w:val="24"/>
          <w:lang w:val="it-IT"/>
        </w:rPr>
        <w:t>TRŽIŠTU KAPITALA</w:t>
      </w:r>
    </w:p>
    <w:p w:rsidR="00B16382" w:rsidRPr="00DA3BD5" w:rsidRDefault="00B16382" w:rsidP="00B16382">
      <w:pPr>
        <w:autoSpaceDE w:val="0"/>
        <w:autoSpaceDN w:val="0"/>
        <w:adjustRightInd w:val="0"/>
        <w:spacing w:after="0" w:line="240" w:lineRule="auto"/>
        <w:jc w:val="center"/>
        <w:rPr>
          <w:rFonts w:ascii="Arial" w:hAnsi="Arial" w:cs="Arial"/>
          <w:b/>
          <w:bCs/>
          <w:szCs w:val="24"/>
          <w:lang w:val="it-IT"/>
        </w:rPr>
      </w:pPr>
    </w:p>
    <w:p w:rsidR="00B16382" w:rsidRPr="00117DE8" w:rsidRDefault="00B16382" w:rsidP="00B16382">
      <w:pPr>
        <w:autoSpaceDE w:val="0"/>
        <w:autoSpaceDN w:val="0"/>
        <w:adjustRightInd w:val="0"/>
        <w:spacing w:after="0" w:line="240" w:lineRule="auto"/>
        <w:jc w:val="center"/>
        <w:rPr>
          <w:rFonts w:ascii="Arial" w:hAnsi="Arial" w:cs="Arial"/>
          <w:b/>
          <w:bCs/>
          <w:lang w:val="it-IT"/>
        </w:rPr>
      </w:pPr>
    </w:p>
    <w:p w:rsidR="00117DE8" w:rsidRPr="00117DE8" w:rsidRDefault="00117DE8" w:rsidP="00117DE8">
      <w:pPr>
        <w:shd w:val="clear" w:color="auto" w:fill="FFFFFF"/>
        <w:spacing w:after="0" w:line="240" w:lineRule="auto"/>
        <w:jc w:val="both"/>
        <w:textAlignment w:val="top"/>
        <w:rPr>
          <w:rFonts w:ascii="Arial" w:hAnsi="Arial" w:cs="Arial"/>
          <w:lang w:val="it-IT"/>
        </w:rPr>
      </w:pPr>
      <w:r w:rsidRPr="00117DE8">
        <w:rPr>
          <w:rFonts w:ascii="Arial" w:eastAsia="Times New Roman" w:hAnsi="Arial" w:cs="Arial"/>
          <w:color w:val="000000"/>
        </w:rPr>
        <w:t xml:space="preserve">Ministarstvo finansija je, u skladu sa Uredbom o postupku i načinu sprovođenja javne rasprave u pripremi zakona (“Službeni list Crne Gore”, broj 12/12), u periodu od 22. jula do 8. septembra 2014. godine, objavilo javnu raspravu povodom Nacrta zakona o tržištu kapitala. </w:t>
      </w:r>
      <w:r w:rsidRPr="00117DE8">
        <w:rPr>
          <w:rFonts w:ascii="Arial" w:hAnsi="Arial" w:cs="Arial"/>
          <w:lang w:val="it-IT"/>
        </w:rPr>
        <w:t xml:space="preserve">Međutim, zbog velike zainteresovanosti učesnika na tržištu kapitala, na koje se neposredno i odnosi ovaj Zakon, javna rasprava je produzena do 30. septembra 2014. godine.. </w:t>
      </w:r>
    </w:p>
    <w:p w:rsidR="00117DE8" w:rsidRPr="00117DE8" w:rsidRDefault="00117DE8" w:rsidP="00117DE8">
      <w:pPr>
        <w:shd w:val="clear" w:color="auto" w:fill="FFFFFF"/>
        <w:spacing w:after="0" w:line="240" w:lineRule="auto"/>
        <w:jc w:val="both"/>
        <w:textAlignment w:val="top"/>
        <w:rPr>
          <w:rFonts w:ascii="Arial" w:hAnsi="Arial" w:cs="Arial"/>
          <w:lang w:val="it-IT"/>
        </w:rPr>
      </w:pPr>
    </w:p>
    <w:p w:rsidR="00117DE8" w:rsidRDefault="00117DE8" w:rsidP="00117DE8">
      <w:pPr>
        <w:shd w:val="clear" w:color="auto" w:fill="FFFFFF"/>
        <w:spacing w:after="0" w:line="240" w:lineRule="auto"/>
        <w:jc w:val="both"/>
        <w:textAlignment w:val="top"/>
        <w:rPr>
          <w:rFonts w:ascii="Arial" w:eastAsia="Times New Roman" w:hAnsi="Arial" w:cs="Arial"/>
          <w:color w:val="000000"/>
        </w:rPr>
      </w:pPr>
      <w:r w:rsidRPr="00117DE8">
        <w:rPr>
          <w:rFonts w:ascii="Arial" w:eastAsia="Times New Roman" w:hAnsi="Arial" w:cs="Arial"/>
          <w:color w:val="000000"/>
        </w:rPr>
        <w:t xml:space="preserve">Nacrt zakona je, u skladu sa zahtjevima Evropske komisije i obavezom usaglašavanja sa relevantnim evropskim direktivama, pretrpio značajne izmjene te je Komisija za hartije od vrijednosti pripremila novi Nacrt zakona o tržištu kapitala. </w:t>
      </w:r>
    </w:p>
    <w:p w:rsidR="00117DE8" w:rsidRDefault="00117DE8" w:rsidP="00117DE8">
      <w:pPr>
        <w:shd w:val="clear" w:color="auto" w:fill="FFFFFF"/>
        <w:spacing w:after="0" w:line="240" w:lineRule="auto"/>
        <w:jc w:val="both"/>
        <w:textAlignment w:val="top"/>
        <w:rPr>
          <w:rFonts w:ascii="Arial" w:eastAsia="Times New Roman" w:hAnsi="Arial" w:cs="Arial"/>
          <w:color w:val="000000"/>
        </w:rPr>
      </w:pPr>
    </w:p>
    <w:p w:rsidR="00117DE8" w:rsidRPr="00117DE8" w:rsidRDefault="00117DE8" w:rsidP="00117DE8">
      <w:pPr>
        <w:shd w:val="clear" w:color="auto" w:fill="FFFFFF"/>
        <w:spacing w:after="0" w:line="240" w:lineRule="auto"/>
        <w:jc w:val="both"/>
        <w:textAlignment w:val="top"/>
        <w:rPr>
          <w:rFonts w:ascii="Arial" w:eastAsia="Times New Roman" w:hAnsi="Arial" w:cs="Arial"/>
          <w:color w:val="000000"/>
          <w:sz w:val="24"/>
          <w:szCs w:val="14"/>
        </w:rPr>
      </w:pPr>
      <w:r w:rsidRPr="00117DE8">
        <w:rPr>
          <w:rFonts w:ascii="Arial" w:eastAsia="Times New Roman" w:hAnsi="Arial" w:cs="Arial"/>
          <w:color w:val="000000"/>
        </w:rPr>
        <w:t xml:space="preserve">Nacrt zakona je bio na javnoj rapravi od do </w:t>
      </w:r>
      <w:r w:rsidR="005A11E6">
        <w:rPr>
          <w:rFonts w:ascii="Arial" w:eastAsia="Times New Roman" w:hAnsi="Arial" w:cs="Arial"/>
          <w:color w:val="000000"/>
        </w:rPr>
        <w:t xml:space="preserve">11. juna </w:t>
      </w:r>
      <w:r w:rsidRPr="00117DE8">
        <w:rPr>
          <w:rFonts w:ascii="Arial" w:eastAsia="Times New Roman" w:hAnsi="Arial" w:cs="Arial"/>
          <w:color w:val="000000"/>
        </w:rPr>
        <w:t>do 03. jula 2015. godine</w:t>
      </w:r>
      <w:r w:rsidRPr="001A0932">
        <w:rPr>
          <w:rFonts w:ascii="Arial" w:eastAsia="Times New Roman" w:hAnsi="Arial" w:cs="Arial"/>
          <w:color w:val="000000"/>
          <w:sz w:val="24"/>
          <w:szCs w:val="14"/>
        </w:rPr>
        <w:t>. </w:t>
      </w:r>
    </w:p>
    <w:p w:rsidR="00B16382" w:rsidRPr="00DA3BD5" w:rsidRDefault="00B16382" w:rsidP="00B16382">
      <w:pPr>
        <w:autoSpaceDE w:val="0"/>
        <w:autoSpaceDN w:val="0"/>
        <w:adjustRightInd w:val="0"/>
        <w:spacing w:after="0" w:line="240" w:lineRule="auto"/>
        <w:jc w:val="both"/>
        <w:rPr>
          <w:rFonts w:ascii="Garamond" w:hAnsi="Garamond" w:cs="Garamond"/>
          <w:sz w:val="24"/>
          <w:szCs w:val="28"/>
          <w:lang w:val="it-IT"/>
        </w:rPr>
      </w:pPr>
    </w:p>
    <w:p w:rsidR="00C756D7" w:rsidRPr="00DA3BD5" w:rsidRDefault="00B16382" w:rsidP="00B115E7">
      <w:pPr>
        <w:autoSpaceDE w:val="0"/>
        <w:autoSpaceDN w:val="0"/>
        <w:adjustRightInd w:val="0"/>
        <w:spacing w:after="0" w:line="240" w:lineRule="auto"/>
        <w:jc w:val="both"/>
        <w:rPr>
          <w:rFonts w:ascii="Arial" w:hAnsi="Arial" w:cs="Arial"/>
          <w:szCs w:val="24"/>
          <w:lang w:val="it-IT"/>
        </w:rPr>
      </w:pPr>
      <w:r w:rsidRPr="00DA3BD5">
        <w:rPr>
          <w:rFonts w:ascii="Arial" w:hAnsi="Arial" w:cs="Arial"/>
          <w:szCs w:val="24"/>
          <w:lang w:val="it-IT"/>
        </w:rPr>
        <w:t xml:space="preserve">Tokom javne rasprave </w:t>
      </w:r>
      <w:r w:rsidR="00C756D7" w:rsidRPr="00DA3BD5">
        <w:rPr>
          <w:rFonts w:ascii="Arial" w:hAnsi="Arial" w:cs="Arial"/>
          <w:szCs w:val="24"/>
          <w:lang w:val="it-IT"/>
        </w:rPr>
        <w:t xml:space="preserve">Ministarstvu finansija </w:t>
      </w:r>
      <w:r w:rsidR="00B115E7" w:rsidRPr="00DA3BD5">
        <w:rPr>
          <w:rFonts w:ascii="Arial" w:hAnsi="Arial" w:cs="Arial"/>
          <w:szCs w:val="24"/>
          <w:lang w:val="it-IT"/>
        </w:rPr>
        <w:t xml:space="preserve">su dostavljeni </w:t>
      </w:r>
      <w:r w:rsidR="00C756D7" w:rsidRPr="00DA3BD5">
        <w:rPr>
          <w:rFonts w:ascii="Arial" w:hAnsi="Arial" w:cs="Arial"/>
          <w:szCs w:val="24"/>
          <w:lang w:val="it-IT"/>
        </w:rPr>
        <w:t xml:space="preserve">sledeći </w:t>
      </w:r>
      <w:r w:rsidR="00B115E7" w:rsidRPr="00DA3BD5">
        <w:rPr>
          <w:rFonts w:ascii="Arial" w:hAnsi="Arial" w:cs="Arial"/>
          <w:szCs w:val="24"/>
          <w:lang w:val="it-IT"/>
        </w:rPr>
        <w:t xml:space="preserve">komentari i </w:t>
      </w:r>
      <w:r w:rsidR="00C756D7" w:rsidRPr="00DA3BD5">
        <w:rPr>
          <w:rFonts w:ascii="Arial" w:hAnsi="Arial" w:cs="Arial"/>
          <w:szCs w:val="24"/>
          <w:lang w:val="it-IT"/>
        </w:rPr>
        <w:t xml:space="preserve">sugestije: </w:t>
      </w:r>
    </w:p>
    <w:p w:rsidR="00C756D7" w:rsidRPr="00DA3BD5" w:rsidRDefault="00C756D7" w:rsidP="00B115E7">
      <w:pPr>
        <w:autoSpaceDE w:val="0"/>
        <w:autoSpaceDN w:val="0"/>
        <w:adjustRightInd w:val="0"/>
        <w:spacing w:after="0" w:line="240" w:lineRule="auto"/>
        <w:jc w:val="both"/>
        <w:rPr>
          <w:rFonts w:ascii="Arial" w:hAnsi="Arial" w:cs="Arial"/>
          <w:sz w:val="24"/>
          <w:szCs w:val="24"/>
          <w:lang w:val="it-IT"/>
        </w:rPr>
      </w:pPr>
    </w:p>
    <w:tbl>
      <w:tblPr>
        <w:tblStyle w:val="TableGrid"/>
        <w:tblW w:w="0" w:type="auto"/>
        <w:tblLook w:val="04A0"/>
      </w:tblPr>
      <w:tblGrid>
        <w:gridCol w:w="1451"/>
        <w:gridCol w:w="11698"/>
      </w:tblGrid>
      <w:tr w:rsidR="00EF2015" w:rsidTr="00EF2015">
        <w:tc>
          <w:tcPr>
            <w:tcW w:w="1451" w:type="dxa"/>
          </w:tcPr>
          <w:p w:rsidR="00EF2015" w:rsidRPr="00C756D7" w:rsidRDefault="00EF2015" w:rsidP="00B115E7">
            <w:pPr>
              <w:autoSpaceDE w:val="0"/>
              <w:autoSpaceDN w:val="0"/>
              <w:adjustRightInd w:val="0"/>
              <w:jc w:val="both"/>
              <w:rPr>
                <w:rFonts w:ascii="Arial" w:hAnsi="Arial" w:cs="Arial"/>
                <w:b/>
                <w:szCs w:val="24"/>
              </w:rPr>
            </w:pPr>
            <w:r w:rsidRPr="00C756D7">
              <w:rPr>
                <w:rFonts w:ascii="Arial" w:hAnsi="Arial" w:cs="Arial"/>
                <w:b/>
                <w:szCs w:val="24"/>
              </w:rPr>
              <w:t>Institucija</w:t>
            </w:r>
          </w:p>
        </w:tc>
        <w:tc>
          <w:tcPr>
            <w:tcW w:w="11698" w:type="dxa"/>
            <w:tcBorders>
              <w:bottom w:val="single" w:sz="4" w:space="0" w:color="auto"/>
            </w:tcBorders>
          </w:tcPr>
          <w:p w:rsidR="00EF2015" w:rsidRPr="00C756D7" w:rsidRDefault="00EF2015" w:rsidP="00B115E7">
            <w:pPr>
              <w:autoSpaceDE w:val="0"/>
              <w:autoSpaceDN w:val="0"/>
              <w:adjustRightInd w:val="0"/>
              <w:jc w:val="both"/>
              <w:rPr>
                <w:rFonts w:ascii="Arial" w:hAnsi="Arial" w:cs="Arial"/>
                <w:b/>
                <w:szCs w:val="24"/>
              </w:rPr>
            </w:pPr>
            <w:r w:rsidRPr="00C756D7">
              <w:rPr>
                <w:rFonts w:ascii="Arial" w:hAnsi="Arial" w:cs="Arial"/>
                <w:b/>
                <w:szCs w:val="24"/>
              </w:rPr>
              <w:t>Dostavljeni komentari/sugestije</w:t>
            </w:r>
          </w:p>
        </w:tc>
      </w:tr>
      <w:tr w:rsidR="00EF2015" w:rsidRPr="00C110FF" w:rsidTr="00EF2015">
        <w:tc>
          <w:tcPr>
            <w:tcW w:w="1451" w:type="dxa"/>
          </w:tcPr>
          <w:p w:rsidR="00EF2015" w:rsidRPr="0035195C" w:rsidRDefault="00EF2015" w:rsidP="00B115E7">
            <w:pPr>
              <w:autoSpaceDE w:val="0"/>
              <w:autoSpaceDN w:val="0"/>
              <w:adjustRightInd w:val="0"/>
              <w:jc w:val="both"/>
              <w:rPr>
                <w:rFonts w:ascii="Arial" w:hAnsi="Arial" w:cs="Arial"/>
                <w:b/>
                <w:lang w:val="sr-Latn-CS"/>
              </w:rPr>
            </w:pPr>
            <w:r>
              <w:rPr>
                <w:rFonts w:ascii="Arial" w:hAnsi="Arial" w:cs="Arial"/>
                <w:b/>
                <w:lang w:val="sr-Latn-CS"/>
              </w:rPr>
              <w:t>CBCG</w:t>
            </w:r>
          </w:p>
        </w:tc>
        <w:tc>
          <w:tcPr>
            <w:tcW w:w="11698" w:type="dxa"/>
          </w:tcPr>
          <w:p w:rsidR="00EF2015" w:rsidRPr="00854A4F" w:rsidRDefault="00EF2015" w:rsidP="00854A4F">
            <w:pPr>
              <w:jc w:val="both"/>
              <w:rPr>
                <w:rFonts w:ascii="Arial" w:hAnsi="Arial" w:cs="Arial"/>
                <w:b/>
              </w:rPr>
            </w:pPr>
            <w:r w:rsidRPr="00854A4F">
              <w:rPr>
                <w:rFonts w:ascii="Arial" w:hAnsi="Arial" w:cs="Arial"/>
                <w:b/>
              </w:rPr>
              <w:t xml:space="preserve">1. Usklađenost sa propisima Evropske unije iz ove oblasti </w:t>
            </w:r>
          </w:p>
          <w:p w:rsidR="00EF2015" w:rsidRPr="00854A4F" w:rsidRDefault="00EF2015" w:rsidP="00854A4F">
            <w:pPr>
              <w:jc w:val="both"/>
              <w:rPr>
                <w:rFonts w:ascii="Arial" w:hAnsi="Arial" w:cs="Arial"/>
                <w:b/>
              </w:rPr>
            </w:pPr>
          </w:p>
          <w:p w:rsidR="00EF2015" w:rsidRPr="00854A4F" w:rsidRDefault="00EF2015" w:rsidP="00854A4F">
            <w:pPr>
              <w:jc w:val="both"/>
              <w:rPr>
                <w:rFonts w:ascii="Arial" w:hAnsi="Arial" w:cs="Arial"/>
                <w:lang w:val="it-IT"/>
              </w:rPr>
            </w:pPr>
            <w:r w:rsidRPr="00854A4F">
              <w:rPr>
                <w:rFonts w:ascii="Arial" w:hAnsi="Arial" w:cs="Arial"/>
              </w:rPr>
              <w:t>Iz ugla usklađenosti novog Nacrta ovog zakona sa propisima Evropske unije iz ove oblasti, smatramo</w:t>
            </w:r>
            <w:r w:rsidRPr="00854A4F">
              <w:rPr>
                <w:rFonts w:ascii="Arial" w:eastAsia="Arial Unicode MS" w:hAnsi="Arial" w:cs="Arial"/>
              </w:rPr>
              <w:t xml:space="preserve"> značajnim što se ovim tekstom zakona vrši implementacija  inoviranih propisa EU koji se odnose na tržište finansijskih instrumenata (MIFID II) i na zloupotrebu tržišta (</w:t>
            </w:r>
            <w:r w:rsidRPr="00854A4F">
              <w:rPr>
                <w:rFonts w:ascii="Arial" w:hAnsi="Arial" w:cs="Arial"/>
                <w:lang w:val="it-IT"/>
              </w:rPr>
              <w:t>Regulation (EU) No 596/2014 on market abuse i Directive 2014/57/EU on criminal sanctions for market abuse</w:t>
            </w:r>
            <w:r w:rsidRPr="00854A4F">
              <w:rPr>
                <w:rFonts w:ascii="Arial" w:eastAsia="Arial Unicode MS" w:hAnsi="Arial" w:cs="Arial"/>
              </w:rPr>
              <w:t xml:space="preserve">), kao i propisa EU koji se odnose na </w:t>
            </w:r>
            <w:r w:rsidRPr="00854A4F">
              <w:rPr>
                <w:rFonts w:ascii="Arial" w:hAnsi="Arial" w:cs="Arial"/>
                <w:lang w:val="it-IT"/>
              </w:rPr>
              <w:t xml:space="preserve">organizacione zahtjeve i uslove poslovanja investicionih društava (Commission Directive 2006/73/EC as regards organisational requirements and operating conditions for investment firms). </w:t>
            </w:r>
          </w:p>
          <w:p w:rsidR="00EF2015" w:rsidRPr="00854A4F" w:rsidRDefault="00EF2015" w:rsidP="00854A4F">
            <w:pPr>
              <w:jc w:val="both"/>
              <w:rPr>
                <w:rFonts w:ascii="Arial" w:eastAsia="Arial Unicode MS" w:hAnsi="Arial" w:cs="Arial"/>
              </w:rPr>
            </w:pPr>
            <w:r w:rsidRPr="00854A4F">
              <w:rPr>
                <w:rFonts w:ascii="Arial" w:eastAsia="Arial Unicode MS" w:hAnsi="Arial" w:cs="Arial"/>
              </w:rPr>
              <w:t xml:space="preserve"> </w:t>
            </w:r>
          </w:p>
          <w:p w:rsidR="00EF2015" w:rsidRPr="00854A4F" w:rsidRDefault="00EF2015" w:rsidP="00854A4F">
            <w:pPr>
              <w:jc w:val="both"/>
              <w:rPr>
                <w:rFonts w:ascii="Arial" w:eastAsia="Arial Unicode MS" w:hAnsi="Arial" w:cs="Arial"/>
              </w:rPr>
            </w:pPr>
            <w:r w:rsidRPr="00854A4F">
              <w:rPr>
                <w:rFonts w:ascii="Arial" w:eastAsia="Arial Unicode MS" w:hAnsi="Arial" w:cs="Arial"/>
              </w:rPr>
              <w:t xml:space="preserve">Međutim, ponovo ukazujemo da ostaje obaveza usklađivanja Zakona o tržištu kapitala i podzakonskih akata i sa </w:t>
            </w:r>
            <w:r w:rsidRPr="00854A4F">
              <w:rPr>
                <w:rFonts w:ascii="Arial" w:eastAsia="Arial Unicode MS" w:hAnsi="Arial" w:cs="Arial"/>
                <w:u w:val="single"/>
              </w:rPr>
              <w:t>Direktivom 2013/36/EU</w:t>
            </w:r>
            <w:r w:rsidRPr="00854A4F">
              <w:rPr>
                <w:rFonts w:ascii="Arial" w:hAnsi="Arial" w:cs="Arial"/>
                <w:bCs/>
              </w:rPr>
              <w:t xml:space="preserve"> o pristupanju djelatnosti kreditnih institucija i bonitetnom nadzoru nad kreditnim institucijama i investicijonim društvima</w:t>
            </w:r>
            <w:r w:rsidRPr="00854A4F">
              <w:rPr>
                <w:rFonts w:ascii="Arial" w:eastAsia="Arial Unicode MS" w:hAnsi="Arial" w:cs="Arial"/>
              </w:rPr>
              <w:t xml:space="preserve"> i </w:t>
            </w:r>
            <w:r w:rsidRPr="00854A4F">
              <w:rPr>
                <w:rFonts w:ascii="Arial" w:eastAsia="Arial Unicode MS" w:hAnsi="Arial" w:cs="Arial"/>
                <w:u w:val="single"/>
              </w:rPr>
              <w:t>Uredbom (Regulativom) 575/2013/EU</w:t>
            </w:r>
            <w:r w:rsidRPr="00854A4F">
              <w:rPr>
                <w:rFonts w:ascii="Arial" w:hAnsi="Arial" w:cs="Arial"/>
                <w:bCs/>
              </w:rPr>
              <w:t xml:space="preserve"> o bonitetnim zahtjevima za kreditne institucije i investiciona društva</w:t>
            </w:r>
            <w:r w:rsidRPr="00854A4F">
              <w:rPr>
                <w:rFonts w:ascii="Arial" w:eastAsia="Arial Unicode MS" w:hAnsi="Arial" w:cs="Arial"/>
              </w:rPr>
              <w:t xml:space="preserve">, kojima se u značajnoj mjeri na novi način uređuje osnivanje i poslovanje investicionih društava.  </w:t>
            </w:r>
          </w:p>
          <w:p w:rsidR="00EF2015" w:rsidRPr="00854A4F" w:rsidRDefault="00EF2015" w:rsidP="00854A4F">
            <w:pPr>
              <w:jc w:val="both"/>
              <w:rPr>
                <w:rFonts w:ascii="Arial" w:eastAsia="Arial Unicode MS" w:hAnsi="Arial" w:cs="Arial"/>
              </w:rPr>
            </w:pPr>
          </w:p>
          <w:p w:rsidR="00EF2015" w:rsidRPr="00854A4F" w:rsidRDefault="00EF2015" w:rsidP="00854A4F">
            <w:pPr>
              <w:jc w:val="both"/>
              <w:rPr>
                <w:rFonts w:ascii="Arial" w:hAnsi="Arial" w:cs="Arial"/>
                <w:bCs/>
                <w:color w:val="000000"/>
              </w:rPr>
            </w:pPr>
            <w:r w:rsidRPr="00854A4F">
              <w:rPr>
                <w:rFonts w:ascii="Arial" w:hAnsi="Arial" w:cs="Arial"/>
              </w:rPr>
              <w:t xml:space="preserve">Takođe, </w:t>
            </w:r>
            <w:r w:rsidRPr="00854A4F">
              <w:rPr>
                <w:rFonts w:ascii="Arial" w:eastAsia="Arial Unicode MS" w:hAnsi="Arial" w:cs="Arial"/>
              </w:rPr>
              <w:t xml:space="preserve">ostaje obaveza usklađivanja navedenih propisa i sa </w:t>
            </w:r>
            <w:r w:rsidRPr="00854A4F">
              <w:rPr>
                <w:rFonts w:ascii="Arial" w:hAnsi="Arial" w:cs="Arial"/>
                <w:u w:val="single"/>
              </w:rPr>
              <w:t>Direktivom 2014/59/EU</w:t>
            </w:r>
            <w:r w:rsidRPr="00854A4F">
              <w:rPr>
                <w:rFonts w:cs="EUAlbertina"/>
                <w:b/>
                <w:bCs/>
                <w:color w:val="000000"/>
                <w:u w:val="single"/>
              </w:rPr>
              <w:t xml:space="preserve"> </w:t>
            </w:r>
            <w:r w:rsidRPr="00854A4F">
              <w:rPr>
                <w:rFonts w:ascii="Arial" w:hAnsi="Arial" w:cs="Arial"/>
                <w:bCs/>
                <w:color w:val="000000"/>
              </w:rPr>
              <w:t xml:space="preserve">o uspostavljanju okvira za oporavak i sanaciju kreditnih institucija i investicionih društava, čija je primjena za zemlje članice obavezna od 1. januara 2015. godine. </w:t>
            </w:r>
          </w:p>
          <w:p w:rsidR="00EF2015" w:rsidRPr="00854A4F" w:rsidRDefault="00EF2015" w:rsidP="00854A4F">
            <w:pPr>
              <w:jc w:val="both"/>
              <w:rPr>
                <w:rFonts w:ascii="Arial" w:hAnsi="Arial" w:cs="Arial"/>
                <w:bCs/>
                <w:color w:val="000000"/>
              </w:rPr>
            </w:pPr>
          </w:p>
          <w:p w:rsidR="00EF2015" w:rsidRPr="00854A4F" w:rsidRDefault="00EF2015" w:rsidP="00854A4F">
            <w:pPr>
              <w:jc w:val="both"/>
              <w:rPr>
                <w:rFonts w:ascii="Arial" w:hAnsi="Arial" w:cs="Arial"/>
                <w:b/>
                <w:bCs/>
                <w:color w:val="000000"/>
              </w:rPr>
            </w:pPr>
            <w:r w:rsidRPr="00854A4F">
              <w:rPr>
                <w:rFonts w:ascii="Arial" w:hAnsi="Arial" w:cs="Arial"/>
                <w:b/>
                <w:bCs/>
                <w:color w:val="000000"/>
              </w:rPr>
              <w:t>2. Početak primjene zakona</w:t>
            </w:r>
          </w:p>
          <w:p w:rsidR="00EF2015" w:rsidRPr="00854A4F" w:rsidRDefault="00EF2015" w:rsidP="00854A4F">
            <w:pPr>
              <w:jc w:val="both"/>
              <w:rPr>
                <w:rFonts w:ascii="Arial" w:hAnsi="Arial" w:cs="Arial"/>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 xml:space="preserve">Radi potpune implementacije propisa EU iz ove oblasti neophodno je donijeti značajan broj podzakonskih akata (npr. Hrvatska ih ima oko 50), pri čemu npr.  samo podzakonski akt o adekvatnosti kapitala iz člana 193 Nacrta zakona,  predstavlja kompleksan i obiman zadatak. </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S tim u vezi, treba ponovo razmotriti pitanje rokova u kojima će otpočeti primjena ovog zakona. Naime, na predlog Centralne banke, rok za donošenje podzakonskog akta o adekvatnosti kapitala investicionih društava produžen je na godinu dana od dana stupanja na snagu ovog zakona, dok je za donošenje ostalih podzakonskih akata zadržan rok od šest mjeseci od dana stupanja na snagu ovog zakona (član 394 Nacrta zakona). Međutim, ovako predložena rješenja i utvrđeni rokovi nisu konzistentni sa predloženim rokom od šest mjeseci koji je ostavljen pravnim i fizičkim licima da svoje poslove usklade sa odredbama ovog zakona (član 395 Nacrta zakona).</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Utvrđivanje različitih rokova za donošenje podzakonskih akata nije rješenje, već bi rješenje ovog pitanja trebalo tražiti u odlaganju početka primjena ovog zakona na određeni rok nakon njegovog stupanja na snagu.</w:t>
            </w:r>
          </w:p>
          <w:p w:rsidR="00EF2015" w:rsidRPr="00854A4F" w:rsidRDefault="00EF2015" w:rsidP="00854A4F">
            <w:pPr>
              <w:pStyle w:val="CM1"/>
              <w:spacing w:before="200" w:after="200"/>
              <w:rPr>
                <w:rFonts w:ascii="Arial" w:hAnsi="Arial" w:cs="Arial"/>
                <w:b/>
                <w:color w:val="000000"/>
                <w:sz w:val="22"/>
                <w:szCs w:val="22"/>
              </w:rPr>
            </w:pPr>
            <w:r w:rsidRPr="00854A4F">
              <w:rPr>
                <w:rFonts w:ascii="Arial" w:hAnsi="Arial" w:cs="Arial"/>
                <w:b/>
                <w:sz w:val="22"/>
                <w:szCs w:val="22"/>
              </w:rPr>
              <w:t xml:space="preserve">3. Definisanje kreditnih institucija koje obavljaju investicione usluge </w:t>
            </w: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U  Nacrtu ovog zakona prihvaćena je primjedba Centralne banke da se pojmovi: “kreditna institucija” i “ovlašćena kreditna institucija” izmijene tako da glase:</w:t>
            </w:r>
          </w:p>
          <w:p w:rsidR="00EF2015" w:rsidRPr="00854A4F" w:rsidRDefault="00EF2015" w:rsidP="00854A4F">
            <w:pPr>
              <w:pStyle w:val="ColorfulList-Accent11"/>
              <w:tabs>
                <w:tab w:val="left" w:pos="720"/>
              </w:tabs>
              <w:jc w:val="both"/>
              <w:rPr>
                <w:rFonts w:ascii="Arial" w:eastAsia="Arial Unicode MS" w:hAnsi="Arial" w:cs="Arial"/>
                <w:lang w:val="en-GB"/>
              </w:rPr>
            </w:pPr>
            <w:r w:rsidRPr="00854A4F">
              <w:rPr>
                <w:rFonts w:ascii="Arial" w:eastAsia="Arial Unicode MS" w:hAnsi="Arial" w:cs="Arial"/>
                <w:lang w:val="en-GB"/>
              </w:rPr>
              <w:t>“</w:t>
            </w:r>
            <w:r w:rsidRPr="00854A4F">
              <w:rPr>
                <w:rFonts w:ascii="Arial" w:eastAsia="Arial Unicode MS" w:hAnsi="Arial" w:cs="Arial"/>
                <w:b/>
                <w:lang w:val="en-GB"/>
              </w:rPr>
              <w:t>K</w:t>
            </w:r>
            <w:r w:rsidRPr="00854A4F">
              <w:rPr>
                <w:rFonts w:ascii="Arial" w:hAnsi="Arial" w:cs="Arial"/>
                <w:b/>
              </w:rPr>
              <w:t>reditna institucija</w:t>
            </w:r>
            <w:r w:rsidRPr="00854A4F">
              <w:rPr>
                <w:rFonts w:ascii="Arial" w:hAnsi="Arial" w:cs="Arial"/>
              </w:rPr>
              <w:t xml:space="preserve"> je privredno društvo </w:t>
            </w:r>
            <w:r w:rsidRPr="00854A4F">
              <w:rPr>
                <w:rFonts w:ascii="Arial" w:eastAsia="TimesNewRoman" w:hAnsi="Arial" w:cs="Arial"/>
              </w:rPr>
              <w:t>č</w:t>
            </w:r>
            <w:r w:rsidRPr="00854A4F">
              <w:rPr>
                <w:rFonts w:ascii="Arial" w:hAnsi="Arial" w:cs="Arial"/>
              </w:rPr>
              <w:t>ija je djelatnost primanje depozita ili ostalih povratnih sredstava od javnosti i odobravanje kredita za sopstvenii ra</w:t>
            </w:r>
            <w:r w:rsidRPr="00854A4F">
              <w:rPr>
                <w:rFonts w:ascii="Arial" w:eastAsia="TimesNewRoman" w:hAnsi="Arial" w:cs="Arial"/>
              </w:rPr>
              <w:t>č</w:t>
            </w:r>
            <w:r w:rsidRPr="00854A4F">
              <w:rPr>
                <w:rFonts w:ascii="Arial" w:hAnsi="Arial" w:cs="Arial"/>
              </w:rPr>
              <w:t>un;</w:t>
            </w:r>
            <w:r w:rsidRPr="00854A4F">
              <w:rPr>
                <w:rFonts w:ascii="Arial" w:eastAsia="Arial Unicode MS" w:hAnsi="Arial" w:cs="Arial"/>
                <w:lang w:val="en-GB"/>
              </w:rPr>
              <w:t xml:space="preserve"> </w:t>
            </w:r>
          </w:p>
          <w:p w:rsidR="00EF2015" w:rsidRPr="00854A4F" w:rsidRDefault="00EF2015" w:rsidP="00854A4F">
            <w:pPr>
              <w:pStyle w:val="ColorfulList-Accent11"/>
              <w:tabs>
                <w:tab w:val="left" w:pos="720"/>
              </w:tabs>
              <w:jc w:val="both"/>
              <w:rPr>
                <w:rFonts w:ascii="Arial" w:eastAsia="Arial Unicode MS" w:hAnsi="Arial" w:cs="Arial"/>
                <w:lang w:val="en-GB"/>
              </w:rPr>
            </w:pPr>
            <w:r w:rsidRPr="00854A4F">
              <w:rPr>
                <w:rFonts w:ascii="Arial" w:eastAsia="Arial Unicode MS" w:hAnsi="Arial" w:cs="Arial"/>
                <w:b/>
                <w:lang w:val="en-GB"/>
              </w:rPr>
              <w:t>Ovlašćena kreditna institucija</w:t>
            </w:r>
            <w:r w:rsidRPr="00854A4F">
              <w:rPr>
                <w:rFonts w:ascii="Arial" w:eastAsia="Arial Unicode MS" w:hAnsi="Arial" w:cs="Arial"/>
                <w:lang w:val="en-GB"/>
              </w:rPr>
              <w:t xml:space="preserve"> je banka ili druga kreditna institucija sa sjedištem u Crnoj Gori kojoj je Komisija za hartije od vrijednosti izdala dozvolu za obavljanje investicionih usluga i kojoj je Centralna banka odobrila obavljanje tih usluga.” </w:t>
            </w:r>
          </w:p>
          <w:p w:rsidR="00EF2015" w:rsidRPr="00854A4F" w:rsidRDefault="00EF2015" w:rsidP="00854A4F">
            <w:pPr>
              <w:pStyle w:val="ColorfulList-Accent11"/>
              <w:tabs>
                <w:tab w:val="left" w:pos="720"/>
              </w:tabs>
              <w:ind w:left="0"/>
              <w:jc w:val="both"/>
              <w:rPr>
                <w:rFonts w:ascii="Arial" w:eastAsia="Arial Unicode MS" w:hAnsi="Arial" w:cs="Arial"/>
                <w:lang w:val="en-GB"/>
              </w:rPr>
            </w:pPr>
          </w:p>
          <w:p w:rsidR="00EF2015" w:rsidRPr="00854A4F" w:rsidRDefault="00EF2015" w:rsidP="00854A4F">
            <w:pPr>
              <w:autoSpaceDE w:val="0"/>
              <w:autoSpaceDN w:val="0"/>
              <w:adjustRightInd w:val="0"/>
              <w:jc w:val="both"/>
              <w:rPr>
                <w:rFonts w:ascii="Arial" w:hAnsi="Arial" w:cs="Arial"/>
              </w:rPr>
            </w:pPr>
            <w:r w:rsidRPr="00854A4F">
              <w:rPr>
                <w:rFonts w:ascii="Arial" w:eastAsia="Arial Unicode MS" w:hAnsi="Arial" w:cs="Arial"/>
                <w:lang w:val="en-GB"/>
              </w:rPr>
              <w:t xml:space="preserve">Međutim, u tekstu Nacrta zakona navedeni pojmovi nisu u potpunosti na adekvatan način inkorporirani u predložene zakonske odredbe, što je neophodno učiniti da bi se izbjegle </w:t>
            </w:r>
            <w:r w:rsidRPr="00854A4F">
              <w:rPr>
                <w:rFonts w:ascii="Arial" w:hAnsi="Arial" w:cs="Arial"/>
              </w:rPr>
              <w:t xml:space="preserve">nejasnoće u primjeni ovog zakona </w:t>
            </w:r>
            <w:r w:rsidRPr="00854A4F">
              <w:rPr>
                <w:rFonts w:ascii="Arial" w:eastAsia="Arial Unicode MS" w:hAnsi="Arial" w:cs="Arial"/>
                <w:lang w:val="en-GB"/>
              </w:rPr>
              <w:t>(npr. pojam: “ovlašćena kreditna institucija” treba zamijeniti pojmom: “k</w:t>
            </w:r>
            <w:r w:rsidRPr="00854A4F">
              <w:rPr>
                <w:rFonts w:ascii="Arial" w:hAnsi="Arial" w:cs="Arial"/>
              </w:rPr>
              <w:t xml:space="preserve">reditna institucija” -  u članu  9 tač. 13, 14 i 15, u članu 184 stav 1 tačka 4, u članu 196 stav 4, u članu 206 stav 1 tač. 1 i 2, u članu 213 stav 2 i dr.; u određenim članovima </w:t>
            </w:r>
            <w:r w:rsidRPr="00854A4F">
              <w:rPr>
                <w:rFonts w:ascii="Arial" w:eastAsia="Arial Unicode MS" w:hAnsi="Arial" w:cs="Arial"/>
                <w:lang w:val="en-GB"/>
              </w:rPr>
              <w:t>pojam: “kreditna institucija” treba zamijeniti pojmom: “ovlašćena k</w:t>
            </w:r>
            <w:r w:rsidRPr="00854A4F">
              <w:rPr>
                <w:rFonts w:ascii="Arial" w:hAnsi="Arial" w:cs="Arial"/>
              </w:rPr>
              <w:t xml:space="preserve">reditna institucija”-  u članu 95 tač. 18 i 21, u članu 115 stav 2 tačka 7, u članu 129 stav 3, u članu 148 stav 8, u članu 161 stav 3 tač. 3 i 4 i dr.; u određenim članovima zadržan je pojam: „ovlašćena banka“, pa ga treba adekvatno preimenovati u „kreditna institucija“ ili „ovlašćena kreditna institucija“-  u članu 151 stav 8 tačka 5, u članu 202 stav 4 tačka 3, u članu 233 st. 1 i 2, u naslovu člana 264 i dr.). </w:t>
            </w: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U vezi sa uslovima koje “ovlašćena kreditna institucija” treba da ispuni da bi mogla da obavlja investicione usluge, ponovo ukazujemo da se ovi uslovi dva puta propisuju u Nacrtu zakona (u članu 186 stav 4 i u članu 265), te je neophodno izvršiti odgovarajuću izmjenu kojom bi se ovo ponavljanje eliminisalo.</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b/>
                <w:lang w:val="en-GB"/>
              </w:rPr>
            </w:pPr>
            <w:r w:rsidRPr="00854A4F">
              <w:rPr>
                <w:rFonts w:ascii="Arial" w:eastAsia="Arial Unicode MS" w:hAnsi="Arial" w:cs="Arial"/>
                <w:b/>
                <w:lang w:val="en-GB"/>
              </w:rPr>
              <w:t>4. Pojam finansijske institucije</w:t>
            </w:r>
          </w:p>
          <w:p w:rsidR="00EF2015" w:rsidRPr="00854A4F" w:rsidRDefault="00EF2015" w:rsidP="00854A4F">
            <w:pPr>
              <w:pStyle w:val="ColorfulList-Accent11"/>
              <w:tabs>
                <w:tab w:val="left" w:pos="0"/>
              </w:tabs>
              <w:ind w:left="0"/>
              <w:jc w:val="both"/>
              <w:rPr>
                <w:rFonts w:ascii="Arial" w:eastAsia="Arial Unicode MS" w:hAnsi="Arial" w:cs="Arial"/>
                <w:b/>
                <w:lang w:val="en-GB"/>
              </w:rPr>
            </w:pPr>
          </w:p>
          <w:p w:rsidR="00EF2015" w:rsidRPr="00854A4F" w:rsidRDefault="00EF2015" w:rsidP="00854A4F">
            <w:pPr>
              <w:pStyle w:val="ColorfulList-Accent11"/>
              <w:ind w:left="0"/>
              <w:jc w:val="both"/>
              <w:rPr>
                <w:rFonts w:ascii="Arial" w:hAnsi="Arial" w:cs="Arial"/>
                <w:lang w:val="it-IT"/>
              </w:rPr>
            </w:pPr>
            <w:r w:rsidRPr="00854A4F">
              <w:rPr>
                <w:rFonts w:ascii="Arial" w:hAnsi="Arial" w:cs="Arial"/>
                <w:lang w:val="it-IT"/>
              </w:rPr>
              <w:t>Odredbama člana 95 tačka 7 Nacrta ovog zakona propisano je da je finansijska institucija svako pravno lice, osim kreditne institucije, čija je isključiva ili pretežna djelatnost sticanje udjela u kapitalu ili obavljanje jedne ili više osnovnih finansijskih usluga kako je propisano zakonom koji uređuje osnivanje i poslovanje kreditnih institucija.</w:t>
            </w:r>
          </w:p>
          <w:p w:rsidR="00EF2015" w:rsidRPr="00854A4F" w:rsidRDefault="00EF2015" w:rsidP="00854A4F">
            <w:pPr>
              <w:pStyle w:val="ColorfulList-Accent11"/>
              <w:ind w:left="0"/>
              <w:jc w:val="both"/>
              <w:rPr>
                <w:rFonts w:ascii="Arial" w:hAnsi="Arial" w:cs="Arial"/>
                <w:lang w:val="it-IT"/>
              </w:rPr>
            </w:pPr>
          </w:p>
          <w:p w:rsidR="00EF2015" w:rsidRPr="00854A4F" w:rsidRDefault="00EF2015" w:rsidP="00854A4F">
            <w:pPr>
              <w:pStyle w:val="ColorfulList-Accent11"/>
              <w:ind w:left="0"/>
              <w:jc w:val="both"/>
              <w:rPr>
                <w:rFonts w:ascii="Arial" w:hAnsi="Arial" w:cs="Arial"/>
                <w:lang w:val="it-IT"/>
              </w:rPr>
            </w:pPr>
            <w:r w:rsidRPr="00854A4F">
              <w:rPr>
                <w:rFonts w:ascii="Arial" w:hAnsi="Arial" w:cs="Arial"/>
                <w:lang w:val="it-IT"/>
              </w:rPr>
              <w:t xml:space="preserve">Budućim zakonom o kreditnim institucijama, odnosno zakonom o bankama uređivaće se osnivanje i poslovanje isključivo kreditnih institucija i njime se neće uređivati ni pojam niti poslovanje finansijskih institucija. </w:t>
            </w:r>
          </w:p>
          <w:p w:rsidR="00EF2015" w:rsidRPr="00854A4F" w:rsidRDefault="00EF2015" w:rsidP="00854A4F">
            <w:pPr>
              <w:pStyle w:val="ColorfulList-Accent11"/>
              <w:ind w:left="0"/>
              <w:jc w:val="both"/>
              <w:rPr>
                <w:rFonts w:ascii="Arial" w:hAnsi="Arial" w:cs="Arial"/>
                <w:lang w:val="it-IT"/>
              </w:rPr>
            </w:pPr>
          </w:p>
          <w:p w:rsidR="00EF2015" w:rsidRPr="00854A4F" w:rsidRDefault="00EF2015" w:rsidP="00854A4F">
            <w:pPr>
              <w:pStyle w:val="ColorfulList-Accent11"/>
              <w:ind w:left="0"/>
              <w:jc w:val="both"/>
              <w:rPr>
                <w:rFonts w:ascii="Arial" w:hAnsi="Arial" w:cs="Arial"/>
                <w:lang w:val="it-IT"/>
              </w:rPr>
            </w:pPr>
            <w:r w:rsidRPr="00854A4F">
              <w:rPr>
                <w:rFonts w:ascii="Arial" w:hAnsi="Arial" w:cs="Arial"/>
                <w:lang w:val="it-IT"/>
              </w:rPr>
              <w:t>Stoga iz navedenih odredbi člana 95 tačka 7 Nacrta zakona treba brisati riječi: “koji uređuje osnivanje i poslovanje kreditnih institucija”.</w:t>
            </w:r>
          </w:p>
          <w:p w:rsidR="00EF2015" w:rsidRPr="00854A4F" w:rsidRDefault="00EF2015" w:rsidP="00854A4F">
            <w:pPr>
              <w:pStyle w:val="ColorfulList-Accent11"/>
              <w:ind w:left="0"/>
              <w:jc w:val="both"/>
              <w:rPr>
                <w:rFonts w:ascii="Arial" w:hAnsi="Arial" w:cs="Arial"/>
                <w:lang w:val="it-IT"/>
              </w:rPr>
            </w:pPr>
            <w:r w:rsidRPr="00854A4F">
              <w:rPr>
                <w:rFonts w:ascii="Arial" w:hAnsi="Arial" w:cs="Arial"/>
                <w:lang w:val="it-IT"/>
              </w:rPr>
              <w:t xml:space="preserve"> </w:t>
            </w:r>
          </w:p>
          <w:p w:rsidR="00EF2015" w:rsidRPr="00854A4F" w:rsidRDefault="00EF2015" w:rsidP="00854A4F">
            <w:pPr>
              <w:pStyle w:val="ColorfulList-Accent11"/>
              <w:tabs>
                <w:tab w:val="left" w:pos="0"/>
              </w:tabs>
              <w:ind w:left="0"/>
              <w:jc w:val="both"/>
              <w:rPr>
                <w:rFonts w:ascii="Arial" w:eastAsia="Arial Unicode MS" w:hAnsi="Arial" w:cs="Arial"/>
                <w:b/>
                <w:lang w:val="en-GB"/>
              </w:rPr>
            </w:pPr>
            <w:r w:rsidRPr="00854A4F">
              <w:rPr>
                <w:rFonts w:ascii="Arial" w:eastAsia="Arial Unicode MS" w:hAnsi="Arial" w:cs="Arial"/>
                <w:b/>
                <w:lang w:val="en-GB"/>
              </w:rPr>
              <w:t>5. Otvaranje računa kod Centralne banke</w:t>
            </w:r>
          </w:p>
          <w:p w:rsidR="00EF2015" w:rsidRPr="00854A4F" w:rsidRDefault="00EF2015" w:rsidP="00854A4F">
            <w:pPr>
              <w:pStyle w:val="ColorfulList-Accent11"/>
              <w:tabs>
                <w:tab w:val="left" w:pos="0"/>
              </w:tabs>
              <w:ind w:left="0" w:hanging="142"/>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U  Nacrtu ovog zakona prihvaćena je ranija primjedba Centralne banke da se pojam: “novčani račun” zamijeni pojmom: “račun za plaćanje”, radi usklađivanja sa Zakonom o platnom prometu (“Službeni list CG”, br.  62/13).</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tabs>
                <w:tab w:val="left" w:pos="0"/>
              </w:tabs>
              <w:jc w:val="both"/>
              <w:rPr>
                <w:rFonts w:ascii="Arial" w:hAnsi="Arial" w:cs="Arial"/>
              </w:rPr>
            </w:pPr>
            <w:r w:rsidRPr="00854A4F">
              <w:rPr>
                <w:rFonts w:ascii="Arial" w:hAnsi="Arial" w:cs="Arial"/>
              </w:rPr>
              <w:t>Međutim, i dalje je odredbama člana 372 st. 3 i 4 Nacrta zakona propisana obaveza da Centralni registar otvara i vodi „namjenske račune“ (račune članova Centralnog registra i račun garantnog fonda) kod Centralne banke.</w:t>
            </w:r>
          </w:p>
          <w:p w:rsidR="00EF2015" w:rsidRPr="00854A4F" w:rsidRDefault="00EF2015" w:rsidP="00854A4F">
            <w:pPr>
              <w:tabs>
                <w:tab w:val="left" w:pos="0"/>
              </w:tabs>
              <w:jc w:val="both"/>
              <w:rPr>
                <w:rFonts w:ascii="Arial" w:hAnsi="Arial" w:cs="Arial"/>
              </w:rPr>
            </w:pPr>
          </w:p>
          <w:p w:rsidR="00EF2015" w:rsidRPr="00854A4F" w:rsidRDefault="00EF2015" w:rsidP="00854A4F">
            <w:pPr>
              <w:tabs>
                <w:tab w:val="left" w:pos="0"/>
              </w:tabs>
              <w:jc w:val="both"/>
              <w:rPr>
                <w:rFonts w:ascii="Arial" w:hAnsi="Arial" w:cs="Arial"/>
              </w:rPr>
            </w:pPr>
            <w:r w:rsidRPr="00854A4F">
              <w:rPr>
                <w:rFonts w:ascii="Arial" w:hAnsi="Arial" w:cs="Arial"/>
              </w:rPr>
              <w:t>U vezi sa navedenim, mišljenja smo da je potrebno još jednom preispitati da li ovim zakonom treba propisati obavezu ili samo mogućnost Centralnog registra da račune za navedena plaćanje otvara i vodi kod Centralne banke. Naime, podsjećamo da otvaranje i vođenje računa kod Centralne banke podrazumijeva priključenje na RTGS sistem, jer se bezgotovinska plaćanja kao i sva druga komunikacija u vezi sa plaćanjima (informacije o stanju na računu, izvodi i dr.) ostvaruju isključivo razmjenom elektronskih poruka sa RTGS sistemom, te da priključenje na RTGS iziskuje značajne troškove.</w:t>
            </w:r>
          </w:p>
          <w:p w:rsidR="00EF2015" w:rsidRPr="00854A4F" w:rsidRDefault="00EF2015" w:rsidP="00854A4F">
            <w:pPr>
              <w:pStyle w:val="CommentText"/>
              <w:tabs>
                <w:tab w:val="left" w:pos="0"/>
              </w:tabs>
              <w:rPr>
                <w:rFonts w:ascii="Arial" w:hAnsi="Arial" w:cs="Arial"/>
                <w:b/>
                <w:sz w:val="22"/>
                <w:szCs w:val="22"/>
              </w:rPr>
            </w:pPr>
          </w:p>
          <w:p w:rsidR="00EF2015" w:rsidRPr="00854A4F" w:rsidRDefault="00EF2015" w:rsidP="00854A4F">
            <w:pPr>
              <w:pStyle w:val="CommentText"/>
              <w:tabs>
                <w:tab w:val="left" w:pos="0"/>
              </w:tabs>
              <w:rPr>
                <w:rFonts w:ascii="Arial" w:hAnsi="Arial" w:cs="Arial"/>
                <w:b/>
                <w:sz w:val="22"/>
                <w:szCs w:val="22"/>
              </w:rPr>
            </w:pPr>
            <w:r w:rsidRPr="00854A4F">
              <w:rPr>
                <w:rFonts w:ascii="Arial" w:hAnsi="Arial" w:cs="Arial"/>
                <w:b/>
                <w:sz w:val="22"/>
                <w:szCs w:val="22"/>
              </w:rPr>
              <w:t>6. Konačnost poravnanja u sistemima za poravnanje hartija od vrijednosti</w:t>
            </w:r>
          </w:p>
          <w:p w:rsidR="00EF2015" w:rsidRPr="00854A4F" w:rsidRDefault="00EF2015" w:rsidP="00854A4F">
            <w:pPr>
              <w:pStyle w:val="ColorfulList-Accent11"/>
              <w:tabs>
                <w:tab w:val="left" w:pos="0"/>
              </w:tabs>
              <w:ind w:left="0"/>
              <w:jc w:val="both"/>
              <w:rPr>
                <w:rFonts w:ascii="Arial" w:hAnsi="Arial" w:cs="Arial"/>
                <w:lang w:val="sr-Latn-CS"/>
              </w:rPr>
            </w:pPr>
            <w:r w:rsidRPr="00854A4F">
              <w:rPr>
                <w:rFonts w:ascii="Arial" w:hAnsi="Arial" w:cs="Arial"/>
              </w:rPr>
              <w:t>U primjedbama i komentarima na raniji Predlog ovog zakona, Centralna banka je ukazala da je implementaciji Direktive</w:t>
            </w:r>
            <w:r w:rsidRPr="00854A4F">
              <w:rPr>
                <w:rFonts w:ascii="Arial" w:hAnsi="Arial" w:cs="Arial"/>
                <w:lang w:val="sr-Latn-CS"/>
              </w:rPr>
              <w:t xml:space="preserve"> 98/26/EZ o konačnosti  poravnanja u platnim sistemima i sistemima za poravnanje hartija od vrijednosti </w:t>
            </w:r>
            <w:r w:rsidRPr="00854A4F">
              <w:rPr>
                <w:rFonts w:ascii="Arial" w:hAnsi="Arial" w:cs="Arial"/>
              </w:rPr>
              <w:t xml:space="preserve">Crna Gora pristupila na način što je </w:t>
            </w:r>
            <w:r w:rsidRPr="00854A4F">
              <w:rPr>
                <w:rFonts w:ascii="Arial" w:hAnsi="Arial" w:cs="Arial"/>
                <w:lang w:val="sr-Latn-CS"/>
              </w:rPr>
              <w:t>konačnost poravnanja u platnim sistemima</w:t>
            </w:r>
            <w:r w:rsidRPr="00854A4F">
              <w:rPr>
                <w:rFonts w:ascii="Arial" w:hAnsi="Arial" w:cs="Arial"/>
              </w:rPr>
              <w:t xml:space="preserve"> uredila </w:t>
            </w:r>
            <w:r w:rsidRPr="00854A4F">
              <w:rPr>
                <w:rFonts w:ascii="Arial" w:eastAsia="Arial Unicode MS" w:hAnsi="Arial" w:cs="Arial"/>
                <w:lang w:val="en-GB"/>
              </w:rPr>
              <w:t xml:space="preserve">Zakonom o platnom prometu (“Službeni list CG”, br. 62/13), te da je ovim zakonom neophodno urediti </w:t>
            </w:r>
            <w:r w:rsidRPr="00854A4F">
              <w:rPr>
                <w:rFonts w:ascii="Arial" w:hAnsi="Arial" w:cs="Arial"/>
                <w:lang w:val="sr-Latn-CS"/>
              </w:rPr>
              <w:t>konačnost poravnanja u sistemima hartija od vrijednosti.</w:t>
            </w:r>
          </w:p>
          <w:p w:rsidR="00EF2015" w:rsidRPr="00854A4F" w:rsidRDefault="00EF2015" w:rsidP="00854A4F">
            <w:pPr>
              <w:pStyle w:val="ColorfulList-Accent11"/>
              <w:tabs>
                <w:tab w:val="left" w:pos="0"/>
              </w:tabs>
              <w:ind w:left="0"/>
              <w:jc w:val="both"/>
              <w:rPr>
                <w:rFonts w:ascii="Arial" w:hAnsi="Arial" w:cs="Arial"/>
                <w:lang w:val="sr-Latn-CS"/>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 xml:space="preserve">Kako bi se obezbijedila jedinstvenost implementacije relevantne direktive, Centralna banka je već ukazivala da bi </w:t>
            </w:r>
            <w:r w:rsidRPr="00854A4F">
              <w:rPr>
                <w:rFonts w:ascii="Arial" w:hAnsi="Arial" w:cs="Arial"/>
                <w:lang w:val="sr-Latn-CS"/>
              </w:rPr>
              <w:t xml:space="preserve">Glavu X. ranijeg Predlog ovog zakona trebalo  terminološki uskladiti sa odredbama </w:t>
            </w:r>
            <w:r w:rsidRPr="00854A4F">
              <w:rPr>
                <w:rFonts w:ascii="Arial" w:eastAsia="Arial Unicode MS" w:hAnsi="Arial" w:cs="Arial"/>
                <w:lang w:val="en-GB"/>
              </w:rPr>
              <w:t xml:space="preserve">Zakona o platnom prometu (čl.145 </w:t>
            </w:r>
            <w:r w:rsidRPr="00854A4F">
              <w:rPr>
                <w:rFonts w:ascii="Arial" w:eastAsia="Arial Unicode MS" w:hAnsi="Arial" w:cs="Arial"/>
                <w:lang w:val="en-GB"/>
              </w:rPr>
              <w:lastRenderedPageBreak/>
              <w:t xml:space="preserve">do 156). </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 xml:space="preserve">Kako dati predlog za navedenim terminološkim usklađivanjem nije u potpunosti sproveden, ponovo ukazujemo da je odredbe Glave X. Nacrta ovog zakona potrebno dodatno uskladiti. </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Centralna banka posebno ukazuje da je neophodno iz Nacrta ovog zakona izostaviti odredbe kojima se uređuju platni sistemi (član 383 stav 2 tačka 8 alineja 1 i član 384 stav 1). Takođe, neophodno je u članu 388 brisati određenje koje se odnosi na Centalnu banku Crne Gore, jer Centralna banka nema nadležnosti u vezi sa učesnicima sistema hartija od vrijednosti, dok su njene nadležnosti u vezi sa učesnicima platnih sistema već uređene Zakonom o platnom prometu.</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b/>
                <w:lang w:val="en-GB"/>
              </w:rPr>
            </w:pPr>
            <w:r w:rsidRPr="00854A4F">
              <w:rPr>
                <w:rFonts w:ascii="Arial" w:eastAsia="Arial Unicode MS" w:hAnsi="Arial" w:cs="Arial"/>
                <w:b/>
                <w:lang w:val="en-GB"/>
              </w:rPr>
              <w:t>7. Centralni registar hartija od vrijednosti</w:t>
            </w:r>
          </w:p>
          <w:p w:rsidR="00EF2015" w:rsidRPr="00854A4F" w:rsidRDefault="00EF2015" w:rsidP="00854A4F">
            <w:pPr>
              <w:pStyle w:val="ColorfulList-Accent11"/>
              <w:tabs>
                <w:tab w:val="left" w:pos="0"/>
              </w:tabs>
              <w:ind w:left="0"/>
              <w:jc w:val="both"/>
              <w:rPr>
                <w:rFonts w:ascii="Arial" w:eastAsia="Arial Unicode MS" w:hAnsi="Arial" w:cs="Arial"/>
                <w:b/>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Primjedbe i komentare na Glavu IX. Nacrta ovog zakona, koja se odnosi na “Centralni registar hartija od vrijednosti”, Centralna banka ponovo daje u svojstvu najvećeg akcionara Centralne Depozitarne Agencije, koji posjeduje akcije u vrijednosti 35% akcijskog kapitala ovog društva.</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Iz ovog ugla, Centralna banka i dalje ostaje pri primjedbi da, u postojećim okolnostima na tržištu kapitala, Centralna Depozitarna Agencija nesmetano funkcioniše i pri postojećem kapitalnom zahtjevu od 250.000 EUR, te ne vidi nijedan razlog zbog kojeg je potrebno izvršiti povećanje akcijskog kapitala ovog društva koje se predlaže (na 750.000 EUR). U vezi sa navedenom obavezom dokapitalizacije Centralne Depozitarne Agencije, ukoliko se pri ovakvom rješenju ostane, neophodno je u članu 400 Nacrta zakona odrediti subjekta na koga bi se prenijeti poslovi vođenja registra i poslovi kliringa i saldiranja hartija od vrijednosti (kao poslovi od javnog interesa) ukoliko se Centralna Depozitarna Agencija ne dokapitalizuje do potrebnog nivoa i, iz tog razloga, izgubi dozvolu za rad (ovakav scenario je vrlo realan imajući u vidu trenutnu nedovoljnu zainteresovanost relevantnih investitora).</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lang w:val="en-GB"/>
              </w:rPr>
            </w:pPr>
            <w:r w:rsidRPr="00854A4F">
              <w:rPr>
                <w:rFonts w:ascii="Arial" w:eastAsia="Arial Unicode MS" w:hAnsi="Arial" w:cs="Arial"/>
                <w:lang w:val="en-GB"/>
              </w:rPr>
              <w:t>Centralna banka smatra da bi trebalo još jednom preispitati novopredloženi naziv: “Centralni registar”, jer ovaj naziv odražava samo dio djelatnosti koje sada obavlja Centralna Depozitarna Agencija. Stoga, ukoliko se ostane pri opredjeljenju da se izvrši izmjena naziva Centralne Depozitarne Agencije, novi naziv bi trebalo da odražava njenu cjelokupnu djelatnost, kao i činjenicu da je ona privredno društvo, a ne državni organ.</w:t>
            </w:r>
          </w:p>
          <w:p w:rsidR="00EF2015" w:rsidRPr="00854A4F" w:rsidRDefault="00EF2015" w:rsidP="00854A4F">
            <w:pPr>
              <w:pStyle w:val="ColorfulList-Accent11"/>
              <w:tabs>
                <w:tab w:val="left" w:pos="0"/>
              </w:tabs>
              <w:ind w:left="0"/>
              <w:jc w:val="both"/>
              <w:rPr>
                <w:rFonts w:ascii="Arial" w:hAnsi="Arial" w:cs="Arial"/>
              </w:rPr>
            </w:pPr>
            <w:r w:rsidRPr="00854A4F">
              <w:rPr>
                <w:rFonts w:ascii="Arial" w:eastAsia="Arial Unicode MS" w:hAnsi="Arial" w:cs="Arial"/>
                <w:lang w:val="en-GB"/>
              </w:rPr>
              <w:t xml:space="preserve">U Nacrtu ovog zakona su, u najvećem obimu, prihvaćene </w:t>
            </w:r>
            <w:r w:rsidRPr="00854A4F">
              <w:rPr>
                <w:rFonts w:ascii="Arial" w:hAnsi="Arial" w:cs="Arial"/>
              </w:rPr>
              <w:t>primjedbe i komentari dati na raniji Nacrt ovog zakona</w:t>
            </w:r>
            <w:r w:rsidRPr="00854A4F">
              <w:rPr>
                <w:rFonts w:ascii="Arial" w:eastAsia="Arial Unicode MS" w:hAnsi="Arial" w:cs="Arial"/>
                <w:lang w:val="en-GB"/>
              </w:rPr>
              <w:t xml:space="preserve"> koji su se odnosili na </w:t>
            </w:r>
            <w:r w:rsidRPr="00854A4F">
              <w:rPr>
                <w:rFonts w:ascii="Arial" w:hAnsi="Arial" w:cs="Arial"/>
              </w:rPr>
              <w:t>konceptualno uspostavljen model beneficiary owner (krajnji vlasnik), uz koncept direktnih računa i na određenje da članovi Centralnog registra mogu biti članovi emitenti i članovi učesnici/ korisnici kliringa i saldiranja</w:t>
            </w:r>
            <w:r w:rsidRPr="00854A4F">
              <w:rPr>
                <w:rFonts w:ascii="Arial" w:eastAsia="Arial Unicode MS" w:hAnsi="Arial" w:cs="Arial"/>
                <w:lang w:val="en-GB"/>
              </w:rPr>
              <w:t>. S tim u vezi, ukazujemo da je neophodno još jednom preispitati odredbe č</w:t>
            </w:r>
            <w:r w:rsidRPr="00854A4F">
              <w:rPr>
                <w:rFonts w:ascii="Arial" w:hAnsi="Arial" w:cs="Arial"/>
              </w:rPr>
              <w:t xml:space="preserve">lana 370 Nacrta ovog zakona i izvršiti njihovo preformulisanje ili brisanje, jer odstupaju od koncepta beneficiary owner (krajnji vlasnik) sa kojim su upodobljeni ostali članovi Nacrta ovog zakona. Naime, u prihvaćenom  konceptu ne postoji mogućnost, niti potreba, da Centralni registar preuzima nadležnosti Komisije i sprovodi bilo kakvu kontrolu svojih članova, osim one koja se </w:t>
            </w:r>
            <w:r w:rsidRPr="00854A4F">
              <w:rPr>
                <w:rFonts w:ascii="Arial" w:hAnsi="Arial" w:cs="Arial"/>
              </w:rPr>
              <w:lastRenderedPageBreak/>
              <w:t>vrši prije prijema u članstvo.</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854A4F" w:rsidRDefault="00EF2015" w:rsidP="00854A4F">
            <w:pPr>
              <w:pStyle w:val="ColorfulList-Accent11"/>
              <w:tabs>
                <w:tab w:val="left" w:pos="0"/>
              </w:tabs>
              <w:ind w:left="0"/>
              <w:jc w:val="both"/>
              <w:rPr>
                <w:rFonts w:ascii="Arial" w:eastAsia="Arial Unicode MS" w:hAnsi="Arial" w:cs="Arial"/>
                <w:b/>
                <w:lang w:val="en-GB"/>
              </w:rPr>
            </w:pPr>
            <w:r w:rsidRPr="00854A4F">
              <w:rPr>
                <w:rFonts w:ascii="Arial" w:eastAsia="Arial Unicode MS" w:hAnsi="Arial" w:cs="Arial"/>
                <w:b/>
                <w:lang w:val="en-GB"/>
              </w:rPr>
              <w:t xml:space="preserve">8. Terminološko usklađivanje </w:t>
            </w:r>
          </w:p>
          <w:p w:rsidR="00EF2015" w:rsidRPr="00854A4F" w:rsidRDefault="00EF2015" w:rsidP="00854A4F">
            <w:pPr>
              <w:pStyle w:val="ColorfulList-Accent11"/>
              <w:tabs>
                <w:tab w:val="left" w:pos="0"/>
              </w:tabs>
              <w:ind w:left="0"/>
              <w:jc w:val="both"/>
              <w:rPr>
                <w:rFonts w:ascii="Arial" w:eastAsia="Arial Unicode MS" w:hAnsi="Arial" w:cs="Arial"/>
                <w:lang w:val="en-GB"/>
              </w:rPr>
            </w:pPr>
          </w:p>
          <w:p w:rsidR="00EF2015" w:rsidRPr="00DA3BD5" w:rsidRDefault="00EF2015" w:rsidP="00C63A52">
            <w:pPr>
              <w:pStyle w:val="ColorfulList-Accent11"/>
              <w:tabs>
                <w:tab w:val="left" w:pos="0"/>
              </w:tabs>
              <w:ind w:left="0"/>
              <w:jc w:val="both"/>
              <w:rPr>
                <w:rFonts w:ascii="Arial" w:hAnsi="Arial" w:cs="Arial"/>
                <w:lang w:val="it-IT"/>
              </w:rPr>
            </w:pPr>
            <w:r w:rsidRPr="00854A4F">
              <w:rPr>
                <w:rFonts w:ascii="Arial" w:eastAsia="Arial Unicode MS" w:hAnsi="Arial" w:cs="Arial"/>
                <w:lang w:val="en-GB"/>
              </w:rPr>
              <w:t>Kako je Nacrtom ovog zakona izvršena implementacija više propisa EU i rješenja iz različitih uporedno-pravnih sistema iz regiona, to je dovelo do upotrebe različitih termina za ista rješenja. Stoga je neophodno izvršiti odgovarajuće terminoško usklađivanje pojmova u cijelom tekstu Nacrta zakona.</w:t>
            </w:r>
          </w:p>
        </w:tc>
      </w:tr>
      <w:tr w:rsidR="00EF2015" w:rsidRPr="00D66E15" w:rsidTr="00EF2015">
        <w:tc>
          <w:tcPr>
            <w:tcW w:w="1451" w:type="dxa"/>
          </w:tcPr>
          <w:p w:rsidR="00EF2015" w:rsidRPr="00EB00FB" w:rsidRDefault="00EF2015" w:rsidP="00B115E7">
            <w:pPr>
              <w:autoSpaceDE w:val="0"/>
              <w:autoSpaceDN w:val="0"/>
              <w:adjustRightInd w:val="0"/>
              <w:jc w:val="both"/>
              <w:rPr>
                <w:rFonts w:ascii="Arial" w:hAnsi="Arial" w:cs="Arial"/>
                <w:b/>
              </w:rPr>
            </w:pPr>
            <w:r>
              <w:rPr>
                <w:rFonts w:ascii="Arial" w:hAnsi="Arial" w:cs="Arial"/>
                <w:b/>
              </w:rPr>
              <w:lastRenderedPageBreak/>
              <w:t>Centralna depozitarna agencija</w:t>
            </w:r>
          </w:p>
        </w:tc>
        <w:tc>
          <w:tcPr>
            <w:tcW w:w="11698" w:type="dxa"/>
          </w:tcPr>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I dalje predlažemo da novi naziv Centralne Depozitarne Agencije (CDA) bude </w:t>
            </w:r>
            <w:r w:rsidRPr="000521AE">
              <w:rPr>
                <w:rFonts w:ascii="Arial" w:hAnsi="Arial" w:cs="Arial"/>
                <w:b/>
              </w:rPr>
              <w:t>Centralno klirinško depozitarno društvo (CKDD)</w:t>
            </w:r>
            <w:r w:rsidRPr="000521AE">
              <w:rPr>
                <w:rFonts w:ascii="Arial" w:hAnsi="Arial" w:cs="Arial"/>
              </w:rPr>
              <w:t>, a ne Centralni registar hartija od vrijednosti, jer takav naziv bolje odražava poslove koje CDA obavlja. Uz to, CDA je privatno akcionarsko društvo, a ne državni organ. U suprotnom, u zakonu treba jasno istaći da je namjera opis djelatnosti a ne akcionarskog društva koje je obavlja, što bi značilo da naziv CDA može biti isti ili gore predloženi, a ne obavezno Centralni registar HOV. Npr. u stavu 1 člana 400 riječi „nastavlja poslove kao“ zamijeniti sa „nastavlja obavljati djelatnost CRHOV...“ ili tome slično.</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U članu 11-stav 4 i članu 151-stav 8 tačka 2) riječi ''državnim organima'' zamijeniti sa ''</w:t>
            </w:r>
            <w:r w:rsidRPr="000521AE">
              <w:rPr>
                <w:rFonts w:ascii="Arial" w:hAnsi="Arial" w:cs="Arial"/>
                <w:b/>
              </w:rPr>
              <w:t>organima državne uprave</w:t>
            </w:r>
            <w:r w:rsidRPr="000521AE">
              <w:rPr>
                <w:rFonts w:ascii="Arial" w:hAnsi="Arial" w:cs="Arial"/>
              </w:rPr>
              <w:t>'', jer je to termin koji je definisan zakonom.</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151 zadnji stav </w:t>
            </w:r>
            <w:r w:rsidRPr="000521AE">
              <w:rPr>
                <w:rFonts w:ascii="Arial" w:hAnsi="Arial" w:cs="Arial"/>
                <w:b/>
              </w:rPr>
              <w:t xml:space="preserve">brisati </w:t>
            </w:r>
            <w:r w:rsidRPr="000521AE">
              <w:rPr>
                <w:rFonts w:ascii="Arial" w:hAnsi="Arial" w:cs="Arial"/>
              </w:rPr>
              <w:t>u cjelosti, jer je to problematika radnog zakonodavstva i podzakonskih akata KHOV, svakako ne ovog Zakona.</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354 izmijeniti stav 2 - da </w:t>
            </w:r>
            <w:r w:rsidRPr="000521AE">
              <w:rPr>
                <w:rFonts w:ascii="Arial" w:hAnsi="Arial" w:cs="Arial"/>
                <w:b/>
              </w:rPr>
              <w:t>osnovni kapital</w:t>
            </w:r>
            <w:r w:rsidRPr="000521AE">
              <w:rPr>
                <w:rFonts w:ascii="Arial" w:hAnsi="Arial" w:cs="Arial"/>
              </w:rPr>
              <w:t xml:space="preserve"> Centralnog  registra bude ne manji od </w:t>
            </w:r>
            <w:r w:rsidRPr="000521AE">
              <w:rPr>
                <w:rFonts w:ascii="Arial" w:hAnsi="Arial" w:cs="Arial"/>
                <w:b/>
              </w:rPr>
              <w:t xml:space="preserve">500.000€, </w:t>
            </w:r>
            <w:r w:rsidRPr="000521AE">
              <w:rPr>
                <w:rFonts w:ascii="Arial" w:hAnsi="Arial" w:cs="Arial"/>
              </w:rPr>
              <w:t>jer CDA nije CCP kao što je to slučaj npr. u Hrvatskoj.</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355, tačke 1 i 2 iz stava 3 treba </w:t>
            </w:r>
            <w:r w:rsidRPr="000521AE">
              <w:rPr>
                <w:rFonts w:ascii="Arial" w:hAnsi="Arial" w:cs="Arial"/>
                <w:b/>
              </w:rPr>
              <w:t>prebaciti</w:t>
            </w:r>
            <w:r w:rsidRPr="000521AE">
              <w:rPr>
                <w:rFonts w:ascii="Arial" w:hAnsi="Arial" w:cs="Arial"/>
              </w:rPr>
              <w:t xml:space="preserve"> u stav 2.</w:t>
            </w:r>
            <w:r w:rsidRPr="000521AE">
              <w:rPr>
                <w:rFonts w:ascii="Arial" w:hAnsi="Arial" w:cs="Arial"/>
                <w:u w:val="single"/>
                <w:lang w:val="it-IT"/>
              </w:rPr>
              <w:t xml:space="preserve"> jer se radi o poslovima  korporativnih</w:t>
            </w:r>
            <w:r w:rsidRPr="000521AE">
              <w:rPr>
                <w:rFonts w:ascii="Arial" w:hAnsi="Arial" w:cs="Arial"/>
                <w:lang w:val="it-IT"/>
              </w:rPr>
              <w:t xml:space="preserve"> </w:t>
            </w:r>
            <w:r w:rsidRPr="000521AE">
              <w:rPr>
                <w:rFonts w:ascii="Arial" w:hAnsi="Arial" w:cs="Arial"/>
                <w:u w:val="single"/>
                <w:lang w:val="it-IT"/>
              </w:rPr>
              <w:t>aktivnosti i poslovima preuzimanja koje Centralni registar obavezno obavlja,</w:t>
            </w:r>
            <w:r w:rsidRPr="000521AE">
              <w:rPr>
                <w:rFonts w:ascii="Arial" w:hAnsi="Arial" w:cs="Arial"/>
                <w:lang w:val="it-IT"/>
              </w:rPr>
              <w:t xml:space="preserve"> a ne o poslovima koje može da obavlja.</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356 u stavu 4 ispred riječi ''direktor'' </w:t>
            </w:r>
            <w:r w:rsidRPr="000521AE">
              <w:rPr>
                <w:rFonts w:ascii="Arial" w:hAnsi="Arial" w:cs="Arial"/>
                <w:b/>
              </w:rPr>
              <w:t>dodati</w:t>
            </w:r>
            <w:r w:rsidRPr="000521AE">
              <w:rPr>
                <w:rFonts w:ascii="Arial" w:hAnsi="Arial" w:cs="Arial"/>
              </w:rPr>
              <w:t xml:space="preserve"> riječ ''izvršni''.</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361 u stavu 1 ispred riječi ''direktora'' </w:t>
            </w:r>
            <w:r w:rsidRPr="000521AE">
              <w:rPr>
                <w:rFonts w:ascii="Arial" w:hAnsi="Arial" w:cs="Arial"/>
                <w:b/>
              </w:rPr>
              <w:t>dodati</w:t>
            </w:r>
            <w:r w:rsidRPr="000521AE">
              <w:rPr>
                <w:rFonts w:ascii="Arial" w:hAnsi="Arial" w:cs="Arial"/>
              </w:rPr>
              <w:t xml:space="preserve"> riječ ''izvršnog''. (Istu ispravku izvršiti i u čl.153,382..... )</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361 u stavu 2 umjesto </w:t>
            </w:r>
            <w:r w:rsidRPr="000521AE">
              <w:rPr>
                <w:rFonts w:ascii="Arial" w:hAnsi="Arial" w:cs="Arial"/>
                <w:b/>
              </w:rPr>
              <w:t>''</w:t>
            </w:r>
            <w:r w:rsidRPr="000521AE">
              <w:rPr>
                <w:rFonts w:ascii="Arial" w:hAnsi="Arial" w:cs="Arial"/>
              </w:rPr>
              <w:t xml:space="preserve">odredbama člana 153'' </w:t>
            </w:r>
            <w:r w:rsidRPr="000521AE">
              <w:rPr>
                <w:rFonts w:ascii="Arial" w:hAnsi="Arial" w:cs="Arial"/>
                <w:b/>
              </w:rPr>
              <w:t>treba da stoji</w:t>
            </w:r>
            <w:r w:rsidRPr="000521AE">
              <w:rPr>
                <w:rFonts w:ascii="Arial" w:hAnsi="Arial" w:cs="Arial"/>
              </w:rPr>
              <w:t xml:space="preserve"> ''odredbama člana 151'', a ispred riječi ''direktor'' treba dodati riječ ''izvršni'' – radi se o pozivanju na pogrešan  član 153, umjesto na član 151 kojim se uređuju uslovi za izbor izvršnog direktora i odbora direktora.</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 U članu 370 u prvom stavu umjesto riječi ''vrši'' </w:t>
            </w:r>
            <w:r w:rsidRPr="000521AE">
              <w:rPr>
                <w:rFonts w:ascii="Arial" w:hAnsi="Arial" w:cs="Arial"/>
                <w:b/>
              </w:rPr>
              <w:t>staviti</w:t>
            </w:r>
            <w:r w:rsidRPr="000521AE">
              <w:rPr>
                <w:rFonts w:ascii="Arial" w:hAnsi="Arial" w:cs="Arial"/>
              </w:rPr>
              <w:t xml:space="preserve"> ''može da vrši'', </w:t>
            </w:r>
            <w:r w:rsidRPr="000521AE">
              <w:rPr>
                <w:rFonts w:ascii="Arial" w:hAnsi="Arial" w:cs="Arial"/>
                <w:b/>
              </w:rPr>
              <w:t>a stav 3 brisati</w:t>
            </w:r>
            <w:r w:rsidRPr="000521AE">
              <w:rPr>
                <w:rFonts w:ascii="Arial" w:hAnsi="Arial" w:cs="Arial"/>
              </w:rPr>
              <w:t>, jer je dovoljno da Registar obavijesti Komisiju o eventualno utvrđenim nepravilnostima, što je predviđeno stavom 4 ovog člana.</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 U članu 377 u prvom stavu </w:t>
            </w:r>
            <w:r w:rsidRPr="000521AE">
              <w:rPr>
                <w:rFonts w:ascii="Arial" w:hAnsi="Arial" w:cs="Arial"/>
                <w:b/>
              </w:rPr>
              <w:t xml:space="preserve">brisati ili preformulisati </w:t>
            </w:r>
            <w:r w:rsidRPr="000521AE">
              <w:rPr>
                <w:rFonts w:ascii="Arial" w:hAnsi="Arial" w:cs="Arial"/>
              </w:rPr>
              <w:t xml:space="preserve">riječi ''kao i lice koje dokaže svoj zakonski interes u vezi sa tim finansijskim instrumentom''. Smatramo da je ova formulacija široko postavljena i da može u praksi izazvati probleme, jer Centralni registar ne može biti institucija koja cijeni postojanje nečijeg zakonskog ineresa, već pravo pristupa treba omogućiti nadležnom organu pred kojim se dokazuje postojanje zakonskog interesa.  </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378 drugi stav </w:t>
            </w:r>
            <w:r w:rsidRPr="000521AE">
              <w:rPr>
                <w:rFonts w:ascii="Arial" w:hAnsi="Arial" w:cs="Arial"/>
                <w:b/>
              </w:rPr>
              <w:t>trebalo bi da glasi</w:t>
            </w:r>
            <w:r w:rsidRPr="000521AE">
              <w:rPr>
                <w:rFonts w:ascii="Arial" w:hAnsi="Arial" w:cs="Arial"/>
              </w:rPr>
              <w:t xml:space="preserve"> ''Komisija propisuje sadržaj podataka iz stava </w:t>
            </w:r>
            <w:r w:rsidRPr="000521AE">
              <w:rPr>
                <w:rFonts w:ascii="Arial" w:hAnsi="Arial" w:cs="Arial"/>
                <w:lang w:val="it-IT"/>
              </w:rPr>
              <w:t>1. tačka 2. i 4. ovog člana</w:t>
            </w:r>
            <w:r w:rsidRPr="000521AE">
              <w:rPr>
                <w:rFonts w:ascii="Arial" w:hAnsi="Arial" w:cs="Arial"/>
              </w:rPr>
              <w:t xml:space="preserve"> '' – smatramo da bi trebalo propisati </w:t>
            </w:r>
            <w:r w:rsidRPr="000521AE">
              <w:rPr>
                <w:rFonts w:ascii="Arial" w:hAnsi="Arial" w:cs="Arial"/>
                <w:u w:val="single"/>
              </w:rPr>
              <w:t>obavezu</w:t>
            </w:r>
            <w:r w:rsidRPr="000521AE">
              <w:rPr>
                <w:rFonts w:ascii="Arial" w:hAnsi="Arial" w:cs="Arial"/>
              </w:rPr>
              <w:t xml:space="preserve"> a ne samo mogućnost da  Komisija propiše sadržaj podataka iz stava 1 ovog člana.</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U članu 393, u predzadnjem stavu, u tački 1 </w:t>
            </w:r>
            <w:r w:rsidRPr="000521AE">
              <w:rPr>
                <w:rFonts w:ascii="Arial" w:hAnsi="Arial" w:cs="Arial"/>
                <w:b/>
              </w:rPr>
              <w:t>poziva se na pogrešan član</w:t>
            </w:r>
            <w:r w:rsidRPr="000521AE">
              <w:rPr>
                <w:rFonts w:ascii="Arial" w:hAnsi="Arial" w:cs="Arial"/>
              </w:rPr>
              <w:t xml:space="preserve"> 103 – taj član se ne odnosi na sumnjive transakcije.</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lastRenderedPageBreak/>
              <w:t>U članu 400 stav 4 mijenja se i glasi: '' Saglasnost na imenovanje izvršnog direktora Centralne Depozitarne Agencije iz stava 1. ovog člana, izdata do dana stupanja na snagu ovog Zakona ostaje na snazi kao saglasnost na imenovanje izvršnog direktora Centralnog registra hartija od vrijednosti,</w:t>
            </w:r>
            <w:r w:rsidRPr="000521AE">
              <w:rPr>
                <w:rFonts w:ascii="Arial" w:hAnsi="Arial" w:cs="Arial"/>
                <w:b/>
              </w:rPr>
              <w:t xml:space="preserve"> tako da on ostaje na dužnosti za koju je imenovan do isteka mandata, bez obzira na uslove koji su utvrđeni ovim Zakonom.</w:t>
            </w:r>
            <w:r w:rsidRPr="000521AE">
              <w:rPr>
                <w:rFonts w:ascii="Arial" w:hAnsi="Arial" w:cs="Arial"/>
              </w:rPr>
              <w:t xml:space="preserve">''  Obrazloženje: Ovakvom formulacijom se jasno precizira da saglasnost koja je već data na imenovanje izvršnog direktora CDA važi do isteka njegovog mandata. </w:t>
            </w:r>
          </w:p>
          <w:p w:rsidR="00EF2015" w:rsidRPr="000521AE" w:rsidRDefault="00EF2015" w:rsidP="000521AE">
            <w:pPr>
              <w:numPr>
                <w:ilvl w:val="0"/>
                <w:numId w:val="20"/>
              </w:numPr>
              <w:ind w:left="109" w:firstLine="0"/>
              <w:jc w:val="both"/>
              <w:rPr>
                <w:rFonts w:ascii="Arial" w:hAnsi="Arial" w:cs="Arial"/>
              </w:rPr>
            </w:pPr>
            <w:r w:rsidRPr="000521AE">
              <w:rPr>
                <w:rFonts w:ascii="Arial" w:hAnsi="Arial" w:cs="Arial"/>
              </w:rPr>
              <w:t xml:space="preserve">Takođe, u članu 400, stavu 1, </w:t>
            </w:r>
            <w:r w:rsidRPr="000521AE">
              <w:rPr>
                <w:rFonts w:ascii="Arial" w:hAnsi="Arial" w:cs="Arial"/>
                <w:b/>
              </w:rPr>
              <w:t>brisati</w:t>
            </w:r>
            <w:r w:rsidRPr="000521AE">
              <w:rPr>
                <w:rFonts w:ascii="Arial" w:hAnsi="Arial" w:cs="Arial"/>
              </w:rPr>
              <w:t xml:space="preserve"> riječi '' koja ima dozvolu za obavljanje poslova'', jer se dva puta ponavljaju iste riječi.</w:t>
            </w:r>
          </w:p>
          <w:p w:rsidR="00EF2015" w:rsidRPr="00EB2518" w:rsidRDefault="00EF2015" w:rsidP="00EB2518">
            <w:pPr>
              <w:spacing w:line="100" w:lineRule="atLeast"/>
              <w:jc w:val="both"/>
              <w:rPr>
                <w:rFonts w:ascii="Arial" w:hAnsi="Arial" w:cs="Arial"/>
                <w:lang w:val="it-IT"/>
              </w:rPr>
            </w:pPr>
          </w:p>
        </w:tc>
      </w:tr>
    </w:tbl>
    <w:p w:rsidR="006B54A2" w:rsidRPr="00DA3BD5" w:rsidRDefault="006B54A2" w:rsidP="006B54A2">
      <w:pPr>
        <w:autoSpaceDE w:val="0"/>
        <w:autoSpaceDN w:val="0"/>
        <w:adjustRightInd w:val="0"/>
        <w:spacing w:after="0" w:line="240" w:lineRule="auto"/>
        <w:jc w:val="both"/>
        <w:rPr>
          <w:rFonts w:ascii="Arial" w:eastAsia="Calibri" w:hAnsi="Arial" w:cs="Arial"/>
          <w:lang w:val="it-IT"/>
        </w:rPr>
      </w:pPr>
    </w:p>
    <w:p w:rsidR="00B16382" w:rsidRPr="00DA3BD5" w:rsidRDefault="00B16382" w:rsidP="00B16382">
      <w:pPr>
        <w:autoSpaceDE w:val="0"/>
        <w:autoSpaceDN w:val="0"/>
        <w:adjustRightInd w:val="0"/>
        <w:spacing w:after="0" w:line="240" w:lineRule="auto"/>
        <w:rPr>
          <w:rFonts w:ascii="Arial" w:hAnsi="Arial" w:cs="Arial"/>
          <w:lang w:val="it-IT"/>
        </w:rPr>
      </w:pPr>
    </w:p>
    <w:p w:rsidR="00D7301E" w:rsidRPr="00DA3BD5" w:rsidRDefault="00D7301E" w:rsidP="00B16382">
      <w:pPr>
        <w:rPr>
          <w:lang w:val="it-IT"/>
        </w:rPr>
      </w:pPr>
    </w:p>
    <w:sectPr w:rsidR="00D7301E" w:rsidRPr="00DA3BD5" w:rsidSect="00154512">
      <w:pgSz w:w="15840" w:h="12240"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03AE"/>
    <w:multiLevelType w:val="hybridMultilevel"/>
    <w:tmpl w:val="7404351C"/>
    <w:lvl w:ilvl="0" w:tplc="119A810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1541F"/>
    <w:multiLevelType w:val="hybridMultilevel"/>
    <w:tmpl w:val="1B32B7AC"/>
    <w:lvl w:ilvl="0" w:tplc="D8C6CEDA">
      <w:numFmt w:val="bullet"/>
      <w:lvlText w:val="-"/>
      <w:lvlJc w:val="left"/>
      <w:pPr>
        <w:tabs>
          <w:tab w:val="num" w:pos="720"/>
        </w:tabs>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19174714"/>
    <w:multiLevelType w:val="hybridMultilevel"/>
    <w:tmpl w:val="C854BA7C"/>
    <w:lvl w:ilvl="0" w:tplc="536A7A6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25DA47CA"/>
    <w:multiLevelType w:val="hybridMultilevel"/>
    <w:tmpl w:val="1FBCE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B15167"/>
    <w:multiLevelType w:val="hybridMultilevel"/>
    <w:tmpl w:val="CC7E8266"/>
    <w:lvl w:ilvl="0" w:tplc="4FFAB63C">
      <w:start w:val="1"/>
      <w:numFmt w:val="upperRoman"/>
      <w:lvlText w:val="%1."/>
      <w:lvlJc w:val="left"/>
      <w:pPr>
        <w:ind w:left="1440" w:hanging="360"/>
      </w:pPr>
      <w:rPr>
        <w:rFont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nsid w:val="340A24EA"/>
    <w:multiLevelType w:val="hybridMultilevel"/>
    <w:tmpl w:val="64AA6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FB63DD"/>
    <w:multiLevelType w:val="hybridMultilevel"/>
    <w:tmpl w:val="816A3736"/>
    <w:lvl w:ilvl="0" w:tplc="536A7A60">
      <w:start w:val="1"/>
      <w:numFmt w:val="bullet"/>
      <w:lvlText w:val=""/>
      <w:lvlJc w:val="left"/>
      <w:pPr>
        <w:ind w:left="1440" w:hanging="360"/>
      </w:pPr>
      <w:rPr>
        <w:rFonts w:ascii="Symbol" w:hAnsi="Symbol" w:hint="default"/>
      </w:rPr>
    </w:lvl>
    <w:lvl w:ilvl="1" w:tplc="B2BEB60E">
      <w:start w:val="1"/>
      <w:numFmt w:val="decimal"/>
      <w:lvlText w:val="%2)"/>
      <w:lvlJc w:val="left"/>
      <w:pPr>
        <w:ind w:left="2385" w:hanging="585"/>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BEC0147"/>
    <w:multiLevelType w:val="hybridMultilevel"/>
    <w:tmpl w:val="74A4140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421017FD"/>
    <w:multiLevelType w:val="hybridMultilevel"/>
    <w:tmpl w:val="913E9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991CF6"/>
    <w:multiLevelType w:val="hybridMultilevel"/>
    <w:tmpl w:val="B3FEC9C8"/>
    <w:lvl w:ilvl="0" w:tplc="B434A056">
      <w:start w:val="1"/>
      <w:numFmt w:val="decimal"/>
      <w:lvlText w:val="%1."/>
      <w:lvlJc w:val="left"/>
      <w:pPr>
        <w:tabs>
          <w:tab w:val="num" w:pos="720"/>
        </w:tabs>
        <w:ind w:left="720" w:hanging="360"/>
      </w:pPr>
    </w:lvl>
    <w:lvl w:ilvl="1" w:tplc="8F1E1F8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585636"/>
    <w:multiLevelType w:val="hybridMultilevel"/>
    <w:tmpl w:val="D99E27A6"/>
    <w:lvl w:ilvl="0" w:tplc="89AE7A72">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33B5890"/>
    <w:multiLevelType w:val="hybridMultilevel"/>
    <w:tmpl w:val="B7F4BE46"/>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7CC6476"/>
    <w:multiLevelType w:val="hybridMultilevel"/>
    <w:tmpl w:val="2CDA2550"/>
    <w:lvl w:ilvl="0" w:tplc="265CFF2E">
      <w:start w:val="1"/>
      <w:numFmt w:val="decimal"/>
      <w:lvlText w:val="(%1)"/>
      <w:lvlJc w:val="left"/>
      <w:pPr>
        <w:ind w:left="801" w:hanging="375"/>
      </w:pPr>
      <w:rPr>
        <w:rFonts w:hint="defaul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13">
    <w:nsid w:val="62122328"/>
    <w:multiLevelType w:val="hybridMultilevel"/>
    <w:tmpl w:val="BE485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FE2C01"/>
    <w:multiLevelType w:val="hybridMultilevel"/>
    <w:tmpl w:val="7AF21D10"/>
    <w:lvl w:ilvl="0" w:tplc="F2E6F9B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4031F"/>
    <w:multiLevelType w:val="hybridMultilevel"/>
    <w:tmpl w:val="427E500C"/>
    <w:lvl w:ilvl="0" w:tplc="21CE579A">
      <w:numFmt w:val="bullet"/>
      <w:lvlText w:val="-"/>
      <w:lvlJc w:val="left"/>
      <w:pPr>
        <w:tabs>
          <w:tab w:val="num" w:pos="720"/>
        </w:tabs>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6">
    <w:nsid w:val="6ABA2807"/>
    <w:multiLevelType w:val="hybridMultilevel"/>
    <w:tmpl w:val="536E14AA"/>
    <w:lvl w:ilvl="0" w:tplc="2D6601C6">
      <w:numFmt w:val="bullet"/>
      <w:lvlText w:val="-"/>
      <w:lvlJc w:val="left"/>
      <w:pPr>
        <w:tabs>
          <w:tab w:val="num" w:pos="720"/>
        </w:tabs>
        <w:ind w:left="720" w:hanging="360"/>
      </w:pPr>
      <w:rPr>
        <w:rFonts w:ascii="Arial" w:eastAsia="Times New Roman" w:hAnsi="Arial" w:cs="Aria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E375022"/>
    <w:multiLevelType w:val="hybridMultilevel"/>
    <w:tmpl w:val="CF1C1FA4"/>
    <w:lvl w:ilvl="0" w:tplc="536A7A60">
      <w:start w:val="1"/>
      <w:numFmt w:val="bullet"/>
      <w:lvlText w:val=""/>
      <w:lvlJc w:val="left"/>
      <w:pPr>
        <w:ind w:left="1985" w:hanging="360"/>
      </w:pPr>
      <w:rPr>
        <w:rFonts w:ascii="Symbol" w:hAnsi="Symbol" w:hint="default"/>
      </w:rPr>
    </w:lvl>
    <w:lvl w:ilvl="1" w:tplc="536A7A60">
      <w:start w:val="1"/>
      <w:numFmt w:val="bullet"/>
      <w:lvlText w:val=""/>
      <w:lvlJc w:val="left"/>
      <w:pPr>
        <w:ind w:left="2705" w:hanging="360"/>
      </w:pPr>
      <w:rPr>
        <w:rFonts w:ascii="Symbol" w:hAnsi="Symbol" w:hint="default"/>
      </w:rPr>
    </w:lvl>
    <w:lvl w:ilvl="2" w:tplc="241A0005" w:tentative="1">
      <w:start w:val="1"/>
      <w:numFmt w:val="bullet"/>
      <w:lvlText w:val=""/>
      <w:lvlJc w:val="left"/>
      <w:pPr>
        <w:ind w:left="3425" w:hanging="360"/>
      </w:pPr>
      <w:rPr>
        <w:rFonts w:ascii="Wingdings" w:hAnsi="Wingdings" w:hint="default"/>
      </w:rPr>
    </w:lvl>
    <w:lvl w:ilvl="3" w:tplc="241A0001" w:tentative="1">
      <w:start w:val="1"/>
      <w:numFmt w:val="bullet"/>
      <w:lvlText w:val=""/>
      <w:lvlJc w:val="left"/>
      <w:pPr>
        <w:ind w:left="4145" w:hanging="360"/>
      </w:pPr>
      <w:rPr>
        <w:rFonts w:ascii="Symbol" w:hAnsi="Symbol" w:hint="default"/>
      </w:rPr>
    </w:lvl>
    <w:lvl w:ilvl="4" w:tplc="241A0003" w:tentative="1">
      <w:start w:val="1"/>
      <w:numFmt w:val="bullet"/>
      <w:lvlText w:val="o"/>
      <w:lvlJc w:val="left"/>
      <w:pPr>
        <w:ind w:left="4865" w:hanging="360"/>
      </w:pPr>
      <w:rPr>
        <w:rFonts w:ascii="Courier New" w:hAnsi="Courier New" w:cs="Courier New" w:hint="default"/>
      </w:rPr>
    </w:lvl>
    <w:lvl w:ilvl="5" w:tplc="241A0005" w:tentative="1">
      <w:start w:val="1"/>
      <w:numFmt w:val="bullet"/>
      <w:lvlText w:val=""/>
      <w:lvlJc w:val="left"/>
      <w:pPr>
        <w:ind w:left="5585" w:hanging="360"/>
      </w:pPr>
      <w:rPr>
        <w:rFonts w:ascii="Wingdings" w:hAnsi="Wingdings" w:hint="default"/>
      </w:rPr>
    </w:lvl>
    <w:lvl w:ilvl="6" w:tplc="241A0001" w:tentative="1">
      <w:start w:val="1"/>
      <w:numFmt w:val="bullet"/>
      <w:lvlText w:val=""/>
      <w:lvlJc w:val="left"/>
      <w:pPr>
        <w:ind w:left="6305" w:hanging="360"/>
      </w:pPr>
      <w:rPr>
        <w:rFonts w:ascii="Symbol" w:hAnsi="Symbol" w:hint="default"/>
      </w:rPr>
    </w:lvl>
    <w:lvl w:ilvl="7" w:tplc="241A0003" w:tentative="1">
      <w:start w:val="1"/>
      <w:numFmt w:val="bullet"/>
      <w:lvlText w:val="o"/>
      <w:lvlJc w:val="left"/>
      <w:pPr>
        <w:ind w:left="7025" w:hanging="360"/>
      </w:pPr>
      <w:rPr>
        <w:rFonts w:ascii="Courier New" w:hAnsi="Courier New" w:cs="Courier New" w:hint="default"/>
      </w:rPr>
    </w:lvl>
    <w:lvl w:ilvl="8" w:tplc="241A0005" w:tentative="1">
      <w:start w:val="1"/>
      <w:numFmt w:val="bullet"/>
      <w:lvlText w:val=""/>
      <w:lvlJc w:val="left"/>
      <w:pPr>
        <w:ind w:left="7745" w:hanging="360"/>
      </w:pPr>
      <w:rPr>
        <w:rFonts w:ascii="Wingdings" w:hAnsi="Wingdings" w:hint="default"/>
      </w:rPr>
    </w:lvl>
  </w:abstractNum>
  <w:num w:numId="1">
    <w:abstractNumId w:val="14"/>
  </w:num>
  <w:num w:numId="2">
    <w:abstractNumId w:val="10"/>
  </w:num>
  <w:num w:numId="3">
    <w:abstractNumId w:val="6"/>
  </w:num>
  <w:num w:numId="4">
    <w:abstractNumId w:val="17"/>
  </w:num>
  <w:num w:numId="5">
    <w:abstractNumId w:val="13"/>
  </w:num>
  <w:num w:numId="6">
    <w:abstractNumId w:val="8"/>
  </w:num>
  <w:num w:numId="7">
    <w:abstractNumId w:val="4"/>
  </w:num>
  <w:num w:numId="8">
    <w:abstractNumId w:val="12"/>
  </w:num>
  <w:num w:numId="9">
    <w:abstractNumId w:val="2"/>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B16382"/>
    <w:rsid w:val="000004B0"/>
    <w:rsid w:val="00025CCE"/>
    <w:rsid w:val="00027C2F"/>
    <w:rsid w:val="000306EE"/>
    <w:rsid w:val="000406AB"/>
    <w:rsid w:val="000521AE"/>
    <w:rsid w:val="00055A17"/>
    <w:rsid w:val="00056EEC"/>
    <w:rsid w:val="00061B3C"/>
    <w:rsid w:val="00062E66"/>
    <w:rsid w:val="00076094"/>
    <w:rsid w:val="00081CE1"/>
    <w:rsid w:val="00087A17"/>
    <w:rsid w:val="000A3E2A"/>
    <w:rsid w:val="000B1A99"/>
    <w:rsid w:val="000B4BEC"/>
    <w:rsid w:val="000D0EFA"/>
    <w:rsid w:val="000E25EB"/>
    <w:rsid w:val="001100AC"/>
    <w:rsid w:val="00114F0B"/>
    <w:rsid w:val="00117DE8"/>
    <w:rsid w:val="00127DA6"/>
    <w:rsid w:val="00153C25"/>
    <w:rsid w:val="00154512"/>
    <w:rsid w:val="0017689D"/>
    <w:rsid w:val="001A5D7F"/>
    <w:rsid w:val="001C0D70"/>
    <w:rsid w:val="001D1232"/>
    <w:rsid w:val="001D7ECA"/>
    <w:rsid w:val="001F47EF"/>
    <w:rsid w:val="0020440A"/>
    <w:rsid w:val="002633BD"/>
    <w:rsid w:val="00285D9D"/>
    <w:rsid w:val="002D7A8A"/>
    <w:rsid w:val="002D7AE5"/>
    <w:rsid w:val="0032374B"/>
    <w:rsid w:val="00341863"/>
    <w:rsid w:val="0035195C"/>
    <w:rsid w:val="00351FD4"/>
    <w:rsid w:val="0036020B"/>
    <w:rsid w:val="003825AF"/>
    <w:rsid w:val="0040191D"/>
    <w:rsid w:val="0040580F"/>
    <w:rsid w:val="004317E7"/>
    <w:rsid w:val="0044393C"/>
    <w:rsid w:val="004501AC"/>
    <w:rsid w:val="00450EF3"/>
    <w:rsid w:val="004A248D"/>
    <w:rsid w:val="004B70FD"/>
    <w:rsid w:val="004F579B"/>
    <w:rsid w:val="00507250"/>
    <w:rsid w:val="00533488"/>
    <w:rsid w:val="00574D78"/>
    <w:rsid w:val="00583D3C"/>
    <w:rsid w:val="005873AE"/>
    <w:rsid w:val="005A11E6"/>
    <w:rsid w:val="005D0805"/>
    <w:rsid w:val="005E1B36"/>
    <w:rsid w:val="006065B7"/>
    <w:rsid w:val="00612011"/>
    <w:rsid w:val="006264F0"/>
    <w:rsid w:val="00640C19"/>
    <w:rsid w:val="006617D0"/>
    <w:rsid w:val="006919FE"/>
    <w:rsid w:val="0069410A"/>
    <w:rsid w:val="006A09CA"/>
    <w:rsid w:val="006A2AC2"/>
    <w:rsid w:val="006B54A2"/>
    <w:rsid w:val="006C0D8F"/>
    <w:rsid w:val="006C7431"/>
    <w:rsid w:val="007025A8"/>
    <w:rsid w:val="00703B53"/>
    <w:rsid w:val="00704FE0"/>
    <w:rsid w:val="00714FB9"/>
    <w:rsid w:val="007540E4"/>
    <w:rsid w:val="00755F06"/>
    <w:rsid w:val="0076320A"/>
    <w:rsid w:val="00763EE9"/>
    <w:rsid w:val="00770F72"/>
    <w:rsid w:val="007726E4"/>
    <w:rsid w:val="00775799"/>
    <w:rsid w:val="00782836"/>
    <w:rsid w:val="00784884"/>
    <w:rsid w:val="007A206A"/>
    <w:rsid w:val="007B6A7E"/>
    <w:rsid w:val="007C5915"/>
    <w:rsid w:val="007F7502"/>
    <w:rsid w:val="0080194A"/>
    <w:rsid w:val="0080724F"/>
    <w:rsid w:val="00814FD5"/>
    <w:rsid w:val="00824FD4"/>
    <w:rsid w:val="00854A4F"/>
    <w:rsid w:val="008D1680"/>
    <w:rsid w:val="008D4E4F"/>
    <w:rsid w:val="008F7240"/>
    <w:rsid w:val="00946E9F"/>
    <w:rsid w:val="0097117E"/>
    <w:rsid w:val="00975F51"/>
    <w:rsid w:val="00993DDB"/>
    <w:rsid w:val="009A182D"/>
    <w:rsid w:val="009A2316"/>
    <w:rsid w:val="009A7B57"/>
    <w:rsid w:val="009B1E03"/>
    <w:rsid w:val="009B2D68"/>
    <w:rsid w:val="009D50ED"/>
    <w:rsid w:val="009E64B4"/>
    <w:rsid w:val="009F2A28"/>
    <w:rsid w:val="00A1537E"/>
    <w:rsid w:val="00A15BDC"/>
    <w:rsid w:val="00A16F17"/>
    <w:rsid w:val="00A36D62"/>
    <w:rsid w:val="00A72A7E"/>
    <w:rsid w:val="00AD0A7A"/>
    <w:rsid w:val="00AE0B98"/>
    <w:rsid w:val="00B06EC6"/>
    <w:rsid w:val="00B06EE8"/>
    <w:rsid w:val="00B10B51"/>
    <w:rsid w:val="00B115E7"/>
    <w:rsid w:val="00B16382"/>
    <w:rsid w:val="00B57383"/>
    <w:rsid w:val="00B64866"/>
    <w:rsid w:val="00B70ACB"/>
    <w:rsid w:val="00B956F0"/>
    <w:rsid w:val="00BD4F10"/>
    <w:rsid w:val="00BD5373"/>
    <w:rsid w:val="00BE7609"/>
    <w:rsid w:val="00BF6F9A"/>
    <w:rsid w:val="00C110FF"/>
    <w:rsid w:val="00C22973"/>
    <w:rsid w:val="00C2751D"/>
    <w:rsid w:val="00C36F04"/>
    <w:rsid w:val="00C438BB"/>
    <w:rsid w:val="00C450F0"/>
    <w:rsid w:val="00C563E6"/>
    <w:rsid w:val="00C564B1"/>
    <w:rsid w:val="00C63A52"/>
    <w:rsid w:val="00C64634"/>
    <w:rsid w:val="00C756D7"/>
    <w:rsid w:val="00C813FD"/>
    <w:rsid w:val="00C84A88"/>
    <w:rsid w:val="00CA17AC"/>
    <w:rsid w:val="00CA1E9F"/>
    <w:rsid w:val="00CC32F6"/>
    <w:rsid w:val="00CD2F6B"/>
    <w:rsid w:val="00CE37B6"/>
    <w:rsid w:val="00CF516D"/>
    <w:rsid w:val="00D153DE"/>
    <w:rsid w:val="00D1601C"/>
    <w:rsid w:val="00D255BD"/>
    <w:rsid w:val="00D36DBA"/>
    <w:rsid w:val="00D53913"/>
    <w:rsid w:val="00D56828"/>
    <w:rsid w:val="00D66E15"/>
    <w:rsid w:val="00D7301E"/>
    <w:rsid w:val="00D75A80"/>
    <w:rsid w:val="00D81B9B"/>
    <w:rsid w:val="00D94527"/>
    <w:rsid w:val="00D9491D"/>
    <w:rsid w:val="00DA3BD5"/>
    <w:rsid w:val="00DC1761"/>
    <w:rsid w:val="00E246FC"/>
    <w:rsid w:val="00E5221E"/>
    <w:rsid w:val="00E632D3"/>
    <w:rsid w:val="00E766FE"/>
    <w:rsid w:val="00E90AC5"/>
    <w:rsid w:val="00E95312"/>
    <w:rsid w:val="00EA15D7"/>
    <w:rsid w:val="00EA1772"/>
    <w:rsid w:val="00EA34A2"/>
    <w:rsid w:val="00EB00FB"/>
    <w:rsid w:val="00EB2518"/>
    <w:rsid w:val="00EE6BDE"/>
    <w:rsid w:val="00EF2015"/>
    <w:rsid w:val="00F04B0B"/>
    <w:rsid w:val="00F21FDF"/>
    <w:rsid w:val="00F654DD"/>
    <w:rsid w:val="00F67785"/>
    <w:rsid w:val="00FD597E"/>
    <w:rsid w:val="00FD6357"/>
    <w:rsid w:val="00FE1071"/>
    <w:rsid w:val="00FE2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6382"/>
    <w:pPr>
      <w:ind w:left="720"/>
      <w:contextualSpacing/>
    </w:pPr>
  </w:style>
  <w:style w:type="paragraph" w:styleId="NoSpacing">
    <w:name w:val="No Spacing"/>
    <w:uiPriority w:val="1"/>
    <w:qFormat/>
    <w:rsid w:val="006B54A2"/>
    <w:pPr>
      <w:spacing w:after="0" w:line="240" w:lineRule="auto"/>
      <w:ind w:left="1008" w:hanging="288"/>
      <w:jc w:val="both"/>
    </w:pPr>
    <w:rPr>
      <w:rFonts w:ascii="Times New Roman" w:eastAsia="Times New Roman" w:hAnsi="Times New Roman" w:cs="Times New Roman"/>
      <w:sz w:val="24"/>
      <w:szCs w:val="24"/>
    </w:rPr>
  </w:style>
  <w:style w:type="table" w:styleId="TableGrid">
    <w:name w:val="Table Grid"/>
    <w:basedOn w:val="TableNormal"/>
    <w:uiPriority w:val="59"/>
    <w:rsid w:val="00C7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756D7"/>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uiPriority w:val="34"/>
    <w:qFormat/>
    <w:rsid w:val="00154512"/>
    <w:pPr>
      <w:ind w:left="720"/>
      <w:contextualSpacing/>
    </w:pPr>
    <w:rPr>
      <w:rFonts w:ascii="Calibri" w:eastAsia="Times New Roman" w:hAnsi="Calibri" w:cs="Times New Roman"/>
    </w:rPr>
  </w:style>
  <w:style w:type="paragraph" w:customStyle="1" w:styleId="CM1">
    <w:name w:val="CM1"/>
    <w:basedOn w:val="Normal"/>
    <w:next w:val="Normal"/>
    <w:uiPriority w:val="99"/>
    <w:rsid w:val="00154512"/>
    <w:pPr>
      <w:autoSpaceDE w:val="0"/>
      <w:autoSpaceDN w:val="0"/>
      <w:adjustRightInd w:val="0"/>
      <w:spacing w:after="0" w:line="240" w:lineRule="auto"/>
    </w:pPr>
    <w:rPr>
      <w:rFonts w:ascii="EUAlbertina" w:eastAsia="Times New Roman" w:hAnsi="EUAlbertina" w:cs="Times New Roman"/>
      <w:sz w:val="24"/>
      <w:szCs w:val="24"/>
    </w:rPr>
  </w:style>
  <w:style w:type="paragraph" w:styleId="CommentText">
    <w:name w:val="annotation text"/>
    <w:basedOn w:val="Normal"/>
    <w:link w:val="CommentTextChar"/>
    <w:uiPriority w:val="99"/>
    <w:unhideWhenUsed/>
    <w:rsid w:val="0015451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4512"/>
    <w:rPr>
      <w:rFonts w:ascii="Calibri" w:eastAsia="Calibri" w:hAnsi="Calibri" w:cs="Times New Roman"/>
      <w:sz w:val="20"/>
      <w:szCs w:val="20"/>
    </w:rPr>
  </w:style>
  <w:style w:type="character" w:styleId="Hyperlink">
    <w:name w:val="Hyperlink"/>
    <w:basedOn w:val="DefaultParagraphFont"/>
    <w:uiPriority w:val="99"/>
    <w:semiHidden/>
    <w:unhideWhenUsed/>
    <w:rsid w:val="007540E4"/>
    <w:rPr>
      <w:color w:val="0000FF"/>
      <w:u w:val="single"/>
    </w:rPr>
  </w:style>
  <w:style w:type="paragraph" w:styleId="NormalWeb">
    <w:name w:val="Normal (Web)"/>
    <w:basedOn w:val="Normal"/>
    <w:uiPriority w:val="99"/>
    <w:semiHidden/>
    <w:unhideWhenUsed/>
    <w:rsid w:val="007540E4"/>
    <w:pPr>
      <w:spacing w:before="100" w:beforeAutospacing="1" w:after="100" w:afterAutospacing="1" w:line="240" w:lineRule="auto"/>
    </w:pPr>
    <w:rPr>
      <w:rFonts w:ascii="Times New Roman" w:hAnsi="Times New Roman" w:cs="Times New Roman"/>
      <w:sz w:val="24"/>
      <w:szCs w:val="24"/>
    </w:rPr>
  </w:style>
  <w:style w:type="paragraph" w:customStyle="1" w:styleId="listparagraph0">
    <w:name w:val="listparagraph"/>
    <w:basedOn w:val="Normal"/>
    <w:uiPriority w:val="99"/>
    <w:semiHidden/>
    <w:rsid w:val="007540E4"/>
    <w:pPr>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60701174">
      <w:bodyDiv w:val="1"/>
      <w:marLeft w:val="0"/>
      <w:marRight w:val="0"/>
      <w:marTop w:val="0"/>
      <w:marBottom w:val="0"/>
      <w:divBdr>
        <w:top w:val="none" w:sz="0" w:space="0" w:color="auto"/>
        <w:left w:val="none" w:sz="0" w:space="0" w:color="auto"/>
        <w:bottom w:val="none" w:sz="0" w:space="0" w:color="auto"/>
        <w:right w:val="none" w:sz="0" w:space="0" w:color="auto"/>
      </w:divBdr>
    </w:div>
    <w:div w:id="408844915">
      <w:bodyDiv w:val="1"/>
      <w:marLeft w:val="0"/>
      <w:marRight w:val="0"/>
      <w:marTop w:val="0"/>
      <w:marBottom w:val="0"/>
      <w:divBdr>
        <w:top w:val="none" w:sz="0" w:space="0" w:color="auto"/>
        <w:left w:val="none" w:sz="0" w:space="0" w:color="auto"/>
        <w:bottom w:val="none" w:sz="0" w:space="0" w:color="auto"/>
        <w:right w:val="none" w:sz="0" w:space="0" w:color="auto"/>
      </w:divBdr>
    </w:div>
    <w:div w:id="552696927">
      <w:bodyDiv w:val="1"/>
      <w:marLeft w:val="0"/>
      <w:marRight w:val="0"/>
      <w:marTop w:val="0"/>
      <w:marBottom w:val="0"/>
      <w:divBdr>
        <w:top w:val="none" w:sz="0" w:space="0" w:color="auto"/>
        <w:left w:val="none" w:sz="0" w:space="0" w:color="auto"/>
        <w:bottom w:val="none" w:sz="0" w:space="0" w:color="auto"/>
        <w:right w:val="none" w:sz="0" w:space="0" w:color="auto"/>
      </w:divBdr>
    </w:div>
    <w:div w:id="1052189065">
      <w:bodyDiv w:val="1"/>
      <w:marLeft w:val="0"/>
      <w:marRight w:val="0"/>
      <w:marTop w:val="0"/>
      <w:marBottom w:val="0"/>
      <w:divBdr>
        <w:top w:val="none" w:sz="0" w:space="0" w:color="auto"/>
        <w:left w:val="none" w:sz="0" w:space="0" w:color="auto"/>
        <w:bottom w:val="none" w:sz="0" w:space="0" w:color="auto"/>
        <w:right w:val="none" w:sz="0" w:space="0" w:color="auto"/>
      </w:divBdr>
    </w:div>
    <w:div w:id="1631747006">
      <w:bodyDiv w:val="1"/>
      <w:marLeft w:val="0"/>
      <w:marRight w:val="0"/>
      <w:marTop w:val="0"/>
      <w:marBottom w:val="0"/>
      <w:divBdr>
        <w:top w:val="none" w:sz="0" w:space="0" w:color="auto"/>
        <w:left w:val="none" w:sz="0" w:space="0" w:color="auto"/>
        <w:bottom w:val="none" w:sz="0" w:space="0" w:color="auto"/>
        <w:right w:val="none" w:sz="0" w:space="0" w:color="auto"/>
      </w:divBdr>
    </w:div>
    <w:div w:id="163887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2C757-23E9-4573-965E-BF150BC7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6</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aleksandra.popovic</dc:creator>
  <cp:lastModifiedBy>Aleksandra Popovic</cp:lastModifiedBy>
  <cp:revision>67</cp:revision>
  <cp:lastPrinted>2014-09-09T08:21:00Z</cp:lastPrinted>
  <dcterms:created xsi:type="dcterms:W3CDTF">2011-06-17T11:02:00Z</dcterms:created>
  <dcterms:modified xsi:type="dcterms:W3CDTF">2015-07-09T14:33:00Z</dcterms:modified>
</cp:coreProperties>
</file>