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715429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noProof/>
          <w:sz w:val="28"/>
          <w:szCs w:val="28"/>
          <w:lang w:val="hr-BA"/>
        </w:rPr>
      </w:pPr>
      <w:r w:rsidRPr="00715429">
        <w:rPr>
          <w:rFonts w:ascii="Cambria" w:hAnsi="Cambria" w:cs="Cambria"/>
          <w:noProof/>
          <w:lang w:val="sr-Latn-CS" w:eastAsia="sr-Latn-CS"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715429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  <w:lang w:val="hr-BA"/>
        </w:rPr>
      </w:pPr>
      <w:r w:rsidRPr="00715429">
        <w:rPr>
          <w:b/>
          <w:bCs/>
          <w:noProof/>
          <w:sz w:val="28"/>
          <w:szCs w:val="28"/>
          <w:lang w:val="hr-BA"/>
        </w:rPr>
        <w:t>CRNA GORA</w:t>
      </w:r>
    </w:p>
    <w:p w:rsidR="0082570B" w:rsidRPr="00715429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  <w:lang w:val="hr-BA"/>
        </w:rPr>
      </w:pPr>
      <w:r w:rsidRPr="00715429">
        <w:rPr>
          <w:b/>
          <w:bCs/>
          <w:noProof/>
          <w:sz w:val="28"/>
          <w:szCs w:val="28"/>
          <w:lang w:val="hr-BA"/>
        </w:rPr>
        <w:t>MINISTARSTVO FINANSIJA</w:t>
      </w:r>
    </w:p>
    <w:p w:rsidR="0082570B" w:rsidRPr="00715429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  <w:lang w:val="hr-BA"/>
        </w:rPr>
      </w:pPr>
      <w:r w:rsidRPr="00715429">
        <w:rPr>
          <w:b/>
          <w:bCs/>
          <w:noProof/>
          <w:sz w:val="28"/>
          <w:szCs w:val="28"/>
          <w:lang w:val="hr-BA"/>
        </w:rPr>
        <w:t>Direktorat</w:t>
      </w:r>
      <w:r w:rsidR="0082570B" w:rsidRPr="00715429">
        <w:rPr>
          <w:b/>
          <w:bCs/>
          <w:noProof/>
          <w:sz w:val="28"/>
          <w:szCs w:val="28"/>
          <w:lang w:val="hr-BA"/>
        </w:rPr>
        <w:t xml:space="preserve"> za ekonomsku politiku i razvoj</w:t>
      </w:r>
    </w:p>
    <w:p w:rsidR="0082570B" w:rsidRPr="00715429" w:rsidRDefault="0082570B" w:rsidP="00D61692">
      <w:pPr>
        <w:rPr>
          <w:rFonts w:cs="Calibri"/>
          <w:noProof/>
          <w:lang w:val="hr-BA"/>
        </w:rPr>
      </w:pPr>
    </w:p>
    <w:p w:rsidR="0082570B" w:rsidRPr="00715429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  <w:lang w:val="hr-BA"/>
        </w:rPr>
      </w:pPr>
    </w:p>
    <w:p w:rsidR="0082570B" w:rsidRPr="00715429" w:rsidRDefault="0082570B" w:rsidP="000F756E">
      <w:pPr>
        <w:rPr>
          <w:rFonts w:cs="Calibri"/>
          <w:b/>
          <w:bCs/>
          <w:i/>
          <w:iCs/>
          <w:noProof/>
          <w:sz w:val="36"/>
          <w:szCs w:val="36"/>
          <w:lang w:val="hr-BA"/>
        </w:rPr>
      </w:pPr>
    </w:p>
    <w:p w:rsidR="0082570B" w:rsidRPr="00715429" w:rsidRDefault="0082570B" w:rsidP="000F756E">
      <w:pPr>
        <w:rPr>
          <w:rFonts w:cs="Calibri"/>
          <w:b/>
          <w:bCs/>
          <w:i/>
          <w:iCs/>
          <w:noProof/>
          <w:sz w:val="36"/>
          <w:szCs w:val="36"/>
          <w:lang w:val="hr-BA"/>
        </w:rPr>
      </w:pPr>
    </w:p>
    <w:p w:rsidR="0082570B" w:rsidRPr="00715429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  <w:lang w:val="hr-BA"/>
        </w:rPr>
      </w:pPr>
      <w:r w:rsidRPr="00715429">
        <w:rPr>
          <w:rFonts w:cs="Calibri"/>
          <w:b/>
          <w:bCs/>
          <w:iCs/>
          <w:noProof/>
          <w:sz w:val="52"/>
          <w:szCs w:val="52"/>
          <w:lang w:val="hr-BA"/>
        </w:rPr>
        <w:t>MJESEČNI MAKROEKONOMSKI INDIKATORI</w:t>
      </w:r>
    </w:p>
    <w:p w:rsidR="0082570B" w:rsidRPr="00715429" w:rsidRDefault="008F6C10" w:rsidP="0002564B">
      <w:pPr>
        <w:spacing w:line="240" w:lineRule="auto"/>
        <w:jc w:val="center"/>
        <w:outlineLvl w:val="0"/>
        <w:rPr>
          <w:rFonts w:cs="Calibri"/>
          <w:b/>
          <w:bCs/>
          <w:noProof/>
          <w:sz w:val="32"/>
          <w:szCs w:val="32"/>
          <w:lang w:val="hr-BA"/>
        </w:rPr>
      </w:pPr>
      <w:r>
        <w:rPr>
          <w:rFonts w:cs="Calibri"/>
          <w:b/>
          <w:bCs/>
          <w:noProof/>
          <w:sz w:val="32"/>
          <w:szCs w:val="32"/>
          <w:lang w:val="hr-BA"/>
        </w:rPr>
        <w:t>Jun</w:t>
      </w:r>
      <w:r w:rsidR="007D0106" w:rsidRPr="00715429">
        <w:rPr>
          <w:rFonts w:cs="Calibri"/>
          <w:b/>
          <w:bCs/>
          <w:noProof/>
          <w:sz w:val="32"/>
          <w:szCs w:val="32"/>
          <w:lang w:val="hr-BA"/>
        </w:rPr>
        <w:t xml:space="preserve"> </w:t>
      </w:r>
      <w:r w:rsidR="006D2B20" w:rsidRPr="00715429">
        <w:rPr>
          <w:rFonts w:cs="Calibri"/>
          <w:b/>
          <w:bCs/>
          <w:noProof/>
          <w:sz w:val="32"/>
          <w:szCs w:val="32"/>
          <w:lang w:val="hr-BA"/>
        </w:rPr>
        <w:t>2014</w:t>
      </w:r>
      <w:r w:rsidR="0082570B" w:rsidRPr="00715429">
        <w:rPr>
          <w:rFonts w:cs="Calibri"/>
          <w:b/>
          <w:bCs/>
          <w:noProof/>
          <w:sz w:val="32"/>
          <w:szCs w:val="32"/>
          <w:lang w:val="hr-BA"/>
        </w:rPr>
        <w:t>.</w:t>
      </w:r>
    </w:p>
    <w:p w:rsidR="0082570B" w:rsidRPr="00715429" w:rsidRDefault="00216D31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  <w:lang w:val="hr-BA"/>
        </w:rPr>
      </w:pPr>
      <w:r w:rsidRPr="00216D31">
        <w:rPr>
          <w:noProof/>
          <w:lang w:val="hr-BA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-14pt;margin-top:323.75pt;width:234.35pt;height:373.55pt;rotation:-360;z-index:-251658240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548dd4 [1951]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B069DE" w:rsidRDefault="00B069DE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B069DE" w:rsidRDefault="00B069DE" w:rsidP="00E2362B">
                  <w:pPr>
                    <w:pStyle w:val="NoSpacing"/>
                    <w:ind w:left="851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  <w:p w:rsidR="00B069DE" w:rsidRPr="002A3BB4" w:rsidRDefault="00B069DE" w:rsidP="00D74BF0">
                  <w:pPr>
                    <w:pStyle w:val="NoSpacing"/>
                    <w:numPr>
                      <w:ilvl w:val="0"/>
                      <w:numId w:val="27"/>
                    </w:numPr>
                    <w:ind w:left="709" w:hanging="425"/>
                    <w:rPr>
                      <w:b/>
                      <w:bCs/>
                      <w:color w:val="000000"/>
                      <w:sz w:val="28"/>
                      <w:szCs w:val="40"/>
                      <w:lang w:val="pl-PL"/>
                    </w:rPr>
                  </w:pPr>
                  <w:r w:rsidRPr="002A3BB4">
                    <w:rPr>
                      <w:noProof/>
                      <w:szCs w:val="20"/>
                      <w:lang w:val="hr-BA"/>
                    </w:rPr>
                    <w:t>Biznis indikatori ukazuju na dalje jačanje povjerenja u oporavak ekonomske aktivnosti u Eurozoni.</w:t>
                  </w:r>
                </w:p>
                <w:p w:rsidR="00B069DE" w:rsidRPr="002A3BB4" w:rsidRDefault="00B069DE" w:rsidP="00D74BF0">
                  <w:pPr>
                    <w:pStyle w:val="NoSpacing"/>
                    <w:numPr>
                      <w:ilvl w:val="0"/>
                      <w:numId w:val="27"/>
                    </w:numPr>
                    <w:ind w:left="709" w:hanging="425"/>
                    <w:rPr>
                      <w:b/>
                      <w:bCs/>
                      <w:color w:val="000000"/>
                      <w:sz w:val="36"/>
                      <w:szCs w:val="40"/>
                      <w:lang w:val="pl-PL"/>
                    </w:rPr>
                  </w:pPr>
                  <w:r w:rsidRPr="002A3BB4">
                    <w:rPr>
                      <w:szCs w:val="20"/>
                    </w:rPr>
                    <w:t>Crnu Goru  je u maju posjetilo 2,4% više turista, a ostvareno 4,2% manje noćenja</w:t>
                  </w:r>
                  <w:r>
                    <w:rPr>
                      <w:szCs w:val="20"/>
                    </w:rPr>
                    <w:t>.</w:t>
                  </w:r>
                </w:p>
                <w:p w:rsidR="00B069DE" w:rsidRPr="00193E02" w:rsidRDefault="00B069DE" w:rsidP="00D74BF0">
                  <w:pPr>
                    <w:pStyle w:val="NoSpacing"/>
                    <w:numPr>
                      <w:ilvl w:val="0"/>
                      <w:numId w:val="27"/>
                    </w:numPr>
                    <w:ind w:left="709" w:hanging="425"/>
                    <w:rPr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2A3BB4">
                    <w:rPr>
                      <w:rFonts w:asciiTheme="minorHAnsi" w:hAnsiTheme="minorHAnsi"/>
                      <w:szCs w:val="20"/>
                    </w:rPr>
                    <w:t>Nakon dva mjeseca uzastopnog pada, potrošačke cijene u maju bilježe rast od 0,7%  m-n-m</w:t>
                  </w:r>
                  <w:r w:rsidRPr="00193E02">
                    <w:rPr>
                      <w:rFonts w:asciiTheme="minorHAnsi" w:hAnsiTheme="minorHAnsi"/>
                      <w:sz w:val="24"/>
                      <w:szCs w:val="20"/>
                    </w:rPr>
                    <w:t>.</w:t>
                  </w:r>
                  <w:r w:rsidRPr="00193E02">
                    <w:rPr>
                      <w:sz w:val="24"/>
                      <w:szCs w:val="20"/>
                    </w:rPr>
                    <w:tab/>
                  </w:r>
                </w:p>
                <w:p w:rsidR="00B069DE" w:rsidRPr="002A3BB4" w:rsidRDefault="00B069DE" w:rsidP="00D74BF0">
                  <w:pPr>
                    <w:pStyle w:val="NoSpacing"/>
                    <w:numPr>
                      <w:ilvl w:val="0"/>
                      <w:numId w:val="27"/>
                    </w:numPr>
                    <w:ind w:left="709" w:hanging="425"/>
                    <w:rPr>
                      <w:bCs/>
                      <w:color w:val="000000"/>
                      <w:sz w:val="44"/>
                      <w:szCs w:val="40"/>
                      <w:lang w:val="pl-PL"/>
                    </w:rPr>
                  </w:pPr>
                  <w:r w:rsidRPr="002A3BB4">
                    <w:rPr>
                      <w:bCs/>
                      <w:szCs w:val="20"/>
                      <w:lang w:val="sr-Latn-CS"/>
                    </w:rPr>
                    <w:t>Izvorni prihodi budžeta Crne Gore u maju 2014</w:t>
                  </w:r>
                  <w:r>
                    <w:rPr>
                      <w:bCs/>
                      <w:szCs w:val="20"/>
                      <w:lang w:val="sr-Latn-CS"/>
                    </w:rPr>
                    <w:t>.</w:t>
                  </w:r>
                  <w:r w:rsidRPr="002A3BB4">
                    <w:rPr>
                      <w:bCs/>
                      <w:szCs w:val="20"/>
                      <w:lang w:val="sr-Latn-CS"/>
                    </w:rPr>
                    <w:t xml:space="preserve"> iznos</w:t>
                  </w:r>
                  <w:r>
                    <w:rPr>
                      <w:bCs/>
                      <w:szCs w:val="20"/>
                      <w:lang w:val="sr-Latn-CS"/>
                    </w:rPr>
                    <w:t>e</w:t>
                  </w:r>
                  <w:r w:rsidRPr="002A3BB4">
                    <w:rPr>
                      <w:bCs/>
                      <w:szCs w:val="20"/>
                      <w:lang w:val="sr-Latn-CS"/>
                    </w:rPr>
                    <w:t xml:space="preserve"> 102,1 mil. € i veći </w:t>
                  </w:r>
                  <w:r>
                    <w:rPr>
                      <w:bCs/>
                      <w:szCs w:val="20"/>
                      <w:lang w:val="sr-Latn-CS"/>
                    </w:rPr>
                    <w:t xml:space="preserve">su </w:t>
                  </w:r>
                  <w:r w:rsidRPr="002A3BB4">
                    <w:rPr>
                      <w:bCs/>
                      <w:szCs w:val="20"/>
                      <w:lang w:val="sr-Latn-CS"/>
                    </w:rPr>
                    <w:t xml:space="preserve"> u odnosu na plan i ostvarenje iz prošle godine.</w:t>
                  </w:r>
                </w:p>
                <w:p w:rsidR="00B069DE" w:rsidRPr="00D74BF0" w:rsidRDefault="00B069DE" w:rsidP="00B069DE">
                  <w:pPr>
                    <w:pStyle w:val="NoSpacing"/>
                    <w:numPr>
                      <w:ilvl w:val="0"/>
                      <w:numId w:val="27"/>
                    </w:numPr>
                    <w:ind w:left="709" w:hanging="425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  <w:r w:rsidRPr="00D74BF0">
                    <w:rPr>
                      <w:szCs w:val="20"/>
                    </w:rPr>
                    <w:t xml:space="preserve">U periodu </w:t>
                  </w:r>
                  <w:r w:rsidRPr="00B069DE">
                    <w:rPr>
                      <w:szCs w:val="20"/>
                    </w:rPr>
                    <w:t>januar – maj 2014</w:t>
                  </w:r>
                  <w:r w:rsidRPr="00D74BF0">
                    <w:rPr>
                      <w:szCs w:val="20"/>
                    </w:rPr>
                    <w:t xml:space="preserve">. smanjen  ukupan </w:t>
                  </w:r>
                  <w:r>
                    <w:rPr>
                      <w:szCs w:val="20"/>
                    </w:rPr>
                    <w:t xml:space="preserve">spoljnotrgovinski </w:t>
                  </w:r>
                  <w:r w:rsidRPr="00D74BF0">
                    <w:rPr>
                      <w:szCs w:val="20"/>
                    </w:rPr>
                    <w:t>promet, usljed pada vrijednosti izvoza za 28,6% i uvoza za 3,0%.</w:t>
                  </w:r>
                </w:p>
                <w:p w:rsidR="00B069DE" w:rsidRPr="005A778E" w:rsidRDefault="00B069DE" w:rsidP="00B069DE">
                  <w:pPr>
                    <w:pStyle w:val="NoSpacing"/>
                    <w:numPr>
                      <w:ilvl w:val="0"/>
                      <w:numId w:val="27"/>
                    </w:numPr>
                    <w:ind w:left="709" w:hanging="425"/>
                    <w:rPr>
                      <w:b/>
                      <w:bCs/>
                      <w:sz w:val="24"/>
                      <w:szCs w:val="40"/>
                      <w:lang w:val="pl-PL"/>
                    </w:rPr>
                  </w:pPr>
                  <w:r w:rsidRPr="005A778E">
                    <w:rPr>
                      <w:szCs w:val="20"/>
                    </w:rPr>
                    <w:t>U periodu januar-april 2014. neto SDI</w:t>
                  </w:r>
                  <w:r w:rsidRPr="005A778E">
                    <w:rPr>
                      <w:color w:val="FF0000"/>
                      <w:szCs w:val="20"/>
                    </w:rPr>
                    <w:t xml:space="preserve"> </w:t>
                  </w:r>
                  <w:r w:rsidR="00FE4AB0" w:rsidRPr="005A778E">
                    <w:rPr>
                      <w:szCs w:val="20"/>
                    </w:rPr>
                    <w:t>iznosile</w:t>
                  </w:r>
                  <w:r w:rsidRPr="005A778E">
                    <w:rPr>
                      <w:szCs w:val="20"/>
                    </w:rPr>
                    <w:t xml:space="preserve"> 94,5 mil.€ (14,4% više g-n-g</w:t>
                  </w:r>
                  <w:r w:rsidRPr="005A778E">
                    <w:rPr>
                      <w:szCs w:val="20"/>
                      <w:lang w:val="sr-Latn-CS"/>
                    </w:rPr>
                    <w:t>)</w:t>
                  </w:r>
                </w:p>
              </w:txbxContent>
            </v:textbox>
            <w10:wrap type="tight" anchorx="margin" anchory="margin"/>
          </v:shape>
        </w:pict>
      </w:r>
    </w:p>
    <w:p w:rsidR="0082570B" w:rsidRPr="00715429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  <w:lang w:val="hr-BA"/>
        </w:rPr>
      </w:pPr>
    </w:p>
    <w:p w:rsidR="0082570B" w:rsidRPr="00715429" w:rsidRDefault="0082570B" w:rsidP="00D20CDA">
      <w:pPr>
        <w:spacing w:after="0" w:line="240" w:lineRule="auto"/>
        <w:rPr>
          <w:rFonts w:cs="Calibri"/>
          <w:bCs/>
          <w:noProof/>
          <w:sz w:val="28"/>
          <w:szCs w:val="28"/>
          <w:lang w:val="hr-BA"/>
        </w:rPr>
      </w:pPr>
    </w:p>
    <w:p w:rsidR="0082570B" w:rsidRPr="00715429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  <w:lang w:val="hr-BA"/>
        </w:rPr>
      </w:pPr>
    </w:p>
    <w:p w:rsidR="0082570B" w:rsidRPr="00715429" w:rsidRDefault="0085138D" w:rsidP="00D61692">
      <w:pPr>
        <w:pStyle w:val="NoSpacing"/>
        <w:rPr>
          <w:bCs/>
          <w:iCs/>
          <w:noProof/>
          <w:sz w:val="26"/>
          <w:szCs w:val="26"/>
          <w:lang w:val="hr-BA"/>
        </w:rPr>
      </w:pPr>
      <w:r>
        <w:rPr>
          <w:bCs/>
          <w:iCs/>
          <w:noProof/>
          <w:sz w:val="26"/>
          <w:szCs w:val="26"/>
          <w:lang w:val="hr-BA"/>
        </w:rPr>
        <w:t xml:space="preserve">          </w:t>
      </w:r>
    </w:p>
    <w:p w:rsidR="0082570B" w:rsidRPr="00715429" w:rsidRDefault="0085138D" w:rsidP="00694445">
      <w:pPr>
        <w:pStyle w:val="NoSpacing"/>
        <w:rPr>
          <w:bCs/>
          <w:noProof/>
          <w:sz w:val="28"/>
          <w:szCs w:val="20"/>
          <w:lang w:val="hr-BA"/>
        </w:rPr>
      </w:pPr>
      <w:r>
        <w:rPr>
          <w:bCs/>
          <w:noProof/>
          <w:sz w:val="28"/>
          <w:szCs w:val="20"/>
          <w:lang w:val="sr-Latn-CS" w:eastAsia="sr-Latn-C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912495</wp:posOffset>
            </wp:positionH>
            <wp:positionV relativeFrom="paragraph">
              <wp:posOffset>136525</wp:posOffset>
            </wp:positionV>
            <wp:extent cx="2238375" cy="2644140"/>
            <wp:effectExtent l="19050" t="0" r="9525" b="0"/>
            <wp:wrapSquare wrapText="bothSides"/>
            <wp:docPr id="13" name="Picture 1" descr="C:\Users\radovan.zivkovic\Desktop\push-to-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ovan.zivkovic\Desktop\push-to-vertic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70B" w:rsidRPr="00715429" w:rsidRDefault="0082570B" w:rsidP="003324D9">
      <w:pPr>
        <w:pStyle w:val="NoSpacing"/>
        <w:rPr>
          <w:noProof/>
          <w:sz w:val="32"/>
          <w:lang w:val="hr-BA"/>
        </w:rPr>
      </w:pPr>
    </w:p>
    <w:p w:rsidR="0082570B" w:rsidRPr="00715429" w:rsidRDefault="0082570B" w:rsidP="003324D9">
      <w:pPr>
        <w:pStyle w:val="NoSpacing"/>
        <w:rPr>
          <w:noProof/>
          <w:sz w:val="32"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b/>
          <w:bCs/>
          <w:noProof/>
          <w:color w:val="000000"/>
          <w:sz w:val="16"/>
          <w:szCs w:val="16"/>
          <w:lang w:val="hr-BA"/>
        </w:rPr>
      </w:pPr>
    </w:p>
    <w:p w:rsidR="0082570B" w:rsidRPr="00715429" w:rsidRDefault="0082570B" w:rsidP="003324D9">
      <w:pPr>
        <w:pStyle w:val="NoSpacing"/>
        <w:rPr>
          <w:b/>
          <w:bCs/>
          <w:noProof/>
          <w:color w:val="000000"/>
          <w:sz w:val="16"/>
          <w:szCs w:val="16"/>
          <w:lang w:val="hr-BA"/>
        </w:rPr>
      </w:pPr>
    </w:p>
    <w:p w:rsidR="0082570B" w:rsidRPr="00715429" w:rsidRDefault="0082570B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  <w:r w:rsidRPr="00715429">
        <w:rPr>
          <w:b/>
          <w:bCs/>
          <w:noProof/>
          <w:color w:val="000000"/>
          <w:sz w:val="16"/>
          <w:szCs w:val="16"/>
          <w:lang w:val="hr-BA"/>
        </w:rPr>
        <w:t xml:space="preserve">Autori priloga: 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>Radovan Živković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>, Radojka Martinović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 xml:space="preserve">, Olja Tomanović, </w:t>
      </w:r>
      <w:r w:rsidR="00074D69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>Stanko Jeknić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>,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C646AC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EB54F9">
        <w:rPr>
          <w:bCs/>
          <w:noProof/>
          <w:color w:val="000000"/>
          <w:sz w:val="16"/>
          <w:szCs w:val="16"/>
          <w:lang w:val="hr-BA"/>
        </w:rPr>
        <w:t>Vesna Obradović</w:t>
      </w:r>
      <w:r w:rsidR="004B5F63" w:rsidRPr="00715429">
        <w:rPr>
          <w:bCs/>
          <w:noProof/>
          <w:color w:val="000000"/>
          <w:sz w:val="16"/>
          <w:szCs w:val="16"/>
          <w:lang w:val="hr-BA"/>
        </w:rPr>
        <w:t>, Marija Novosel</w:t>
      </w:r>
      <w:r w:rsidR="00A423C3" w:rsidRPr="00715429">
        <w:rPr>
          <w:bCs/>
          <w:noProof/>
          <w:color w:val="000000"/>
          <w:sz w:val="16"/>
          <w:szCs w:val="16"/>
          <w:lang w:val="hr-BA"/>
        </w:rPr>
        <w:t>,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 xml:space="preserve"> Zdenka</w:t>
      </w:r>
      <w:r w:rsidR="00F03604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>Dabović</w:t>
      </w:r>
      <w:r w:rsidR="00E2362B">
        <w:rPr>
          <w:bCs/>
          <w:noProof/>
          <w:color w:val="000000"/>
          <w:sz w:val="16"/>
          <w:szCs w:val="16"/>
          <w:lang w:val="hr-BA"/>
        </w:rPr>
        <w:t>, Milanka Jovanović</w:t>
      </w:r>
    </w:p>
    <w:p w:rsidR="00A67F78" w:rsidRPr="00715429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</w:p>
    <w:p w:rsidR="00A67F78" w:rsidRPr="00715429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</w:p>
    <w:p w:rsidR="00A67F78" w:rsidRPr="00715429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</w:p>
    <w:p w:rsidR="00A67F78" w:rsidRPr="00715429" w:rsidRDefault="00A67F78" w:rsidP="00A423C3">
      <w:pPr>
        <w:pStyle w:val="NoSpacing"/>
        <w:outlineLvl w:val="0"/>
        <w:rPr>
          <w:noProof/>
          <w:lang w:val="hr-BA"/>
        </w:rPr>
      </w:pPr>
    </w:p>
    <w:tbl>
      <w:tblPr>
        <w:tblpPr w:leftFromText="180" w:rightFromText="180" w:vertAnchor="text" w:tblpX="74" w:tblpY="1"/>
        <w:tblOverlap w:val="never"/>
        <w:tblW w:w="10778" w:type="dxa"/>
        <w:tblBorders>
          <w:top w:val="thinThickSmallGap" w:sz="18" w:space="0" w:color="auto"/>
          <w:bottom w:val="thinThickSmallGap" w:sz="18" w:space="0" w:color="auto"/>
          <w:insideH w:val="thinThickSmallGap" w:sz="18" w:space="0" w:color="auto"/>
        </w:tblBorders>
        <w:tblLayout w:type="fixed"/>
        <w:tblLook w:val="00A0"/>
      </w:tblPr>
      <w:tblGrid>
        <w:gridCol w:w="6980"/>
        <w:gridCol w:w="3652"/>
        <w:gridCol w:w="112"/>
        <w:gridCol w:w="34"/>
      </w:tblGrid>
      <w:tr w:rsidR="0082570B" w:rsidRPr="00715429" w:rsidTr="00D84D2A">
        <w:trPr>
          <w:gridAfter w:val="2"/>
          <w:wAfter w:w="146" w:type="dxa"/>
        </w:trPr>
        <w:tc>
          <w:tcPr>
            <w:tcW w:w="6980" w:type="dxa"/>
            <w:tcBorders>
              <w:bottom w:val="single" w:sz="4" w:space="0" w:color="auto"/>
            </w:tcBorders>
          </w:tcPr>
          <w:p w:rsidR="0082570B" w:rsidRPr="00715429" w:rsidRDefault="005065E6" w:rsidP="00D84D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/>
                <w:noProof/>
                <w:color w:val="000000"/>
                <w:sz w:val="20"/>
                <w:szCs w:val="20"/>
                <w:lang w:val="hr-BA" w:eastAsia="en-US"/>
              </w:rPr>
            </w:pPr>
            <w:r w:rsidRPr="00715429">
              <w:rPr>
                <w:rFonts w:eastAsia="Times New Roman"/>
                <w:b/>
                <w:noProof/>
                <w:color w:val="000000"/>
                <w:sz w:val="20"/>
                <w:szCs w:val="20"/>
                <w:lang w:val="hr-BA" w:eastAsia="en-US"/>
              </w:rPr>
              <w:lastRenderedPageBreak/>
              <w:t>Međunarodno okruženje</w:t>
            </w:r>
          </w:p>
        </w:tc>
        <w:tc>
          <w:tcPr>
            <w:tcW w:w="3652" w:type="dxa"/>
            <w:vMerge w:val="restart"/>
            <w:tcBorders>
              <w:bottom w:val="nil"/>
            </w:tcBorders>
            <w:vAlign w:val="center"/>
          </w:tcPr>
          <w:p w:rsidR="0082570B" w:rsidRPr="00715429" w:rsidRDefault="009A267A" w:rsidP="00D84D2A">
            <w:pPr>
              <w:spacing w:after="0" w:line="240" w:lineRule="auto"/>
              <w:jc w:val="center"/>
              <w:rPr>
                <w:rFonts w:cs="Calibri"/>
                <w:noProof/>
                <w:color w:val="000000"/>
                <w:sz w:val="20"/>
                <w:szCs w:val="20"/>
                <w:lang w:val="hr-BA"/>
              </w:rPr>
            </w:pPr>
            <w:r w:rsidRPr="009A267A">
              <w:rPr>
                <w:rFonts w:cs="Calibri"/>
                <w:noProof/>
                <w:color w:val="000000"/>
                <w:sz w:val="20"/>
                <w:szCs w:val="20"/>
                <w:lang w:val="sr-Latn-CS" w:eastAsia="sr-Latn-CS"/>
              </w:rPr>
              <w:drawing>
                <wp:inline distT="0" distB="0" distL="0" distR="0">
                  <wp:extent cx="2088000" cy="2160000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82570B" w:rsidRPr="00715429" w:rsidTr="00D84D2A">
        <w:trPr>
          <w:gridAfter w:val="2"/>
          <w:wAfter w:w="146" w:type="dxa"/>
          <w:trHeight w:hRule="exact" w:val="3226"/>
        </w:trPr>
        <w:tc>
          <w:tcPr>
            <w:tcW w:w="6980" w:type="dxa"/>
            <w:tcBorders>
              <w:top w:val="single" w:sz="4" w:space="0" w:color="auto"/>
            </w:tcBorders>
          </w:tcPr>
          <w:p w:rsidR="00754D46" w:rsidRPr="00715429" w:rsidRDefault="005014FE" w:rsidP="00FE4AB0">
            <w:pPr>
              <w:spacing w:line="240" w:lineRule="auto"/>
              <w:jc w:val="both"/>
              <w:rPr>
                <w:noProof/>
                <w:sz w:val="20"/>
                <w:szCs w:val="20"/>
                <w:lang w:val="hr-BA"/>
              </w:rPr>
            </w:pPr>
            <w:r>
              <w:rPr>
                <w:noProof/>
                <w:sz w:val="20"/>
                <w:szCs w:val="20"/>
                <w:lang w:val="hr-BA"/>
              </w:rPr>
              <w:t>Preliminarne procjene IFO (Ekonomski institut Minhen) bizni</w:t>
            </w:r>
            <w:r w:rsidR="00A67FC5">
              <w:rPr>
                <w:noProof/>
                <w:sz w:val="20"/>
                <w:szCs w:val="20"/>
                <w:lang w:val="hr-BA"/>
              </w:rPr>
              <w:t>s indeksa za drugi kvartal 2014</w:t>
            </w:r>
            <w:r>
              <w:rPr>
                <w:noProof/>
                <w:sz w:val="20"/>
                <w:szCs w:val="20"/>
                <w:lang w:val="hr-BA"/>
              </w:rPr>
              <w:t xml:space="preserve">, pokazuju dalje jačanje povjerenja u oporavak ekonomske aktivnosti </w:t>
            </w:r>
            <w:r w:rsidR="006F6F40">
              <w:rPr>
                <w:noProof/>
                <w:sz w:val="20"/>
                <w:szCs w:val="20"/>
                <w:lang w:val="hr-BA"/>
              </w:rPr>
              <w:t xml:space="preserve">u </w:t>
            </w:r>
            <w:r w:rsidR="00B069DE">
              <w:rPr>
                <w:noProof/>
                <w:sz w:val="20"/>
                <w:szCs w:val="20"/>
                <w:lang w:val="hr-BA"/>
              </w:rPr>
              <w:t>Eurozoni. Ovaj indeks porastao</w:t>
            </w:r>
            <w:r>
              <w:rPr>
                <w:noProof/>
                <w:sz w:val="20"/>
                <w:szCs w:val="20"/>
                <w:lang w:val="hr-BA"/>
              </w:rPr>
              <w:t xml:space="preserve"> je na 123.0</w:t>
            </w:r>
            <w:r w:rsidR="006F6F40">
              <w:rPr>
                <w:noProof/>
                <w:sz w:val="20"/>
                <w:szCs w:val="20"/>
                <w:lang w:val="hr-BA"/>
              </w:rPr>
              <w:t xml:space="preserve"> indeksna poena</w:t>
            </w:r>
            <w:r>
              <w:rPr>
                <w:noProof/>
                <w:sz w:val="20"/>
                <w:szCs w:val="20"/>
                <w:lang w:val="hr-BA"/>
              </w:rPr>
              <w:t xml:space="preserve"> (najviši nivo od 2007) sa 119,9 u prvom kvartalu 2014. </w:t>
            </w:r>
            <w:r w:rsidR="00FE4AB0">
              <w:rPr>
                <w:noProof/>
                <w:sz w:val="20"/>
                <w:szCs w:val="20"/>
                <w:lang w:val="hr-BA"/>
              </w:rPr>
              <w:t>R</w:t>
            </w:r>
            <w:r>
              <w:rPr>
                <w:noProof/>
                <w:sz w:val="20"/>
                <w:szCs w:val="20"/>
                <w:lang w:val="hr-BA"/>
              </w:rPr>
              <w:t>ast BDP-a u 2014. će iznositi 1,3%. Stope rasta se kreću od -4,9% za Kipar</w:t>
            </w:r>
            <w:r w:rsidR="006F6F40">
              <w:rPr>
                <w:noProof/>
                <w:sz w:val="20"/>
                <w:szCs w:val="20"/>
                <w:lang w:val="hr-BA"/>
              </w:rPr>
              <w:t>,</w:t>
            </w:r>
            <w:r>
              <w:rPr>
                <w:noProof/>
                <w:sz w:val="20"/>
                <w:szCs w:val="20"/>
                <w:lang w:val="hr-BA"/>
              </w:rPr>
              <w:t xml:space="preserve"> do 2,8% za </w:t>
            </w:r>
            <w:r w:rsidR="00FE4AB0">
              <w:rPr>
                <w:noProof/>
                <w:sz w:val="20"/>
                <w:szCs w:val="20"/>
                <w:lang w:val="hr-BA"/>
              </w:rPr>
              <w:t>Letoniju</w:t>
            </w:r>
            <w:r w:rsidRPr="00FE4AB0">
              <w:rPr>
                <w:noProof/>
                <w:sz w:val="20"/>
                <w:szCs w:val="20"/>
                <w:lang w:val="hr-BA"/>
              </w:rPr>
              <w:t>.</w:t>
            </w:r>
            <w:r>
              <w:rPr>
                <w:noProof/>
                <w:sz w:val="20"/>
                <w:szCs w:val="20"/>
                <w:lang w:val="hr-BA"/>
              </w:rPr>
              <w:t xml:space="preserve"> Njemačka ostaje glavni </w:t>
            </w:r>
            <w:r w:rsidR="00B069DE">
              <w:rPr>
                <w:noProof/>
                <w:sz w:val="20"/>
                <w:szCs w:val="20"/>
                <w:lang w:val="hr-BA"/>
              </w:rPr>
              <w:t>pokretač</w:t>
            </w:r>
            <w:r>
              <w:rPr>
                <w:noProof/>
                <w:sz w:val="20"/>
                <w:szCs w:val="20"/>
                <w:lang w:val="hr-BA"/>
              </w:rPr>
              <w:t xml:space="preserve"> ekonomskog oporavka, dok se stagnacija</w:t>
            </w:r>
            <w:r w:rsidR="006F6F40">
              <w:rPr>
                <w:noProof/>
                <w:sz w:val="20"/>
                <w:szCs w:val="20"/>
                <w:lang w:val="hr-BA"/>
              </w:rPr>
              <w:t xml:space="preserve"> ili slab rast </w:t>
            </w:r>
            <w:r>
              <w:rPr>
                <w:noProof/>
                <w:sz w:val="20"/>
                <w:szCs w:val="20"/>
                <w:lang w:val="hr-BA"/>
              </w:rPr>
              <w:t>očekuje u Grčkoj</w:t>
            </w:r>
            <w:r w:rsidR="006F6F40">
              <w:rPr>
                <w:noProof/>
                <w:sz w:val="20"/>
                <w:szCs w:val="20"/>
                <w:lang w:val="hr-BA"/>
              </w:rPr>
              <w:t xml:space="preserve">, Italiji, </w:t>
            </w:r>
            <w:r w:rsidR="006F6F40" w:rsidRPr="00FE4AB0">
              <w:rPr>
                <w:noProof/>
                <w:sz w:val="20"/>
                <w:szCs w:val="20"/>
                <w:lang w:val="hr-BA"/>
              </w:rPr>
              <w:t>Portu</w:t>
            </w:r>
            <w:r w:rsidR="00FE4AB0" w:rsidRPr="00FE4AB0">
              <w:rPr>
                <w:noProof/>
                <w:sz w:val="20"/>
                <w:szCs w:val="20"/>
                <w:lang w:val="hr-BA"/>
              </w:rPr>
              <w:t>gal</w:t>
            </w:r>
            <w:r w:rsidR="00FE4AB0">
              <w:rPr>
                <w:noProof/>
                <w:sz w:val="20"/>
                <w:szCs w:val="20"/>
                <w:lang w:val="hr-BA"/>
              </w:rPr>
              <w:t>iji</w:t>
            </w:r>
            <w:r>
              <w:rPr>
                <w:noProof/>
                <w:sz w:val="20"/>
                <w:szCs w:val="20"/>
                <w:lang w:val="hr-BA"/>
              </w:rPr>
              <w:t xml:space="preserve"> i Španiji, zemljama koje s</w:t>
            </w:r>
            <w:r w:rsidR="00FF0DA4">
              <w:rPr>
                <w:noProof/>
                <w:sz w:val="20"/>
                <w:szCs w:val="20"/>
                <w:lang w:val="hr-BA"/>
              </w:rPr>
              <w:t>u</w:t>
            </w:r>
            <w:r>
              <w:rPr>
                <w:noProof/>
                <w:sz w:val="20"/>
                <w:szCs w:val="20"/>
                <w:lang w:val="hr-BA"/>
              </w:rPr>
              <w:t xml:space="preserve"> bile najviše pogođene krizom. Glavni problem i dal</w:t>
            </w:r>
            <w:r w:rsidR="001D12F1">
              <w:rPr>
                <w:noProof/>
                <w:sz w:val="20"/>
                <w:szCs w:val="20"/>
                <w:lang w:val="hr-BA"/>
              </w:rPr>
              <w:t>je ostaju: visoka nezaposlenost</w:t>
            </w:r>
            <w:r>
              <w:rPr>
                <w:noProof/>
                <w:sz w:val="20"/>
                <w:szCs w:val="20"/>
                <w:lang w:val="hr-BA"/>
              </w:rPr>
              <w:t>, visoki budžetski deficiti i slaba tražnja</w:t>
            </w:r>
            <w:r w:rsidR="006F6F40">
              <w:rPr>
                <w:noProof/>
                <w:sz w:val="20"/>
                <w:szCs w:val="20"/>
                <w:lang w:val="hr-BA"/>
              </w:rPr>
              <w:t>,</w:t>
            </w:r>
            <w:r>
              <w:rPr>
                <w:noProof/>
                <w:sz w:val="20"/>
                <w:szCs w:val="20"/>
                <w:lang w:val="hr-BA"/>
              </w:rPr>
              <w:t xml:space="preserve"> mada </w:t>
            </w:r>
            <w:r w:rsidR="00B069DE">
              <w:rPr>
                <w:noProof/>
                <w:sz w:val="20"/>
                <w:szCs w:val="20"/>
                <w:lang w:val="hr-BA"/>
              </w:rPr>
              <w:t>ekonomska</w:t>
            </w:r>
            <w:r>
              <w:rPr>
                <w:noProof/>
                <w:sz w:val="20"/>
                <w:szCs w:val="20"/>
                <w:lang w:val="hr-BA"/>
              </w:rPr>
              <w:t xml:space="preserve"> očekivanja za narednih 6 mjeseci </w:t>
            </w:r>
            <w:r w:rsidR="006F6F40">
              <w:rPr>
                <w:noProof/>
                <w:sz w:val="20"/>
                <w:szCs w:val="20"/>
                <w:lang w:val="hr-BA"/>
              </w:rPr>
              <w:t>signaliziraju poboljšanje</w:t>
            </w:r>
            <w:r>
              <w:rPr>
                <w:noProof/>
                <w:sz w:val="20"/>
                <w:szCs w:val="20"/>
                <w:lang w:val="hr-BA"/>
              </w:rPr>
              <w:t>.</w:t>
            </w:r>
            <w:r w:rsidR="006F6F40">
              <w:rPr>
                <w:noProof/>
                <w:sz w:val="20"/>
                <w:szCs w:val="20"/>
                <w:lang w:val="hr-BA"/>
              </w:rPr>
              <w:t xml:space="preserve"> Eksperti očekuju da će kamatne stope ostati na niskom nivou u narednih pola godine. Očekuje se da će inflacija dostići nivo od 1,2% na kraju 2014, što je ispod ciljanih vrijednosti ECB-a od 2%. Neizvjesnost oko situacije u Iraku podigla je cijene nafte na oko 114 USD/barell u junu.</w:t>
            </w:r>
          </w:p>
        </w:tc>
        <w:tc>
          <w:tcPr>
            <w:tcW w:w="3652" w:type="dxa"/>
            <w:vMerge/>
            <w:tcBorders>
              <w:top w:val="nil"/>
            </w:tcBorders>
            <w:vAlign w:val="center"/>
          </w:tcPr>
          <w:p w:rsidR="0082570B" w:rsidRPr="00715429" w:rsidRDefault="0082570B" w:rsidP="00D84D2A">
            <w:pPr>
              <w:spacing w:after="0" w:line="240" w:lineRule="auto"/>
              <w:ind w:left="34" w:hanging="34"/>
              <w:rPr>
                <w:rFonts w:cs="Calibri"/>
                <w:noProof/>
                <w:color w:val="000000"/>
                <w:sz w:val="20"/>
                <w:szCs w:val="20"/>
                <w:lang w:val="hr-BA"/>
              </w:rPr>
            </w:pPr>
          </w:p>
        </w:tc>
      </w:tr>
      <w:tr w:rsidR="0082570B" w:rsidRPr="00715429" w:rsidTr="00D84D2A">
        <w:trPr>
          <w:gridAfter w:val="2"/>
          <w:wAfter w:w="146" w:type="dxa"/>
          <w:trHeight w:val="215"/>
        </w:trPr>
        <w:tc>
          <w:tcPr>
            <w:tcW w:w="6980" w:type="dxa"/>
            <w:tcBorders>
              <w:bottom w:val="single" w:sz="4" w:space="0" w:color="auto"/>
            </w:tcBorders>
          </w:tcPr>
          <w:p w:rsidR="0082570B" w:rsidRPr="00715429" w:rsidRDefault="008A31C0" w:rsidP="00D84D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CaptionChar"/>
                <w:noProof/>
                <w:lang w:val="hr-BA"/>
              </w:rPr>
            </w:pPr>
            <w:r w:rsidRPr="00715429">
              <w:rPr>
                <w:rStyle w:val="CaptionChar"/>
                <w:noProof/>
                <w:lang w:val="hr-BA"/>
              </w:rPr>
              <w:t>Realni sektor</w:t>
            </w:r>
          </w:p>
        </w:tc>
        <w:tc>
          <w:tcPr>
            <w:tcW w:w="3652" w:type="dxa"/>
            <w:vMerge w:val="restart"/>
            <w:vAlign w:val="center"/>
          </w:tcPr>
          <w:p w:rsidR="0082570B" w:rsidRPr="00715429" w:rsidRDefault="00F051B2" w:rsidP="00D84D2A">
            <w:pPr>
              <w:spacing w:after="0" w:line="240" w:lineRule="auto"/>
              <w:ind w:left="-250"/>
              <w:jc w:val="center"/>
              <w:rPr>
                <w:noProof/>
                <w:lang w:val="hr-BA"/>
              </w:rPr>
            </w:pPr>
            <w:r w:rsidRPr="00F051B2">
              <w:rPr>
                <w:noProof/>
                <w:lang w:val="sr-Latn-CS" w:eastAsia="sr-Latn-CS"/>
              </w:rPr>
              <w:drawing>
                <wp:inline distT="0" distB="0" distL="0" distR="0">
                  <wp:extent cx="2066925" cy="1943100"/>
                  <wp:effectExtent l="0" t="0" r="0" b="0"/>
                  <wp:docPr id="4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7D0106" w:rsidRPr="00715429" w:rsidTr="00D84D2A">
        <w:trPr>
          <w:gridAfter w:val="2"/>
          <w:wAfter w:w="146" w:type="dxa"/>
          <w:trHeight w:hRule="exact" w:val="3742"/>
        </w:trPr>
        <w:tc>
          <w:tcPr>
            <w:tcW w:w="6980" w:type="dxa"/>
            <w:tcBorders>
              <w:top w:val="single" w:sz="4" w:space="0" w:color="auto"/>
            </w:tcBorders>
          </w:tcPr>
          <w:p w:rsidR="00F051B2" w:rsidRDefault="00F051B2" w:rsidP="00D84D2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Kretanja u realnom sektoru u maju 2014. bila su bez značajnijih promjena u odnosu na prethodni mjesec.</w:t>
            </w:r>
            <w:r>
              <w:rPr>
                <w:sz w:val="20"/>
                <w:szCs w:val="20"/>
              </w:rPr>
              <w:t xml:space="preserve"> Nastavlja se trend pada industrijske proizvodnje, koji je u maju 2014.(g-n-g) iznosio 23,4%. Sektor „vađenje rude i kamena“ ostvario je rast od 259,6%, dok su sektori „prerađivačka industrija“ i „snabdijevanje el.energijom, gasom i parom“ zabilježili pad od 10,9 i 43,8%, respektivno. Rast u sektoru „vađenje rude i kamena“ je rezultat visokog rasta u oblasti vađenja uglja (1070,4%), dok je pad u sektoru „prerađivačka industrija“, prvenstveno rezultat pada proizvodnje pića (20,3%), farmaceutskih proizvoda (36,0%) i osnovnih metala (11,0%). Proizvodnja električne od početka godine bilježi kontinuirani pad koji je u maju (g-n-g) iznosio 43,8%.</w:t>
            </w:r>
            <w:r w:rsidR="00B03368">
              <w:rPr>
                <w:sz w:val="20"/>
                <w:szCs w:val="20"/>
              </w:rPr>
              <w:t xml:space="preserve"> Crnu Goru </w:t>
            </w:r>
            <w:r>
              <w:rPr>
                <w:sz w:val="20"/>
                <w:szCs w:val="20"/>
              </w:rPr>
              <w:t xml:space="preserve"> </w:t>
            </w:r>
            <w:r w:rsidR="00B03368">
              <w:rPr>
                <w:sz w:val="20"/>
                <w:szCs w:val="20"/>
              </w:rPr>
              <w:t>je u maju posjetilo 2,4% više turista</w:t>
            </w:r>
            <w:r>
              <w:rPr>
                <w:sz w:val="20"/>
                <w:szCs w:val="20"/>
              </w:rPr>
              <w:t xml:space="preserve"> </w:t>
            </w:r>
            <w:r w:rsidR="00B03368">
              <w:rPr>
                <w:sz w:val="20"/>
                <w:szCs w:val="20"/>
              </w:rPr>
              <w:t>koji su ostvarili 4,2% manje noćenja</w:t>
            </w:r>
            <w:r>
              <w:rPr>
                <w:sz w:val="20"/>
                <w:szCs w:val="20"/>
              </w:rPr>
              <w:t xml:space="preserve"> g-n-g, dok je </w:t>
            </w:r>
            <w:r w:rsidR="00B03368">
              <w:rPr>
                <w:sz w:val="20"/>
                <w:szCs w:val="20"/>
              </w:rPr>
              <w:t xml:space="preserve">za </w:t>
            </w:r>
            <w:r w:rsidR="001156E2">
              <w:rPr>
                <w:sz w:val="20"/>
                <w:szCs w:val="20"/>
              </w:rPr>
              <w:t>pet</w:t>
            </w:r>
            <w:r w:rsidR="00B03368">
              <w:rPr>
                <w:sz w:val="20"/>
                <w:szCs w:val="20"/>
              </w:rPr>
              <w:t xml:space="preserve"> mjeseci</w:t>
            </w:r>
            <w:r>
              <w:rPr>
                <w:sz w:val="20"/>
                <w:szCs w:val="20"/>
              </w:rPr>
              <w:t xml:space="preserve"> </w:t>
            </w:r>
            <w:r w:rsidR="00B03368">
              <w:rPr>
                <w:sz w:val="20"/>
                <w:szCs w:val="20"/>
              </w:rPr>
              <w:t xml:space="preserve">zabilježen rast dolazaka i noćenja 4,0 i </w:t>
            </w:r>
            <w:r>
              <w:rPr>
                <w:sz w:val="20"/>
                <w:szCs w:val="20"/>
              </w:rPr>
              <w:t xml:space="preserve"> 0,1%</w:t>
            </w:r>
            <w:r w:rsidR="00B03368">
              <w:rPr>
                <w:sz w:val="20"/>
                <w:szCs w:val="20"/>
              </w:rPr>
              <w:t>, respektivno.</w:t>
            </w:r>
            <w:r>
              <w:rPr>
                <w:sz w:val="20"/>
                <w:szCs w:val="20"/>
              </w:rPr>
              <w:t xml:space="preserve"> Najznačajniji rast noćenja </w:t>
            </w:r>
            <w:r w:rsidR="007B68AD">
              <w:rPr>
                <w:sz w:val="20"/>
                <w:szCs w:val="20"/>
              </w:rPr>
              <w:t>ostvarili</w:t>
            </w:r>
            <w:r>
              <w:rPr>
                <w:sz w:val="20"/>
                <w:szCs w:val="20"/>
              </w:rPr>
              <w:t xml:space="preserve"> su turisti iz Ukrajine (77,5%), Rusije (5,8%) i Srbije (5,4%), </w:t>
            </w:r>
            <w:r w:rsidR="007B68AD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naj</w:t>
            </w:r>
            <w:r w:rsidR="007B68AD">
              <w:rPr>
                <w:sz w:val="20"/>
                <w:szCs w:val="20"/>
              </w:rPr>
              <w:t>veći pad  turisti</w:t>
            </w:r>
            <w:r>
              <w:rPr>
                <w:sz w:val="20"/>
                <w:szCs w:val="20"/>
              </w:rPr>
              <w:t xml:space="preserve"> iz BIH (24,1%) i Kosova (18,7%). Promet trgovin</w:t>
            </w:r>
            <w:r w:rsidR="00925C68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na malo u maju g-n-g, bilježi rast u tekućim cijenama od 2,6%, dok je rast u stalnim cijenama iznosio 4,8%.</w:t>
            </w:r>
          </w:p>
          <w:p w:rsidR="00B355D6" w:rsidRPr="00715429" w:rsidRDefault="00B355D6" w:rsidP="00D84D2A">
            <w:pPr>
              <w:spacing w:line="240" w:lineRule="auto"/>
              <w:jc w:val="both"/>
              <w:rPr>
                <w:rFonts w:cs="Calibri"/>
                <w:sz w:val="20"/>
                <w:szCs w:val="20"/>
                <w:lang w:val="hr-BA"/>
              </w:rPr>
            </w:pPr>
          </w:p>
        </w:tc>
        <w:tc>
          <w:tcPr>
            <w:tcW w:w="3652" w:type="dxa"/>
            <w:vMerge/>
            <w:vAlign w:val="center"/>
          </w:tcPr>
          <w:p w:rsidR="007D0106" w:rsidRPr="00715429" w:rsidRDefault="007D0106" w:rsidP="00D84D2A">
            <w:pPr>
              <w:spacing w:after="119" w:line="240" w:lineRule="auto"/>
              <w:jc w:val="center"/>
              <w:rPr>
                <w:noProof/>
                <w:lang w:val="hr-BA"/>
              </w:rPr>
            </w:pPr>
          </w:p>
        </w:tc>
      </w:tr>
      <w:tr w:rsidR="007D0106" w:rsidRPr="00715429" w:rsidTr="00D84D2A">
        <w:trPr>
          <w:gridAfter w:val="2"/>
          <w:wAfter w:w="146" w:type="dxa"/>
          <w:trHeight w:val="215"/>
        </w:trPr>
        <w:tc>
          <w:tcPr>
            <w:tcW w:w="6980" w:type="dxa"/>
            <w:tcBorders>
              <w:bottom w:val="single" w:sz="4" w:space="0" w:color="auto"/>
            </w:tcBorders>
          </w:tcPr>
          <w:p w:rsidR="007D0106" w:rsidRPr="00715429" w:rsidRDefault="008A31C0" w:rsidP="00D84D2A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</w:pPr>
            <w:r w:rsidRPr="00715429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t>Cijene</w:t>
            </w:r>
          </w:p>
        </w:tc>
        <w:tc>
          <w:tcPr>
            <w:tcW w:w="3652" w:type="dxa"/>
            <w:vMerge w:val="restart"/>
            <w:vAlign w:val="center"/>
          </w:tcPr>
          <w:p w:rsidR="007D0106" w:rsidRPr="00715429" w:rsidRDefault="004321B8" w:rsidP="00D84D2A">
            <w:pPr>
              <w:spacing w:after="0" w:line="240" w:lineRule="auto"/>
              <w:ind w:left="-250"/>
              <w:jc w:val="center"/>
              <w:rPr>
                <w:b/>
                <w:noProof/>
                <w:sz w:val="20"/>
                <w:szCs w:val="20"/>
                <w:lang w:val="hr-BA"/>
              </w:rPr>
            </w:pPr>
            <w:r w:rsidRPr="004321B8">
              <w:rPr>
                <w:b/>
                <w:noProof/>
                <w:sz w:val="20"/>
                <w:szCs w:val="20"/>
                <w:lang w:val="sr-Latn-CS" w:eastAsia="sr-Latn-CS"/>
              </w:rPr>
              <w:drawing>
                <wp:inline distT="0" distB="0" distL="0" distR="0">
                  <wp:extent cx="2225387" cy="2016000"/>
                  <wp:effectExtent l="0" t="0" r="0" b="0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7D0106" w:rsidRPr="00715429" w:rsidTr="00D84D2A">
        <w:trPr>
          <w:gridAfter w:val="2"/>
          <w:wAfter w:w="146" w:type="dxa"/>
          <w:trHeight w:hRule="exact" w:val="3459"/>
        </w:trPr>
        <w:tc>
          <w:tcPr>
            <w:tcW w:w="6980" w:type="dxa"/>
            <w:tcBorders>
              <w:top w:val="single" w:sz="4" w:space="0" w:color="auto"/>
              <w:bottom w:val="thinThickSmallGap" w:sz="18" w:space="0" w:color="auto"/>
            </w:tcBorders>
          </w:tcPr>
          <w:p w:rsidR="00F637D8" w:rsidRPr="00CF4446" w:rsidRDefault="00F637D8" w:rsidP="00D84D2A">
            <w:pPr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Nakon dva mjeseca uzastopnog pada, potrošačke cijene u maju bilježe rast na mjesečnom nivou.</w:t>
            </w:r>
            <w:r w:rsidR="00104CA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04CA5" w:rsidRPr="00104CA5">
              <w:rPr>
                <w:rFonts w:asciiTheme="minorHAnsi" w:hAnsiTheme="minorHAnsi"/>
                <w:sz w:val="20"/>
                <w:szCs w:val="20"/>
              </w:rPr>
              <w:t>Potrošačke cijene</w:t>
            </w:r>
            <w:r w:rsidR="00104CA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04CA5">
              <w:rPr>
                <w:rFonts w:asciiTheme="minorHAnsi" w:hAnsiTheme="minorHAnsi"/>
                <w:sz w:val="20"/>
                <w:szCs w:val="20"/>
              </w:rPr>
              <w:t xml:space="preserve">(HICP) </w:t>
            </w:r>
            <w:r w:rsidRPr="002B0095">
              <w:rPr>
                <w:rFonts w:asciiTheme="minorHAnsi" w:hAnsiTheme="minorHAnsi"/>
                <w:sz w:val="20"/>
                <w:szCs w:val="20"/>
              </w:rPr>
              <w:t xml:space="preserve">u </w:t>
            </w:r>
            <w:r>
              <w:rPr>
                <w:rFonts w:asciiTheme="minorHAnsi" w:hAnsiTheme="minorHAnsi"/>
                <w:sz w:val="20"/>
                <w:szCs w:val="20"/>
              </w:rPr>
              <w:t>maju</w:t>
            </w:r>
            <w:r w:rsidRPr="002B0095">
              <w:rPr>
                <w:rFonts w:asciiTheme="minorHAnsi" w:hAnsiTheme="minorHAnsi"/>
                <w:sz w:val="20"/>
                <w:szCs w:val="20"/>
              </w:rPr>
              <w:t xml:space="preserve"> 2014. </w:t>
            </w:r>
            <w:r w:rsidR="00104CA5">
              <w:rPr>
                <w:rFonts w:asciiTheme="minorHAnsi" w:hAnsiTheme="minorHAnsi"/>
                <w:sz w:val="20"/>
                <w:szCs w:val="20"/>
              </w:rPr>
              <w:t>bilježe</w:t>
            </w:r>
            <w:r w:rsidRPr="002B009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rast</w:t>
            </w:r>
            <w:r w:rsidRPr="002B009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od 0,5</w:t>
            </w:r>
            <w:r w:rsidRPr="002B0095">
              <w:rPr>
                <w:rFonts w:asciiTheme="minorHAnsi" w:hAnsiTheme="minorHAnsi"/>
                <w:sz w:val="20"/>
                <w:szCs w:val="20"/>
              </w:rPr>
              <w:t>% u odnosu na prethodni mjesec</w:t>
            </w:r>
            <w:r>
              <w:rPr>
                <w:rFonts w:asciiTheme="minorHAnsi" w:hAnsiTheme="minorHAnsi"/>
                <w:sz w:val="20"/>
                <w:szCs w:val="20"/>
              </w:rPr>
              <w:t>, dok je u odnosu na isti mjesec prošle godine, zabilježen pad od 0,7</w:t>
            </w:r>
            <w:r w:rsidRPr="002B0095">
              <w:rPr>
                <w:rFonts w:asciiTheme="minorHAnsi" w:hAnsiTheme="minorHAnsi"/>
                <w:sz w:val="20"/>
                <w:szCs w:val="20"/>
              </w:rPr>
              <w:t>%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F4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Najviše pozitivne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 xml:space="preserve"> stope rasta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 maju (g-n-g) 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>zabilježene su u grup</w:t>
            </w:r>
            <w:r>
              <w:rPr>
                <w:rFonts w:asciiTheme="minorHAnsi" w:hAnsiTheme="minorHAnsi"/>
                <w:sz w:val="20"/>
                <w:szCs w:val="20"/>
              </w:rPr>
              <w:t>ama „alkoholna pića i duvan“ (5,3</w:t>
            </w:r>
            <w:r w:rsidR="00104CA5">
              <w:rPr>
                <w:rFonts w:asciiTheme="minorHAnsi" w:hAnsiTheme="minorHAnsi"/>
                <w:sz w:val="20"/>
                <w:szCs w:val="20"/>
              </w:rPr>
              <w:t>%)</w:t>
            </w:r>
            <w:r>
              <w:rPr>
                <w:rFonts w:asciiTheme="minorHAnsi" w:hAnsiTheme="minorHAnsi"/>
                <w:sz w:val="20"/>
                <w:szCs w:val="20"/>
              </w:rPr>
              <w:t>, „zdravlje“ (2,2</w:t>
            </w:r>
            <w:r w:rsidR="00104CA5">
              <w:rPr>
                <w:rFonts w:asciiTheme="minorHAnsi" w:hAnsiTheme="minorHAnsi"/>
                <w:sz w:val="20"/>
                <w:szCs w:val="20"/>
              </w:rPr>
              <w:t>%)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 „prevoz“ (1,9</w:t>
            </w:r>
            <w:r w:rsidR="00104CA5">
              <w:rPr>
                <w:rFonts w:asciiTheme="minorHAnsi" w:hAnsiTheme="minorHAnsi"/>
                <w:sz w:val="20"/>
                <w:szCs w:val="20"/>
              </w:rPr>
              <w:t>%)</w:t>
            </w:r>
            <w:r>
              <w:rPr>
                <w:rFonts w:asciiTheme="minorHAnsi" w:hAnsiTheme="minorHAnsi"/>
                <w:sz w:val="20"/>
                <w:szCs w:val="20"/>
              </w:rPr>
              <w:t>, dok su najveće negativne stope zabilježene u grupama „hrana</w:t>
            </w:r>
            <w:r w:rsidR="00B069DE">
              <w:rPr>
                <w:rFonts w:asciiTheme="minorHAnsi" w:hAnsiTheme="minorHAnsi"/>
                <w:sz w:val="20"/>
                <w:szCs w:val="20"/>
              </w:rPr>
              <w:t xml:space="preserve"> i bezalkoholna pića“ (3,4%), „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rekreacija i kultura“ (3,2%) i „komunikacije“ (3,0%). Najznačajniji uticaj u procentnim poenima na inflaciju u maju (g-n-g), imale su grupe „hrana i bezalkoholna pića“ (-1,25p.p), „alkoholna pića i duvan“ (0,35p.p), „prevoz“ (0,26p.p), i „hoteli i restorani“ (0,24p.p). 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 xml:space="preserve">Indeks potrošačkih cijena (CPI) </w:t>
            </w:r>
            <w:r>
              <w:rPr>
                <w:rFonts w:asciiTheme="minorHAnsi" w:hAnsiTheme="minorHAnsi"/>
                <w:sz w:val="20"/>
                <w:szCs w:val="20"/>
              </w:rPr>
              <w:t>u maju 2014</w:t>
            </w:r>
            <w:r w:rsidR="00B069DE">
              <w:rPr>
                <w:rFonts w:asciiTheme="minorHAnsi" w:hAnsiTheme="minorHAnsi"/>
                <w:sz w:val="20"/>
                <w:szCs w:val="20"/>
              </w:rPr>
              <w:t>. (g-n-g) pokazuje pad od 1,3%,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  rast od 0,3% u odnosu na prethodni mjesec.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 xml:space="preserve"> Cijene proizvođača industrijskih proizvoda u </w:t>
            </w:r>
            <w:r>
              <w:rPr>
                <w:rFonts w:asciiTheme="minorHAnsi" w:hAnsiTheme="minorHAnsi"/>
                <w:sz w:val="20"/>
                <w:szCs w:val="20"/>
              </w:rPr>
              <w:t>maju 2014.(g-n-g)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 xml:space="preserve"> niže su </w:t>
            </w:r>
            <w:r>
              <w:rPr>
                <w:rFonts w:asciiTheme="minorHAnsi" w:hAnsiTheme="minorHAnsi"/>
                <w:sz w:val="20"/>
                <w:szCs w:val="20"/>
              </w:rPr>
              <w:t>za 0,1%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kao i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 xml:space="preserve"> u odnosu na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april 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>tekuće godine</w:t>
            </w:r>
            <w:r>
              <w:rPr>
                <w:rFonts w:asciiTheme="minorHAnsi" w:hAnsiTheme="minorHAnsi"/>
                <w:sz w:val="20"/>
                <w:szCs w:val="20"/>
              </w:rPr>
              <w:t>. Inflacija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 xml:space="preserve"> u Evropskoj Uniji u </w:t>
            </w:r>
            <w:r>
              <w:rPr>
                <w:rFonts w:asciiTheme="minorHAnsi" w:hAnsiTheme="minorHAnsi"/>
                <w:sz w:val="20"/>
                <w:szCs w:val="20"/>
              </w:rPr>
              <w:t>maju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 xml:space="preserve"> 2014.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(g-n-g) 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 xml:space="preserve">iznosila je </w:t>
            </w:r>
            <w:r>
              <w:rPr>
                <w:rFonts w:asciiTheme="minorHAnsi" w:hAnsiTheme="minorHAnsi"/>
                <w:sz w:val="20"/>
                <w:szCs w:val="20"/>
              </w:rPr>
              <w:t>0,6%, dok je u Eu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 xml:space="preserve">zoni </w:t>
            </w:r>
            <w:r>
              <w:rPr>
                <w:rFonts w:asciiTheme="minorHAnsi" w:hAnsiTheme="minorHAnsi"/>
                <w:sz w:val="20"/>
                <w:szCs w:val="20"/>
              </w:rPr>
              <w:t>iznosila 0,5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>%.</w:t>
            </w:r>
          </w:p>
          <w:p w:rsidR="00F637D8" w:rsidRPr="00CF4446" w:rsidRDefault="00F637D8" w:rsidP="00D84D2A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CC51BF" w:rsidRDefault="00CC51BF" w:rsidP="00D84D2A">
            <w:pPr>
              <w:spacing w:line="240" w:lineRule="auto"/>
            </w:pPr>
          </w:p>
          <w:p w:rsidR="00E0598B" w:rsidRPr="00CF4446" w:rsidRDefault="00E0598B" w:rsidP="00D84D2A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124730" w:rsidRPr="00715429" w:rsidRDefault="00124730" w:rsidP="00D84D2A">
            <w:pPr>
              <w:spacing w:line="240" w:lineRule="auto"/>
              <w:jc w:val="both"/>
              <w:rPr>
                <w:rFonts w:asciiTheme="minorHAnsi" w:hAnsiTheme="minorHAnsi" w:cs="Arial-ItalicMT"/>
                <w:b/>
                <w:iCs/>
                <w:sz w:val="20"/>
                <w:szCs w:val="20"/>
                <w:lang w:val="hr-BA"/>
              </w:rPr>
            </w:pPr>
          </w:p>
          <w:p w:rsidR="00B355D6" w:rsidRPr="00715429" w:rsidRDefault="00B355D6" w:rsidP="00D84D2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  <w:lang w:val="hr-BA"/>
              </w:rPr>
            </w:pPr>
          </w:p>
        </w:tc>
        <w:tc>
          <w:tcPr>
            <w:tcW w:w="3652" w:type="dxa"/>
            <w:vMerge/>
            <w:tcBorders>
              <w:bottom w:val="thinThickSmallGap" w:sz="18" w:space="0" w:color="auto"/>
            </w:tcBorders>
            <w:vAlign w:val="center"/>
          </w:tcPr>
          <w:p w:rsidR="007D0106" w:rsidRPr="00715429" w:rsidRDefault="007D0106" w:rsidP="00D84D2A">
            <w:pPr>
              <w:pStyle w:val="NoSpacing"/>
              <w:jc w:val="both"/>
              <w:rPr>
                <w:noProof/>
                <w:sz w:val="20"/>
                <w:szCs w:val="20"/>
                <w:lang w:val="hr-BA"/>
              </w:rPr>
            </w:pPr>
          </w:p>
        </w:tc>
      </w:tr>
      <w:tr w:rsidR="00422784" w:rsidRPr="00715429" w:rsidTr="00D84D2A">
        <w:trPr>
          <w:gridAfter w:val="2"/>
          <w:wAfter w:w="146" w:type="dxa"/>
          <w:trHeight w:hRule="exact" w:val="3420"/>
        </w:trPr>
        <w:tc>
          <w:tcPr>
            <w:tcW w:w="6980" w:type="dxa"/>
            <w:tcBorders>
              <w:top w:val="single" w:sz="4" w:space="0" w:color="auto"/>
              <w:bottom w:val="thinThickSmallGap" w:sz="18" w:space="0" w:color="auto"/>
            </w:tcBorders>
          </w:tcPr>
          <w:p w:rsidR="0071349F" w:rsidRPr="00C04FE0" w:rsidRDefault="002A1639" w:rsidP="00D84D2A">
            <w:pPr>
              <w:pStyle w:val="NormalWeb"/>
              <w:numPr>
                <w:ilvl w:val="0"/>
                <w:numId w:val="1"/>
              </w:numPr>
              <w:spacing w:before="0" w:beforeAutospacing="0" w:after="0"/>
              <w:ind w:left="357"/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BA"/>
              </w:rPr>
            </w:pPr>
            <w:r w:rsidRPr="00E4592D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18"/>
                <w:lang w:val="hr-BA"/>
              </w:rPr>
              <w:t>Zaposlenost i zarad</w:t>
            </w:r>
            <w:r w:rsidR="001141E2" w:rsidRPr="00E4592D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18"/>
                <w:lang w:val="hr-BA"/>
              </w:rPr>
              <w:t>e</w:t>
            </w:r>
          </w:p>
          <w:p w:rsidR="0071349F" w:rsidRPr="00595C60" w:rsidRDefault="0071349F" w:rsidP="00D84D2A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sz w:val="20"/>
                <w:szCs w:val="18"/>
                <w:lang w:val="sr-Latn-CS"/>
              </w:rPr>
            </w:pPr>
            <w:r w:rsidRPr="00595C60">
              <w:rPr>
                <w:b/>
                <w:sz w:val="20"/>
                <w:szCs w:val="18"/>
                <w:lang w:val="sr-Latn-CS"/>
              </w:rPr>
              <w:t>Kretanj</w:t>
            </w:r>
            <w:r w:rsidR="00A3443C">
              <w:rPr>
                <w:b/>
                <w:sz w:val="20"/>
                <w:szCs w:val="18"/>
                <w:lang w:val="sr-Latn-CS"/>
              </w:rPr>
              <w:t>a</w:t>
            </w:r>
            <w:r w:rsidRPr="00595C60">
              <w:rPr>
                <w:b/>
                <w:sz w:val="20"/>
                <w:szCs w:val="18"/>
                <w:lang w:val="sr-Latn-CS"/>
              </w:rPr>
              <w:t xml:space="preserve"> na tržištu rada </w:t>
            </w:r>
            <w:r w:rsidR="00A3443C">
              <w:rPr>
                <w:b/>
                <w:sz w:val="20"/>
                <w:szCs w:val="18"/>
                <w:lang w:val="sr-Latn-CS"/>
              </w:rPr>
              <w:t xml:space="preserve">karakteriše </w:t>
            </w:r>
            <w:r w:rsidR="00963ABE">
              <w:rPr>
                <w:b/>
                <w:sz w:val="20"/>
                <w:szCs w:val="18"/>
                <w:lang w:val="sr-Latn-CS"/>
              </w:rPr>
              <w:t xml:space="preserve">blago </w:t>
            </w:r>
            <w:r w:rsidRPr="00595C60">
              <w:rPr>
                <w:b/>
                <w:sz w:val="20"/>
                <w:szCs w:val="18"/>
                <w:lang w:val="sr-Latn-CS"/>
              </w:rPr>
              <w:t>povećanj</w:t>
            </w:r>
            <w:r w:rsidR="002313EC">
              <w:rPr>
                <w:b/>
                <w:sz w:val="20"/>
                <w:szCs w:val="18"/>
                <w:lang w:val="sr-Latn-CS"/>
              </w:rPr>
              <w:t>e</w:t>
            </w:r>
            <w:r w:rsidRPr="00595C60">
              <w:rPr>
                <w:b/>
                <w:sz w:val="20"/>
                <w:szCs w:val="18"/>
                <w:lang w:val="sr-Latn-CS"/>
              </w:rPr>
              <w:t xml:space="preserve"> zaposlenosti</w:t>
            </w:r>
            <w:r w:rsidR="00A3443C">
              <w:rPr>
                <w:b/>
                <w:sz w:val="20"/>
                <w:szCs w:val="18"/>
                <w:lang w:val="sr-Latn-CS"/>
              </w:rPr>
              <w:t xml:space="preserve"> i rast </w:t>
            </w:r>
            <w:r w:rsidRPr="00595C60">
              <w:rPr>
                <w:b/>
                <w:sz w:val="20"/>
                <w:szCs w:val="18"/>
                <w:lang w:val="sr-Latn-CS"/>
              </w:rPr>
              <w:t xml:space="preserve">nezaposlenosti. </w:t>
            </w:r>
            <w:r w:rsidRPr="00595C60">
              <w:rPr>
                <w:sz w:val="20"/>
                <w:szCs w:val="18"/>
                <w:lang w:val="sr-Latn-CS"/>
              </w:rPr>
              <w:t xml:space="preserve">Broj zaposlenih u maju 2014. iznosio je 174.917 ili 0,8% </w:t>
            </w:r>
            <w:r w:rsidR="00B069DE">
              <w:rPr>
                <w:sz w:val="20"/>
                <w:szCs w:val="18"/>
                <w:lang w:val="sr-Latn-CS"/>
              </w:rPr>
              <w:t>više za period j</w:t>
            </w:r>
            <w:r w:rsidR="008A69B1">
              <w:rPr>
                <w:sz w:val="20"/>
                <w:szCs w:val="18"/>
                <w:lang w:val="sr-Latn-CS"/>
              </w:rPr>
              <w:t>anuar-maj g-n-g</w:t>
            </w:r>
            <w:r w:rsidRPr="00595C60">
              <w:rPr>
                <w:sz w:val="20"/>
                <w:szCs w:val="18"/>
                <w:lang w:val="sr-Latn-CS"/>
              </w:rPr>
              <w:t>, dok je istovremeno broj nezaposlenih iznosio 32</w:t>
            </w:r>
            <w:r w:rsidR="008A69B1">
              <w:rPr>
                <w:sz w:val="20"/>
                <w:szCs w:val="18"/>
                <w:lang w:val="sr-Latn-CS"/>
              </w:rPr>
              <w:t>.</w:t>
            </w:r>
            <w:r w:rsidRPr="00595C60">
              <w:rPr>
                <w:sz w:val="20"/>
                <w:szCs w:val="18"/>
                <w:lang w:val="sr-Latn-CS"/>
              </w:rPr>
              <w:t>763 ili 5,8% više</w:t>
            </w:r>
            <w:r w:rsidR="008A69B1">
              <w:rPr>
                <w:sz w:val="20"/>
                <w:szCs w:val="18"/>
                <w:lang w:val="sr-Latn-CS"/>
              </w:rPr>
              <w:t xml:space="preserve"> za isti period</w:t>
            </w:r>
            <w:r w:rsidRPr="00595C60">
              <w:rPr>
                <w:sz w:val="20"/>
                <w:szCs w:val="18"/>
                <w:lang w:val="sr-Latn-CS"/>
              </w:rPr>
              <w:t xml:space="preserve">. </w:t>
            </w:r>
            <w:r w:rsidRPr="00FE4AB0">
              <w:rPr>
                <w:sz w:val="20"/>
                <w:szCs w:val="18"/>
                <w:lang w:val="sr-Latn-CS"/>
              </w:rPr>
              <w:t>St</w:t>
            </w:r>
            <w:r w:rsidR="00FE4AB0">
              <w:rPr>
                <w:sz w:val="20"/>
                <w:szCs w:val="18"/>
                <w:lang w:val="sr-Latn-CS"/>
              </w:rPr>
              <w:t>opa nezaposIenosti se povećala</w:t>
            </w:r>
            <w:r w:rsidRPr="00595C60">
              <w:rPr>
                <w:sz w:val="20"/>
                <w:szCs w:val="18"/>
                <w:lang w:val="sr-Latn-CS"/>
              </w:rPr>
              <w:t xml:space="preserve"> sa 13,5% u maju 2013. na 14,1% u istom mjesecu 2014. </w:t>
            </w:r>
            <w:r w:rsidR="00595C60">
              <w:rPr>
                <w:sz w:val="20"/>
                <w:szCs w:val="18"/>
                <w:lang w:val="sr-Latn-CS"/>
              </w:rPr>
              <w:t>P</w:t>
            </w:r>
            <w:r w:rsidRPr="00595C60">
              <w:rPr>
                <w:sz w:val="20"/>
                <w:szCs w:val="18"/>
                <w:lang w:val="sr-Latn-CS"/>
              </w:rPr>
              <w:t xml:space="preserve">ovećava </w:t>
            </w:r>
            <w:r w:rsidR="00595C60">
              <w:rPr>
                <w:sz w:val="20"/>
                <w:szCs w:val="18"/>
                <w:lang w:val="sr-Latn-CS"/>
              </w:rPr>
              <w:t xml:space="preserve">se </w:t>
            </w:r>
            <w:r w:rsidRPr="00595C60">
              <w:rPr>
                <w:sz w:val="20"/>
                <w:szCs w:val="18"/>
                <w:lang w:val="sr-Latn-CS"/>
              </w:rPr>
              <w:t xml:space="preserve">broj lica koja prvi put traže zaposlenje i to za 9,1% </w:t>
            </w:r>
            <w:r w:rsidR="00595C60">
              <w:rPr>
                <w:sz w:val="20"/>
                <w:szCs w:val="18"/>
                <w:lang w:val="sr-Latn-CS"/>
              </w:rPr>
              <w:t>g-n-g</w:t>
            </w:r>
            <w:r w:rsidRPr="00595C60">
              <w:rPr>
                <w:sz w:val="20"/>
                <w:szCs w:val="18"/>
                <w:lang w:val="sr-Latn-CS"/>
              </w:rPr>
              <w:t>. Broj oglašenih slobodnih radnih mjesta za period</w:t>
            </w:r>
            <w:r w:rsidR="00595C60">
              <w:rPr>
                <w:sz w:val="20"/>
                <w:szCs w:val="18"/>
                <w:lang w:val="sr-Latn-CS"/>
              </w:rPr>
              <w:t xml:space="preserve"> januar</w:t>
            </w:r>
            <w:r w:rsidR="00704222">
              <w:rPr>
                <w:sz w:val="20"/>
                <w:szCs w:val="18"/>
                <w:lang w:val="sr-Latn-CS"/>
              </w:rPr>
              <w:t xml:space="preserve"> </w:t>
            </w:r>
            <w:r w:rsidR="00595C60">
              <w:rPr>
                <w:sz w:val="20"/>
                <w:szCs w:val="18"/>
                <w:lang w:val="sr-Latn-CS"/>
              </w:rPr>
              <w:t>-</w:t>
            </w:r>
            <w:r w:rsidR="00704222">
              <w:rPr>
                <w:sz w:val="20"/>
                <w:szCs w:val="18"/>
                <w:lang w:val="sr-Latn-CS"/>
              </w:rPr>
              <w:t xml:space="preserve"> </w:t>
            </w:r>
            <w:r w:rsidR="00595C60">
              <w:rPr>
                <w:sz w:val="20"/>
                <w:szCs w:val="18"/>
                <w:lang w:val="sr-Latn-CS"/>
              </w:rPr>
              <w:t>jun</w:t>
            </w:r>
            <w:r w:rsidRPr="00595C60">
              <w:rPr>
                <w:sz w:val="20"/>
                <w:szCs w:val="18"/>
                <w:lang w:val="sr-Latn-CS"/>
              </w:rPr>
              <w:t xml:space="preserve"> iznosio je 15.539</w:t>
            </w:r>
            <w:r w:rsidR="009D64D1">
              <w:rPr>
                <w:sz w:val="20"/>
                <w:szCs w:val="18"/>
                <w:lang w:val="sr-Latn-CS"/>
              </w:rPr>
              <w:t>,</w:t>
            </w:r>
            <w:r w:rsidRPr="00595C60">
              <w:rPr>
                <w:sz w:val="20"/>
                <w:szCs w:val="18"/>
                <w:lang w:val="sr-Latn-CS"/>
              </w:rPr>
              <w:t xml:space="preserve"> što je za dva puta v</w:t>
            </w:r>
            <w:r w:rsidR="00595C60">
              <w:rPr>
                <w:sz w:val="20"/>
                <w:szCs w:val="18"/>
                <w:lang w:val="sr-Latn-CS"/>
              </w:rPr>
              <w:t>iše g-n-g</w:t>
            </w:r>
            <w:r w:rsidRPr="00595C60">
              <w:rPr>
                <w:sz w:val="20"/>
                <w:szCs w:val="18"/>
                <w:lang w:val="sr-Latn-CS"/>
              </w:rPr>
              <w:t>. U periodu januar –</w:t>
            </w:r>
            <w:r w:rsidR="00704222">
              <w:rPr>
                <w:sz w:val="20"/>
                <w:szCs w:val="18"/>
                <w:lang w:val="sr-Latn-CS"/>
              </w:rPr>
              <w:t xml:space="preserve"> </w:t>
            </w:r>
            <w:r w:rsidRPr="00595C60">
              <w:rPr>
                <w:sz w:val="20"/>
                <w:szCs w:val="18"/>
                <w:lang w:val="sr-Latn-CS"/>
              </w:rPr>
              <w:t>maj 2014. izdato je 10.290 radnih dozvola ili 0,8% više</w:t>
            </w:r>
            <w:r w:rsidR="00595C60">
              <w:rPr>
                <w:sz w:val="20"/>
                <w:szCs w:val="18"/>
                <w:lang w:val="sr-Latn-CS"/>
              </w:rPr>
              <w:t xml:space="preserve"> g-n-g</w:t>
            </w:r>
            <w:r w:rsidRPr="00595C60">
              <w:rPr>
                <w:sz w:val="20"/>
                <w:szCs w:val="18"/>
                <w:lang w:val="sr-Latn-CS"/>
              </w:rPr>
              <w:t xml:space="preserve">. Zarade su </w:t>
            </w:r>
            <w:r w:rsidR="00595C60">
              <w:rPr>
                <w:sz w:val="20"/>
                <w:szCs w:val="18"/>
                <w:lang w:val="sr-Latn-CS"/>
              </w:rPr>
              <w:t xml:space="preserve">u </w:t>
            </w:r>
            <w:r w:rsidRPr="00595C60">
              <w:rPr>
                <w:sz w:val="20"/>
                <w:szCs w:val="18"/>
                <w:lang w:val="sr-Latn-CS"/>
              </w:rPr>
              <w:t>maju 2014. iznosile 726€, a povećane su za 0,8% u odnosu na april, dok su smanjene 0,5%</w:t>
            </w:r>
            <w:r w:rsidR="00E4592D">
              <w:rPr>
                <w:sz w:val="20"/>
                <w:szCs w:val="18"/>
                <w:lang w:val="sr-Latn-CS"/>
              </w:rPr>
              <w:t xml:space="preserve"> g-n-g</w:t>
            </w:r>
            <w:r w:rsidRPr="00595C60">
              <w:rPr>
                <w:sz w:val="20"/>
                <w:szCs w:val="18"/>
                <w:lang w:val="sr-Latn-CS"/>
              </w:rPr>
              <w:t xml:space="preserve">. Neto zarade su u maju 2014 iznosile 478€, a povećane su u odnosu na prethodni mjesec 0,8%, </w:t>
            </w:r>
            <w:r w:rsidR="00E4592D">
              <w:rPr>
                <w:sz w:val="20"/>
                <w:szCs w:val="18"/>
                <w:lang w:val="sr-Latn-CS"/>
              </w:rPr>
              <w:t xml:space="preserve">i </w:t>
            </w:r>
            <w:r w:rsidRPr="00595C60">
              <w:rPr>
                <w:sz w:val="20"/>
                <w:szCs w:val="18"/>
                <w:lang w:val="sr-Latn-CS"/>
              </w:rPr>
              <w:t>smanjene 1,0%</w:t>
            </w:r>
            <w:r w:rsidR="00E4592D">
              <w:rPr>
                <w:sz w:val="20"/>
                <w:szCs w:val="18"/>
                <w:lang w:val="sr-Latn-CS"/>
              </w:rPr>
              <w:t xml:space="preserve"> g-n-g</w:t>
            </w:r>
            <w:r w:rsidRPr="00595C60">
              <w:rPr>
                <w:sz w:val="20"/>
                <w:szCs w:val="18"/>
                <w:lang w:val="sr-Latn-CS"/>
              </w:rPr>
              <w:t>. Realne neto zarade su u maju 2014</w:t>
            </w:r>
            <w:r w:rsidR="006E7DF0">
              <w:rPr>
                <w:sz w:val="20"/>
                <w:szCs w:val="18"/>
                <w:lang w:val="sr-Latn-CS"/>
              </w:rPr>
              <w:t>.</w:t>
            </w:r>
            <w:r w:rsidRPr="00595C60">
              <w:rPr>
                <w:sz w:val="20"/>
                <w:szCs w:val="18"/>
                <w:lang w:val="sr-Latn-CS"/>
              </w:rPr>
              <w:t xml:space="preserve"> povećane 0.5%</w:t>
            </w:r>
            <w:r w:rsidR="00E4592D">
              <w:rPr>
                <w:sz w:val="20"/>
                <w:szCs w:val="18"/>
                <w:lang w:val="sr-Latn-CS"/>
              </w:rPr>
              <w:t xml:space="preserve"> m-n-m</w:t>
            </w:r>
            <w:r w:rsidRPr="00595C60">
              <w:rPr>
                <w:sz w:val="20"/>
                <w:szCs w:val="18"/>
                <w:lang w:val="sr-Latn-CS"/>
              </w:rPr>
              <w:t xml:space="preserve">, </w:t>
            </w:r>
            <w:r w:rsidR="00E4592D">
              <w:rPr>
                <w:sz w:val="20"/>
                <w:szCs w:val="18"/>
                <w:lang w:val="sr-Latn-CS"/>
              </w:rPr>
              <w:t>ali su manje 0,1% g-n-g.</w:t>
            </w:r>
          </w:p>
          <w:p w:rsidR="00422784" w:rsidRPr="00E34692" w:rsidRDefault="00422784" w:rsidP="00D84D2A">
            <w:pPr>
              <w:pStyle w:val="NormalWeb"/>
              <w:pBdr>
                <w:top w:val="single" w:sz="4" w:space="1" w:color="auto"/>
              </w:pBdr>
              <w:spacing w:after="0"/>
              <w:jc w:val="both"/>
              <w:rPr>
                <w:rFonts w:ascii="Calibri" w:eastAsia="PMingLiU" w:hAnsi="Calibri" w:cs="Calibri"/>
                <w:sz w:val="20"/>
                <w:szCs w:val="20"/>
                <w:lang w:eastAsia="zh-TW"/>
              </w:rPr>
            </w:pPr>
          </w:p>
          <w:p w:rsidR="00422784" w:rsidRPr="00E34692" w:rsidRDefault="00422784" w:rsidP="00D84D2A">
            <w:pPr>
              <w:pStyle w:val="NormalWeb"/>
              <w:spacing w:after="0"/>
              <w:jc w:val="both"/>
              <w:rPr>
                <w:rFonts w:ascii="Calibri" w:eastAsia="PMingLiU" w:hAnsi="Calibri" w:cs="Calibri"/>
                <w:sz w:val="20"/>
                <w:szCs w:val="20"/>
                <w:lang w:eastAsia="zh-TW"/>
              </w:rPr>
            </w:pPr>
          </w:p>
          <w:p w:rsidR="00422784" w:rsidRPr="00E34692" w:rsidRDefault="00422784" w:rsidP="00D84D2A">
            <w:pPr>
              <w:pStyle w:val="NormalWeb"/>
              <w:spacing w:after="0"/>
              <w:jc w:val="both"/>
              <w:rPr>
                <w:rFonts w:ascii="Calibri" w:eastAsia="PMingLiU" w:hAnsi="Calibri" w:cs="Calibri"/>
                <w:sz w:val="20"/>
                <w:szCs w:val="20"/>
                <w:lang w:eastAsia="zh-TW"/>
              </w:rPr>
            </w:pPr>
          </w:p>
        </w:tc>
        <w:tc>
          <w:tcPr>
            <w:tcW w:w="3652" w:type="dxa"/>
            <w:tcBorders>
              <w:bottom w:val="thinThickSmallGap" w:sz="18" w:space="0" w:color="auto"/>
            </w:tcBorders>
            <w:vAlign w:val="center"/>
          </w:tcPr>
          <w:p w:rsidR="00422784" w:rsidRPr="00715429" w:rsidRDefault="00B3194A" w:rsidP="00D84D2A">
            <w:pPr>
              <w:pStyle w:val="NoSpacing"/>
              <w:jc w:val="center"/>
              <w:rPr>
                <w:noProof/>
                <w:sz w:val="20"/>
                <w:szCs w:val="20"/>
                <w:lang w:val="hr-BA"/>
              </w:rPr>
            </w:pPr>
            <w:r w:rsidRPr="00B3194A">
              <w:rPr>
                <w:noProof/>
                <w:sz w:val="20"/>
                <w:szCs w:val="20"/>
                <w:lang w:val="sr-Latn-CS" w:eastAsia="sr-Latn-CS"/>
              </w:rPr>
              <w:drawing>
                <wp:inline distT="0" distB="0" distL="0" distR="0">
                  <wp:extent cx="1984248" cy="2084832"/>
                  <wp:effectExtent l="0" t="0" r="0" b="0"/>
                  <wp:docPr id="6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A3560C" w:rsidRPr="00715429" w:rsidTr="00D84D2A">
        <w:trPr>
          <w:gridAfter w:val="1"/>
          <w:wAfter w:w="34" w:type="dxa"/>
          <w:trHeight w:hRule="exact" w:val="4186"/>
        </w:trPr>
        <w:tc>
          <w:tcPr>
            <w:tcW w:w="6980" w:type="dxa"/>
            <w:tcBorders>
              <w:bottom w:val="thinThickSmallGap" w:sz="18" w:space="0" w:color="auto"/>
            </w:tcBorders>
          </w:tcPr>
          <w:p w:rsidR="00A3560C" w:rsidRPr="00B51806" w:rsidRDefault="00A3560C" w:rsidP="00596574">
            <w:pPr>
              <w:pStyle w:val="NormalWeb"/>
              <w:numPr>
                <w:ilvl w:val="0"/>
                <w:numId w:val="1"/>
              </w:numPr>
              <w:spacing w:before="0" w:beforeAutospacing="0" w:after="0"/>
              <w:ind w:left="357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lastRenderedPageBreak/>
              <w:t>Javne finansije</w:t>
            </w:r>
          </w:p>
          <w:p w:rsidR="00596574" w:rsidRDefault="00596574" w:rsidP="00596574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lang w:val="sr-Latn-CS"/>
              </w:rPr>
            </w:pPr>
          </w:p>
          <w:p w:rsidR="008F2127" w:rsidRPr="0030495F" w:rsidRDefault="008F2127" w:rsidP="00596574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0495F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Izvorni prihodi budžeta Crne Gore u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maju</w:t>
            </w:r>
            <w:r w:rsidRPr="0030495F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2014. iznosili su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102,</w:t>
            </w:r>
            <w:r w:rsidR="00596574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2 mil. € i </w:t>
            </w:r>
            <w:r w:rsidRPr="0030495F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veći su za </w:t>
            </w:r>
            <w:r w:rsidRPr="00596574">
              <w:rPr>
                <w:rFonts w:cs="Calibri"/>
                <w:b/>
                <w:bCs/>
                <w:sz w:val="20"/>
                <w:szCs w:val="20"/>
                <w:lang w:val="sr-Latn-CS"/>
              </w:rPr>
              <w:t>8,6</w:t>
            </w:r>
            <w:r w:rsidRPr="0030495F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% u odnosu na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maj</w:t>
            </w:r>
            <w:r w:rsidR="00596574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2013, kao i</w:t>
            </w:r>
            <w:r w:rsidRPr="0030495F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u odnosu na plan za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4,3</w:t>
            </w:r>
            <w:r w:rsidRPr="0030495F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%.</w:t>
            </w:r>
            <w:r w:rsidRPr="0030495F">
              <w:rPr>
                <w:rFonts w:cs="Calibri"/>
                <w:sz w:val="20"/>
                <w:szCs w:val="20"/>
                <w:lang w:val="sr-Latn-CS"/>
              </w:rPr>
              <w:t xml:space="preserve"> </w:t>
            </w:r>
            <w:r w:rsidR="00596574">
              <w:rPr>
                <w:rFonts w:cs="Calibri"/>
                <w:sz w:val="20"/>
                <w:szCs w:val="20"/>
              </w:rPr>
              <w:t>Prihodi po osnovu naplate</w:t>
            </w:r>
            <w:r w:rsidRPr="0030495F">
              <w:rPr>
                <w:rFonts w:cs="Calibri"/>
                <w:sz w:val="20"/>
                <w:szCs w:val="20"/>
              </w:rPr>
              <w:t xml:space="preserve"> p</w:t>
            </w:r>
            <w:r w:rsidR="00596574">
              <w:rPr>
                <w:rFonts w:cs="Calibri"/>
                <w:sz w:val="20"/>
                <w:szCs w:val="20"/>
              </w:rPr>
              <w:t>oreza i doprinosa na zarade</w:t>
            </w:r>
            <w:r w:rsidRPr="0030495F">
              <w:rPr>
                <w:rFonts w:cs="Calibri"/>
                <w:sz w:val="20"/>
                <w:szCs w:val="20"/>
              </w:rPr>
              <w:t xml:space="preserve"> za period januar-</w:t>
            </w:r>
            <w:r>
              <w:rPr>
                <w:rFonts w:cs="Calibri"/>
                <w:sz w:val="20"/>
                <w:szCs w:val="20"/>
              </w:rPr>
              <w:t>maj</w:t>
            </w:r>
            <w:r w:rsidRPr="0030495F">
              <w:rPr>
                <w:rFonts w:cs="Calibri"/>
                <w:sz w:val="20"/>
                <w:szCs w:val="20"/>
              </w:rPr>
              <w:t xml:space="preserve"> 2014. </w:t>
            </w:r>
            <w:r w:rsidR="00596574">
              <w:rPr>
                <w:rFonts w:cs="Calibri"/>
                <w:sz w:val="20"/>
                <w:szCs w:val="20"/>
              </w:rPr>
              <w:t>bilježe rast od</w:t>
            </w:r>
            <w:r w:rsidRPr="0030495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15,9</w:t>
            </w:r>
            <w:r w:rsidRPr="0030495F">
              <w:rPr>
                <w:rFonts w:cs="Calibri"/>
                <w:sz w:val="20"/>
                <w:szCs w:val="20"/>
              </w:rPr>
              <w:t>% u odnosu na isti period prošle godine. U istom period</w:t>
            </w:r>
            <w:r>
              <w:rPr>
                <w:rFonts w:cs="Calibri"/>
                <w:sz w:val="20"/>
                <w:szCs w:val="20"/>
              </w:rPr>
              <w:t>u</w:t>
            </w:r>
            <w:r w:rsidRPr="0030495F">
              <w:rPr>
                <w:rFonts w:cs="Calibri"/>
                <w:sz w:val="20"/>
                <w:szCs w:val="20"/>
              </w:rPr>
              <w:t xml:space="preserve">, prihodi </w:t>
            </w:r>
            <w:r w:rsidR="00596574">
              <w:rPr>
                <w:rFonts w:cs="Calibri"/>
                <w:sz w:val="20"/>
                <w:szCs w:val="20"/>
              </w:rPr>
              <w:t>od poreza na dobit pravnih lica i</w:t>
            </w:r>
            <w:r>
              <w:rPr>
                <w:rFonts w:cs="Calibri"/>
                <w:sz w:val="20"/>
                <w:szCs w:val="20"/>
              </w:rPr>
              <w:t xml:space="preserve"> PDV viši</w:t>
            </w:r>
            <w:r w:rsidRPr="0030495F">
              <w:rPr>
                <w:rFonts w:cs="Calibri"/>
                <w:sz w:val="20"/>
                <w:szCs w:val="20"/>
              </w:rPr>
              <w:t xml:space="preserve"> su u odnosu na </w:t>
            </w:r>
            <w:r>
              <w:rPr>
                <w:rFonts w:cs="Calibri"/>
                <w:sz w:val="20"/>
                <w:szCs w:val="20"/>
              </w:rPr>
              <w:t>isti period prethodne godine</w:t>
            </w:r>
            <w:r w:rsidRPr="0030495F">
              <w:rPr>
                <w:rFonts w:cs="Calibri"/>
                <w:sz w:val="20"/>
                <w:szCs w:val="20"/>
              </w:rPr>
              <w:t xml:space="preserve"> za </w:t>
            </w:r>
            <w:r w:rsidR="00E4592D">
              <w:rPr>
                <w:rFonts w:cs="Calibri"/>
                <w:sz w:val="20"/>
                <w:szCs w:val="20"/>
              </w:rPr>
              <w:t>15,9 %.</w:t>
            </w:r>
          </w:p>
          <w:p w:rsidR="008F2127" w:rsidRPr="0030495F" w:rsidRDefault="008F2127" w:rsidP="00596574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cs="Calibri"/>
                <w:sz w:val="20"/>
                <w:szCs w:val="20"/>
                <w:lang w:val="sr-Latn-CS"/>
              </w:rPr>
            </w:pPr>
            <w:r w:rsidRPr="0030495F">
              <w:rPr>
                <w:rFonts w:cs="Calibri"/>
                <w:b/>
                <w:bCs/>
                <w:sz w:val="20"/>
                <w:szCs w:val="20"/>
                <w:lang w:val="sr-Latn-CS"/>
              </w:rPr>
              <w:t>Izdaci budžeta</w:t>
            </w:r>
            <w:r w:rsidRPr="0030495F">
              <w:rPr>
                <w:rFonts w:cs="Calibri"/>
                <w:sz w:val="20"/>
                <w:szCs w:val="20"/>
                <w:lang w:val="sr-Latn-CS"/>
              </w:rPr>
              <w:t xml:space="preserve"> u </w:t>
            </w:r>
            <w:r>
              <w:rPr>
                <w:rFonts w:cs="Calibri"/>
                <w:sz w:val="20"/>
                <w:szCs w:val="20"/>
                <w:lang w:val="sr-Latn-CS"/>
              </w:rPr>
              <w:t>maju</w:t>
            </w:r>
            <w:r w:rsidR="00596574">
              <w:rPr>
                <w:rFonts w:cs="Calibri"/>
                <w:sz w:val="20"/>
                <w:szCs w:val="20"/>
                <w:lang w:val="sr-Latn-CS"/>
              </w:rPr>
              <w:t xml:space="preserve"> 2014. g. iznosili su</w:t>
            </w:r>
            <w:r w:rsidRPr="0030495F">
              <w:rPr>
                <w:rFonts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sr-Latn-CS"/>
              </w:rPr>
              <w:t>101,4</w:t>
            </w:r>
            <w:r w:rsidRPr="0030495F">
              <w:rPr>
                <w:rFonts w:cs="Calibri"/>
                <w:sz w:val="20"/>
                <w:szCs w:val="20"/>
                <w:lang w:val="sr-Latn-CS"/>
              </w:rPr>
              <w:t xml:space="preserve"> mil.€ i viši su u odn</w:t>
            </w:r>
            <w:r w:rsidR="00596574">
              <w:rPr>
                <w:rFonts w:cs="Calibri"/>
                <w:sz w:val="20"/>
                <w:szCs w:val="20"/>
                <w:lang w:val="sr-Latn-CS"/>
              </w:rPr>
              <w:t>osu na isti mjesec 2013. godine</w:t>
            </w:r>
            <w:r w:rsidRPr="0030495F">
              <w:rPr>
                <w:rFonts w:cs="Calibri"/>
                <w:sz w:val="20"/>
                <w:szCs w:val="20"/>
                <w:lang w:val="sr-Latn-CS"/>
              </w:rPr>
              <w:t xml:space="preserve"> za  </w:t>
            </w:r>
            <w:r>
              <w:rPr>
                <w:rFonts w:cs="Calibri"/>
                <w:sz w:val="20"/>
                <w:szCs w:val="20"/>
                <w:lang w:val="sr-Latn-CS"/>
              </w:rPr>
              <w:t>6,1</w:t>
            </w:r>
            <w:r w:rsidR="00596574">
              <w:rPr>
                <w:rFonts w:cs="Calibri"/>
                <w:sz w:val="20"/>
                <w:szCs w:val="20"/>
                <w:lang w:val="sr-Latn-CS"/>
              </w:rPr>
              <w:t xml:space="preserve"> %, dok su u</w:t>
            </w:r>
            <w:r w:rsidRPr="0030495F">
              <w:rPr>
                <w:rFonts w:cs="Calibri"/>
                <w:sz w:val="20"/>
                <w:szCs w:val="20"/>
                <w:lang w:val="sr-Latn-CS"/>
              </w:rPr>
              <w:t xml:space="preserve"> odnosu na plan </w:t>
            </w:r>
            <w:r w:rsidR="00596574">
              <w:rPr>
                <w:rFonts w:cs="Calibri"/>
                <w:sz w:val="20"/>
                <w:szCs w:val="20"/>
                <w:lang w:val="sr-Latn-CS"/>
              </w:rPr>
              <w:t xml:space="preserve">niži u </w:t>
            </w:r>
            <w:r w:rsidRPr="0030495F">
              <w:rPr>
                <w:rFonts w:cs="Calibri"/>
                <w:sz w:val="20"/>
                <w:szCs w:val="20"/>
                <w:lang w:val="sr-Latn-CS"/>
              </w:rPr>
              <w:t>za 9,</w:t>
            </w:r>
            <w:r>
              <w:rPr>
                <w:rFonts w:cs="Calibri"/>
                <w:sz w:val="20"/>
                <w:szCs w:val="20"/>
                <w:lang w:val="sr-Latn-CS"/>
              </w:rPr>
              <w:t>1</w:t>
            </w:r>
            <w:r w:rsidRPr="0030495F">
              <w:rPr>
                <w:rFonts w:cs="Calibri"/>
                <w:sz w:val="20"/>
                <w:szCs w:val="20"/>
                <w:lang w:val="sr-Latn-CS"/>
              </w:rPr>
              <w:t xml:space="preserve"> %.</w:t>
            </w:r>
          </w:p>
          <w:p w:rsidR="008F2127" w:rsidRPr="0030495F" w:rsidRDefault="008F2127" w:rsidP="00596574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cs="Calibri"/>
                <w:sz w:val="20"/>
                <w:szCs w:val="20"/>
                <w:lang w:val="sr-Latn-C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Suficit</w:t>
            </w:r>
            <w:r w:rsidRPr="0030495F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budžeta</w:t>
            </w:r>
            <w:r w:rsidRPr="0030495F">
              <w:rPr>
                <w:rFonts w:cs="Calibri"/>
                <w:sz w:val="20"/>
                <w:szCs w:val="20"/>
                <w:lang w:val="sr-Latn-CS"/>
              </w:rPr>
              <w:t xml:space="preserve"> u </w:t>
            </w:r>
            <w:r>
              <w:rPr>
                <w:rFonts w:cs="Calibri"/>
                <w:sz w:val="20"/>
                <w:szCs w:val="20"/>
                <w:lang w:val="sr-Latn-CS"/>
              </w:rPr>
              <w:t>maju</w:t>
            </w:r>
            <w:r w:rsidRPr="0030495F">
              <w:rPr>
                <w:rFonts w:cs="Calibri"/>
                <w:sz w:val="20"/>
                <w:szCs w:val="20"/>
                <w:lang w:val="sr-Latn-CS"/>
              </w:rPr>
              <w:t xml:space="preserve"> 2014. godine iznosio je </w:t>
            </w:r>
            <w:r>
              <w:rPr>
                <w:rFonts w:cs="Calibri"/>
                <w:sz w:val="20"/>
                <w:szCs w:val="20"/>
                <w:lang w:val="sr-Latn-CS"/>
              </w:rPr>
              <w:t>0,</w:t>
            </w:r>
            <w:r w:rsidR="00596574">
              <w:rPr>
                <w:rFonts w:cs="Calibri"/>
                <w:sz w:val="20"/>
                <w:szCs w:val="20"/>
                <w:lang w:val="sr-Latn-CS"/>
              </w:rPr>
              <w:t>8 mil.€</w:t>
            </w:r>
            <w:r>
              <w:rPr>
                <w:rFonts w:cs="Calibri"/>
                <w:sz w:val="20"/>
                <w:szCs w:val="20"/>
                <w:lang w:val="sr-Latn-CS"/>
              </w:rPr>
              <w:t>,</w:t>
            </w:r>
            <w:r w:rsidRPr="0030495F">
              <w:rPr>
                <w:rFonts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sr-Latn-CS"/>
              </w:rPr>
              <w:t xml:space="preserve">dok u periodu jan-maj 2014.g. </w:t>
            </w:r>
            <w:r w:rsidR="00596574">
              <w:rPr>
                <w:rFonts w:cs="Calibri"/>
                <w:sz w:val="20"/>
                <w:szCs w:val="20"/>
                <w:lang w:val="sr-Latn-CS"/>
              </w:rPr>
              <w:t>budžet bilježi deficit od</w:t>
            </w:r>
            <w:r>
              <w:rPr>
                <w:rFonts w:cs="Calibri"/>
                <w:sz w:val="20"/>
                <w:szCs w:val="20"/>
                <w:lang w:val="sr-Latn-CS"/>
              </w:rPr>
              <w:t xml:space="preserve"> </w:t>
            </w:r>
            <w:r w:rsidR="00596574">
              <w:rPr>
                <w:rFonts w:cs="Calibri"/>
                <w:sz w:val="20"/>
                <w:szCs w:val="20"/>
                <w:lang w:val="sr-Latn-CS"/>
              </w:rPr>
              <w:t>57,8</w:t>
            </w:r>
            <w:r>
              <w:rPr>
                <w:rFonts w:cs="Calibri"/>
                <w:sz w:val="20"/>
                <w:szCs w:val="20"/>
                <w:lang w:val="sr-Latn-CS"/>
              </w:rPr>
              <w:t xml:space="preserve"> mi</w:t>
            </w:r>
            <w:r w:rsidR="00596574">
              <w:rPr>
                <w:rFonts w:cs="Calibri"/>
                <w:sz w:val="20"/>
                <w:szCs w:val="20"/>
                <w:lang w:val="sr-Latn-CS"/>
              </w:rPr>
              <w:t>l€, koji je niži</w:t>
            </w:r>
            <w:r>
              <w:rPr>
                <w:rFonts w:cs="Calibri"/>
                <w:sz w:val="20"/>
                <w:szCs w:val="20"/>
                <w:lang w:val="sr-Latn-CS"/>
              </w:rPr>
              <w:t xml:space="preserve"> za 24,7 % </w:t>
            </w:r>
            <w:r w:rsidR="00596574">
              <w:rPr>
                <w:rFonts w:cs="Calibri"/>
                <w:sz w:val="20"/>
                <w:szCs w:val="20"/>
                <w:lang w:val="sr-Latn-CS"/>
              </w:rPr>
              <w:t xml:space="preserve">u odnosu na isti period prošle </w:t>
            </w:r>
            <w:r>
              <w:rPr>
                <w:rFonts w:cs="Calibri"/>
                <w:sz w:val="20"/>
                <w:szCs w:val="20"/>
                <w:lang w:val="sr-Latn-CS"/>
              </w:rPr>
              <w:t>godine.</w:t>
            </w:r>
          </w:p>
          <w:p w:rsidR="00B51806" w:rsidRPr="00596574" w:rsidRDefault="008F2127" w:rsidP="00596574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30495F">
              <w:rPr>
                <w:rFonts w:cs="Calibri"/>
                <w:b/>
                <w:bCs/>
                <w:sz w:val="20"/>
                <w:szCs w:val="20"/>
              </w:rPr>
              <w:t>Državni dug</w:t>
            </w:r>
            <w:r w:rsidRPr="0030495F">
              <w:rPr>
                <w:rFonts w:cs="Calibri"/>
                <w:sz w:val="20"/>
                <w:szCs w:val="20"/>
              </w:rPr>
              <w:t xml:space="preserve"> na kraju aprila 2014. </w:t>
            </w:r>
            <w:r w:rsidR="00B140F9">
              <w:rPr>
                <w:rFonts w:cs="Calibri"/>
                <w:sz w:val="20"/>
                <w:szCs w:val="20"/>
              </w:rPr>
              <w:t>i</w:t>
            </w:r>
            <w:r w:rsidRPr="0030495F">
              <w:rPr>
                <w:rFonts w:cs="Calibri"/>
                <w:sz w:val="20"/>
                <w:szCs w:val="20"/>
              </w:rPr>
              <w:t>zno</w:t>
            </w:r>
            <w:r w:rsidR="00596574">
              <w:rPr>
                <w:rFonts w:cs="Calibri"/>
                <w:sz w:val="20"/>
                <w:szCs w:val="20"/>
              </w:rPr>
              <w:t xml:space="preserve">sio je 1.990,31 mil.€ ili 56,6% </w:t>
            </w:r>
            <w:r w:rsidRPr="0030495F">
              <w:rPr>
                <w:rFonts w:cs="Calibri"/>
                <w:sz w:val="20"/>
                <w:szCs w:val="20"/>
              </w:rPr>
              <w:t>pro</w:t>
            </w:r>
            <w:r w:rsidR="00596574">
              <w:rPr>
                <w:rFonts w:cs="Calibri"/>
                <w:sz w:val="20"/>
                <w:szCs w:val="20"/>
              </w:rPr>
              <w:t>cijenjenog BDP-a i smanjen je za</w:t>
            </w:r>
            <w:r w:rsidRPr="0030495F">
              <w:rPr>
                <w:rFonts w:cs="Calibri"/>
                <w:sz w:val="20"/>
                <w:szCs w:val="20"/>
              </w:rPr>
              <w:t xml:space="preserve"> 0,4 p.p. u odnosu na mart 2014. Unutrašnji dug iznosio je 588,1 mil.€, a dug prema nerezidentima 1.402,2 mil.€</w:t>
            </w:r>
            <w:r w:rsidR="00596574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A3560C" w:rsidRPr="003C1215" w:rsidRDefault="00EE531C" w:rsidP="00D84D2A">
            <w:pPr>
              <w:rPr>
                <w:noProof/>
                <w:sz w:val="17"/>
                <w:szCs w:val="17"/>
                <w:lang w:val="sr-Latn-CS" w:eastAsia="sr-Latn-CS"/>
              </w:rPr>
            </w:pPr>
            <w:r w:rsidRPr="00EE531C">
              <w:rPr>
                <w:noProof/>
                <w:sz w:val="17"/>
                <w:szCs w:val="17"/>
                <w:lang w:val="sr-Latn-CS" w:eastAsia="sr-Latn-CS"/>
              </w:rPr>
              <w:drawing>
                <wp:inline distT="0" distB="0" distL="0" distR="0">
                  <wp:extent cx="2257425" cy="2121408"/>
                  <wp:effectExtent l="19050" t="0" r="9525" b="0"/>
                  <wp:docPr id="3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10452C" w:rsidRPr="00715429" w:rsidTr="00D84D2A">
        <w:trPr>
          <w:gridAfter w:val="1"/>
          <w:wAfter w:w="34" w:type="dxa"/>
          <w:trHeight w:hRule="exact" w:val="4546"/>
        </w:trPr>
        <w:tc>
          <w:tcPr>
            <w:tcW w:w="6980" w:type="dxa"/>
            <w:tcBorders>
              <w:bottom w:val="thinThickSmallGap" w:sz="18" w:space="0" w:color="auto"/>
            </w:tcBorders>
          </w:tcPr>
          <w:p w:rsidR="003561B8" w:rsidRPr="002A1639" w:rsidRDefault="003561B8" w:rsidP="00D84D2A">
            <w:pPr>
              <w:pStyle w:val="NormalWeb"/>
              <w:numPr>
                <w:ilvl w:val="0"/>
                <w:numId w:val="24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2A1639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  <w:t>Monetarni sektor</w:t>
            </w:r>
          </w:p>
          <w:p w:rsidR="008A69B1" w:rsidRDefault="008A69B1" w:rsidP="00D84D2A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b/>
                <w:noProof/>
                <w:sz w:val="20"/>
                <w:szCs w:val="20"/>
              </w:rPr>
            </w:pPr>
          </w:p>
          <w:p w:rsidR="0010452C" w:rsidRPr="00715429" w:rsidRDefault="007F6DCA" w:rsidP="00BC65B1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hr-BA"/>
              </w:rPr>
            </w:pPr>
            <w:r>
              <w:rPr>
                <w:b/>
                <w:noProof/>
                <w:sz w:val="20"/>
                <w:szCs w:val="20"/>
              </w:rPr>
              <w:t xml:space="preserve">U maju je nastavljena pozitivna tendencija kretanja ukupnih depozita i kapitala, kao i restriktivna kreditna politika banaka. </w:t>
            </w:r>
            <w:r>
              <w:rPr>
                <w:noProof/>
                <w:sz w:val="20"/>
                <w:szCs w:val="20"/>
              </w:rPr>
              <w:t xml:space="preserve">Ukupni </w:t>
            </w:r>
            <w:r w:rsidRPr="004512FD">
              <w:rPr>
                <w:b/>
                <w:noProof/>
                <w:sz w:val="20"/>
                <w:szCs w:val="20"/>
              </w:rPr>
              <w:t>depozit</w:t>
            </w:r>
            <w:r w:rsidR="00596574">
              <w:rPr>
                <w:b/>
                <w:noProof/>
                <w:sz w:val="20"/>
                <w:szCs w:val="20"/>
              </w:rPr>
              <w:t>i</w:t>
            </w:r>
            <w:r>
              <w:rPr>
                <w:noProof/>
                <w:sz w:val="20"/>
                <w:szCs w:val="20"/>
              </w:rPr>
              <w:t xml:space="preserve"> na mjesečnom nivou bilježe rast od 0,9% i na godišnjem 7,1%. Rastu depozita najviše je doprinio sektor stanovništva i privrede, čija su deponovana sredstva povećana za 7,2% i 8,2%, respektivno, na godišnjem nivou.</w:t>
            </w:r>
            <w:r w:rsidR="00F6272A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Pri tome je sektor stanovništva, kao najznačajniji štediša bankarskog sistema, ostvario neto štednju od 354,8 mil.€, što je za 23,5% više </w:t>
            </w:r>
            <w:r w:rsidR="00F6272A">
              <w:rPr>
                <w:noProof/>
                <w:sz w:val="20"/>
                <w:szCs w:val="20"/>
              </w:rPr>
              <w:t>g-n-g</w:t>
            </w:r>
            <w:r>
              <w:rPr>
                <w:noProof/>
                <w:sz w:val="20"/>
                <w:szCs w:val="20"/>
              </w:rPr>
              <w:t>.</w:t>
            </w:r>
            <w:r w:rsidR="00F6272A">
              <w:rPr>
                <w:noProof/>
                <w:sz w:val="20"/>
                <w:szCs w:val="20"/>
              </w:rPr>
              <w:t xml:space="preserve"> </w:t>
            </w:r>
            <w:r w:rsidRPr="00A375AE">
              <w:rPr>
                <w:b/>
                <w:noProof/>
                <w:sz w:val="20"/>
                <w:szCs w:val="20"/>
              </w:rPr>
              <w:t>Kreditna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596574">
              <w:rPr>
                <w:b/>
                <w:noProof/>
                <w:sz w:val="20"/>
                <w:szCs w:val="20"/>
              </w:rPr>
              <w:t>aktivnost</w:t>
            </w:r>
            <w:r>
              <w:rPr>
                <w:noProof/>
                <w:sz w:val="20"/>
                <w:szCs w:val="20"/>
              </w:rPr>
              <w:t xml:space="preserve"> nije zadovoljavajuća i po</w:t>
            </w:r>
            <w:r w:rsidR="00596574">
              <w:rPr>
                <w:noProof/>
                <w:sz w:val="20"/>
                <w:szCs w:val="20"/>
              </w:rPr>
              <w:t>red rasta novoodobrenih kredita</w:t>
            </w:r>
            <w:r>
              <w:rPr>
                <w:noProof/>
                <w:sz w:val="20"/>
                <w:szCs w:val="20"/>
              </w:rPr>
              <w:t xml:space="preserve">, koji su za pet mjeseci ove godine povećani za 6,1% </w:t>
            </w:r>
            <w:r w:rsidR="00BC65B1">
              <w:rPr>
                <w:noProof/>
                <w:sz w:val="20"/>
                <w:szCs w:val="20"/>
              </w:rPr>
              <w:t>g-n-g.</w:t>
            </w:r>
            <w:r>
              <w:rPr>
                <w:noProof/>
                <w:sz w:val="20"/>
                <w:szCs w:val="20"/>
              </w:rPr>
              <w:t xml:space="preserve"> Ukupno odobreni </w:t>
            </w:r>
            <w:r w:rsidRPr="00A375AE">
              <w:rPr>
                <w:noProof/>
                <w:sz w:val="20"/>
                <w:szCs w:val="20"/>
              </w:rPr>
              <w:t>krediti</w:t>
            </w:r>
            <w:r w:rsidRPr="00ED7ABA">
              <w:rPr>
                <w:b/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banaka</w:t>
            </w:r>
            <w:r w:rsidRPr="003C543D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su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3C543D">
              <w:rPr>
                <w:noProof/>
                <w:sz w:val="20"/>
                <w:szCs w:val="20"/>
              </w:rPr>
              <w:t xml:space="preserve">krajem </w:t>
            </w:r>
            <w:r>
              <w:rPr>
                <w:noProof/>
                <w:sz w:val="20"/>
                <w:szCs w:val="20"/>
              </w:rPr>
              <w:t>maja iznosili 2.383,1mil. € i ostvarili pad od 0,1% na mjesečnom i 3,8% na godišnjem nivou.</w:t>
            </w:r>
            <w:r w:rsidRPr="003C543D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Rastuća </w:t>
            </w:r>
            <w:r w:rsidRPr="006B37A2">
              <w:rPr>
                <w:b/>
                <w:noProof/>
                <w:sz w:val="20"/>
                <w:szCs w:val="20"/>
              </w:rPr>
              <w:t>nelikvidnost</w:t>
            </w:r>
            <w:r>
              <w:rPr>
                <w:noProof/>
                <w:sz w:val="20"/>
                <w:szCs w:val="20"/>
              </w:rPr>
              <w:t xml:space="preserve"> realnog sektora se reflektuje kroz kontinuirano povećanje broja pravnih lica i preduzetnika u blokadi, kao i iznosa duga po osnovu koga je izvršeno blokiranje računa. Tako je u blokadi u maju ove godine bilo 13.632 izvršna dužnika, što je u odnosu na stanje iz prethodnog mjeseca više za 1,18%, dok je ukupan dug sa iznosom od 492,7 mil.€, povećan za 0,77% u odnosu na prethodni mjesec</w:t>
            </w:r>
            <w:r w:rsidR="009023AF">
              <w:rPr>
                <w:noProof/>
                <w:sz w:val="20"/>
                <w:szCs w:val="20"/>
              </w:rPr>
              <w:t>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10452C" w:rsidRPr="00715429" w:rsidRDefault="00CF0CC9" w:rsidP="00D84D2A">
            <w:pPr>
              <w:rPr>
                <w:noProof/>
                <w:sz w:val="17"/>
                <w:szCs w:val="17"/>
                <w:lang w:val="hr-BA" w:eastAsia="sr-Latn-CS"/>
              </w:rPr>
            </w:pPr>
            <w:r w:rsidRPr="00CF0CC9">
              <w:rPr>
                <w:noProof/>
                <w:sz w:val="17"/>
                <w:szCs w:val="17"/>
                <w:lang w:val="sr-Latn-CS" w:eastAsia="sr-Latn-CS"/>
              </w:rPr>
              <w:drawing>
                <wp:inline distT="0" distB="0" distL="0" distR="0">
                  <wp:extent cx="2514599" cy="1828799"/>
                  <wp:effectExtent l="0" t="0" r="0" b="0"/>
                  <wp:docPr id="11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DB721D" w:rsidRPr="00715429" w:rsidTr="00D84D2A">
        <w:trPr>
          <w:trHeight w:hRule="exact" w:val="5812"/>
        </w:trPr>
        <w:tc>
          <w:tcPr>
            <w:tcW w:w="6980" w:type="dxa"/>
            <w:tcBorders>
              <w:bottom w:val="thinThickSmallGap" w:sz="18" w:space="0" w:color="auto"/>
            </w:tcBorders>
          </w:tcPr>
          <w:p w:rsidR="0018331D" w:rsidRPr="0018331D" w:rsidRDefault="0018331D" w:rsidP="00D84D2A">
            <w:pPr>
              <w:pStyle w:val="NormalWeb"/>
              <w:numPr>
                <w:ilvl w:val="0"/>
                <w:numId w:val="24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18331D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  <w:t xml:space="preserve">Spoljnotrgovinska razmjena </w:t>
            </w:r>
          </w:p>
          <w:p w:rsidR="00E860CB" w:rsidRPr="00E860CB" w:rsidRDefault="00253A82" w:rsidP="00D84D2A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sz w:val="10"/>
                <w:szCs w:val="10"/>
              </w:rPr>
            </w:pPr>
            <w:r w:rsidRPr="00381FC0">
              <w:rPr>
                <w:b/>
                <w:sz w:val="20"/>
                <w:szCs w:val="20"/>
              </w:rPr>
              <w:t>U robnoj ra</w:t>
            </w:r>
            <w:r w:rsidR="001938DB">
              <w:rPr>
                <w:b/>
                <w:sz w:val="20"/>
                <w:szCs w:val="20"/>
              </w:rPr>
              <w:t>zmjeni</w:t>
            </w:r>
            <w:r w:rsidRPr="00381FC0">
              <w:rPr>
                <w:b/>
                <w:sz w:val="20"/>
                <w:szCs w:val="20"/>
              </w:rPr>
              <w:t xml:space="preserve"> sa inostranstvom za period januar – maj 2014. zabilježeno je smanjenje ukupnog prometa, usljed pada vrijednosti izvoza za 28,6% i uvoza za 3,0%.</w:t>
            </w:r>
            <w:r w:rsidRPr="00253A82">
              <w:rPr>
                <w:sz w:val="20"/>
                <w:szCs w:val="20"/>
              </w:rPr>
              <w:t xml:space="preserve"> Smanjenje eksterne i domaće tražnje imali su za r</w:t>
            </w:r>
            <w:r w:rsidR="001938DB">
              <w:rPr>
                <w:sz w:val="20"/>
                <w:szCs w:val="20"/>
              </w:rPr>
              <w:t xml:space="preserve">ezultat rast spojnotrgovinskog deficita </w:t>
            </w:r>
            <w:r w:rsidRPr="00253A82">
              <w:rPr>
                <w:sz w:val="20"/>
                <w:szCs w:val="20"/>
              </w:rPr>
              <w:t>za 5,2% i n</w:t>
            </w:r>
            <w:r w:rsidR="001938DB">
              <w:rPr>
                <w:sz w:val="20"/>
                <w:szCs w:val="20"/>
              </w:rPr>
              <w:t>jegovu vrijednost</w:t>
            </w:r>
            <w:r w:rsidRPr="00253A82">
              <w:rPr>
                <w:sz w:val="20"/>
                <w:szCs w:val="20"/>
              </w:rPr>
              <w:t xml:space="preserve"> od 538,8 mil.€. Stepen pokrivenosti uvoza izvozom roba iznosio je 18,0%, što je za 6,4 procentnih poena manje g-n-g. Ukupan izvoz roba iznosio je 118,3 mil.€, zabilj</w:t>
            </w:r>
            <w:r w:rsidR="001938DB">
              <w:rPr>
                <w:sz w:val="20"/>
                <w:szCs w:val="20"/>
              </w:rPr>
              <w:t>eživši pad od 47,3 mil.€ g-n-g.</w:t>
            </w:r>
            <w:r w:rsidRPr="00253A82">
              <w:rPr>
                <w:sz w:val="20"/>
                <w:szCs w:val="20"/>
              </w:rPr>
              <w:t xml:space="preserve"> Negativan uticaj na kretanje izvoza imao je izvoz električne energije koji je za dva i po puta manji, kao i značajan pad donedavno glavnih izvoznih kategorija (aluminijum i gvožđe i čelik). Ukupan uvoz iznosio je 657,1 mil.€ i bilježi smanjenje od 20,6 mil.€ g-n-g. Smanjenju uvoza najviše je d</w:t>
            </w:r>
            <w:r w:rsidR="001938DB">
              <w:rPr>
                <w:sz w:val="20"/>
                <w:szCs w:val="20"/>
              </w:rPr>
              <w:t>oprinio pad</w:t>
            </w:r>
            <w:r w:rsidRPr="00253A82">
              <w:rPr>
                <w:sz w:val="20"/>
                <w:szCs w:val="20"/>
              </w:rPr>
              <w:t xml:space="preserve"> uvoza električne energije (-27,0%), kao i smanjenje uvoza na</w:t>
            </w:r>
            <w:r w:rsidR="001938DB">
              <w:rPr>
                <w:sz w:val="20"/>
                <w:szCs w:val="20"/>
              </w:rPr>
              <w:t>fte i naftnih derivate za 7,0%.</w:t>
            </w:r>
            <w:r w:rsidRPr="00253A82">
              <w:rPr>
                <w:sz w:val="20"/>
                <w:szCs w:val="20"/>
              </w:rPr>
              <w:t xml:space="preserve"> </w:t>
            </w:r>
            <w:r w:rsidRPr="00253A82">
              <w:rPr>
                <w:rFonts w:asciiTheme="minorHAnsi" w:hAnsiTheme="minorHAnsi" w:cstheme="minorHAnsi"/>
                <w:sz w:val="20"/>
                <w:szCs w:val="20"/>
              </w:rPr>
              <w:t>Najveći trgovinski p</w:t>
            </w:r>
            <w:r w:rsidR="001938DB">
              <w:rPr>
                <w:rFonts w:asciiTheme="minorHAnsi" w:hAnsiTheme="minorHAnsi" w:cstheme="minorHAnsi"/>
                <w:sz w:val="20"/>
                <w:szCs w:val="20"/>
              </w:rPr>
              <w:t>romet ostvaren je sa Republikom</w:t>
            </w:r>
            <w:r w:rsidRPr="00253A82">
              <w:rPr>
                <w:rFonts w:asciiTheme="minorHAnsi" w:hAnsiTheme="minorHAnsi" w:cstheme="minorHAnsi"/>
                <w:sz w:val="20"/>
                <w:szCs w:val="20"/>
              </w:rPr>
              <w:t xml:space="preserve"> Srbijom, izvoz je vrijedio 30,9 mil.€, a uvoz 178,2 mil.€.</w:t>
            </w:r>
          </w:p>
          <w:p w:rsidR="00837547" w:rsidRDefault="00837547" w:rsidP="00D84D2A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515F64">
              <w:rPr>
                <w:sz w:val="20"/>
                <w:szCs w:val="20"/>
              </w:rPr>
              <w:t xml:space="preserve">U periodu januar-april 2014, evidentan je </w:t>
            </w:r>
            <w:r w:rsidRPr="009B7A65">
              <w:rPr>
                <w:b/>
                <w:sz w:val="20"/>
                <w:szCs w:val="20"/>
              </w:rPr>
              <w:t>rast priliva SDI</w:t>
            </w:r>
            <w:r w:rsidRPr="00515F64">
              <w:rPr>
                <w:sz w:val="20"/>
                <w:szCs w:val="20"/>
              </w:rPr>
              <w:t>, tako da su ukupne SDI iznosile 133,1 mil.€ ili 18,7% više nego u predhodnoj go</w:t>
            </w:r>
            <w:r w:rsidR="00B013A3">
              <w:rPr>
                <w:sz w:val="20"/>
                <w:szCs w:val="20"/>
              </w:rPr>
              <w:t>dini, uz neto SDI</w:t>
            </w:r>
            <w:r w:rsidRPr="00515F64">
              <w:rPr>
                <w:sz w:val="20"/>
                <w:szCs w:val="20"/>
              </w:rPr>
              <w:t xml:space="preserve"> </w:t>
            </w:r>
            <w:r w:rsidR="00B013A3">
              <w:rPr>
                <w:sz w:val="20"/>
                <w:szCs w:val="20"/>
              </w:rPr>
              <w:t xml:space="preserve">od </w:t>
            </w:r>
            <w:r w:rsidRPr="00515F64">
              <w:rPr>
                <w:sz w:val="20"/>
                <w:szCs w:val="20"/>
              </w:rPr>
              <w:t>94,5 mil.€ (14,4% više). Struktura SDI: vlasnička ulaganja 46</w:t>
            </w:r>
            <w:r>
              <w:rPr>
                <w:sz w:val="20"/>
                <w:szCs w:val="20"/>
              </w:rPr>
              <w:t xml:space="preserve">,9% (više za </w:t>
            </w:r>
            <w:r w:rsidRPr="00515F64">
              <w:rPr>
                <w:sz w:val="20"/>
                <w:szCs w:val="20"/>
              </w:rPr>
              <w:t>4,3%), pri čemu su investicije u preduzeće i banke 8,2% (više za 101,6%), investicije po osnovu ulaganja u nekretnine 38,8% (više za 5,6%). Nastavlja se trend rasta priliva SDI u formi interkompanijskog duga, sa učešćem od 51,5% (više za 34%), dok je priliv po osnovu ostalih SDI iznosio 1,6% (više za 82,3%). Ukupan odliv SDI iznosio je iznosio je 38,9 mil.€ (više za 30,7%) nego u uporednom periodu</w:t>
            </w:r>
            <w:r w:rsidR="001938DB">
              <w:rPr>
                <w:sz w:val="20"/>
                <w:szCs w:val="20"/>
              </w:rPr>
              <w:t xml:space="preserve"> 2013, pri čemu se najveći dio</w:t>
            </w:r>
            <w:r w:rsidRPr="00515F64">
              <w:rPr>
                <w:sz w:val="20"/>
                <w:szCs w:val="20"/>
              </w:rPr>
              <w:t xml:space="preserve"> (92,5%) odnosio na ulaganaj</w:t>
            </w:r>
            <w:r>
              <w:rPr>
                <w:sz w:val="20"/>
                <w:szCs w:val="20"/>
              </w:rPr>
              <w:t>a</w:t>
            </w:r>
            <w:r w:rsidRPr="00515F64">
              <w:rPr>
                <w:sz w:val="20"/>
                <w:szCs w:val="20"/>
              </w:rPr>
              <w:t xml:space="preserve"> nerezidenata u inostranstvo.</w:t>
            </w:r>
          </w:p>
          <w:p w:rsidR="00E860CB" w:rsidRPr="00515F64" w:rsidRDefault="00E860CB" w:rsidP="00D84D2A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37547" w:rsidRPr="00715429" w:rsidRDefault="00837547" w:rsidP="00D84D2A">
            <w:pPr>
              <w:pBdr>
                <w:top w:val="single" w:sz="4" w:space="1" w:color="auto"/>
              </w:pBdr>
              <w:jc w:val="both"/>
              <w:rPr>
                <w:rFonts w:cstheme="min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3798" w:type="dxa"/>
            <w:gridSpan w:val="3"/>
            <w:tcBorders>
              <w:bottom w:val="thinThickSmallGap" w:sz="18" w:space="0" w:color="auto"/>
            </w:tcBorders>
            <w:vAlign w:val="center"/>
          </w:tcPr>
          <w:p w:rsidR="00DB721D" w:rsidRPr="00715429" w:rsidRDefault="008A69B1" w:rsidP="00D84D2A">
            <w:pPr>
              <w:rPr>
                <w:noProof/>
                <w:sz w:val="17"/>
                <w:szCs w:val="17"/>
                <w:lang w:val="hr-BA" w:eastAsia="sr-Latn-CS"/>
              </w:rPr>
            </w:pPr>
            <w:r w:rsidRPr="008A69B1">
              <w:rPr>
                <w:noProof/>
                <w:sz w:val="17"/>
                <w:szCs w:val="17"/>
                <w:lang w:val="sr-Latn-CS" w:eastAsia="sr-Latn-CS"/>
              </w:rPr>
              <w:drawing>
                <wp:inline distT="0" distB="0" distL="0" distR="0">
                  <wp:extent cx="2298700" cy="2051050"/>
                  <wp:effectExtent l="0" t="0" r="0" b="0"/>
                  <wp:docPr id="9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82570B" w:rsidRPr="00715429" w:rsidRDefault="0082570B" w:rsidP="00D51C00">
      <w:pPr>
        <w:rPr>
          <w:noProof/>
          <w:lang w:val="hr-BA"/>
        </w:rPr>
        <w:sectPr w:rsidR="0082570B" w:rsidRPr="00715429" w:rsidSect="001938DB">
          <w:pgSz w:w="11907" w:h="16839" w:code="9"/>
          <w:pgMar w:top="567" w:right="720" w:bottom="709" w:left="720" w:header="720" w:footer="720" w:gutter="0"/>
          <w:cols w:space="720"/>
          <w:rtlGutter/>
          <w:docGrid w:linePitch="360"/>
        </w:sectPr>
      </w:pPr>
    </w:p>
    <w:p w:rsidR="002A1639" w:rsidRPr="00715429" w:rsidRDefault="0082570B" w:rsidP="00332574">
      <w:pPr>
        <w:jc w:val="center"/>
        <w:outlineLvl w:val="0"/>
        <w:rPr>
          <w:noProof/>
          <w:sz w:val="17"/>
          <w:szCs w:val="16"/>
          <w:lang w:val="hr-BA"/>
        </w:rPr>
      </w:pPr>
      <w:r w:rsidRPr="00715429">
        <w:rPr>
          <w:noProof/>
          <w:sz w:val="17"/>
          <w:szCs w:val="16"/>
          <w:lang w:val="hr-BA"/>
        </w:rPr>
        <w:lastRenderedPageBreak/>
        <w:t xml:space="preserve">Tabela 1: </w:t>
      </w:r>
      <w:r w:rsidRPr="00715429">
        <w:rPr>
          <w:b/>
          <w:bCs/>
          <w:noProof/>
          <w:sz w:val="17"/>
          <w:szCs w:val="16"/>
          <w:lang w:val="hr-BA"/>
        </w:rPr>
        <w:t>MAKROEKONOMSKI INDIKATORI</w:t>
      </w:r>
      <w:r w:rsidRPr="00715429">
        <w:rPr>
          <w:noProof/>
          <w:sz w:val="17"/>
          <w:szCs w:val="16"/>
          <w:lang w:val="hr-BA"/>
        </w:rPr>
        <w:t xml:space="preserve"> – </w:t>
      </w:r>
      <w:r w:rsidR="000D7A66">
        <w:rPr>
          <w:noProof/>
          <w:sz w:val="17"/>
          <w:szCs w:val="16"/>
          <w:lang w:val="hr-BA"/>
        </w:rPr>
        <w:t>maj</w:t>
      </w:r>
      <w:r w:rsidR="00725E16">
        <w:rPr>
          <w:noProof/>
          <w:sz w:val="17"/>
          <w:szCs w:val="16"/>
          <w:lang w:val="hr-BA"/>
        </w:rPr>
        <w:t xml:space="preserve"> </w:t>
      </w:r>
      <w:r w:rsidRPr="00715429">
        <w:rPr>
          <w:noProof/>
          <w:sz w:val="17"/>
          <w:szCs w:val="16"/>
          <w:lang w:val="hr-BA"/>
        </w:rPr>
        <w:t>201</w:t>
      </w:r>
      <w:r w:rsidR="00B355D6" w:rsidRPr="00715429">
        <w:rPr>
          <w:noProof/>
          <w:sz w:val="17"/>
          <w:szCs w:val="16"/>
          <w:lang w:val="hr-BA"/>
        </w:rPr>
        <w:t>4</w:t>
      </w:r>
      <w:r w:rsidRPr="00715429">
        <w:rPr>
          <w:noProof/>
          <w:sz w:val="17"/>
          <w:szCs w:val="16"/>
          <w:lang w:val="hr-BA"/>
        </w:rPr>
        <w:t>.</w:t>
      </w:r>
      <w:bookmarkStart w:id="0" w:name="_GoBack"/>
      <w:bookmarkEnd w:id="0"/>
    </w:p>
    <w:p w:rsidR="008A69B1" w:rsidRDefault="008A69B1" w:rsidP="008A69B1">
      <w:pPr>
        <w:pStyle w:val="Caption"/>
        <w:keepNext/>
      </w:pPr>
      <w:r>
        <w:t xml:space="preserve">Tabela </w:t>
      </w:r>
      <w:fldSimple w:instr=" SEQ Tabela \* ARABIC ">
        <w:r>
          <w:rPr>
            <w:noProof/>
          </w:rPr>
          <w:t>1</w:t>
        </w:r>
      </w:fldSimple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16"/>
        <w:gridCol w:w="641"/>
        <w:gridCol w:w="625"/>
        <w:gridCol w:w="623"/>
        <w:gridCol w:w="623"/>
        <w:gridCol w:w="626"/>
        <w:gridCol w:w="646"/>
        <w:gridCol w:w="866"/>
        <w:gridCol w:w="685"/>
        <w:gridCol w:w="723"/>
        <w:gridCol w:w="685"/>
        <w:gridCol w:w="685"/>
        <w:gridCol w:w="685"/>
        <w:gridCol w:w="685"/>
        <w:gridCol w:w="866"/>
        <w:gridCol w:w="804"/>
        <w:gridCol w:w="985"/>
      </w:tblGrid>
      <w:tr w:rsidR="008A69B1" w:rsidRPr="008A69B1" w:rsidTr="008A69B1">
        <w:trPr>
          <w:divId w:val="1392313879"/>
          <w:trHeight w:val="525"/>
        </w:trPr>
        <w:tc>
          <w:tcPr>
            <w:tcW w:w="1459" w:type="pct"/>
            <w:shd w:val="clear" w:color="auto" w:fill="auto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Indikatori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VIII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IX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XII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2014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III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IV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M-n-M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maj '14 / maj '13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jan - maj '14 / jan - maj '13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REALNI SEKTOR</w:t>
            </w:r>
          </w:p>
        </w:tc>
        <w:tc>
          <w:tcPr>
            <w:tcW w:w="193" w:type="pct"/>
            <w:shd w:val="clear" w:color="000000" w:fill="FFFF99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0" w:type="pct"/>
            <w:shd w:val="clear" w:color="000000" w:fill="FFFF99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68" w:type="pct"/>
            <w:shd w:val="clear" w:color="000000" w:fill="FFFF99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4" w:type="pct"/>
            <w:shd w:val="clear" w:color="000000" w:fill="FFFF99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68" w:type="pct"/>
            <w:shd w:val="clear" w:color="000000" w:fill="FFFF99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9" w:type="pct"/>
            <w:shd w:val="clear" w:color="000000" w:fill="FFFF99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305" w:type="pct"/>
            <w:shd w:val="clear" w:color="000000" w:fill="FFFF99"/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Industrijska proizvodnja (stopa rasta)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22,40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19,00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5,10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9,00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3,00</w:t>
            </w:r>
          </w:p>
        </w:tc>
        <w:tc>
          <w:tcPr>
            <w:tcW w:w="200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10,50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21,40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14,50</w:t>
            </w:r>
          </w:p>
        </w:tc>
        <w:tc>
          <w:tcPr>
            <w:tcW w:w="224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7,40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5,70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-20,60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-27,90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-23,40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-15,7</w:t>
            </w:r>
          </w:p>
        </w:tc>
        <w:tc>
          <w:tcPr>
            <w:tcW w:w="249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-23,4</w:t>
            </w:r>
          </w:p>
        </w:tc>
        <w:tc>
          <w:tcPr>
            <w:tcW w:w="305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-13,5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Prerađivačka industrija (stopa rasta)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-11,50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-11,10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11,70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4,70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6,50</w:t>
            </w:r>
          </w:p>
        </w:tc>
        <w:tc>
          <w:tcPr>
            <w:tcW w:w="200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22,70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28,20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48,80</w:t>
            </w:r>
          </w:p>
        </w:tc>
        <w:tc>
          <w:tcPr>
            <w:tcW w:w="224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39,80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20,50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18,40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-44,90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-10,90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7,5</w:t>
            </w:r>
          </w:p>
        </w:tc>
        <w:tc>
          <w:tcPr>
            <w:tcW w:w="249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-10,9</w:t>
            </w:r>
          </w:p>
        </w:tc>
        <w:tc>
          <w:tcPr>
            <w:tcW w:w="305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7,1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Noćenja u turizmu (stopa rasta)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7,30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4,50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-3,60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4,30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30,30</w:t>
            </w:r>
          </w:p>
        </w:tc>
        <w:tc>
          <w:tcPr>
            <w:tcW w:w="200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30,30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1,10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22,10</w:t>
            </w:r>
          </w:p>
        </w:tc>
        <w:tc>
          <w:tcPr>
            <w:tcW w:w="224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2,00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2,70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5,30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2,10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-4,20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209,6</w:t>
            </w:r>
          </w:p>
        </w:tc>
        <w:tc>
          <w:tcPr>
            <w:tcW w:w="249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-4,2</w:t>
            </w:r>
          </w:p>
        </w:tc>
        <w:tc>
          <w:tcPr>
            <w:tcW w:w="305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0,1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Promet u maloprodaji (stopa rasta)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8,60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10,30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11,50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14,40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16,00</w:t>
            </w:r>
          </w:p>
        </w:tc>
        <w:tc>
          <w:tcPr>
            <w:tcW w:w="200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16,00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12,80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14,20</w:t>
            </w:r>
          </w:p>
        </w:tc>
        <w:tc>
          <w:tcPr>
            <w:tcW w:w="224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-1,90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4,90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2,50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3,10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2,60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49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2,6</w:t>
            </w:r>
          </w:p>
        </w:tc>
        <w:tc>
          <w:tcPr>
            <w:tcW w:w="305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Vrijednost radova u gradjevinarstvu (stopa rasta)</w:t>
            </w:r>
          </w:p>
        </w:tc>
        <w:tc>
          <w:tcPr>
            <w:tcW w:w="387" w:type="pct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-1,0</w:t>
            </w:r>
          </w:p>
        </w:tc>
        <w:tc>
          <w:tcPr>
            <w:tcW w:w="580" w:type="pct"/>
            <w:gridSpan w:val="3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3,8</w:t>
            </w:r>
          </w:p>
        </w:tc>
        <w:tc>
          <w:tcPr>
            <w:tcW w:w="680" w:type="pct"/>
            <w:gridSpan w:val="3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27,9</w:t>
            </w:r>
          </w:p>
        </w:tc>
        <w:tc>
          <w:tcPr>
            <w:tcW w:w="648" w:type="pct"/>
            <w:gridSpan w:val="3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30,3</w:t>
            </w:r>
          </w:p>
        </w:tc>
        <w:tc>
          <w:tcPr>
            <w:tcW w:w="424" w:type="pct"/>
            <w:gridSpan w:val="2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9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0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68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4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68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9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305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potrošačkih cijena (stopa rasta)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3,0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2,7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1,8</w:t>
            </w:r>
          </w:p>
        </w:tc>
        <w:tc>
          <w:tcPr>
            <w:tcW w:w="200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0,3</w:t>
            </w:r>
          </w:p>
        </w:tc>
        <w:tc>
          <w:tcPr>
            <w:tcW w:w="224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-0,4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-0,6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-0,9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-1,4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-1,3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0,3</w:t>
            </w:r>
          </w:p>
        </w:tc>
        <w:tc>
          <w:tcPr>
            <w:tcW w:w="249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-1,3</w:t>
            </w:r>
          </w:p>
        </w:tc>
        <w:tc>
          <w:tcPr>
            <w:tcW w:w="305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-0,9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Harmonizovani indeks potrošačkih cijena (stopa rasta)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2,1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1,5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1,7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1,5</w:t>
            </w:r>
          </w:p>
        </w:tc>
        <w:tc>
          <w:tcPr>
            <w:tcW w:w="200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0,3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0,4</w:t>
            </w:r>
          </w:p>
        </w:tc>
        <w:tc>
          <w:tcPr>
            <w:tcW w:w="224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0,1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-0,4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-0,8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-0,7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249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-0,7</w:t>
            </w:r>
          </w:p>
        </w:tc>
        <w:tc>
          <w:tcPr>
            <w:tcW w:w="305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n/p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proizvodjačkih cijena (stopa rasta)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4,1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2,3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-2,0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-0,4</w:t>
            </w:r>
          </w:p>
        </w:tc>
        <w:tc>
          <w:tcPr>
            <w:tcW w:w="200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-0,9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-1,1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-0,6</w:t>
            </w:r>
          </w:p>
        </w:tc>
        <w:tc>
          <w:tcPr>
            <w:tcW w:w="224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-1,3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-1,2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-0,3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-0,2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-0,1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-0,1</w:t>
            </w:r>
          </w:p>
        </w:tc>
        <w:tc>
          <w:tcPr>
            <w:tcW w:w="249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-0,1</w:t>
            </w:r>
          </w:p>
        </w:tc>
        <w:tc>
          <w:tcPr>
            <w:tcW w:w="305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-0,6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I ZARADE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0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68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4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68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9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305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(broj, kraj perioda)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174.369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179.861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178.815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176.588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169.044</w:t>
            </w:r>
          </w:p>
        </w:tc>
        <w:tc>
          <w:tcPr>
            <w:tcW w:w="200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169.044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167.607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167.173</w:t>
            </w:r>
          </w:p>
        </w:tc>
        <w:tc>
          <w:tcPr>
            <w:tcW w:w="224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167.616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168.805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170.177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172.202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174.917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1,6</w:t>
            </w:r>
          </w:p>
        </w:tc>
        <w:tc>
          <w:tcPr>
            <w:tcW w:w="249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0,3</w:t>
            </w:r>
          </w:p>
        </w:tc>
        <w:tc>
          <w:tcPr>
            <w:tcW w:w="305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0,8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Broj nezaposlenih (broj, kraj perioda)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31.363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30.337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30.102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30.947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33.271</w:t>
            </w:r>
          </w:p>
        </w:tc>
        <w:tc>
          <w:tcPr>
            <w:tcW w:w="200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33.271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34.680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34.514</w:t>
            </w:r>
          </w:p>
        </w:tc>
        <w:tc>
          <w:tcPr>
            <w:tcW w:w="224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34.804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34.664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34.671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33.906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32.763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-3,4</w:t>
            </w:r>
          </w:p>
        </w:tc>
        <w:tc>
          <w:tcPr>
            <w:tcW w:w="249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4,5</w:t>
            </w:r>
          </w:p>
        </w:tc>
        <w:tc>
          <w:tcPr>
            <w:tcW w:w="305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5,8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(%)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13,5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13,0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13,0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13,3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13,3</w:t>
            </w:r>
          </w:p>
        </w:tc>
        <w:tc>
          <w:tcPr>
            <w:tcW w:w="200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14,3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14,9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14,9</w:t>
            </w:r>
          </w:p>
        </w:tc>
        <w:tc>
          <w:tcPr>
            <w:tcW w:w="224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15,0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14,9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14,9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14,6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14,1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-3,4</w:t>
            </w:r>
          </w:p>
        </w:tc>
        <w:tc>
          <w:tcPr>
            <w:tcW w:w="249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4,4</w:t>
            </w:r>
          </w:p>
        </w:tc>
        <w:tc>
          <w:tcPr>
            <w:tcW w:w="305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5,6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(ARS) (%)</w:t>
            </w:r>
          </w:p>
        </w:tc>
        <w:tc>
          <w:tcPr>
            <w:tcW w:w="387" w:type="pct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19,3</w:t>
            </w:r>
          </w:p>
        </w:tc>
        <w:tc>
          <w:tcPr>
            <w:tcW w:w="580" w:type="pct"/>
            <w:gridSpan w:val="3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17,8</w:t>
            </w:r>
          </w:p>
        </w:tc>
        <w:tc>
          <w:tcPr>
            <w:tcW w:w="680" w:type="pct"/>
            <w:gridSpan w:val="3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19,5</w:t>
            </w:r>
          </w:p>
        </w:tc>
        <w:tc>
          <w:tcPr>
            <w:tcW w:w="648" w:type="pct"/>
            <w:gridSpan w:val="3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424" w:type="pct"/>
            <w:gridSpan w:val="2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68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9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305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Oglašena radna mjesta (broj)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1.719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1.430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853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1.495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796</w:t>
            </w:r>
          </w:p>
        </w:tc>
        <w:tc>
          <w:tcPr>
            <w:tcW w:w="200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796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648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1.130</w:t>
            </w:r>
          </w:p>
        </w:tc>
        <w:tc>
          <w:tcPr>
            <w:tcW w:w="224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1.028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1.051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3.077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5.399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4.984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-7,7</w:t>
            </w:r>
          </w:p>
        </w:tc>
        <w:tc>
          <w:tcPr>
            <w:tcW w:w="249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189,9</w:t>
            </w:r>
          </w:p>
        </w:tc>
        <w:tc>
          <w:tcPr>
            <w:tcW w:w="305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127,7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bruto zarada (u €)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728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730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712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721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721</w:t>
            </w:r>
          </w:p>
        </w:tc>
        <w:tc>
          <w:tcPr>
            <w:tcW w:w="200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721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728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738</w:t>
            </w:r>
          </w:p>
        </w:tc>
        <w:tc>
          <w:tcPr>
            <w:tcW w:w="224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726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729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720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720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726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0,8</w:t>
            </w:r>
          </w:p>
        </w:tc>
        <w:tc>
          <w:tcPr>
            <w:tcW w:w="249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-0,3</w:t>
            </w:r>
          </w:p>
        </w:tc>
        <w:tc>
          <w:tcPr>
            <w:tcW w:w="305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-0,5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neto zarada (u €)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481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469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475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475</w:t>
            </w:r>
          </w:p>
        </w:tc>
        <w:tc>
          <w:tcPr>
            <w:tcW w:w="200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475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486</w:t>
            </w:r>
          </w:p>
        </w:tc>
        <w:tc>
          <w:tcPr>
            <w:tcW w:w="224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478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474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474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478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0,8</w:t>
            </w:r>
          </w:p>
        </w:tc>
        <w:tc>
          <w:tcPr>
            <w:tcW w:w="249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-0,4</w:t>
            </w:r>
          </w:p>
        </w:tc>
        <w:tc>
          <w:tcPr>
            <w:tcW w:w="305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-1,0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MONETARNI SEKTOR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0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68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4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68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9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305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krediti (kumulativ, mil. €)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2.477,6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2.457,5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2.505,8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2.538,3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2.474,5</w:t>
            </w:r>
          </w:p>
        </w:tc>
        <w:tc>
          <w:tcPr>
            <w:tcW w:w="200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2.474,5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2.463,9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2.411,9</w:t>
            </w:r>
          </w:p>
        </w:tc>
        <w:tc>
          <w:tcPr>
            <w:tcW w:w="224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2.407,9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2.415,0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2.405,0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2.386,6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2.383,1</w:t>
            </w:r>
          </w:p>
        </w:tc>
        <w:tc>
          <w:tcPr>
            <w:tcW w:w="268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-0,1</w:t>
            </w:r>
          </w:p>
        </w:tc>
        <w:tc>
          <w:tcPr>
            <w:tcW w:w="249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-3,8</w:t>
            </w:r>
          </w:p>
        </w:tc>
        <w:tc>
          <w:tcPr>
            <w:tcW w:w="305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Ukupni krediti (stopa rasta) 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6,4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5,5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5,7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2,0</w:t>
            </w:r>
          </w:p>
        </w:tc>
        <w:tc>
          <w:tcPr>
            <w:tcW w:w="20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5,4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3,0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-3,0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-3,7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-3,4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-3,2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-3,8</w:t>
            </w:r>
          </w:p>
        </w:tc>
        <w:tc>
          <w:tcPr>
            <w:tcW w:w="268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-0,1</w:t>
            </w:r>
          </w:p>
        </w:tc>
        <w:tc>
          <w:tcPr>
            <w:tcW w:w="249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-3,8</w:t>
            </w:r>
          </w:p>
        </w:tc>
        <w:tc>
          <w:tcPr>
            <w:tcW w:w="305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Nekvalitetni krediti (kumulativ, mil €)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492,9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441,3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447,0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441,9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438,6</w:t>
            </w:r>
          </w:p>
        </w:tc>
        <w:tc>
          <w:tcPr>
            <w:tcW w:w="20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438,6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428,3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423,2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425,6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426,3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393,9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406,1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417,6</w:t>
            </w:r>
          </w:p>
        </w:tc>
        <w:tc>
          <w:tcPr>
            <w:tcW w:w="268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2,8</w:t>
            </w:r>
          </w:p>
        </w:tc>
        <w:tc>
          <w:tcPr>
            <w:tcW w:w="249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-15,3</w:t>
            </w:r>
          </w:p>
        </w:tc>
        <w:tc>
          <w:tcPr>
            <w:tcW w:w="305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Udio nekvalitetnih kredita u ukupnim kreditima (u %)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19,9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18,0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17,8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17,4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17,7</w:t>
            </w:r>
          </w:p>
        </w:tc>
        <w:tc>
          <w:tcPr>
            <w:tcW w:w="200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17,7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17,4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17,5</w:t>
            </w:r>
          </w:p>
        </w:tc>
        <w:tc>
          <w:tcPr>
            <w:tcW w:w="224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17,7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17,7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16,4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17,0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17,5</w:t>
            </w:r>
          </w:p>
        </w:tc>
        <w:tc>
          <w:tcPr>
            <w:tcW w:w="268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2,8</w:t>
            </w:r>
          </w:p>
        </w:tc>
        <w:tc>
          <w:tcPr>
            <w:tcW w:w="249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-15,3</w:t>
            </w:r>
          </w:p>
        </w:tc>
        <w:tc>
          <w:tcPr>
            <w:tcW w:w="305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(kumulativ, mil €)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1.974,4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2.009,7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2.075,0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2.144,3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2.104,3</w:t>
            </w:r>
          </w:p>
        </w:tc>
        <w:tc>
          <w:tcPr>
            <w:tcW w:w="20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2.104,3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2.084,9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2.098,6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2.096,7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2.101,7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2.104,3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2.094,8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268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-100,0</w:t>
            </w:r>
          </w:p>
        </w:tc>
        <w:tc>
          <w:tcPr>
            <w:tcW w:w="249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-100,0</w:t>
            </w:r>
          </w:p>
        </w:tc>
        <w:tc>
          <w:tcPr>
            <w:tcW w:w="305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(stopa rasta)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6,4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5,5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9,7</w:t>
            </w:r>
          </w:p>
        </w:tc>
        <w:tc>
          <w:tcPr>
            <w:tcW w:w="193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5,2</w:t>
            </w:r>
          </w:p>
        </w:tc>
        <w:tc>
          <w:tcPr>
            <w:tcW w:w="200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7,1</w:t>
            </w:r>
          </w:p>
        </w:tc>
        <w:tc>
          <w:tcPr>
            <w:tcW w:w="26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5,1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24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6,4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5,6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5,3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7,3</w:t>
            </w:r>
          </w:p>
        </w:tc>
        <w:tc>
          <w:tcPr>
            <w:tcW w:w="212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-100,0</w:t>
            </w:r>
          </w:p>
        </w:tc>
        <w:tc>
          <w:tcPr>
            <w:tcW w:w="268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-100,0</w:t>
            </w:r>
          </w:p>
        </w:tc>
        <w:tc>
          <w:tcPr>
            <w:tcW w:w="249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-100,0</w:t>
            </w:r>
          </w:p>
        </w:tc>
        <w:tc>
          <w:tcPr>
            <w:tcW w:w="305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privredi (kumulativ, u mil €)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1.027,9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990,5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970,2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947,6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951,1</w:t>
            </w:r>
          </w:p>
        </w:tc>
        <w:tc>
          <w:tcPr>
            <w:tcW w:w="20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951,1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955,2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948,4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942,6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951,6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947,7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958,5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959,8</w:t>
            </w:r>
          </w:p>
        </w:tc>
        <w:tc>
          <w:tcPr>
            <w:tcW w:w="268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0,1</w:t>
            </w:r>
          </w:p>
        </w:tc>
        <w:tc>
          <w:tcPr>
            <w:tcW w:w="249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-6,6</w:t>
            </w:r>
          </w:p>
        </w:tc>
        <w:tc>
          <w:tcPr>
            <w:tcW w:w="305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domaćinstvima (kumulativ, u mil €)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875,1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880,9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882,5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880,6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886,8</w:t>
            </w:r>
          </w:p>
        </w:tc>
        <w:tc>
          <w:tcPr>
            <w:tcW w:w="20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886,8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887,1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881,3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881,1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882,6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887,1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887,4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890,7</w:t>
            </w:r>
          </w:p>
        </w:tc>
        <w:tc>
          <w:tcPr>
            <w:tcW w:w="268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0,4</w:t>
            </w:r>
          </w:p>
        </w:tc>
        <w:tc>
          <w:tcPr>
            <w:tcW w:w="249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1,8</w:t>
            </w:r>
          </w:p>
        </w:tc>
        <w:tc>
          <w:tcPr>
            <w:tcW w:w="305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Depoziti privrede (kumulativ, u mil €)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509,8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539,3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576,2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612,3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572,8</w:t>
            </w:r>
          </w:p>
        </w:tc>
        <w:tc>
          <w:tcPr>
            <w:tcW w:w="20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572,8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553,9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554,8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554,0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549,6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542,8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533,0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551,7</w:t>
            </w:r>
          </w:p>
        </w:tc>
        <w:tc>
          <w:tcPr>
            <w:tcW w:w="268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3,5</w:t>
            </w:r>
          </w:p>
        </w:tc>
        <w:tc>
          <w:tcPr>
            <w:tcW w:w="249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8,2</w:t>
            </w:r>
          </w:p>
        </w:tc>
        <w:tc>
          <w:tcPr>
            <w:tcW w:w="305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Lična štednja (kumulativ, u mil €)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1.162,4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1.164,7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1.192,9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1.218,1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1.218,1</w:t>
            </w:r>
          </w:p>
        </w:tc>
        <w:tc>
          <w:tcPr>
            <w:tcW w:w="20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1.218,1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1.221,0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1.237,7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1.235,1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1.236,4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1.239,2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1.247,8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1.245,5</w:t>
            </w:r>
          </w:p>
        </w:tc>
        <w:tc>
          <w:tcPr>
            <w:tcW w:w="268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-0,2</w:t>
            </w:r>
          </w:p>
        </w:tc>
        <w:tc>
          <w:tcPr>
            <w:tcW w:w="249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7,2</w:t>
            </w:r>
          </w:p>
        </w:tc>
        <w:tc>
          <w:tcPr>
            <w:tcW w:w="305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kredite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9,43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9,38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9,33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9,33</w:t>
            </w:r>
          </w:p>
        </w:tc>
        <w:tc>
          <w:tcPr>
            <w:tcW w:w="20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9,33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9,33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9,36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9,40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9,42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9,42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9,45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9,51</w:t>
            </w:r>
          </w:p>
        </w:tc>
        <w:tc>
          <w:tcPr>
            <w:tcW w:w="268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0,06</w:t>
            </w:r>
          </w:p>
        </w:tc>
        <w:tc>
          <w:tcPr>
            <w:tcW w:w="249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0,07</w:t>
            </w:r>
          </w:p>
        </w:tc>
        <w:tc>
          <w:tcPr>
            <w:tcW w:w="305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depozite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3,06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2,99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2,93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2,83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2,67</w:t>
            </w:r>
          </w:p>
        </w:tc>
        <w:tc>
          <w:tcPr>
            <w:tcW w:w="20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2,67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2,60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2,55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2,41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2,45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2,34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2,31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2,25</w:t>
            </w:r>
          </w:p>
        </w:tc>
        <w:tc>
          <w:tcPr>
            <w:tcW w:w="268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-0,06</w:t>
            </w:r>
          </w:p>
        </w:tc>
        <w:tc>
          <w:tcPr>
            <w:tcW w:w="249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-0,81</w:t>
            </w:r>
          </w:p>
        </w:tc>
        <w:tc>
          <w:tcPr>
            <w:tcW w:w="305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EKSTERNI SEKTOR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0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68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4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68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9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305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Izvoz roba (u mil. €)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39,4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30,6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31,8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28,4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24,6</w:t>
            </w:r>
          </w:p>
        </w:tc>
        <w:tc>
          <w:tcPr>
            <w:tcW w:w="20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24,6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31,2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34,5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22,6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22,2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24,7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23,2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25,6</w:t>
            </w:r>
          </w:p>
        </w:tc>
        <w:tc>
          <w:tcPr>
            <w:tcW w:w="268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10,8</w:t>
            </w:r>
          </w:p>
        </w:tc>
        <w:tc>
          <w:tcPr>
            <w:tcW w:w="249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-35,0</w:t>
            </w:r>
          </w:p>
        </w:tc>
        <w:tc>
          <w:tcPr>
            <w:tcW w:w="305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-28,6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Uvoz roba (u mil. €)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152,3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170,4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172,6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164,9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161,4</w:t>
            </w:r>
          </w:p>
        </w:tc>
        <w:tc>
          <w:tcPr>
            <w:tcW w:w="20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161,4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130,7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149,0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83,1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112,7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145,9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158,2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157,3</w:t>
            </w:r>
          </w:p>
        </w:tc>
        <w:tc>
          <w:tcPr>
            <w:tcW w:w="268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-0,6</w:t>
            </w:r>
          </w:p>
        </w:tc>
        <w:tc>
          <w:tcPr>
            <w:tcW w:w="249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3,2</w:t>
            </w:r>
          </w:p>
        </w:tc>
        <w:tc>
          <w:tcPr>
            <w:tcW w:w="305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-3,0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Spoljnotrgovinski bilans (u mil €)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-112,9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-139,9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-140,8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-136,5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-136,9</w:t>
            </w:r>
          </w:p>
        </w:tc>
        <w:tc>
          <w:tcPr>
            <w:tcW w:w="20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-136,9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-99,6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-114,5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-60,5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-90,5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-121,2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-135,1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-131,6</w:t>
            </w:r>
          </w:p>
        </w:tc>
        <w:tc>
          <w:tcPr>
            <w:tcW w:w="268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-2,5</w:t>
            </w:r>
          </w:p>
        </w:tc>
        <w:tc>
          <w:tcPr>
            <w:tcW w:w="249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16,6</w:t>
            </w:r>
          </w:p>
        </w:tc>
        <w:tc>
          <w:tcPr>
            <w:tcW w:w="305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5,2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Strane direktne investicije (mil.€)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33,7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38,8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32,5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30,7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-19,8</w:t>
            </w:r>
          </w:p>
        </w:tc>
        <w:tc>
          <w:tcPr>
            <w:tcW w:w="20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-19,8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12,6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55,5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17,0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28,8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32,1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16,6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268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-48,4</w:t>
            </w:r>
          </w:p>
        </w:tc>
        <w:tc>
          <w:tcPr>
            <w:tcW w:w="249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-3,1</w:t>
            </w:r>
          </w:p>
        </w:tc>
        <w:tc>
          <w:tcPr>
            <w:tcW w:w="305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14,4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MEĐUNARODNO OKRUŽENJE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93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0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68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4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12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68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9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305" w:type="pct"/>
            <w:shd w:val="clear" w:color="000000" w:fill="FFFF99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Brent crude oil (USD/barel)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100,4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103,0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107,7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115,7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105,9</w:t>
            </w:r>
          </w:p>
        </w:tc>
        <w:tc>
          <w:tcPr>
            <w:tcW w:w="20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105,9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111,5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107,8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108,8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109,7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107,7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108,0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109,6</w:t>
            </w:r>
          </w:p>
        </w:tc>
        <w:tc>
          <w:tcPr>
            <w:tcW w:w="268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1,5</w:t>
            </w:r>
          </w:p>
        </w:tc>
        <w:tc>
          <w:tcPr>
            <w:tcW w:w="249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9,2</w:t>
            </w:r>
          </w:p>
        </w:tc>
        <w:tc>
          <w:tcPr>
            <w:tcW w:w="305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1,0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Aluminijum (USD/T)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1.832,6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1.814,5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1.769,6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1.816,2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1.814,6</w:t>
            </w:r>
          </w:p>
        </w:tc>
        <w:tc>
          <w:tcPr>
            <w:tcW w:w="20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1.814,6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1.748,0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1.739,8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1.740,8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1.695,2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1.705,4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1.810,7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1.751,1</w:t>
            </w:r>
          </w:p>
        </w:tc>
        <w:tc>
          <w:tcPr>
            <w:tcW w:w="268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-3,3</w:t>
            </w:r>
          </w:p>
        </w:tc>
        <w:tc>
          <w:tcPr>
            <w:tcW w:w="249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-4,4</w:t>
            </w:r>
          </w:p>
        </w:tc>
        <w:tc>
          <w:tcPr>
            <w:tcW w:w="305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-10,2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Euribor (12 mjeseci)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0,51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0,48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0,53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0,53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0,54</w:t>
            </w:r>
          </w:p>
        </w:tc>
        <w:tc>
          <w:tcPr>
            <w:tcW w:w="20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0,54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0,53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0,50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0,56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0,55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0,59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0,61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0,57</w:t>
            </w:r>
          </w:p>
        </w:tc>
        <w:tc>
          <w:tcPr>
            <w:tcW w:w="268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-0,04</w:t>
            </w:r>
          </w:p>
        </w:tc>
        <w:tc>
          <w:tcPr>
            <w:tcW w:w="249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0,06</w:t>
            </w:r>
          </w:p>
        </w:tc>
        <w:tc>
          <w:tcPr>
            <w:tcW w:w="305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0,02</w:t>
            </w:r>
          </w:p>
        </w:tc>
      </w:tr>
      <w:tr w:rsidR="008A69B1" w:rsidRPr="008A69B1" w:rsidTr="008A69B1">
        <w:trPr>
          <w:divId w:val="1392313879"/>
          <w:trHeight w:hRule="exact" w:val="204"/>
        </w:trPr>
        <w:tc>
          <w:tcPr>
            <w:tcW w:w="1459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 u Eurozoni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1,4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1,6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1,6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1,3</w:t>
            </w:r>
          </w:p>
        </w:tc>
        <w:tc>
          <w:tcPr>
            <w:tcW w:w="193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0,7</w:t>
            </w:r>
          </w:p>
        </w:tc>
        <w:tc>
          <w:tcPr>
            <w:tcW w:w="20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0,7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0,9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0,8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0,8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0,7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0,7</w:t>
            </w:r>
          </w:p>
        </w:tc>
        <w:tc>
          <w:tcPr>
            <w:tcW w:w="212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268" w:type="pct"/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249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-0,9</w:t>
            </w:r>
          </w:p>
        </w:tc>
        <w:tc>
          <w:tcPr>
            <w:tcW w:w="305" w:type="pct"/>
            <w:shd w:val="clear" w:color="000000" w:fill="FFFFFF"/>
            <w:tcMar>
              <w:left w:w="57" w:type="dxa"/>
            </w:tcMar>
            <w:vAlign w:val="center"/>
            <w:hideMark/>
          </w:tcPr>
          <w:p w:rsidR="008A69B1" w:rsidRPr="008A69B1" w:rsidRDefault="008A69B1" w:rsidP="008A69B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A69B1">
              <w:rPr>
                <w:rFonts w:cs="Calibri"/>
                <w:sz w:val="16"/>
                <w:szCs w:val="16"/>
                <w:lang w:val="sr-Latn-CS" w:eastAsia="sr-Latn-CS"/>
              </w:rPr>
              <w:t>-1,0</w:t>
            </w:r>
          </w:p>
        </w:tc>
      </w:tr>
    </w:tbl>
    <w:p w:rsidR="0083011C" w:rsidRDefault="0083011C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1938DB" w:rsidRPr="00715429" w:rsidRDefault="001938DB" w:rsidP="001938DB">
      <w:pPr>
        <w:spacing w:after="0" w:line="240" w:lineRule="auto"/>
        <w:outlineLvl w:val="0"/>
        <w:rPr>
          <w:b/>
          <w:i/>
          <w:noProof/>
          <w:sz w:val="16"/>
          <w:szCs w:val="16"/>
          <w:lang w:val="hr-BA"/>
        </w:rPr>
      </w:pPr>
      <w:r w:rsidRPr="00715429">
        <w:rPr>
          <w:b/>
          <w:i/>
          <w:noProof/>
          <w:sz w:val="16"/>
          <w:szCs w:val="16"/>
          <w:lang w:val="hr-BA"/>
        </w:rPr>
        <w:t>Izvor: MONSTAT, Centralna Banka, Zavod za zapošljavanje Crne Gore</w:t>
      </w:r>
    </w:p>
    <w:p w:rsidR="001938DB" w:rsidRPr="00715429" w:rsidRDefault="001938DB" w:rsidP="001938DB">
      <w:pPr>
        <w:spacing w:after="0"/>
        <w:ind w:firstLine="142"/>
        <w:rPr>
          <w:i/>
          <w:iCs/>
          <w:noProof/>
          <w:sz w:val="12"/>
          <w:szCs w:val="12"/>
          <w:lang w:val="hr-BA"/>
        </w:rPr>
      </w:pPr>
      <w:r w:rsidRPr="00715429">
        <w:rPr>
          <w:i/>
          <w:iCs/>
          <w:noProof/>
          <w:sz w:val="12"/>
          <w:szCs w:val="12"/>
          <w:lang w:val="hr-BA"/>
        </w:rPr>
        <w:t>Svi indikatori su prikazani kao godišnje stope rasta (stopa promjene indikatora u posmatranom mjesecu u odnosu na isti mjesec prethodne godine u %) ukoliko nije drugačije naznačeno u nazivu</w:t>
      </w:r>
    </w:p>
    <w:p w:rsidR="001938DB" w:rsidRDefault="001938DB" w:rsidP="001938DB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  <w:r w:rsidRPr="00715429">
        <w:rPr>
          <w:i/>
          <w:iCs/>
          <w:noProof/>
          <w:sz w:val="12"/>
          <w:szCs w:val="12"/>
          <w:lang w:val="hr-BA"/>
        </w:rPr>
        <w:t>M-n-M označava mjesečnu promjenu (stopa promjene indikatora u posmatranom mjesecu u odnosu na prethodni mjesec u %)</w:t>
      </w:r>
      <w:r>
        <w:rPr>
          <w:i/>
          <w:iCs/>
          <w:noProof/>
          <w:sz w:val="12"/>
          <w:szCs w:val="12"/>
          <w:lang w:val="hr-BA"/>
        </w:rPr>
        <w:t xml:space="preserve"> g-n-g</w:t>
      </w:r>
      <w:r w:rsidRPr="00715429">
        <w:rPr>
          <w:i/>
          <w:iCs/>
          <w:noProof/>
          <w:sz w:val="12"/>
          <w:szCs w:val="12"/>
          <w:lang w:val="hr-BA"/>
        </w:rPr>
        <w:t xml:space="preserve"> označava </w:t>
      </w:r>
      <w:r>
        <w:rPr>
          <w:i/>
          <w:iCs/>
          <w:noProof/>
          <w:sz w:val="12"/>
          <w:szCs w:val="12"/>
          <w:lang w:val="hr-BA"/>
        </w:rPr>
        <w:t>godišnju</w:t>
      </w:r>
      <w:r w:rsidRPr="00715429">
        <w:rPr>
          <w:i/>
          <w:iCs/>
          <w:noProof/>
          <w:sz w:val="12"/>
          <w:szCs w:val="12"/>
          <w:lang w:val="hr-BA"/>
        </w:rPr>
        <w:t xml:space="preserve"> promjenu (stopa promjene indikatora u posmatranom mjesecu</w:t>
      </w:r>
      <w:r>
        <w:rPr>
          <w:i/>
          <w:iCs/>
          <w:noProof/>
          <w:sz w:val="12"/>
          <w:szCs w:val="12"/>
          <w:lang w:val="hr-BA"/>
        </w:rPr>
        <w:t xml:space="preserve">ili periodu </w:t>
      </w:r>
      <w:r w:rsidRPr="00715429">
        <w:rPr>
          <w:i/>
          <w:iCs/>
          <w:noProof/>
          <w:sz w:val="12"/>
          <w:szCs w:val="12"/>
          <w:lang w:val="hr-BA"/>
        </w:rPr>
        <w:t xml:space="preserve"> u odnosu na </w:t>
      </w:r>
      <w:r>
        <w:rPr>
          <w:i/>
          <w:iCs/>
          <w:noProof/>
          <w:sz w:val="12"/>
          <w:szCs w:val="12"/>
          <w:lang w:val="hr-BA"/>
        </w:rPr>
        <w:t>isti mmjesec ili periodprethodne godine</w:t>
      </w:r>
      <w:r w:rsidRPr="00715429">
        <w:rPr>
          <w:i/>
          <w:iCs/>
          <w:noProof/>
          <w:sz w:val="12"/>
          <w:szCs w:val="12"/>
          <w:lang w:val="hr-BA"/>
        </w:rPr>
        <w:t xml:space="preserve"> u %)</w:t>
      </w:r>
    </w:p>
    <w:p w:rsidR="0083011C" w:rsidRDefault="0083011C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1938DB" w:rsidRDefault="001938DB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1938DB" w:rsidRDefault="001938DB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1938DB" w:rsidRDefault="001938DB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1938DB" w:rsidRDefault="001938DB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CD707C" w:rsidRPr="0065398C" w:rsidRDefault="00A30E95" w:rsidP="00784DAE">
      <w:pPr>
        <w:spacing w:after="0" w:line="240" w:lineRule="auto"/>
        <w:ind w:firstLine="142"/>
        <w:jc w:val="center"/>
        <w:rPr>
          <w:noProof/>
          <w:sz w:val="18"/>
          <w:szCs w:val="18"/>
          <w:lang w:val="hr-BA"/>
        </w:rPr>
      </w:pPr>
      <w:r w:rsidRPr="0065398C">
        <w:rPr>
          <w:noProof/>
          <w:sz w:val="18"/>
          <w:szCs w:val="18"/>
          <w:lang w:val="hr-BA"/>
        </w:rPr>
        <w:lastRenderedPageBreak/>
        <w:t>T</w:t>
      </w:r>
      <w:r w:rsidR="00784DAE" w:rsidRPr="0065398C">
        <w:rPr>
          <w:noProof/>
          <w:sz w:val="18"/>
          <w:szCs w:val="18"/>
          <w:lang w:val="hr-BA"/>
        </w:rPr>
        <w:t xml:space="preserve">abela 2: </w:t>
      </w:r>
      <w:r w:rsidR="00784DAE" w:rsidRPr="0065398C">
        <w:rPr>
          <w:b/>
          <w:bCs/>
          <w:noProof/>
          <w:sz w:val="18"/>
          <w:szCs w:val="18"/>
          <w:lang w:val="hr-BA"/>
        </w:rPr>
        <w:t>BUDŽET CRNE GORE</w:t>
      </w:r>
      <w:r w:rsidR="00784DAE" w:rsidRPr="0065398C">
        <w:rPr>
          <w:noProof/>
          <w:sz w:val="18"/>
          <w:szCs w:val="18"/>
          <w:lang w:val="hr-BA"/>
        </w:rPr>
        <w:t xml:space="preserve"> –</w:t>
      </w:r>
      <w:r w:rsidR="00C12BC9">
        <w:rPr>
          <w:noProof/>
          <w:sz w:val="18"/>
          <w:szCs w:val="18"/>
          <w:lang w:val="hr-BA"/>
        </w:rPr>
        <w:t xml:space="preserve"> maj</w:t>
      </w:r>
      <w:r w:rsidR="009C5011" w:rsidRPr="0065398C">
        <w:rPr>
          <w:noProof/>
          <w:sz w:val="18"/>
          <w:szCs w:val="18"/>
          <w:lang w:val="hr-BA"/>
        </w:rPr>
        <w:t xml:space="preserve"> 2014</w:t>
      </w:r>
    </w:p>
    <w:tbl>
      <w:tblPr>
        <w:tblW w:w="14520" w:type="dxa"/>
        <w:tblInd w:w="103" w:type="dxa"/>
        <w:tblLook w:val="04A0"/>
      </w:tblPr>
      <w:tblGrid>
        <w:gridCol w:w="2380"/>
        <w:gridCol w:w="606"/>
        <w:gridCol w:w="606"/>
        <w:gridCol w:w="606"/>
        <w:gridCol w:w="607"/>
        <w:gridCol w:w="606"/>
        <w:gridCol w:w="606"/>
        <w:gridCol w:w="607"/>
        <w:gridCol w:w="677"/>
        <w:gridCol w:w="677"/>
        <w:gridCol w:w="677"/>
        <w:gridCol w:w="677"/>
        <w:gridCol w:w="677"/>
        <w:gridCol w:w="678"/>
        <w:gridCol w:w="678"/>
        <w:gridCol w:w="678"/>
        <w:gridCol w:w="678"/>
        <w:gridCol w:w="607"/>
        <w:gridCol w:w="606"/>
        <w:gridCol w:w="767"/>
        <w:gridCol w:w="771"/>
        <w:gridCol w:w="767"/>
      </w:tblGrid>
      <w:tr w:rsidR="00C25BE3" w:rsidRPr="00C25BE3" w:rsidTr="008A69B1">
        <w:trPr>
          <w:trHeight w:val="43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BE3" w:rsidRPr="00C25BE3" w:rsidRDefault="00C25BE3" w:rsidP="00C25BE3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2013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2014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5BE3" w:rsidRPr="008A69B1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A69B1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C25BE3" w:rsidRPr="008A69B1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A69B1">
              <w:rPr>
                <w:rFonts w:cs="Calibri"/>
                <w:sz w:val="14"/>
                <w:szCs w:val="14"/>
              </w:rPr>
              <w:t>plan 2014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Analitika-MAJ</w:t>
            </w:r>
          </w:p>
        </w:tc>
      </w:tr>
      <w:tr w:rsidR="00C25BE3" w:rsidRPr="00C25BE3" w:rsidTr="001938DB">
        <w:trPr>
          <w:trHeight w:val="75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25BE3">
              <w:rPr>
                <w:rFonts w:cs="Calibri"/>
                <w:b/>
                <w:bCs/>
                <w:sz w:val="18"/>
                <w:szCs w:val="18"/>
              </w:rPr>
              <w:t>BUDŽET CRNE GORE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I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II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III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IV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V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VI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VII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VIII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IX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X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XI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XII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I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II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III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IV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8A69B1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A69B1">
              <w:rPr>
                <w:rFonts w:cs="Calibri"/>
                <w:sz w:val="14"/>
                <w:szCs w:val="14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25BE3" w:rsidRPr="008A69B1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A69B1">
              <w:rPr>
                <w:rFonts w:cs="Calibri"/>
                <w:sz w:val="14"/>
                <w:szCs w:val="14"/>
              </w:rPr>
              <w:t>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maj 2014/maj 2013 (%)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jan-maj 2014/jan-maj 2013 (%)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maj 2014/maj 2014 plan (%)</w:t>
            </w:r>
          </w:p>
        </w:tc>
      </w:tr>
      <w:tr w:rsidR="001938DB" w:rsidRPr="00C25BE3" w:rsidTr="001938DB">
        <w:trPr>
          <w:trHeight w:val="33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25BE3" w:rsidRPr="00C25BE3" w:rsidRDefault="00C25BE3" w:rsidP="00C25BE3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25BE3">
              <w:rPr>
                <w:rFonts w:cs="Calibri"/>
                <w:b/>
                <w:bCs/>
                <w:sz w:val="18"/>
                <w:szCs w:val="18"/>
              </w:rPr>
              <w:t>IZVORNI PRIHODI, od čega: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sz w:val="14"/>
                <w:szCs w:val="14"/>
              </w:rPr>
              <w:t>54,92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sz w:val="14"/>
                <w:szCs w:val="14"/>
              </w:rPr>
              <w:t>75,83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sz w:val="14"/>
                <w:szCs w:val="14"/>
              </w:rPr>
              <w:t>88,91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sz w:val="14"/>
                <w:szCs w:val="14"/>
              </w:rPr>
              <w:t>103,95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sz w:val="14"/>
                <w:szCs w:val="14"/>
              </w:rPr>
              <w:t>94,00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99,56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122,02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125,05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116,34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117,28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95,78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142,43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70,78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82,13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100,71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109,03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102,07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sz w:val="14"/>
                <w:szCs w:val="14"/>
              </w:rPr>
              <w:t>97,86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8,59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11,28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4,31</w:t>
            </w:r>
          </w:p>
        </w:tc>
      </w:tr>
      <w:tr w:rsidR="00C25BE3" w:rsidRPr="00C25BE3" w:rsidTr="00C25BE3">
        <w:trPr>
          <w:trHeight w:val="33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3" w:rsidRPr="00C25BE3" w:rsidRDefault="00C25BE3" w:rsidP="00C25BE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25BE3">
              <w:rPr>
                <w:rFonts w:cs="Calibri"/>
                <w:sz w:val="18"/>
                <w:szCs w:val="18"/>
              </w:rPr>
              <w:t>Porezi i doprinosi na  zarade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14,21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34,57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35,60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34,16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36,35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39,09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40,63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44,81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47,38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54,03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37,52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75,77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21,23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34,36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37,91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40,21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45,74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36,34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25,83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15,86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25,86</w:t>
            </w:r>
          </w:p>
        </w:tc>
      </w:tr>
      <w:tr w:rsidR="00C25BE3" w:rsidRPr="00C25BE3" w:rsidTr="00C25BE3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3" w:rsidRPr="00C25BE3" w:rsidRDefault="00C25BE3" w:rsidP="00C25BE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25BE3">
              <w:rPr>
                <w:rFonts w:cs="Calibri"/>
                <w:sz w:val="18"/>
                <w:szCs w:val="18"/>
              </w:rPr>
              <w:t>Porez na dobit pravnih lica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0,50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1,06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5,09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14,80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3,06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3,64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3,87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2,84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2,33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1,29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1,13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1,04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1,54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0,96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12,11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11,31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2,49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3,34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-18,50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15,92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-25,40</w:t>
            </w:r>
          </w:p>
        </w:tc>
      </w:tr>
      <w:tr w:rsidR="00C25BE3" w:rsidRPr="00C25BE3" w:rsidTr="00C25BE3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BE3" w:rsidRPr="00C25BE3" w:rsidRDefault="00C25BE3" w:rsidP="00C25BE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25BE3">
              <w:rPr>
                <w:rFonts w:cs="Calibri"/>
                <w:sz w:val="18"/>
                <w:szCs w:val="18"/>
              </w:rPr>
              <w:t>Porez na dodatu vrijednost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24,86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24,75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29,49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33,76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34,16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35,87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47,18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47,07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40,69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37,65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33,51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40,19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32,17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31,16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34,92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39,01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33,08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37,01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-3,16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15,86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-10,62</w:t>
            </w:r>
          </w:p>
        </w:tc>
      </w:tr>
      <w:tr w:rsidR="00C25BE3" w:rsidRPr="00C25BE3" w:rsidTr="00C25BE3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BE3" w:rsidRPr="00C25BE3" w:rsidRDefault="00C25BE3" w:rsidP="00C25BE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25BE3">
              <w:rPr>
                <w:rFonts w:cs="Calibri"/>
                <w:sz w:val="18"/>
                <w:szCs w:val="18"/>
              </w:rPr>
              <w:t>Akcize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9,26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8,99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10,36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12,32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12,03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13,03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16,43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20,98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17,25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14,55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13,08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13,19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9,74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8,37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9,53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10,78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12,29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12,58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2,19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-4,22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-2,28</w:t>
            </w:r>
          </w:p>
        </w:tc>
      </w:tr>
      <w:tr w:rsidR="00C25BE3" w:rsidRPr="00C25BE3" w:rsidTr="001938DB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BE3" w:rsidRPr="00C25BE3" w:rsidRDefault="00C25BE3" w:rsidP="00C25BE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25BE3">
              <w:rPr>
                <w:rFonts w:cs="Calibri"/>
                <w:sz w:val="18"/>
                <w:szCs w:val="18"/>
              </w:rPr>
              <w:t>Porez na medj trgovinu i transak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1,10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1,31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1,86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2,09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1,99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2,46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2,21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2,04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2,04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1,48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1,69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0,96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1,30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1,64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1,83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1,87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2,12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-5,81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-9,07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-11,63</w:t>
            </w:r>
          </w:p>
        </w:tc>
      </w:tr>
      <w:tr w:rsidR="00C25BE3" w:rsidRPr="00C25BE3" w:rsidTr="001938DB">
        <w:trPr>
          <w:trHeight w:val="33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25BE3">
              <w:rPr>
                <w:rFonts w:cs="Calibri"/>
                <w:b/>
                <w:bCs/>
                <w:sz w:val="18"/>
                <w:szCs w:val="18"/>
              </w:rPr>
              <w:t>IZDACI BUDŽETA, od čega :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80,79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94,64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103,84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119,84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95,54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100,17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160,33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141,28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119,00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99,42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98,49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150,13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94,32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88,93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115,85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122,27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101,38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111,47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6,11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5,68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-9,05</w:t>
            </w:r>
          </w:p>
        </w:tc>
      </w:tr>
      <w:tr w:rsidR="00C25BE3" w:rsidRPr="00C25BE3" w:rsidTr="001938DB">
        <w:trPr>
          <w:trHeight w:val="5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25BE3">
              <w:rPr>
                <w:rFonts w:cs="Calibri"/>
                <w:sz w:val="18"/>
                <w:szCs w:val="18"/>
              </w:rPr>
              <w:t>Bruto zarade i doprinosi na teret posl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30,97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31,35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30,53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30,64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31,06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31,12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30,26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29,27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30,77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30,66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30,67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28,82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31,75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31,98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28,94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33,39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33,66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32,21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8,38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3,35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4,51</w:t>
            </w:r>
          </w:p>
        </w:tc>
      </w:tr>
      <w:tr w:rsidR="00C25BE3" w:rsidRPr="00C25BE3" w:rsidTr="00C25BE3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BE3" w:rsidRPr="00C25BE3" w:rsidRDefault="00C25BE3" w:rsidP="00C25BE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25BE3">
              <w:rPr>
                <w:rFonts w:cs="Calibri"/>
                <w:sz w:val="18"/>
                <w:szCs w:val="18"/>
              </w:rPr>
              <w:t>Rashodi za materijal i usluge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3,53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6,33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8,06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7,47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5,58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6,09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7,14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6,44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6,99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8,39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6,48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17,95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3,84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5,14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6,41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5,24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5,56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7,43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-0,23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-15,43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-25,16</w:t>
            </w:r>
          </w:p>
        </w:tc>
      </w:tr>
      <w:tr w:rsidR="00C25BE3" w:rsidRPr="00C25BE3" w:rsidTr="00C25BE3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BE3" w:rsidRPr="00C25BE3" w:rsidRDefault="00C25BE3" w:rsidP="00C25BE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25BE3">
              <w:rPr>
                <w:rFonts w:cs="Calibri"/>
                <w:sz w:val="18"/>
                <w:szCs w:val="18"/>
              </w:rPr>
              <w:t>Kamate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0,55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1,76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2,14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24,83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1,13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3,79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5,74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2,10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18,71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0,80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0,75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5,12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2,31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1,11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4,62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24,66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0,92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6,11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-17,98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10,61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-84,89</w:t>
            </w:r>
          </w:p>
        </w:tc>
      </w:tr>
      <w:tr w:rsidR="00C25BE3" w:rsidRPr="00C25BE3" w:rsidTr="00C25BE3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BE3" w:rsidRPr="00C25BE3" w:rsidRDefault="00C25BE3" w:rsidP="00C25BE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25BE3">
              <w:rPr>
                <w:rFonts w:cs="Calibri"/>
                <w:sz w:val="18"/>
                <w:szCs w:val="18"/>
              </w:rPr>
              <w:t>Transferi za socijalnu zaštitu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38,15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42,30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40,50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40,45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39,92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39,87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39,78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39,18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40,14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39,79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39,83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43,05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39,56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41,43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41,91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40,42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40,51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41,52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1,48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1,25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-2,44</w:t>
            </w:r>
          </w:p>
        </w:tc>
      </w:tr>
      <w:tr w:rsidR="00C25BE3" w:rsidRPr="00C25BE3" w:rsidTr="00C25BE3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25BE3">
              <w:rPr>
                <w:rFonts w:cs="Calibri"/>
                <w:sz w:val="18"/>
                <w:szCs w:val="18"/>
              </w:rPr>
              <w:t>Transferi instit, pojed i NVO sektoru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4,77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7,18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8,95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5,88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7,42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7,06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5,86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9,04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8,25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7,30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4,75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17,85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4,73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3,67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11,94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8,80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7,96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8,42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7,33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8,49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-5,47</w:t>
            </w:r>
          </w:p>
        </w:tc>
      </w:tr>
      <w:tr w:rsidR="00C25BE3" w:rsidRPr="00C25BE3" w:rsidTr="001938DB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BE3" w:rsidRPr="00C25BE3" w:rsidRDefault="00C25BE3" w:rsidP="00C25BE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25BE3">
              <w:rPr>
                <w:rFonts w:cs="Calibri"/>
                <w:sz w:val="18"/>
                <w:szCs w:val="18"/>
              </w:rPr>
              <w:t>Kapitalni izdaci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0,30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2,12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4,94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4,90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4,93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5,21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4,93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5,50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5,91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6,63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6,49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22,14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1,67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1,07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6,62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3,51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6,72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9,36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36,28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14,04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-28,22</w:t>
            </w:r>
          </w:p>
        </w:tc>
      </w:tr>
      <w:tr w:rsidR="00C25BE3" w:rsidRPr="00C25BE3" w:rsidTr="001938DB">
        <w:trPr>
          <w:trHeight w:val="33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25BE3">
              <w:rPr>
                <w:rFonts w:cs="Calibri"/>
                <w:b/>
                <w:bCs/>
                <w:sz w:val="18"/>
                <w:szCs w:val="18"/>
              </w:rPr>
              <w:t>Suficit / Deficit budžeta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sz w:val="14"/>
                <w:szCs w:val="14"/>
              </w:rPr>
              <w:t>-25,86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sz w:val="14"/>
                <w:szCs w:val="14"/>
              </w:rPr>
              <w:t>-18,80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sz w:val="14"/>
                <w:szCs w:val="14"/>
              </w:rPr>
              <w:t>-14,92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sz w:val="14"/>
                <w:szCs w:val="14"/>
              </w:rPr>
              <w:t>-15,89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sz w:val="14"/>
                <w:szCs w:val="14"/>
              </w:rPr>
              <w:t>-1,54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-0,61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-38,31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-16,22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-2,66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17,86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-2,71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-7,70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-23,54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-6,80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-15,15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-13,24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0,70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-13,61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-145,13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-24,66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-105,12</w:t>
            </w:r>
          </w:p>
        </w:tc>
      </w:tr>
      <w:tr w:rsidR="00C25BE3" w:rsidRPr="00C25BE3" w:rsidTr="001938DB">
        <w:trPr>
          <w:trHeight w:val="33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BE3" w:rsidRPr="00C25BE3" w:rsidRDefault="00C25BE3" w:rsidP="00C25BE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25BE3">
              <w:rPr>
                <w:rFonts w:cs="Calibri"/>
                <w:sz w:val="18"/>
                <w:szCs w:val="18"/>
              </w:rPr>
              <w:t>Primarni deficit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-25,31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-17,04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-12,78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8,94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-0,42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3,19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-32,57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-14,12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16,06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18,66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-1,96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-2,58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-21,23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-5,69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-10,52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11,42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1,62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-7,50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-486,65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-47,66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-121,60</w:t>
            </w:r>
          </w:p>
        </w:tc>
      </w:tr>
      <w:tr w:rsidR="00C25BE3" w:rsidRPr="00C25BE3" w:rsidTr="001938DB">
        <w:trPr>
          <w:trHeight w:val="33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BE3" w:rsidRPr="00C25BE3" w:rsidRDefault="00C25BE3" w:rsidP="00C25BE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25BE3">
              <w:rPr>
                <w:rFonts w:cs="Calibri"/>
                <w:sz w:val="18"/>
                <w:szCs w:val="18"/>
              </w:rPr>
              <w:t>Otplata dugova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16,06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7,38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7,22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7,89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5,57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18,47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34,60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16,98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24,39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14,01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17,57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71,64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6,53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4,92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9,83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8,79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14,29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57,98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55,93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-38,46</w:t>
            </w:r>
          </w:p>
        </w:tc>
      </w:tr>
      <w:tr w:rsidR="00C25BE3" w:rsidRPr="00C25BE3" w:rsidTr="001938DB">
        <w:trPr>
          <w:trHeight w:val="33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25BE3">
              <w:rPr>
                <w:rFonts w:cs="Calibri"/>
                <w:b/>
                <w:bCs/>
                <w:sz w:val="18"/>
                <w:szCs w:val="18"/>
              </w:rPr>
              <w:t>Državni dug (stanje duga)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1726,6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1732,7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1755,7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1764,2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1767,1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1760,9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1810,4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1844,90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1846,50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1832,00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1886,30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1873,15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1950,10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1950,70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2005,80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1990,30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</w:tr>
      <w:tr w:rsidR="00C25BE3" w:rsidRPr="00C25BE3" w:rsidTr="001938DB">
        <w:trPr>
          <w:trHeight w:val="33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25BE3">
              <w:rPr>
                <w:rFonts w:cs="Calibri"/>
                <w:sz w:val="18"/>
                <w:szCs w:val="18"/>
              </w:rPr>
              <w:t>Domaći dug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394,0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396,7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420,3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431,7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436,0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442,7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442,8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433,80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480,90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471,70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440,40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440,13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517,60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513,40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572,40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588,10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</w:tr>
      <w:tr w:rsidR="00C25BE3" w:rsidRPr="00C25BE3" w:rsidTr="00C25BE3">
        <w:trPr>
          <w:trHeight w:val="31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25BE3">
              <w:rPr>
                <w:rFonts w:cs="Calibri"/>
                <w:sz w:val="18"/>
                <w:szCs w:val="18"/>
              </w:rPr>
              <w:t>Inostrani dug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1332,6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1336,0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1335,4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1332,5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1331,1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1318,2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1367,6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1411,10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1365,60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1360,30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1445,90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color w:val="000000"/>
                <w:sz w:val="14"/>
                <w:szCs w:val="14"/>
              </w:rPr>
              <w:t>1433,02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1432,50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1437,30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1433,40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1402,20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C25BE3"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3" w:rsidRPr="00C25BE3" w:rsidRDefault="00C25BE3" w:rsidP="00C25BE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C25BE3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</w:tr>
    </w:tbl>
    <w:p w:rsidR="00CD707C" w:rsidRPr="00715429" w:rsidRDefault="00CD707C" w:rsidP="00784DAE">
      <w:pPr>
        <w:spacing w:after="0" w:line="240" w:lineRule="auto"/>
        <w:ind w:firstLine="142"/>
        <w:jc w:val="center"/>
        <w:rPr>
          <w:i/>
          <w:iCs/>
          <w:noProof/>
          <w:sz w:val="12"/>
          <w:szCs w:val="12"/>
          <w:lang w:val="hr-BA"/>
        </w:rPr>
      </w:pPr>
    </w:p>
    <w:p w:rsidR="00332574" w:rsidRPr="0065398C" w:rsidRDefault="00332574" w:rsidP="00332574">
      <w:pPr>
        <w:outlineLvl w:val="0"/>
        <w:rPr>
          <w:b/>
          <w:i/>
          <w:noProof/>
          <w:sz w:val="18"/>
          <w:szCs w:val="18"/>
          <w:lang w:val="hr-BA"/>
        </w:rPr>
      </w:pPr>
      <w:r w:rsidRPr="0065398C">
        <w:rPr>
          <w:b/>
          <w:i/>
          <w:noProof/>
          <w:sz w:val="18"/>
          <w:szCs w:val="18"/>
          <w:lang w:val="hr-BA"/>
        </w:rPr>
        <w:t>Izvor: Ministarstvo finansija Crne Gore</w:t>
      </w:r>
    </w:p>
    <w:p w:rsidR="00A30E95" w:rsidRPr="00715429" w:rsidRDefault="00A30E95" w:rsidP="00332574">
      <w:pPr>
        <w:outlineLvl w:val="0"/>
        <w:rPr>
          <w:b/>
          <w:i/>
          <w:noProof/>
          <w:sz w:val="16"/>
          <w:szCs w:val="16"/>
          <w:lang w:val="hr-BA"/>
        </w:rPr>
      </w:pPr>
    </w:p>
    <w:p w:rsidR="0082570B" w:rsidRPr="00715429" w:rsidRDefault="0082570B" w:rsidP="005025EC">
      <w:pPr>
        <w:ind w:left="-142"/>
        <w:jc w:val="both"/>
        <w:rPr>
          <w:noProof/>
          <w:sz w:val="14"/>
          <w:szCs w:val="14"/>
          <w:lang w:val="hr-BA"/>
        </w:rPr>
      </w:pPr>
    </w:p>
    <w:sectPr w:rsidR="0082570B" w:rsidRPr="00715429" w:rsidSect="001938DB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435" w:rsidRDefault="00B52435" w:rsidP="00965FCD">
      <w:pPr>
        <w:spacing w:after="0" w:line="240" w:lineRule="auto"/>
      </w:pPr>
      <w:r>
        <w:separator/>
      </w:r>
    </w:p>
  </w:endnote>
  <w:endnote w:type="continuationSeparator" w:id="0">
    <w:p w:rsidR="00B52435" w:rsidRDefault="00B52435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435" w:rsidRDefault="00B52435" w:rsidP="00965FCD">
      <w:pPr>
        <w:spacing w:after="0" w:line="240" w:lineRule="auto"/>
      </w:pPr>
      <w:r>
        <w:separator/>
      </w:r>
    </w:p>
  </w:footnote>
  <w:footnote w:type="continuationSeparator" w:id="0">
    <w:p w:rsidR="00B52435" w:rsidRDefault="00B52435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83CB2"/>
    <w:multiLevelType w:val="hybridMultilevel"/>
    <w:tmpl w:val="6DF487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D37D0"/>
    <w:multiLevelType w:val="hybridMultilevel"/>
    <w:tmpl w:val="D4C08A40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03C509B"/>
    <w:multiLevelType w:val="hybridMultilevel"/>
    <w:tmpl w:val="C694C4E4"/>
    <w:lvl w:ilvl="0" w:tplc="103E7AA0">
      <w:numFmt w:val="bullet"/>
      <w:lvlText w:val="*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1B54940"/>
    <w:multiLevelType w:val="hybridMultilevel"/>
    <w:tmpl w:val="E408973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9535C14"/>
    <w:multiLevelType w:val="hybridMultilevel"/>
    <w:tmpl w:val="8EEEE808"/>
    <w:lvl w:ilvl="0" w:tplc="5F662FB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03CE7"/>
    <w:multiLevelType w:val="hybridMultilevel"/>
    <w:tmpl w:val="9FECAB34"/>
    <w:lvl w:ilvl="0" w:tplc="7DA6C83E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60745"/>
    <w:multiLevelType w:val="hybridMultilevel"/>
    <w:tmpl w:val="1E52891C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301141A"/>
    <w:multiLevelType w:val="hybridMultilevel"/>
    <w:tmpl w:val="D0A8692C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5BA0AB7"/>
    <w:multiLevelType w:val="hybridMultilevel"/>
    <w:tmpl w:val="75E8BCEE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6A37EC6"/>
    <w:multiLevelType w:val="hybridMultilevel"/>
    <w:tmpl w:val="B78AAF86"/>
    <w:lvl w:ilvl="0" w:tplc="213C6408">
      <w:start w:val="1"/>
      <w:numFmt w:val="decimal"/>
      <w:lvlText w:val="%1."/>
      <w:lvlJc w:val="left"/>
      <w:pPr>
        <w:ind w:left="1800" w:hanging="360"/>
      </w:pPr>
      <w:rPr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1246544"/>
    <w:multiLevelType w:val="hybridMultilevel"/>
    <w:tmpl w:val="3D148D9E"/>
    <w:lvl w:ilvl="0" w:tplc="B564503E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FD122F"/>
    <w:multiLevelType w:val="hybridMultilevel"/>
    <w:tmpl w:val="5268F1B4"/>
    <w:lvl w:ilvl="0" w:tplc="365CB09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32"/>
      </w:rPr>
    </w:lvl>
    <w:lvl w:ilvl="1" w:tplc="081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5"/>
  </w:num>
  <w:num w:numId="3">
    <w:abstractNumId w:val="25"/>
  </w:num>
  <w:num w:numId="4">
    <w:abstractNumId w:val="17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8"/>
  </w:num>
  <w:num w:numId="8">
    <w:abstractNumId w:val="2"/>
  </w:num>
  <w:num w:numId="9">
    <w:abstractNumId w:val="0"/>
  </w:num>
  <w:num w:numId="10">
    <w:abstractNumId w:val="23"/>
  </w:num>
  <w:num w:numId="11">
    <w:abstractNumId w:val="1"/>
  </w:num>
  <w:num w:numId="12">
    <w:abstractNumId w:val="22"/>
  </w:num>
  <w:num w:numId="13">
    <w:abstractNumId w:val="19"/>
  </w:num>
  <w:num w:numId="14">
    <w:abstractNumId w:val="6"/>
  </w:num>
  <w:num w:numId="15">
    <w:abstractNumId w:val="4"/>
  </w:num>
  <w:num w:numId="16">
    <w:abstractNumId w:val="13"/>
  </w:num>
  <w:num w:numId="17">
    <w:abstractNumId w:val="8"/>
  </w:num>
  <w:num w:numId="18">
    <w:abstractNumId w:val="16"/>
  </w:num>
  <w:num w:numId="19">
    <w:abstractNumId w:val="7"/>
  </w:num>
  <w:num w:numId="20">
    <w:abstractNumId w:val="14"/>
  </w:num>
  <w:num w:numId="21">
    <w:abstractNumId w:val="15"/>
  </w:num>
  <w:num w:numId="22">
    <w:abstractNumId w:val="11"/>
  </w:num>
  <w:num w:numId="23">
    <w:abstractNumId w:val="10"/>
  </w:num>
  <w:num w:numId="24">
    <w:abstractNumId w:val="21"/>
  </w:num>
  <w:num w:numId="25">
    <w:abstractNumId w:val="3"/>
  </w:num>
  <w:num w:numId="26">
    <w:abstractNumId w:val="9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60482"/>
  </w:hdrShapeDefaults>
  <w:footnotePr>
    <w:footnote w:id="-1"/>
    <w:footnote w:id="0"/>
  </w:footnotePr>
  <w:endnotePr>
    <w:endnote w:id="-1"/>
    <w:endnote w:id="0"/>
  </w:endnotePr>
  <w:compat/>
  <w:rsids>
    <w:rsidRoot w:val="00D61692"/>
    <w:rsid w:val="000000CB"/>
    <w:rsid w:val="000009E1"/>
    <w:rsid w:val="000010A3"/>
    <w:rsid w:val="00002F8C"/>
    <w:rsid w:val="00003139"/>
    <w:rsid w:val="00003D78"/>
    <w:rsid w:val="00004B56"/>
    <w:rsid w:val="00005D5A"/>
    <w:rsid w:val="0001459D"/>
    <w:rsid w:val="000147A0"/>
    <w:rsid w:val="00014AAB"/>
    <w:rsid w:val="00014D0B"/>
    <w:rsid w:val="00014E6A"/>
    <w:rsid w:val="0001641E"/>
    <w:rsid w:val="0001692A"/>
    <w:rsid w:val="00017070"/>
    <w:rsid w:val="00017AE3"/>
    <w:rsid w:val="0002071C"/>
    <w:rsid w:val="00021033"/>
    <w:rsid w:val="000224B4"/>
    <w:rsid w:val="00022789"/>
    <w:rsid w:val="0002327A"/>
    <w:rsid w:val="00024DC9"/>
    <w:rsid w:val="0002564B"/>
    <w:rsid w:val="00025AC0"/>
    <w:rsid w:val="000263A4"/>
    <w:rsid w:val="000300F0"/>
    <w:rsid w:val="000314E5"/>
    <w:rsid w:val="00031722"/>
    <w:rsid w:val="00031FAD"/>
    <w:rsid w:val="00032524"/>
    <w:rsid w:val="00032D34"/>
    <w:rsid w:val="000341DE"/>
    <w:rsid w:val="00034923"/>
    <w:rsid w:val="0003497A"/>
    <w:rsid w:val="00034D42"/>
    <w:rsid w:val="00034F07"/>
    <w:rsid w:val="0003544A"/>
    <w:rsid w:val="000369E1"/>
    <w:rsid w:val="00037B58"/>
    <w:rsid w:val="0004205C"/>
    <w:rsid w:val="000421A3"/>
    <w:rsid w:val="00042CE6"/>
    <w:rsid w:val="00043DED"/>
    <w:rsid w:val="000449CD"/>
    <w:rsid w:val="00044CB0"/>
    <w:rsid w:val="00045654"/>
    <w:rsid w:val="00045D59"/>
    <w:rsid w:val="00046C9E"/>
    <w:rsid w:val="00050EAB"/>
    <w:rsid w:val="00052732"/>
    <w:rsid w:val="00052BEB"/>
    <w:rsid w:val="00052DC4"/>
    <w:rsid w:val="00054068"/>
    <w:rsid w:val="000547A1"/>
    <w:rsid w:val="00055E5C"/>
    <w:rsid w:val="00055F78"/>
    <w:rsid w:val="0005630C"/>
    <w:rsid w:val="00056750"/>
    <w:rsid w:val="00056E43"/>
    <w:rsid w:val="00056EC5"/>
    <w:rsid w:val="000572EC"/>
    <w:rsid w:val="0005797E"/>
    <w:rsid w:val="000601A4"/>
    <w:rsid w:val="00060976"/>
    <w:rsid w:val="00061391"/>
    <w:rsid w:val="000624EE"/>
    <w:rsid w:val="00064395"/>
    <w:rsid w:val="000645F3"/>
    <w:rsid w:val="00067726"/>
    <w:rsid w:val="00067FD6"/>
    <w:rsid w:val="00070965"/>
    <w:rsid w:val="000734AF"/>
    <w:rsid w:val="00073786"/>
    <w:rsid w:val="00074378"/>
    <w:rsid w:val="000746C7"/>
    <w:rsid w:val="000747AC"/>
    <w:rsid w:val="00074C3E"/>
    <w:rsid w:val="00074D69"/>
    <w:rsid w:val="0007530C"/>
    <w:rsid w:val="0007555E"/>
    <w:rsid w:val="000771F2"/>
    <w:rsid w:val="00080AEE"/>
    <w:rsid w:val="000812E2"/>
    <w:rsid w:val="0008138F"/>
    <w:rsid w:val="00082D87"/>
    <w:rsid w:val="00083320"/>
    <w:rsid w:val="00085B67"/>
    <w:rsid w:val="000870A3"/>
    <w:rsid w:val="00090FDD"/>
    <w:rsid w:val="00091154"/>
    <w:rsid w:val="000915D3"/>
    <w:rsid w:val="000917D8"/>
    <w:rsid w:val="000924C0"/>
    <w:rsid w:val="000925F7"/>
    <w:rsid w:val="00094311"/>
    <w:rsid w:val="000945C9"/>
    <w:rsid w:val="0009505C"/>
    <w:rsid w:val="0009548F"/>
    <w:rsid w:val="000956EB"/>
    <w:rsid w:val="00097527"/>
    <w:rsid w:val="00097E38"/>
    <w:rsid w:val="000A1159"/>
    <w:rsid w:val="000A14DA"/>
    <w:rsid w:val="000A2350"/>
    <w:rsid w:val="000A2F52"/>
    <w:rsid w:val="000A33CB"/>
    <w:rsid w:val="000A43CE"/>
    <w:rsid w:val="000A47FF"/>
    <w:rsid w:val="000A4E37"/>
    <w:rsid w:val="000A5BFA"/>
    <w:rsid w:val="000A787A"/>
    <w:rsid w:val="000B19D0"/>
    <w:rsid w:val="000B1DD7"/>
    <w:rsid w:val="000B45AB"/>
    <w:rsid w:val="000B4800"/>
    <w:rsid w:val="000B48EE"/>
    <w:rsid w:val="000B502D"/>
    <w:rsid w:val="000B54A3"/>
    <w:rsid w:val="000B5DD4"/>
    <w:rsid w:val="000B6252"/>
    <w:rsid w:val="000B67B1"/>
    <w:rsid w:val="000B69BF"/>
    <w:rsid w:val="000B788B"/>
    <w:rsid w:val="000B7AE2"/>
    <w:rsid w:val="000C06C5"/>
    <w:rsid w:val="000C0B0A"/>
    <w:rsid w:val="000C108E"/>
    <w:rsid w:val="000C1965"/>
    <w:rsid w:val="000C3655"/>
    <w:rsid w:val="000C36DB"/>
    <w:rsid w:val="000C5764"/>
    <w:rsid w:val="000C5FBB"/>
    <w:rsid w:val="000C65A2"/>
    <w:rsid w:val="000C6818"/>
    <w:rsid w:val="000C72DD"/>
    <w:rsid w:val="000D0368"/>
    <w:rsid w:val="000D0374"/>
    <w:rsid w:val="000D09EB"/>
    <w:rsid w:val="000D248B"/>
    <w:rsid w:val="000D52CF"/>
    <w:rsid w:val="000D588E"/>
    <w:rsid w:val="000D5D48"/>
    <w:rsid w:val="000D5ED7"/>
    <w:rsid w:val="000D6CD4"/>
    <w:rsid w:val="000D6DF1"/>
    <w:rsid w:val="000D765B"/>
    <w:rsid w:val="000D7A66"/>
    <w:rsid w:val="000E13EB"/>
    <w:rsid w:val="000E2251"/>
    <w:rsid w:val="000E2351"/>
    <w:rsid w:val="000E3987"/>
    <w:rsid w:val="000E40CC"/>
    <w:rsid w:val="000E6096"/>
    <w:rsid w:val="000E77A4"/>
    <w:rsid w:val="000E7E9D"/>
    <w:rsid w:val="000F0AB9"/>
    <w:rsid w:val="000F1186"/>
    <w:rsid w:val="000F1AA9"/>
    <w:rsid w:val="000F4D73"/>
    <w:rsid w:val="000F5B09"/>
    <w:rsid w:val="000F6577"/>
    <w:rsid w:val="000F6C6B"/>
    <w:rsid w:val="000F756E"/>
    <w:rsid w:val="000F7DDF"/>
    <w:rsid w:val="00100371"/>
    <w:rsid w:val="001021CB"/>
    <w:rsid w:val="001030CC"/>
    <w:rsid w:val="0010339D"/>
    <w:rsid w:val="00103CA9"/>
    <w:rsid w:val="0010452C"/>
    <w:rsid w:val="00104CA5"/>
    <w:rsid w:val="00106446"/>
    <w:rsid w:val="0010656B"/>
    <w:rsid w:val="00107128"/>
    <w:rsid w:val="00107647"/>
    <w:rsid w:val="00107A07"/>
    <w:rsid w:val="00112853"/>
    <w:rsid w:val="00112E23"/>
    <w:rsid w:val="00114109"/>
    <w:rsid w:val="001141E2"/>
    <w:rsid w:val="00114378"/>
    <w:rsid w:val="00115519"/>
    <w:rsid w:val="001156E2"/>
    <w:rsid w:val="00115C83"/>
    <w:rsid w:val="00116365"/>
    <w:rsid w:val="001164A1"/>
    <w:rsid w:val="00116A8F"/>
    <w:rsid w:val="00117AB0"/>
    <w:rsid w:val="00120A3A"/>
    <w:rsid w:val="001235AB"/>
    <w:rsid w:val="00123CBD"/>
    <w:rsid w:val="00124730"/>
    <w:rsid w:val="001251D5"/>
    <w:rsid w:val="00127167"/>
    <w:rsid w:val="001276C7"/>
    <w:rsid w:val="00127B5A"/>
    <w:rsid w:val="00131185"/>
    <w:rsid w:val="001326B7"/>
    <w:rsid w:val="00134816"/>
    <w:rsid w:val="00134A21"/>
    <w:rsid w:val="00134C6C"/>
    <w:rsid w:val="00136BDE"/>
    <w:rsid w:val="00136E70"/>
    <w:rsid w:val="00141FDD"/>
    <w:rsid w:val="00143FCB"/>
    <w:rsid w:val="00144C86"/>
    <w:rsid w:val="00144EE5"/>
    <w:rsid w:val="0014607D"/>
    <w:rsid w:val="00147278"/>
    <w:rsid w:val="00150707"/>
    <w:rsid w:val="00152409"/>
    <w:rsid w:val="00152E4F"/>
    <w:rsid w:val="001530CE"/>
    <w:rsid w:val="0015322D"/>
    <w:rsid w:val="00153490"/>
    <w:rsid w:val="00154145"/>
    <w:rsid w:val="0015515C"/>
    <w:rsid w:val="00156E33"/>
    <w:rsid w:val="001575F1"/>
    <w:rsid w:val="00157601"/>
    <w:rsid w:val="001577A1"/>
    <w:rsid w:val="00160183"/>
    <w:rsid w:val="001610BD"/>
    <w:rsid w:val="001613FC"/>
    <w:rsid w:val="001627A3"/>
    <w:rsid w:val="00163041"/>
    <w:rsid w:val="00163A7B"/>
    <w:rsid w:val="001644C7"/>
    <w:rsid w:val="001646BA"/>
    <w:rsid w:val="00165DE6"/>
    <w:rsid w:val="00167281"/>
    <w:rsid w:val="001672AB"/>
    <w:rsid w:val="001678F1"/>
    <w:rsid w:val="00170C82"/>
    <w:rsid w:val="00170CCE"/>
    <w:rsid w:val="00172816"/>
    <w:rsid w:val="00172D59"/>
    <w:rsid w:val="001730BE"/>
    <w:rsid w:val="00174836"/>
    <w:rsid w:val="0017540F"/>
    <w:rsid w:val="00181309"/>
    <w:rsid w:val="001824C2"/>
    <w:rsid w:val="0018289E"/>
    <w:rsid w:val="0018331D"/>
    <w:rsid w:val="0018592D"/>
    <w:rsid w:val="0018626E"/>
    <w:rsid w:val="0018666E"/>
    <w:rsid w:val="00186BEF"/>
    <w:rsid w:val="00186F09"/>
    <w:rsid w:val="0018794A"/>
    <w:rsid w:val="00187C66"/>
    <w:rsid w:val="00190285"/>
    <w:rsid w:val="00191CF6"/>
    <w:rsid w:val="00191F90"/>
    <w:rsid w:val="00192506"/>
    <w:rsid w:val="00192F1E"/>
    <w:rsid w:val="00193785"/>
    <w:rsid w:val="001938DB"/>
    <w:rsid w:val="001942BA"/>
    <w:rsid w:val="001971A8"/>
    <w:rsid w:val="001A2829"/>
    <w:rsid w:val="001A2F7A"/>
    <w:rsid w:val="001A392F"/>
    <w:rsid w:val="001A594D"/>
    <w:rsid w:val="001A5B99"/>
    <w:rsid w:val="001A65F4"/>
    <w:rsid w:val="001A7319"/>
    <w:rsid w:val="001B0396"/>
    <w:rsid w:val="001B25FF"/>
    <w:rsid w:val="001B3267"/>
    <w:rsid w:val="001B3BE3"/>
    <w:rsid w:val="001B4CB9"/>
    <w:rsid w:val="001B4F99"/>
    <w:rsid w:val="001B5A32"/>
    <w:rsid w:val="001B7AD0"/>
    <w:rsid w:val="001B7D00"/>
    <w:rsid w:val="001C0237"/>
    <w:rsid w:val="001C0AB4"/>
    <w:rsid w:val="001C1490"/>
    <w:rsid w:val="001C1928"/>
    <w:rsid w:val="001C1F7E"/>
    <w:rsid w:val="001C22CB"/>
    <w:rsid w:val="001C23DD"/>
    <w:rsid w:val="001C264C"/>
    <w:rsid w:val="001C2751"/>
    <w:rsid w:val="001C51EC"/>
    <w:rsid w:val="001C5CE9"/>
    <w:rsid w:val="001C6698"/>
    <w:rsid w:val="001C6750"/>
    <w:rsid w:val="001C70BA"/>
    <w:rsid w:val="001D0226"/>
    <w:rsid w:val="001D0A32"/>
    <w:rsid w:val="001D12F1"/>
    <w:rsid w:val="001D21BD"/>
    <w:rsid w:val="001D37FD"/>
    <w:rsid w:val="001D4E81"/>
    <w:rsid w:val="001E1B41"/>
    <w:rsid w:val="001E2403"/>
    <w:rsid w:val="001E29C8"/>
    <w:rsid w:val="001E29D1"/>
    <w:rsid w:val="001E2BC7"/>
    <w:rsid w:val="001E33FE"/>
    <w:rsid w:val="001E4EAE"/>
    <w:rsid w:val="001E5BE3"/>
    <w:rsid w:val="001E5E69"/>
    <w:rsid w:val="001F1378"/>
    <w:rsid w:val="001F19CC"/>
    <w:rsid w:val="001F27F8"/>
    <w:rsid w:val="001F2B57"/>
    <w:rsid w:val="001F3E69"/>
    <w:rsid w:val="001F4C02"/>
    <w:rsid w:val="001F69DD"/>
    <w:rsid w:val="001F7445"/>
    <w:rsid w:val="001F7C33"/>
    <w:rsid w:val="001F7C4B"/>
    <w:rsid w:val="002000E5"/>
    <w:rsid w:val="00200A3F"/>
    <w:rsid w:val="0020246C"/>
    <w:rsid w:val="00203447"/>
    <w:rsid w:val="002049C0"/>
    <w:rsid w:val="00205D15"/>
    <w:rsid w:val="00205E88"/>
    <w:rsid w:val="00206062"/>
    <w:rsid w:val="0020648A"/>
    <w:rsid w:val="00207613"/>
    <w:rsid w:val="00207B53"/>
    <w:rsid w:val="0021042E"/>
    <w:rsid w:val="00212126"/>
    <w:rsid w:val="00212633"/>
    <w:rsid w:val="002128D8"/>
    <w:rsid w:val="00212CDE"/>
    <w:rsid w:val="002135A2"/>
    <w:rsid w:val="0021614C"/>
    <w:rsid w:val="00216D31"/>
    <w:rsid w:val="002203A2"/>
    <w:rsid w:val="00220834"/>
    <w:rsid w:val="00220B59"/>
    <w:rsid w:val="002210E9"/>
    <w:rsid w:val="00222175"/>
    <w:rsid w:val="00223E45"/>
    <w:rsid w:val="00224AD0"/>
    <w:rsid w:val="002251C3"/>
    <w:rsid w:val="00225534"/>
    <w:rsid w:val="00225F74"/>
    <w:rsid w:val="002263B3"/>
    <w:rsid w:val="0022695C"/>
    <w:rsid w:val="00227682"/>
    <w:rsid w:val="00227D75"/>
    <w:rsid w:val="00230DE8"/>
    <w:rsid w:val="00230FA2"/>
    <w:rsid w:val="00231268"/>
    <w:rsid w:val="002313EC"/>
    <w:rsid w:val="00232A05"/>
    <w:rsid w:val="00233D4D"/>
    <w:rsid w:val="0023443E"/>
    <w:rsid w:val="00234902"/>
    <w:rsid w:val="00235857"/>
    <w:rsid w:val="00236B99"/>
    <w:rsid w:val="00237066"/>
    <w:rsid w:val="00237CC5"/>
    <w:rsid w:val="00240136"/>
    <w:rsid w:val="002402CA"/>
    <w:rsid w:val="00240CF4"/>
    <w:rsid w:val="002417C5"/>
    <w:rsid w:val="002427AE"/>
    <w:rsid w:val="00243419"/>
    <w:rsid w:val="00245A6C"/>
    <w:rsid w:val="00245B04"/>
    <w:rsid w:val="002503CE"/>
    <w:rsid w:val="0025102C"/>
    <w:rsid w:val="0025137D"/>
    <w:rsid w:val="00252FF6"/>
    <w:rsid w:val="00253A82"/>
    <w:rsid w:val="00253ECF"/>
    <w:rsid w:val="00253F71"/>
    <w:rsid w:val="00255BB3"/>
    <w:rsid w:val="00256550"/>
    <w:rsid w:val="0025757E"/>
    <w:rsid w:val="00257D9D"/>
    <w:rsid w:val="00257EFB"/>
    <w:rsid w:val="00260688"/>
    <w:rsid w:val="00260976"/>
    <w:rsid w:val="00260EF0"/>
    <w:rsid w:val="002611D1"/>
    <w:rsid w:val="0026489F"/>
    <w:rsid w:val="00265023"/>
    <w:rsid w:val="002650CF"/>
    <w:rsid w:val="00265406"/>
    <w:rsid w:val="00265A3D"/>
    <w:rsid w:val="002662BE"/>
    <w:rsid w:val="002668AA"/>
    <w:rsid w:val="0026780C"/>
    <w:rsid w:val="002679BB"/>
    <w:rsid w:val="0027004E"/>
    <w:rsid w:val="00270FD9"/>
    <w:rsid w:val="002717A8"/>
    <w:rsid w:val="002723A7"/>
    <w:rsid w:val="002723D9"/>
    <w:rsid w:val="00274EBC"/>
    <w:rsid w:val="00275609"/>
    <w:rsid w:val="00280105"/>
    <w:rsid w:val="00282488"/>
    <w:rsid w:val="00282DBE"/>
    <w:rsid w:val="00283704"/>
    <w:rsid w:val="00287A18"/>
    <w:rsid w:val="00291873"/>
    <w:rsid w:val="00292EC3"/>
    <w:rsid w:val="00294586"/>
    <w:rsid w:val="00294DE0"/>
    <w:rsid w:val="00296127"/>
    <w:rsid w:val="00296B08"/>
    <w:rsid w:val="00297AC4"/>
    <w:rsid w:val="002A046A"/>
    <w:rsid w:val="002A0CAC"/>
    <w:rsid w:val="002A0D49"/>
    <w:rsid w:val="002A10A8"/>
    <w:rsid w:val="002A1639"/>
    <w:rsid w:val="002A1B2B"/>
    <w:rsid w:val="002A1CC2"/>
    <w:rsid w:val="002A1DC4"/>
    <w:rsid w:val="002A235B"/>
    <w:rsid w:val="002A2CED"/>
    <w:rsid w:val="002A4910"/>
    <w:rsid w:val="002A5C73"/>
    <w:rsid w:val="002A68B8"/>
    <w:rsid w:val="002B10AE"/>
    <w:rsid w:val="002B318C"/>
    <w:rsid w:val="002B3824"/>
    <w:rsid w:val="002B552A"/>
    <w:rsid w:val="002B74C5"/>
    <w:rsid w:val="002C010C"/>
    <w:rsid w:val="002C1A52"/>
    <w:rsid w:val="002C1FBF"/>
    <w:rsid w:val="002C25C6"/>
    <w:rsid w:val="002C4737"/>
    <w:rsid w:val="002C47B8"/>
    <w:rsid w:val="002C4A81"/>
    <w:rsid w:val="002C6888"/>
    <w:rsid w:val="002C78FB"/>
    <w:rsid w:val="002D0814"/>
    <w:rsid w:val="002D0F81"/>
    <w:rsid w:val="002D170B"/>
    <w:rsid w:val="002D175D"/>
    <w:rsid w:val="002D2E80"/>
    <w:rsid w:val="002D3579"/>
    <w:rsid w:val="002D3B0F"/>
    <w:rsid w:val="002D4073"/>
    <w:rsid w:val="002D447A"/>
    <w:rsid w:val="002D4CDE"/>
    <w:rsid w:val="002D5187"/>
    <w:rsid w:val="002D5865"/>
    <w:rsid w:val="002D77A7"/>
    <w:rsid w:val="002D7BA6"/>
    <w:rsid w:val="002E294A"/>
    <w:rsid w:val="002E4D6D"/>
    <w:rsid w:val="002E6CB0"/>
    <w:rsid w:val="002F03B5"/>
    <w:rsid w:val="002F184C"/>
    <w:rsid w:val="002F19E7"/>
    <w:rsid w:val="002F2166"/>
    <w:rsid w:val="002F323A"/>
    <w:rsid w:val="002F3B70"/>
    <w:rsid w:val="002F47D9"/>
    <w:rsid w:val="002F5002"/>
    <w:rsid w:val="002F567B"/>
    <w:rsid w:val="002F579B"/>
    <w:rsid w:val="002F58BF"/>
    <w:rsid w:val="002F6AB2"/>
    <w:rsid w:val="002F7C7C"/>
    <w:rsid w:val="003004B8"/>
    <w:rsid w:val="003022A7"/>
    <w:rsid w:val="00303D85"/>
    <w:rsid w:val="0030680B"/>
    <w:rsid w:val="00307512"/>
    <w:rsid w:val="00307F4D"/>
    <w:rsid w:val="0031098B"/>
    <w:rsid w:val="00311A9D"/>
    <w:rsid w:val="00312994"/>
    <w:rsid w:val="00313CA3"/>
    <w:rsid w:val="0031558E"/>
    <w:rsid w:val="00315780"/>
    <w:rsid w:val="00315B94"/>
    <w:rsid w:val="003165E5"/>
    <w:rsid w:val="003201BC"/>
    <w:rsid w:val="00320293"/>
    <w:rsid w:val="003212E4"/>
    <w:rsid w:val="003217C9"/>
    <w:rsid w:val="00321CA6"/>
    <w:rsid w:val="00322DF3"/>
    <w:rsid w:val="00326769"/>
    <w:rsid w:val="00327AC3"/>
    <w:rsid w:val="00327BFC"/>
    <w:rsid w:val="00330832"/>
    <w:rsid w:val="00330C13"/>
    <w:rsid w:val="00331520"/>
    <w:rsid w:val="00331B5C"/>
    <w:rsid w:val="00331C0E"/>
    <w:rsid w:val="00331D9F"/>
    <w:rsid w:val="003324D9"/>
    <w:rsid w:val="00332574"/>
    <w:rsid w:val="0033276A"/>
    <w:rsid w:val="0033283B"/>
    <w:rsid w:val="00333C49"/>
    <w:rsid w:val="00336033"/>
    <w:rsid w:val="00337648"/>
    <w:rsid w:val="00340752"/>
    <w:rsid w:val="003409C9"/>
    <w:rsid w:val="00341583"/>
    <w:rsid w:val="00341F7C"/>
    <w:rsid w:val="00344581"/>
    <w:rsid w:val="00344DF2"/>
    <w:rsid w:val="003454A9"/>
    <w:rsid w:val="0034655C"/>
    <w:rsid w:val="00346FFA"/>
    <w:rsid w:val="00350CFE"/>
    <w:rsid w:val="0035139C"/>
    <w:rsid w:val="003524FD"/>
    <w:rsid w:val="003561B8"/>
    <w:rsid w:val="003568F4"/>
    <w:rsid w:val="00357182"/>
    <w:rsid w:val="00357B8D"/>
    <w:rsid w:val="00357E66"/>
    <w:rsid w:val="00360100"/>
    <w:rsid w:val="00360197"/>
    <w:rsid w:val="00360DEB"/>
    <w:rsid w:val="003625F1"/>
    <w:rsid w:val="003634DC"/>
    <w:rsid w:val="003638CF"/>
    <w:rsid w:val="00363C84"/>
    <w:rsid w:val="00364D14"/>
    <w:rsid w:val="00365311"/>
    <w:rsid w:val="003655B6"/>
    <w:rsid w:val="00365E46"/>
    <w:rsid w:val="00366F41"/>
    <w:rsid w:val="0037726C"/>
    <w:rsid w:val="00377697"/>
    <w:rsid w:val="0037788A"/>
    <w:rsid w:val="00377A53"/>
    <w:rsid w:val="003809F3"/>
    <w:rsid w:val="0038117E"/>
    <w:rsid w:val="0038135E"/>
    <w:rsid w:val="003813A6"/>
    <w:rsid w:val="00381900"/>
    <w:rsid w:val="00381B03"/>
    <w:rsid w:val="00381FC0"/>
    <w:rsid w:val="0038259A"/>
    <w:rsid w:val="00382F01"/>
    <w:rsid w:val="00384DC2"/>
    <w:rsid w:val="00387C29"/>
    <w:rsid w:val="00387DAD"/>
    <w:rsid w:val="00390732"/>
    <w:rsid w:val="00391CC7"/>
    <w:rsid w:val="0039257B"/>
    <w:rsid w:val="0039441A"/>
    <w:rsid w:val="003965DA"/>
    <w:rsid w:val="00396D7E"/>
    <w:rsid w:val="00396FDF"/>
    <w:rsid w:val="00397760"/>
    <w:rsid w:val="003A0325"/>
    <w:rsid w:val="003A0776"/>
    <w:rsid w:val="003A0C23"/>
    <w:rsid w:val="003A0F73"/>
    <w:rsid w:val="003A1150"/>
    <w:rsid w:val="003A1E5E"/>
    <w:rsid w:val="003A23B3"/>
    <w:rsid w:val="003A5C77"/>
    <w:rsid w:val="003A5EB6"/>
    <w:rsid w:val="003A785D"/>
    <w:rsid w:val="003A7A69"/>
    <w:rsid w:val="003B04DA"/>
    <w:rsid w:val="003B0E7A"/>
    <w:rsid w:val="003B15C8"/>
    <w:rsid w:val="003B17BB"/>
    <w:rsid w:val="003B1992"/>
    <w:rsid w:val="003B1A29"/>
    <w:rsid w:val="003B1C22"/>
    <w:rsid w:val="003B1D25"/>
    <w:rsid w:val="003B2900"/>
    <w:rsid w:val="003B2B30"/>
    <w:rsid w:val="003B2CAA"/>
    <w:rsid w:val="003B30D8"/>
    <w:rsid w:val="003B3299"/>
    <w:rsid w:val="003B436A"/>
    <w:rsid w:val="003B48D5"/>
    <w:rsid w:val="003B4F8C"/>
    <w:rsid w:val="003B5512"/>
    <w:rsid w:val="003B62EC"/>
    <w:rsid w:val="003B6749"/>
    <w:rsid w:val="003B6844"/>
    <w:rsid w:val="003B75FC"/>
    <w:rsid w:val="003B7F5E"/>
    <w:rsid w:val="003C1215"/>
    <w:rsid w:val="003C14C9"/>
    <w:rsid w:val="003C15EF"/>
    <w:rsid w:val="003C1D23"/>
    <w:rsid w:val="003C4817"/>
    <w:rsid w:val="003C5E7B"/>
    <w:rsid w:val="003C6A22"/>
    <w:rsid w:val="003C79AC"/>
    <w:rsid w:val="003D1EDB"/>
    <w:rsid w:val="003D4359"/>
    <w:rsid w:val="003D4739"/>
    <w:rsid w:val="003D56FD"/>
    <w:rsid w:val="003D75A1"/>
    <w:rsid w:val="003D78F3"/>
    <w:rsid w:val="003D7D58"/>
    <w:rsid w:val="003E0266"/>
    <w:rsid w:val="003E0C4A"/>
    <w:rsid w:val="003E221F"/>
    <w:rsid w:val="003E3296"/>
    <w:rsid w:val="003E3C65"/>
    <w:rsid w:val="003E3F0E"/>
    <w:rsid w:val="003E4749"/>
    <w:rsid w:val="003E4CC0"/>
    <w:rsid w:val="003E51DE"/>
    <w:rsid w:val="003E5D3F"/>
    <w:rsid w:val="003E60D1"/>
    <w:rsid w:val="003E719B"/>
    <w:rsid w:val="003E757E"/>
    <w:rsid w:val="003F0052"/>
    <w:rsid w:val="003F0CAE"/>
    <w:rsid w:val="003F0EA8"/>
    <w:rsid w:val="003F250B"/>
    <w:rsid w:val="003F5183"/>
    <w:rsid w:val="003F56BD"/>
    <w:rsid w:val="003F5A35"/>
    <w:rsid w:val="003F7085"/>
    <w:rsid w:val="00400C11"/>
    <w:rsid w:val="004010A8"/>
    <w:rsid w:val="00401DED"/>
    <w:rsid w:val="00402680"/>
    <w:rsid w:val="00404546"/>
    <w:rsid w:val="00406097"/>
    <w:rsid w:val="00406C7B"/>
    <w:rsid w:val="00407182"/>
    <w:rsid w:val="004078E5"/>
    <w:rsid w:val="00407FE4"/>
    <w:rsid w:val="00412F68"/>
    <w:rsid w:val="0041311D"/>
    <w:rsid w:val="00415784"/>
    <w:rsid w:val="00415806"/>
    <w:rsid w:val="004159BE"/>
    <w:rsid w:val="004168B3"/>
    <w:rsid w:val="0041784C"/>
    <w:rsid w:val="00417DAC"/>
    <w:rsid w:val="00417E13"/>
    <w:rsid w:val="00420CBC"/>
    <w:rsid w:val="00421432"/>
    <w:rsid w:val="00421CD5"/>
    <w:rsid w:val="00421E9D"/>
    <w:rsid w:val="004223AB"/>
    <w:rsid w:val="00422784"/>
    <w:rsid w:val="00423EE9"/>
    <w:rsid w:val="00425EC2"/>
    <w:rsid w:val="00427187"/>
    <w:rsid w:val="00427696"/>
    <w:rsid w:val="00427FB8"/>
    <w:rsid w:val="00431253"/>
    <w:rsid w:val="00432066"/>
    <w:rsid w:val="004321B8"/>
    <w:rsid w:val="00435D37"/>
    <w:rsid w:val="00436469"/>
    <w:rsid w:val="00436FB4"/>
    <w:rsid w:val="004379FA"/>
    <w:rsid w:val="004407E1"/>
    <w:rsid w:val="00442E20"/>
    <w:rsid w:val="0044465C"/>
    <w:rsid w:val="0044550D"/>
    <w:rsid w:val="00445DCE"/>
    <w:rsid w:val="004471B9"/>
    <w:rsid w:val="00447221"/>
    <w:rsid w:val="004509F6"/>
    <w:rsid w:val="00453CE3"/>
    <w:rsid w:val="00454093"/>
    <w:rsid w:val="00454C7D"/>
    <w:rsid w:val="00455227"/>
    <w:rsid w:val="004574D9"/>
    <w:rsid w:val="0045758B"/>
    <w:rsid w:val="00461324"/>
    <w:rsid w:val="0046148B"/>
    <w:rsid w:val="00461657"/>
    <w:rsid w:val="00461995"/>
    <w:rsid w:val="004634E4"/>
    <w:rsid w:val="004639A5"/>
    <w:rsid w:val="004655E7"/>
    <w:rsid w:val="0046659C"/>
    <w:rsid w:val="00466A02"/>
    <w:rsid w:val="00466E96"/>
    <w:rsid w:val="00466F15"/>
    <w:rsid w:val="00467511"/>
    <w:rsid w:val="0047022C"/>
    <w:rsid w:val="004725CB"/>
    <w:rsid w:val="0047278D"/>
    <w:rsid w:val="00475763"/>
    <w:rsid w:val="00475BE2"/>
    <w:rsid w:val="00480082"/>
    <w:rsid w:val="00483B9D"/>
    <w:rsid w:val="0048470D"/>
    <w:rsid w:val="004848E8"/>
    <w:rsid w:val="00484EA7"/>
    <w:rsid w:val="004865CE"/>
    <w:rsid w:val="004868F5"/>
    <w:rsid w:val="0048699B"/>
    <w:rsid w:val="00487296"/>
    <w:rsid w:val="0049070F"/>
    <w:rsid w:val="004932C1"/>
    <w:rsid w:val="00493B63"/>
    <w:rsid w:val="004940E0"/>
    <w:rsid w:val="00496861"/>
    <w:rsid w:val="004A1113"/>
    <w:rsid w:val="004A2665"/>
    <w:rsid w:val="004A3449"/>
    <w:rsid w:val="004A350C"/>
    <w:rsid w:val="004A382B"/>
    <w:rsid w:val="004A3894"/>
    <w:rsid w:val="004A38D1"/>
    <w:rsid w:val="004A393C"/>
    <w:rsid w:val="004A3B47"/>
    <w:rsid w:val="004A55B1"/>
    <w:rsid w:val="004A56BE"/>
    <w:rsid w:val="004A5717"/>
    <w:rsid w:val="004A61E8"/>
    <w:rsid w:val="004A62DA"/>
    <w:rsid w:val="004B1C2A"/>
    <w:rsid w:val="004B1ECF"/>
    <w:rsid w:val="004B378C"/>
    <w:rsid w:val="004B41B2"/>
    <w:rsid w:val="004B5F63"/>
    <w:rsid w:val="004B7800"/>
    <w:rsid w:val="004B7883"/>
    <w:rsid w:val="004B7C4B"/>
    <w:rsid w:val="004C0135"/>
    <w:rsid w:val="004C0541"/>
    <w:rsid w:val="004C16F3"/>
    <w:rsid w:val="004C206D"/>
    <w:rsid w:val="004C373F"/>
    <w:rsid w:val="004C3C31"/>
    <w:rsid w:val="004C659C"/>
    <w:rsid w:val="004D49A0"/>
    <w:rsid w:val="004D4E0F"/>
    <w:rsid w:val="004D7775"/>
    <w:rsid w:val="004E02D3"/>
    <w:rsid w:val="004E28B9"/>
    <w:rsid w:val="004E4063"/>
    <w:rsid w:val="004E475F"/>
    <w:rsid w:val="004E6169"/>
    <w:rsid w:val="004E6C21"/>
    <w:rsid w:val="004E7676"/>
    <w:rsid w:val="004F17AF"/>
    <w:rsid w:val="004F2797"/>
    <w:rsid w:val="004F288B"/>
    <w:rsid w:val="004F31D0"/>
    <w:rsid w:val="004F3817"/>
    <w:rsid w:val="004F4CFC"/>
    <w:rsid w:val="004F50B8"/>
    <w:rsid w:val="004F62C2"/>
    <w:rsid w:val="004F7808"/>
    <w:rsid w:val="004F7D2D"/>
    <w:rsid w:val="004F7F54"/>
    <w:rsid w:val="004F7F71"/>
    <w:rsid w:val="005014FE"/>
    <w:rsid w:val="005025EC"/>
    <w:rsid w:val="005027D6"/>
    <w:rsid w:val="0050365D"/>
    <w:rsid w:val="005065E6"/>
    <w:rsid w:val="005070CF"/>
    <w:rsid w:val="005078B9"/>
    <w:rsid w:val="0051201B"/>
    <w:rsid w:val="0051345D"/>
    <w:rsid w:val="00516264"/>
    <w:rsid w:val="00516511"/>
    <w:rsid w:val="00517175"/>
    <w:rsid w:val="00517FAC"/>
    <w:rsid w:val="00521DE6"/>
    <w:rsid w:val="005221F4"/>
    <w:rsid w:val="00522282"/>
    <w:rsid w:val="00524587"/>
    <w:rsid w:val="0052511E"/>
    <w:rsid w:val="0052531F"/>
    <w:rsid w:val="005253D1"/>
    <w:rsid w:val="005264EC"/>
    <w:rsid w:val="00530AE6"/>
    <w:rsid w:val="00532B88"/>
    <w:rsid w:val="005331BD"/>
    <w:rsid w:val="005340BA"/>
    <w:rsid w:val="005343F8"/>
    <w:rsid w:val="00534ED3"/>
    <w:rsid w:val="0053502A"/>
    <w:rsid w:val="0053621B"/>
    <w:rsid w:val="00536525"/>
    <w:rsid w:val="0053722D"/>
    <w:rsid w:val="005374C9"/>
    <w:rsid w:val="00540842"/>
    <w:rsid w:val="00540D55"/>
    <w:rsid w:val="00541131"/>
    <w:rsid w:val="00541D70"/>
    <w:rsid w:val="005429A2"/>
    <w:rsid w:val="005436E2"/>
    <w:rsid w:val="00543A1F"/>
    <w:rsid w:val="005443C3"/>
    <w:rsid w:val="00544C50"/>
    <w:rsid w:val="005468F5"/>
    <w:rsid w:val="00546967"/>
    <w:rsid w:val="00547212"/>
    <w:rsid w:val="005479C8"/>
    <w:rsid w:val="00547B34"/>
    <w:rsid w:val="005523CF"/>
    <w:rsid w:val="00552402"/>
    <w:rsid w:val="0055364A"/>
    <w:rsid w:val="00553E61"/>
    <w:rsid w:val="0055409D"/>
    <w:rsid w:val="00555066"/>
    <w:rsid w:val="0055507E"/>
    <w:rsid w:val="00555A5E"/>
    <w:rsid w:val="005562D6"/>
    <w:rsid w:val="005568D7"/>
    <w:rsid w:val="0055713F"/>
    <w:rsid w:val="00560113"/>
    <w:rsid w:val="00560529"/>
    <w:rsid w:val="00560667"/>
    <w:rsid w:val="00561992"/>
    <w:rsid w:val="00564436"/>
    <w:rsid w:val="005644BB"/>
    <w:rsid w:val="0056509E"/>
    <w:rsid w:val="00565662"/>
    <w:rsid w:val="00566BFA"/>
    <w:rsid w:val="005700F4"/>
    <w:rsid w:val="00570C9B"/>
    <w:rsid w:val="00570EEF"/>
    <w:rsid w:val="005715D6"/>
    <w:rsid w:val="00571A37"/>
    <w:rsid w:val="0057438A"/>
    <w:rsid w:val="00575B7D"/>
    <w:rsid w:val="00580172"/>
    <w:rsid w:val="00580859"/>
    <w:rsid w:val="00581749"/>
    <w:rsid w:val="005818A8"/>
    <w:rsid w:val="005829D9"/>
    <w:rsid w:val="00583591"/>
    <w:rsid w:val="005838F0"/>
    <w:rsid w:val="005852DA"/>
    <w:rsid w:val="005858DC"/>
    <w:rsid w:val="00585B6B"/>
    <w:rsid w:val="00585F7B"/>
    <w:rsid w:val="005874DD"/>
    <w:rsid w:val="0058776D"/>
    <w:rsid w:val="00587E4A"/>
    <w:rsid w:val="0059043F"/>
    <w:rsid w:val="00590ABD"/>
    <w:rsid w:val="00590B7B"/>
    <w:rsid w:val="005916D5"/>
    <w:rsid w:val="00592DF3"/>
    <w:rsid w:val="00593B25"/>
    <w:rsid w:val="00595C60"/>
    <w:rsid w:val="00595DA2"/>
    <w:rsid w:val="00596079"/>
    <w:rsid w:val="00596574"/>
    <w:rsid w:val="0059665E"/>
    <w:rsid w:val="005966E6"/>
    <w:rsid w:val="005A054F"/>
    <w:rsid w:val="005A13E6"/>
    <w:rsid w:val="005A1C61"/>
    <w:rsid w:val="005A4AB8"/>
    <w:rsid w:val="005A5064"/>
    <w:rsid w:val="005A5229"/>
    <w:rsid w:val="005A778E"/>
    <w:rsid w:val="005B0DB1"/>
    <w:rsid w:val="005B18F4"/>
    <w:rsid w:val="005B25F8"/>
    <w:rsid w:val="005B2BF5"/>
    <w:rsid w:val="005B5CB7"/>
    <w:rsid w:val="005B5F21"/>
    <w:rsid w:val="005B7040"/>
    <w:rsid w:val="005C19AB"/>
    <w:rsid w:val="005C363C"/>
    <w:rsid w:val="005C3915"/>
    <w:rsid w:val="005C3D3E"/>
    <w:rsid w:val="005C4CBE"/>
    <w:rsid w:val="005C4DBD"/>
    <w:rsid w:val="005C4E87"/>
    <w:rsid w:val="005C5F38"/>
    <w:rsid w:val="005D07D1"/>
    <w:rsid w:val="005D0E14"/>
    <w:rsid w:val="005D2F3D"/>
    <w:rsid w:val="005D4BC4"/>
    <w:rsid w:val="005D5D14"/>
    <w:rsid w:val="005D6EEB"/>
    <w:rsid w:val="005D751B"/>
    <w:rsid w:val="005E0358"/>
    <w:rsid w:val="005E038B"/>
    <w:rsid w:val="005E150E"/>
    <w:rsid w:val="005E199C"/>
    <w:rsid w:val="005E2852"/>
    <w:rsid w:val="005E2B06"/>
    <w:rsid w:val="005E35C9"/>
    <w:rsid w:val="005E4CD1"/>
    <w:rsid w:val="005E5941"/>
    <w:rsid w:val="005E6D35"/>
    <w:rsid w:val="005F060E"/>
    <w:rsid w:val="005F13D5"/>
    <w:rsid w:val="005F50EA"/>
    <w:rsid w:val="005F568D"/>
    <w:rsid w:val="006006C6"/>
    <w:rsid w:val="006050EA"/>
    <w:rsid w:val="006070E0"/>
    <w:rsid w:val="006071F2"/>
    <w:rsid w:val="00607217"/>
    <w:rsid w:val="00607500"/>
    <w:rsid w:val="00607541"/>
    <w:rsid w:val="0061084D"/>
    <w:rsid w:val="00610DDD"/>
    <w:rsid w:val="006127E9"/>
    <w:rsid w:val="00612A53"/>
    <w:rsid w:val="00612A74"/>
    <w:rsid w:val="00612F5E"/>
    <w:rsid w:val="00613676"/>
    <w:rsid w:val="006139C9"/>
    <w:rsid w:val="006142D5"/>
    <w:rsid w:val="006152FB"/>
    <w:rsid w:val="0061569F"/>
    <w:rsid w:val="00616B6E"/>
    <w:rsid w:val="00617CA0"/>
    <w:rsid w:val="00620ACF"/>
    <w:rsid w:val="00620FA4"/>
    <w:rsid w:val="0062188F"/>
    <w:rsid w:val="00621B53"/>
    <w:rsid w:val="0062271A"/>
    <w:rsid w:val="00622F10"/>
    <w:rsid w:val="00622FAC"/>
    <w:rsid w:val="00623BC4"/>
    <w:rsid w:val="00624C12"/>
    <w:rsid w:val="006304FD"/>
    <w:rsid w:val="00632692"/>
    <w:rsid w:val="00634B74"/>
    <w:rsid w:val="006357BA"/>
    <w:rsid w:val="0063610A"/>
    <w:rsid w:val="00642A13"/>
    <w:rsid w:val="00642F40"/>
    <w:rsid w:val="006435D8"/>
    <w:rsid w:val="00645ED4"/>
    <w:rsid w:val="00647463"/>
    <w:rsid w:val="00647B12"/>
    <w:rsid w:val="006509EE"/>
    <w:rsid w:val="00651027"/>
    <w:rsid w:val="0065108A"/>
    <w:rsid w:val="006534C5"/>
    <w:rsid w:val="0065398C"/>
    <w:rsid w:val="00653CF3"/>
    <w:rsid w:val="00654A8A"/>
    <w:rsid w:val="0065518C"/>
    <w:rsid w:val="00655E38"/>
    <w:rsid w:val="00655E97"/>
    <w:rsid w:val="0065775B"/>
    <w:rsid w:val="00657F58"/>
    <w:rsid w:val="00661339"/>
    <w:rsid w:val="00661C7E"/>
    <w:rsid w:val="00663690"/>
    <w:rsid w:val="00664DEB"/>
    <w:rsid w:val="00666EFC"/>
    <w:rsid w:val="0066756D"/>
    <w:rsid w:val="00670373"/>
    <w:rsid w:val="006705D4"/>
    <w:rsid w:val="00670C5E"/>
    <w:rsid w:val="00670C6E"/>
    <w:rsid w:val="00671200"/>
    <w:rsid w:val="00671844"/>
    <w:rsid w:val="00671961"/>
    <w:rsid w:val="006723F0"/>
    <w:rsid w:val="00672DCB"/>
    <w:rsid w:val="006751BF"/>
    <w:rsid w:val="006752C1"/>
    <w:rsid w:val="006756E9"/>
    <w:rsid w:val="006759B4"/>
    <w:rsid w:val="00675DCF"/>
    <w:rsid w:val="006760A4"/>
    <w:rsid w:val="00676256"/>
    <w:rsid w:val="00676A4B"/>
    <w:rsid w:val="00676C8B"/>
    <w:rsid w:val="0067730D"/>
    <w:rsid w:val="006807FE"/>
    <w:rsid w:val="00680A78"/>
    <w:rsid w:val="00681351"/>
    <w:rsid w:val="00681A9E"/>
    <w:rsid w:val="00682718"/>
    <w:rsid w:val="00684818"/>
    <w:rsid w:val="00684902"/>
    <w:rsid w:val="00685393"/>
    <w:rsid w:val="00690A2B"/>
    <w:rsid w:val="00690D87"/>
    <w:rsid w:val="00690EA9"/>
    <w:rsid w:val="006910F4"/>
    <w:rsid w:val="00692810"/>
    <w:rsid w:val="0069434B"/>
    <w:rsid w:val="00694445"/>
    <w:rsid w:val="00694991"/>
    <w:rsid w:val="00695141"/>
    <w:rsid w:val="00695AC5"/>
    <w:rsid w:val="006966E3"/>
    <w:rsid w:val="006971AF"/>
    <w:rsid w:val="00697A91"/>
    <w:rsid w:val="006A0B4A"/>
    <w:rsid w:val="006A144B"/>
    <w:rsid w:val="006A1C8D"/>
    <w:rsid w:val="006A290B"/>
    <w:rsid w:val="006A478E"/>
    <w:rsid w:val="006A4801"/>
    <w:rsid w:val="006A5DE6"/>
    <w:rsid w:val="006A5F7F"/>
    <w:rsid w:val="006A6C58"/>
    <w:rsid w:val="006A6FB2"/>
    <w:rsid w:val="006B159D"/>
    <w:rsid w:val="006B22E5"/>
    <w:rsid w:val="006B2866"/>
    <w:rsid w:val="006B3579"/>
    <w:rsid w:val="006B4777"/>
    <w:rsid w:val="006B5211"/>
    <w:rsid w:val="006B5863"/>
    <w:rsid w:val="006B729D"/>
    <w:rsid w:val="006B7725"/>
    <w:rsid w:val="006C1458"/>
    <w:rsid w:val="006C15C6"/>
    <w:rsid w:val="006C1C26"/>
    <w:rsid w:val="006C27EC"/>
    <w:rsid w:val="006C28CF"/>
    <w:rsid w:val="006C2906"/>
    <w:rsid w:val="006C2BA8"/>
    <w:rsid w:val="006C2EF6"/>
    <w:rsid w:val="006C3C84"/>
    <w:rsid w:val="006C5096"/>
    <w:rsid w:val="006C5F17"/>
    <w:rsid w:val="006C6303"/>
    <w:rsid w:val="006C6B7E"/>
    <w:rsid w:val="006C6BF9"/>
    <w:rsid w:val="006C6C06"/>
    <w:rsid w:val="006C7B91"/>
    <w:rsid w:val="006C7BA4"/>
    <w:rsid w:val="006C7EA3"/>
    <w:rsid w:val="006D1A57"/>
    <w:rsid w:val="006D1BC2"/>
    <w:rsid w:val="006D2608"/>
    <w:rsid w:val="006D2A9C"/>
    <w:rsid w:val="006D2B20"/>
    <w:rsid w:val="006D2D6C"/>
    <w:rsid w:val="006D3720"/>
    <w:rsid w:val="006D3727"/>
    <w:rsid w:val="006D3763"/>
    <w:rsid w:val="006D4A5C"/>
    <w:rsid w:val="006D53D7"/>
    <w:rsid w:val="006D74DB"/>
    <w:rsid w:val="006E11AC"/>
    <w:rsid w:val="006E4746"/>
    <w:rsid w:val="006E4B91"/>
    <w:rsid w:val="006E6751"/>
    <w:rsid w:val="006E7282"/>
    <w:rsid w:val="006E737C"/>
    <w:rsid w:val="006E7DF0"/>
    <w:rsid w:val="006F0752"/>
    <w:rsid w:val="006F1525"/>
    <w:rsid w:val="006F1AFE"/>
    <w:rsid w:val="006F2861"/>
    <w:rsid w:val="006F4309"/>
    <w:rsid w:val="006F4C84"/>
    <w:rsid w:val="006F5E1B"/>
    <w:rsid w:val="006F6B2B"/>
    <w:rsid w:val="006F6D5E"/>
    <w:rsid w:val="006F6F40"/>
    <w:rsid w:val="006F7123"/>
    <w:rsid w:val="006F7C03"/>
    <w:rsid w:val="00701093"/>
    <w:rsid w:val="007027D1"/>
    <w:rsid w:val="00703B0B"/>
    <w:rsid w:val="00704222"/>
    <w:rsid w:val="00705089"/>
    <w:rsid w:val="007055C9"/>
    <w:rsid w:val="007067B2"/>
    <w:rsid w:val="00706A33"/>
    <w:rsid w:val="00706CF0"/>
    <w:rsid w:val="00707E96"/>
    <w:rsid w:val="007106E1"/>
    <w:rsid w:val="00710BC7"/>
    <w:rsid w:val="00712271"/>
    <w:rsid w:val="00712C9A"/>
    <w:rsid w:val="00712CC4"/>
    <w:rsid w:val="0071349F"/>
    <w:rsid w:val="00713AA0"/>
    <w:rsid w:val="00715429"/>
    <w:rsid w:val="00715597"/>
    <w:rsid w:val="00715DEB"/>
    <w:rsid w:val="00716A7D"/>
    <w:rsid w:val="00716B14"/>
    <w:rsid w:val="0071757A"/>
    <w:rsid w:val="00717FE8"/>
    <w:rsid w:val="00720A33"/>
    <w:rsid w:val="00721DCD"/>
    <w:rsid w:val="007227E1"/>
    <w:rsid w:val="00722A4C"/>
    <w:rsid w:val="007234B4"/>
    <w:rsid w:val="00725D07"/>
    <w:rsid w:val="00725E16"/>
    <w:rsid w:val="00727967"/>
    <w:rsid w:val="00727BED"/>
    <w:rsid w:val="007307C9"/>
    <w:rsid w:val="007319C8"/>
    <w:rsid w:val="007326D7"/>
    <w:rsid w:val="00733BCB"/>
    <w:rsid w:val="0073431B"/>
    <w:rsid w:val="00734688"/>
    <w:rsid w:val="00734729"/>
    <w:rsid w:val="00734D1E"/>
    <w:rsid w:val="00736E76"/>
    <w:rsid w:val="0073706D"/>
    <w:rsid w:val="007375FD"/>
    <w:rsid w:val="00737DB4"/>
    <w:rsid w:val="007406F2"/>
    <w:rsid w:val="007428C3"/>
    <w:rsid w:val="00742C04"/>
    <w:rsid w:val="00743684"/>
    <w:rsid w:val="007452A1"/>
    <w:rsid w:val="00745BCE"/>
    <w:rsid w:val="00746132"/>
    <w:rsid w:val="007469F9"/>
    <w:rsid w:val="00747828"/>
    <w:rsid w:val="007515DA"/>
    <w:rsid w:val="007534AA"/>
    <w:rsid w:val="00753C0A"/>
    <w:rsid w:val="00753E85"/>
    <w:rsid w:val="007548EE"/>
    <w:rsid w:val="00754D46"/>
    <w:rsid w:val="00754F86"/>
    <w:rsid w:val="0075551E"/>
    <w:rsid w:val="00755DB9"/>
    <w:rsid w:val="00755FB7"/>
    <w:rsid w:val="0075626E"/>
    <w:rsid w:val="00756761"/>
    <w:rsid w:val="00756F11"/>
    <w:rsid w:val="007579F4"/>
    <w:rsid w:val="00757A6C"/>
    <w:rsid w:val="0076100C"/>
    <w:rsid w:val="00761287"/>
    <w:rsid w:val="0076182F"/>
    <w:rsid w:val="007618B8"/>
    <w:rsid w:val="00762622"/>
    <w:rsid w:val="00763E32"/>
    <w:rsid w:val="0076413B"/>
    <w:rsid w:val="007652FD"/>
    <w:rsid w:val="0076645A"/>
    <w:rsid w:val="007675AF"/>
    <w:rsid w:val="00771538"/>
    <w:rsid w:val="00771D94"/>
    <w:rsid w:val="007722BC"/>
    <w:rsid w:val="00772A01"/>
    <w:rsid w:val="00772F45"/>
    <w:rsid w:val="00773C65"/>
    <w:rsid w:val="00775529"/>
    <w:rsid w:val="00776A67"/>
    <w:rsid w:val="00776DE5"/>
    <w:rsid w:val="00777134"/>
    <w:rsid w:val="00781377"/>
    <w:rsid w:val="00781FAF"/>
    <w:rsid w:val="00783810"/>
    <w:rsid w:val="00783A9F"/>
    <w:rsid w:val="00784166"/>
    <w:rsid w:val="0078476D"/>
    <w:rsid w:val="00784BF8"/>
    <w:rsid w:val="00784DAE"/>
    <w:rsid w:val="00784E09"/>
    <w:rsid w:val="00785339"/>
    <w:rsid w:val="00786F50"/>
    <w:rsid w:val="00787E88"/>
    <w:rsid w:val="00791DC2"/>
    <w:rsid w:val="00793A27"/>
    <w:rsid w:val="00793F4D"/>
    <w:rsid w:val="007941BB"/>
    <w:rsid w:val="00794B8C"/>
    <w:rsid w:val="00796ED1"/>
    <w:rsid w:val="007978AC"/>
    <w:rsid w:val="00797B66"/>
    <w:rsid w:val="00797BA2"/>
    <w:rsid w:val="007A0816"/>
    <w:rsid w:val="007A1882"/>
    <w:rsid w:val="007A1CFE"/>
    <w:rsid w:val="007A2091"/>
    <w:rsid w:val="007A2838"/>
    <w:rsid w:val="007A299E"/>
    <w:rsid w:val="007A2D7A"/>
    <w:rsid w:val="007A33EE"/>
    <w:rsid w:val="007A3B09"/>
    <w:rsid w:val="007A5A5D"/>
    <w:rsid w:val="007A67CB"/>
    <w:rsid w:val="007A6A82"/>
    <w:rsid w:val="007A73EE"/>
    <w:rsid w:val="007A7E1A"/>
    <w:rsid w:val="007B0888"/>
    <w:rsid w:val="007B0B93"/>
    <w:rsid w:val="007B41C4"/>
    <w:rsid w:val="007B5A1B"/>
    <w:rsid w:val="007B5C2E"/>
    <w:rsid w:val="007B68AD"/>
    <w:rsid w:val="007B7DBE"/>
    <w:rsid w:val="007B7EED"/>
    <w:rsid w:val="007C1EE8"/>
    <w:rsid w:val="007C2107"/>
    <w:rsid w:val="007C2827"/>
    <w:rsid w:val="007C43BE"/>
    <w:rsid w:val="007C49FF"/>
    <w:rsid w:val="007C601C"/>
    <w:rsid w:val="007D0106"/>
    <w:rsid w:val="007D033B"/>
    <w:rsid w:val="007D0956"/>
    <w:rsid w:val="007D39CD"/>
    <w:rsid w:val="007D410B"/>
    <w:rsid w:val="007D48C4"/>
    <w:rsid w:val="007D4C9D"/>
    <w:rsid w:val="007D4EE7"/>
    <w:rsid w:val="007D5AB1"/>
    <w:rsid w:val="007D6AA1"/>
    <w:rsid w:val="007E0203"/>
    <w:rsid w:val="007E056C"/>
    <w:rsid w:val="007E0761"/>
    <w:rsid w:val="007E081D"/>
    <w:rsid w:val="007E1AB8"/>
    <w:rsid w:val="007E293C"/>
    <w:rsid w:val="007E36AF"/>
    <w:rsid w:val="007E36EB"/>
    <w:rsid w:val="007E380A"/>
    <w:rsid w:val="007E5208"/>
    <w:rsid w:val="007E5CC1"/>
    <w:rsid w:val="007E7DDD"/>
    <w:rsid w:val="007F182C"/>
    <w:rsid w:val="007F33E9"/>
    <w:rsid w:val="007F388B"/>
    <w:rsid w:val="007F4571"/>
    <w:rsid w:val="007F4D55"/>
    <w:rsid w:val="007F61AF"/>
    <w:rsid w:val="007F6DCA"/>
    <w:rsid w:val="007F775F"/>
    <w:rsid w:val="007F7F34"/>
    <w:rsid w:val="0080031F"/>
    <w:rsid w:val="00801411"/>
    <w:rsid w:val="00801DB8"/>
    <w:rsid w:val="0080291E"/>
    <w:rsid w:val="00802B7F"/>
    <w:rsid w:val="00804D01"/>
    <w:rsid w:val="00804F0B"/>
    <w:rsid w:val="00805844"/>
    <w:rsid w:val="00805F78"/>
    <w:rsid w:val="00806B4B"/>
    <w:rsid w:val="00810837"/>
    <w:rsid w:val="00810CC6"/>
    <w:rsid w:val="00810CDD"/>
    <w:rsid w:val="00811332"/>
    <w:rsid w:val="0081184B"/>
    <w:rsid w:val="00811943"/>
    <w:rsid w:val="00811DF5"/>
    <w:rsid w:val="00812862"/>
    <w:rsid w:val="00812E0B"/>
    <w:rsid w:val="00813346"/>
    <w:rsid w:val="00813F13"/>
    <w:rsid w:val="00814063"/>
    <w:rsid w:val="00815A2F"/>
    <w:rsid w:val="00817A6A"/>
    <w:rsid w:val="00817F35"/>
    <w:rsid w:val="0082070B"/>
    <w:rsid w:val="0082084A"/>
    <w:rsid w:val="00822601"/>
    <w:rsid w:val="00822F67"/>
    <w:rsid w:val="008251C2"/>
    <w:rsid w:val="0082570B"/>
    <w:rsid w:val="008269CE"/>
    <w:rsid w:val="0082721B"/>
    <w:rsid w:val="00827BD1"/>
    <w:rsid w:val="0083011C"/>
    <w:rsid w:val="008312F3"/>
    <w:rsid w:val="008343BA"/>
    <w:rsid w:val="00834880"/>
    <w:rsid w:val="0083553F"/>
    <w:rsid w:val="008355A8"/>
    <w:rsid w:val="00836A00"/>
    <w:rsid w:val="00837547"/>
    <w:rsid w:val="00841315"/>
    <w:rsid w:val="00842AFE"/>
    <w:rsid w:val="00842C5E"/>
    <w:rsid w:val="00842FB5"/>
    <w:rsid w:val="00843DFF"/>
    <w:rsid w:val="00844116"/>
    <w:rsid w:val="00844B4B"/>
    <w:rsid w:val="00845320"/>
    <w:rsid w:val="00845675"/>
    <w:rsid w:val="0084680E"/>
    <w:rsid w:val="00847B5B"/>
    <w:rsid w:val="00847C9F"/>
    <w:rsid w:val="00847EBF"/>
    <w:rsid w:val="0085138D"/>
    <w:rsid w:val="00854098"/>
    <w:rsid w:val="0085673A"/>
    <w:rsid w:val="00856DE2"/>
    <w:rsid w:val="008573C7"/>
    <w:rsid w:val="00857B59"/>
    <w:rsid w:val="00860BDB"/>
    <w:rsid w:val="00861096"/>
    <w:rsid w:val="008617B7"/>
    <w:rsid w:val="00861D85"/>
    <w:rsid w:val="00861F52"/>
    <w:rsid w:val="00863019"/>
    <w:rsid w:val="00864891"/>
    <w:rsid w:val="00864D7E"/>
    <w:rsid w:val="008654E2"/>
    <w:rsid w:val="008656F4"/>
    <w:rsid w:val="00866008"/>
    <w:rsid w:val="00870795"/>
    <w:rsid w:val="00871ED5"/>
    <w:rsid w:val="008722E4"/>
    <w:rsid w:val="00873808"/>
    <w:rsid w:val="00873FD5"/>
    <w:rsid w:val="00874F31"/>
    <w:rsid w:val="0087527E"/>
    <w:rsid w:val="00875C4F"/>
    <w:rsid w:val="008770B1"/>
    <w:rsid w:val="00877642"/>
    <w:rsid w:val="00877FE9"/>
    <w:rsid w:val="00880646"/>
    <w:rsid w:val="00881C0B"/>
    <w:rsid w:val="00882650"/>
    <w:rsid w:val="00883754"/>
    <w:rsid w:val="008842AB"/>
    <w:rsid w:val="008844C7"/>
    <w:rsid w:val="008855BC"/>
    <w:rsid w:val="00886302"/>
    <w:rsid w:val="00886930"/>
    <w:rsid w:val="0089243B"/>
    <w:rsid w:val="00892AFB"/>
    <w:rsid w:val="0089368B"/>
    <w:rsid w:val="00893A0A"/>
    <w:rsid w:val="0089702D"/>
    <w:rsid w:val="008A1B88"/>
    <w:rsid w:val="008A1D16"/>
    <w:rsid w:val="008A1FE3"/>
    <w:rsid w:val="008A20BC"/>
    <w:rsid w:val="008A280E"/>
    <w:rsid w:val="008A30DD"/>
    <w:rsid w:val="008A31C0"/>
    <w:rsid w:val="008A3BC7"/>
    <w:rsid w:val="008A3F44"/>
    <w:rsid w:val="008A466B"/>
    <w:rsid w:val="008A68EC"/>
    <w:rsid w:val="008A69B1"/>
    <w:rsid w:val="008A73B0"/>
    <w:rsid w:val="008A7A28"/>
    <w:rsid w:val="008B1B59"/>
    <w:rsid w:val="008B285E"/>
    <w:rsid w:val="008B2B3C"/>
    <w:rsid w:val="008B4A2E"/>
    <w:rsid w:val="008B58DE"/>
    <w:rsid w:val="008B599F"/>
    <w:rsid w:val="008B6202"/>
    <w:rsid w:val="008B665D"/>
    <w:rsid w:val="008B6D0D"/>
    <w:rsid w:val="008C01EB"/>
    <w:rsid w:val="008C15C8"/>
    <w:rsid w:val="008C215C"/>
    <w:rsid w:val="008C2299"/>
    <w:rsid w:val="008C34B7"/>
    <w:rsid w:val="008C3941"/>
    <w:rsid w:val="008C4151"/>
    <w:rsid w:val="008C5163"/>
    <w:rsid w:val="008C5984"/>
    <w:rsid w:val="008C7C7F"/>
    <w:rsid w:val="008D0308"/>
    <w:rsid w:val="008D0998"/>
    <w:rsid w:val="008D20A3"/>
    <w:rsid w:val="008D27EB"/>
    <w:rsid w:val="008D2C8B"/>
    <w:rsid w:val="008D30AF"/>
    <w:rsid w:val="008D3CDF"/>
    <w:rsid w:val="008D4618"/>
    <w:rsid w:val="008D5823"/>
    <w:rsid w:val="008D6A5D"/>
    <w:rsid w:val="008D6E96"/>
    <w:rsid w:val="008D6F6A"/>
    <w:rsid w:val="008D6F78"/>
    <w:rsid w:val="008D76BE"/>
    <w:rsid w:val="008E0886"/>
    <w:rsid w:val="008E0E90"/>
    <w:rsid w:val="008E10D6"/>
    <w:rsid w:val="008E27E6"/>
    <w:rsid w:val="008E2B58"/>
    <w:rsid w:val="008E3805"/>
    <w:rsid w:val="008E3D20"/>
    <w:rsid w:val="008E4582"/>
    <w:rsid w:val="008E462B"/>
    <w:rsid w:val="008E5EDA"/>
    <w:rsid w:val="008E636B"/>
    <w:rsid w:val="008E6D00"/>
    <w:rsid w:val="008E7183"/>
    <w:rsid w:val="008E77D5"/>
    <w:rsid w:val="008F0415"/>
    <w:rsid w:val="008F0BE5"/>
    <w:rsid w:val="008F195C"/>
    <w:rsid w:val="008F1FDC"/>
    <w:rsid w:val="008F2127"/>
    <w:rsid w:val="008F34CB"/>
    <w:rsid w:val="008F3986"/>
    <w:rsid w:val="008F4F59"/>
    <w:rsid w:val="008F6653"/>
    <w:rsid w:val="008F6C10"/>
    <w:rsid w:val="008F71E6"/>
    <w:rsid w:val="008F7755"/>
    <w:rsid w:val="009008A2"/>
    <w:rsid w:val="00900F62"/>
    <w:rsid w:val="0090210D"/>
    <w:rsid w:val="0090227C"/>
    <w:rsid w:val="00902289"/>
    <w:rsid w:val="009022BB"/>
    <w:rsid w:val="009023AF"/>
    <w:rsid w:val="009045B3"/>
    <w:rsid w:val="0090493D"/>
    <w:rsid w:val="00904C72"/>
    <w:rsid w:val="00904D4B"/>
    <w:rsid w:val="00904F52"/>
    <w:rsid w:val="00905430"/>
    <w:rsid w:val="00905BF5"/>
    <w:rsid w:val="00905F6A"/>
    <w:rsid w:val="00907FE0"/>
    <w:rsid w:val="00910CBD"/>
    <w:rsid w:val="0091144B"/>
    <w:rsid w:val="00912260"/>
    <w:rsid w:val="009126D6"/>
    <w:rsid w:val="00915576"/>
    <w:rsid w:val="00915B6A"/>
    <w:rsid w:val="0091631F"/>
    <w:rsid w:val="00916A0F"/>
    <w:rsid w:val="00917A7F"/>
    <w:rsid w:val="00920528"/>
    <w:rsid w:val="00922BF8"/>
    <w:rsid w:val="0092318B"/>
    <w:rsid w:val="0092368D"/>
    <w:rsid w:val="0092378E"/>
    <w:rsid w:val="0092403C"/>
    <w:rsid w:val="0092474C"/>
    <w:rsid w:val="00925448"/>
    <w:rsid w:val="00925536"/>
    <w:rsid w:val="00925C68"/>
    <w:rsid w:val="00925FF2"/>
    <w:rsid w:val="009271A2"/>
    <w:rsid w:val="009329C9"/>
    <w:rsid w:val="00933305"/>
    <w:rsid w:val="0093378D"/>
    <w:rsid w:val="00933E8D"/>
    <w:rsid w:val="0093484E"/>
    <w:rsid w:val="00935A48"/>
    <w:rsid w:val="00937C0F"/>
    <w:rsid w:val="009404CE"/>
    <w:rsid w:val="00940D56"/>
    <w:rsid w:val="00941C71"/>
    <w:rsid w:val="00941E99"/>
    <w:rsid w:val="0094299F"/>
    <w:rsid w:val="00942C49"/>
    <w:rsid w:val="009472A1"/>
    <w:rsid w:val="00947B02"/>
    <w:rsid w:val="00947E4E"/>
    <w:rsid w:val="009508FA"/>
    <w:rsid w:val="00951A56"/>
    <w:rsid w:val="009543FD"/>
    <w:rsid w:val="009545F5"/>
    <w:rsid w:val="009553DE"/>
    <w:rsid w:val="00955421"/>
    <w:rsid w:val="0095549B"/>
    <w:rsid w:val="00956F1D"/>
    <w:rsid w:val="0095708D"/>
    <w:rsid w:val="009570EC"/>
    <w:rsid w:val="00957325"/>
    <w:rsid w:val="009611F6"/>
    <w:rsid w:val="00961D65"/>
    <w:rsid w:val="00962341"/>
    <w:rsid w:val="00962426"/>
    <w:rsid w:val="009636C3"/>
    <w:rsid w:val="009637F1"/>
    <w:rsid w:val="00963ABE"/>
    <w:rsid w:val="009647DB"/>
    <w:rsid w:val="00965B35"/>
    <w:rsid w:val="00965E55"/>
    <w:rsid w:val="00965FCD"/>
    <w:rsid w:val="009667E4"/>
    <w:rsid w:val="00966CC3"/>
    <w:rsid w:val="009674E4"/>
    <w:rsid w:val="00967750"/>
    <w:rsid w:val="009707F3"/>
    <w:rsid w:val="00970817"/>
    <w:rsid w:val="00972F5D"/>
    <w:rsid w:val="00973022"/>
    <w:rsid w:val="009735EF"/>
    <w:rsid w:val="0097377E"/>
    <w:rsid w:val="00974320"/>
    <w:rsid w:val="00974AD2"/>
    <w:rsid w:val="00974F42"/>
    <w:rsid w:val="00975511"/>
    <w:rsid w:val="0098296F"/>
    <w:rsid w:val="00982E62"/>
    <w:rsid w:val="009836D7"/>
    <w:rsid w:val="0098562F"/>
    <w:rsid w:val="00985C9B"/>
    <w:rsid w:val="009860B5"/>
    <w:rsid w:val="00992420"/>
    <w:rsid w:val="00992B90"/>
    <w:rsid w:val="00993E5A"/>
    <w:rsid w:val="00994D96"/>
    <w:rsid w:val="009957A2"/>
    <w:rsid w:val="009960CD"/>
    <w:rsid w:val="009A0736"/>
    <w:rsid w:val="009A1376"/>
    <w:rsid w:val="009A24E1"/>
    <w:rsid w:val="009A267A"/>
    <w:rsid w:val="009A2EA5"/>
    <w:rsid w:val="009A4C61"/>
    <w:rsid w:val="009A5640"/>
    <w:rsid w:val="009A63D0"/>
    <w:rsid w:val="009A6AC7"/>
    <w:rsid w:val="009A6D2F"/>
    <w:rsid w:val="009A74A7"/>
    <w:rsid w:val="009A792A"/>
    <w:rsid w:val="009B1B81"/>
    <w:rsid w:val="009B1C0A"/>
    <w:rsid w:val="009B320B"/>
    <w:rsid w:val="009B5779"/>
    <w:rsid w:val="009B65AF"/>
    <w:rsid w:val="009B6603"/>
    <w:rsid w:val="009B6985"/>
    <w:rsid w:val="009B7A65"/>
    <w:rsid w:val="009C0493"/>
    <w:rsid w:val="009C162D"/>
    <w:rsid w:val="009C1D43"/>
    <w:rsid w:val="009C406B"/>
    <w:rsid w:val="009C41DE"/>
    <w:rsid w:val="009C42D7"/>
    <w:rsid w:val="009C4EAF"/>
    <w:rsid w:val="009C5011"/>
    <w:rsid w:val="009C5462"/>
    <w:rsid w:val="009C62C0"/>
    <w:rsid w:val="009C756D"/>
    <w:rsid w:val="009D04AF"/>
    <w:rsid w:val="009D198A"/>
    <w:rsid w:val="009D2F97"/>
    <w:rsid w:val="009D36B4"/>
    <w:rsid w:val="009D3AEA"/>
    <w:rsid w:val="009D3E8D"/>
    <w:rsid w:val="009D45FA"/>
    <w:rsid w:val="009D64D1"/>
    <w:rsid w:val="009D64D9"/>
    <w:rsid w:val="009D6D64"/>
    <w:rsid w:val="009D7885"/>
    <w:rsid w:val="009E04A3"/>
    <w:rsid w:val="009E1793"/>
    <w:rsid w:val="009E21B0"/>
    <w:rsid w:val="009E36CD"/>
    <w:rsid w:val="009E510B"/>
    <w:rsid w:val="009E58AC"/>
    <w:rsid w:val="009E5D48"/>
    <w:rsid w:val="009E70C1"/>
    <w:rsid w:val="009E7177"/>
    <w:rsid w:val="009F0EB0"/>
    <w:rsid w:val="009F1090"/>
    <w:rsid w:val="009F18E0"/>
    <w:rsid w:val="009F2C2B"/>
    <w:rsid w:val="009F3035"/>
    <w:rsid w:val="009F3089"/>
    <w:rsid w:val="009F35DF"/>
    <w:rsid w:val="009F3C6F"/>
    <w:rsid w:val="009F3CF9"/>
    <w:rsid w:val="009F3DA9"/>
    <w:rsid w:val="009F4195"/>
    <w:rsid w:val="009F4E29"/>
    <w:rsid w:val="00A00218"/>
    <w:rsid w:val="00A0035B"/>
    <w:rsid w:val="00A01261"/>
    <w:rsid w:val="00A0226B"/>
    <w:rsid w:val="00A040F6"/>
    <w:rsid w:val="00A060B3"/>
    <w:rsid w:val="00A06C70"/>
    <w:rsid w:val="00A06E10"/>
    <w:rsid w:val="00A07539"/>
    <w:rsid w:val="00A10CF5"/>
    <w:rsid w:val="00A119B4"/>
    <w:rsid w:val="00A119F1"/>
    <w:rsid w:val="00A11CDE"/>
    <w:rsid w:val="00A11E17"/>
    <w:rsid w:val="00A14996"/>
    <w:rsid w:val="00A16685"/>
    <w:rsid w:val="00A16C9B"/>
    <w:rsid w:val="00A17447"/>
    <w:rsid w:val="00A20571"/>
    <w:rsid w:val="00A2097F"/>
    <w:rsid w:val="00A209F6"/>
    <w:rsid w:val="00A20D1B"/>
    <w:rsid w:val="00A22776"/>
    <w:rsid w:val="00A22911"/>
    <w:rsid w:val="00A233F2"/>
    <w:rsid w:val="00A2480A"/>
    <w:rsid w:val="00A2559B"/>
    <w:rsid w:val="00A25D5F"/>
    <w:rsid w:val="00A30660"/>
    <w:rsid w:val="00A30E95"/>
    <w:rsid w:val="00A3121D"/>
    <w:rsid w:val="00A324F2"/>
    <w:rsid w:val="00A33860"/>
    <w:rsid w:val="00A3443C"/>
    <w:rsid w:val="00A34E49"/>
    <w:rsid w:val="00A34E9D"/>
    <w:rsid w:val="00A3560C"/>
    <w:rsid w:val="00A35C10"/>
    <w:rsid w:val="00A360C2"/>
    <w:rsid w:val="00A36F39"/>
    <w:rsid w:val="00A37526"/>
    <w:rsid w:val="00A4133A"/>
    <w:rsid w:val="00A419CE"/>
    <w:rsid w:val="00A423C3"/>
    <w:rsid w:val="00A429F2"/>
    <w:rsid w:val="00A4482B"/>
    <w:rsid w:val="00A44F75"/>
    <w:rsid w:val="00A451E5"/>
    <w:rsid w:val="00A45934"/>
    <w:rsid w:val="00A45F99"/>
    <w:rsid w:val="00A468B1"/>
    <w:rsid w:val="00A4692E"/>
    <w:rsid w:val="00A46C9C"/>
    <w:rsid w:val="00A46DEF"/>
    <w:rsid w:val="00A51B7C"/>
    <w:rsid w:val="00A524E5"/>
    <w:rsid w:val="00A52BC0"/>
    <w:rsid w:val="00A52EA8"/>
    <w:rsid w:val="00A55764"/>
    <w:rsid w:val="00A55823"/>
    <w:rsid w:val="00A559ED"/>
    <w:rsid w:val="00A55AB0"/>
    <w:rsid w:val="00A5642C"/>
    <w:rsid w:val="00A56B5A"/>
    <w:rsid w:val="00A56F16"/>
    <w:rsid w:val="00A57868"/>
    <w:rsid w:val="00A57CDB"/>
    <w:rsid w:val="00A6220E"/>
    <w:rsid w:val="00A62711"/>
    <w:rsid w:val="00A63167"/>
    <w:rsid w:val="00A66994"/>
    <w:rsid w:val="00A66BEC"/>
    <w:rsid w:val="00A67103"/>
    <w:rsid w:val="00A67F78"/>
    <w:rsid w:val="00A67FC5"/>
    <w:rsid w:val="00A719D1"/>
    <w:rsid w:val="00A73828"/>
    <w:rsid w:val="00A74590"/>
    <w:rsid w:val="00A75004"/>
    <w:rsid w:val="00A76BD3"/>
    <w:rsid w:val="00A80523"/>
    <w:rsid w:val="00A8105B"/>
    <w:rsid w:val="00A8196A"/>
    <w:rsid w:val="00A81A72"/>
    <w:rsid w:val="00A84EF6"/>
    <w:rsid w:val="00A85320"/>
    <w:rsid w:val="00A85322"/>
    <w:rsid w:val="00A862EE"/>
    <w:rsid w:val="00A86AE2"/>
    <w:rsid w:val="00A919D2"/>
    <w:rsid w:val="00A92C88"/>
    <w:rsid w:val="00A93193"/>
    <w:rsid w:val="00A94105"/>
    <w:rsid w:val="00A9414F"/>
    <w:rsid w:val="00A94444"/>
    <w:rsid w:val="00A944B7"/>
    <w:rsid w:val="00A965E6"/>
    <w:rsid w:val="00A96B95"/>
    <w:rsid w:val="00A975A4"/>
    <w:rsid w:val="00AA1568"/>
    <w:rsid w:val="00AA4229"/>
    <w:rsid w:val="00AA4C9B"/>
    <w:rsid w:val="00AA53FC"/>
    <w:rsid w:val="00AA57C2"/>
    <w:rsid w:val="00AA6372"/>
    <w:rsid w:val="00AB08DE"/>
    <w:rsid w:val="00AB1AAD"/>
    <w:rsid w:val="00AB356D"/>
    <w:rsid w:val="00AB3700"/>
    <w:rsid w:val="00AB47EB"/>
    <w:rsid w:val="00AB4C24"/>
    <w:rsid w:val="00AB4C79"/>
    <w:rsid w:val="00AB517A"/>
    <w:rsid w:val="00AB7198"/>
    <w:rsid w:val="00AC2EF2"/>
    <w:rsid w:val="00AC33D0"/>
    <w:rsid w:val="00AC41A8"/>
    <w:rsid w:val="00AC4D78"/>
    <w:rsid w:val="00AC4E44"/>
    <w:rsid w:val="00AC717C"/>
    <w:rsid w:val="00AC7CE7"/>
    <w:rsid w:val="00AD02E0"/>
    <w:rsid w:val="00AD0474"/>
    <w:rsid w:val="00AD0892"/>
    <w:rsid w:val="00AD0FC1"/>
    <w:rsid w:val="00AD1B16"/>
    <w:rsid w:val="00AD1CF2"/>
    <w:rsid w:val="00AD2C28"/>
    <w:rsid w:val="00AD308A"/>
    <w:rsid w:val="00AD4978"/>
    <w:rsid w:val="00AD5FD2"/>
    <w:rsid w:val="00AD677F"/>
    <w:rsid w:val="00AD69AC"/>
    <w:rsid w:val="00AD6C85"/>
    <w:rsid w:val="00AD6E0C"/>
    <w:rsid w:val="00AD71D3"/>
    <w:rsid w:val="00AD725A"/>
    <w:rsid w:val="00AD7672"/>
    <w:rsid w:val="00AE1A52"/>
    <w:rsid w:val="00AE2C4C"/>
    <w:rsid w:val="00AE2FC9"/>
    <w:rsid w:val="00AE3B29"/>
    <w:rsid w:val="00AE3EC8"/>
    <w:rsid w:val="00AE46D2"/>
    <w:rsid w:val="00AF16EF"/>
    <w:rsid w:val="00AF2A35"/>
    <w:rsid w:val="00AF39C0"/>
    <w:rsid w:val="00AF3F13"/>
    <w:rsid w:val="00AF62DF"/>
    <w:rsid w:val="00AF6471"/>
    <w:rsid w:val="00AF71DC"/>
    <w:rsid w:val="00B012FF"/>
    <w:rsid w:val="00B013A3"/>
    <w:rsid w:val="00B022B2"/>
    <w:rsid w:val="00B02D66"/>
    <w:rsid w:val="00B03368"/>
    <w:rsid w:val="00B039A4"/>
    <w:rsid w:val="00B0449D"/>
    <w:rsid w:val="00B063C0"/>
    <w:rsid w:val="00B069DE"/>
    <w:rsid w:val="00B10371"/>
    <w:rsid w:val="00B12463"/>
    <w:rsid w:val="00B12E31"/>
    <w:rsid w:val="00B12FFF"/>
    <w:rsid w:val="00B13932"/>
    <w:rsid w:val="00B140F9"/>
    <w:rsid w:val="00B1410C"/>
    <w:rsid w:val="00B144B8"/>
    <w:rsid w:val="00B14CA8"/>
    <w:rsid w:val="00B15B7B"/>
    <w:rsid w:val="00B215A7"/>
    <w:rsid w:val="00B21B23"/>
    <w:rsid w:val="00B22227"/>
    <w:rsid w:val="00B2229B"/>
    <w:rsid w:val="00B2262C"/>
    <w:rsid w:val="00B2447D"/>
    <w:rsid w:val="00B2654F"/>
    <w:rsid w:val="00B27D61"/>
    <w:rsid w:val="00B30BC0"/>
    <w:rsid w:val="00B315D7"/>
    <w:rsid w:val="00B3194A"/>
    <w:rsid w:val="00B355D6"/>
    <w:rsid w:val="00B35E1B"/>
    <w:rsid w:val="00B36D48"/>
    <w:rsid w:val="00B40133"/>
    <w:rsid w:val="00B41E7A"/>
    <w:rsid w:val="00B42AAB"/>
    <w:rsid w:val="00B434CF"/>
    <w:rsid w:val="00B43B1F"/>
    <w:rsid w:val="00B46ABF"/>
    <w:rsid w:val="00B47CAB"/>
    <w:rsid w:val="00B50021"/>
    <w:rsid w:val="00B50CF4"/>
    <w:rsid w:val="00B5154B"/>
    <w:rsid w:val="00B51806"/>
    <w:rsid w:val="00B52271"/>
    <w:rsid w:val="00B52435"/>
    <w:rsid w:val="00B5329A"/>
    <w:rsid w:val="00B53433"/>
    <w:rsid w:val="00B57358"/>
    <w:rsid w:val="00B57E89"/>
    <w:rsid w:val="00B600D9"/>
    <w:rsid w:val="00B603E6"/>
    <w:rsid w:val="00B62D9E"/>
    <w:rsid w:val="00B6394D"/>
    <w:rsid w:val="00B63FBA"/>
    <w:rsid w:val="00B6519A"/>
    <w:rsid w:val="00B663B8"/>
    <w:rsid w:val="00B669C4"/>
    <w:rsid w:val="00B66E0F"/>
    <w:rsid w:val="00B67014"/>
    <w:rsid w:val="00B71665"/>
    <w:rsid w:val="00B71C0B"/>
    <w:rsid w:val="00B72332"/>
    <w:rsid w:val="00B72446"/>
    <w:rsid w:val="00B74947"/>
    <w:rsid w:val="00B7591E"/>
    <w:rsid w:val="00B75991"/>
    <w:rsid w:val="00B76838"/>
    <w:rsid w:val="00B77D13"/>
    <w:rsid w:val="00B801BF"/>
    <w:rsid w:val="00B810E2"/>
    <w:rsid w:val="00B81BD0"/>
    <w:rsid w:val="00B82794"/>
    <w:rsid w:val="00B82B9C"/>
    <w:rsid w:val="00B82F96"/>
    <w:rsid w:val="00B84CCB"/>
    <w:rsid w:val="00B862AF"/>
    <w:rsid w:val="00B86637"/>
    <w:rsid w:val="00B87E79"/>
    <w:rsid w:val="00B90D97"/>
    <w:rsid w:val="00B91241"/>
    <w:rsid w:val="00B92746"/>
    <w:rsid w:val="00B9298C"/>
    <w:rsid w:val="00B92D47"/>
    <w:rsid w:val="00B96894"/>
    <w:rsid w:val="00BA06C1"/>
    <w:rsid w:val="00BA0B65"/>
    <w:rsid w:val="00BA1E04"/>
    <w:rsid w:val="00BA1F78"/>
    <w:rsid w:val="00BA54D0"/>
    <w:rsid w:val="00BA6C18"/>
    <w:rsid w:val="00BA6F69"/>
    <w:rsid w:val="00BA6FEF"/>
    <w:rsid w:val="00BB058C"/>
    <w:rsid w:val="00BB24C2"/>
    <w:rsid w:val="00BB30FF"/>
    <w:rsid w:val="00BB360B"/>
    <w:rsid w:val="00BB40F6"/>
    <w:rsid w:val="00BB573E"/>
    <w:rsid w:val="00BB5FE7"/>
    <w:rsid w:val="00BB60B2"/>
    <w:rsid w:val="00BB68A6"/>
    <w:rsid w:val="00BB6C30"/>
    <w:rsid w:val="00BB785F"/>
    <w:rsid w:val="00BB7878"/>
    <w:rsid w:val="00BB7D3F"/>
    <w:rsid w:val="00BB7F73"/>
    <w:rsid w:val="00BC05DD"/>
    <w:rsid w:val="00BC1BBF"/>
    <w:rsid w:val="00BC2E39"/>
    <w:rsid w:val="00BC3FB6"/>
    <w:rsid w:val="00BC4BB9"/>
    <w:rsid w:val="00BC5779"/>
    <w:rsid w:val="00BC6076"/>
    <w:rsid w:val="00BC65B1"/>
    <w:rsid w:val="00BC6DA1"/>
    <w:rsid w:val="00BC6E86"/>
    <w:rsid w:val="00BC73F7"/>
    <w:rsid w:val="00BC76FE"/>
    <w:rsid w:val="00BD0C9A"/>
    <w:rsid w:val="00BD18F0"/>
    <w:rsid w:val="00BD30D2"/>
    <w:rsid w:val="00BE1624"/>
    <w:rsid w:val="00BE1B5C"/>
    <w:rsid w:val="00BE20AC"/>
    <w:rsid w:val="00BE2E1E"/>
    <w:rsid w:val="00BE3C50"/>
    <w:rsid w:val="00BE3FF4"/>
    <w:rsid w:val="00BE47BD"/>
    <w:rsid w:val="00BE5B52"/>
    <w:rsid w:val="00BE6311"/>
    <w:rsid w:val="00BE6E6D"/>
    <w:rsid w:val="00BF0ACC"/>
    <w:rsid w:val="00BF0C5D"/>
    <w:rsid w:val="00BF1440"/>
    <w:rsid w:val="00BF1786"/>
    <w:rsid w:val="00BF1A0B"/>
    <w:rsid w:val="00BF1F70"/>
    <w:rsid w:val="00BF2B93"/>
    <w:rsid w:val="00BF301B"/>
    <w:rsid w:val="00BF43FA"/>
    <w:rsid w:val="00BF6AAD"/>
    <w:rsid w:val="00BF7150"/>
    <w:rsid w:val="00BF72CE"/>
    <w:rsid w:val="00C00FED"/>
    <w:rsid w:val="00C0135E"/>
    <w:rsid w:val="00C01F4F"/>
    <w:rsid w:val="00C025D3"/>
    <w:rsid w:val="00C04FE0"/>
    <w:rsid w:val="00C07170"/>
    <w:rsid w:val="00C077DA"/>
    <w:rsid w:val="00C0788A"/>
    <w:rsid w:val="00C07EBB"/>
    <w:rsid w:val="00C11264"/>
    <w:rsid w:val="00C11266"/>
    <w:rsid w:val="00C123A0"/>
    <w:rsid w:val="00C12BC9"/>
    <w:rsid w:val="00C131FA"/>
    <w:rsid w:val="00C13F58"/>
    <w:rsid w:val="00C14571"/>
    <w:rsid w:val="00C1491F"/>
    <w:rsid w:val="00C157D1"/>
    <w:rsid w:val="00C15E22"/>
    <w:rsid w:val="00C16FE2"/>
    <w:rsid w:val="00C20050"/>
    <w:rsid w:val="00C20226"/>
    <w:rsid w:val="00C20BFE"/>
    <w:rsid w:val="00C20E5A"/>
    <w:rsid w:val="00C22E55"/>
    <w:rsid w:val="00C23729"/>
    <w:rsid w:val="00C25367"/>
    <w:rsid w:val="00C2573E"/>
    <w:rsid w:val="00C25BE3"/>
    <w:rsid w:val="00C26844"/>
    <w:rsid w:val="00C2734A"/>
    <w:rsid w:val="00C309B8"/>
    <w:rsid w:val="00C31D0E"/>
    <w:rsid w:val="00C321B7"/>
    <w:rsid w:val="00C32DED"/>
    <w:rsid w:val="00C34184"/>
    <w:rsid w:val="00C34787"/>
    <w:rsid w:val="00C34AC1"/>
    <w:rsid w:val="00C35CAA"/>
    <w:rsid w:val="00C37756"/>
    <w:rsid w:val="00C37AF3"/>
    <w:rsid w:val="00C37B69"/>
    <w:rsid w:val="00C40651"/>
    <w:rsid w:val="00C40CFD"/>
    <w:rsid w:val="00C41BAB"/>
    <w:rsid w:val="00C41D78"/>
    <w:rsid w:val="00C41E50"/>
    <w:rsid w:val="00C42122"/>
    <w:rsid w:val="00C427B1"/>
    <w:rsid w:val="00C42838"/>
    <w:rsid w:val="00C43371"/>
    <w:rsid w:val="00C43F2D"/>
    <w:rsid w:val="00C45B6B"/>
    <w:rsid w:val="00C4601D"/>
    <w:rsid w:val="00C46235"/>
    <w:rsid w:val="00C47275"/>
    <w:rsid w:val="00C479E2"/>
    <w:rsid w:val="00C50494"/>
    <w:rsid w:val="00C51BC7"/>
    <w:rsid w:val="00C53291"/>
    <w:rsid w:val="00C535A6"/>
    <w:rsid w:val="00C5399A"/>
    <w:rsid w:val="00C53A70"/>
    <w:rsid w:val="00C549E0"/>
    <w:rsid w:val="00C565D2"/>
    <w:rsid w:val="00C56A3A"/>
    <w:rsid w:val="00C576EA"/>
    <w:rsid w:val="00C57CD2"/>
    <w:rsid w:val="00C60188"/>
    <w:rsid w:val="00C603DE"/>
    <w:rsid w:val="00C6164F"/>
    <w:rsid w:val="00C62171"/>
    <w:rsid w:val="00C6348A"/>
    <w:rsid w:val="00C63916"/>
    <w:rsid w:val="00C63FC1"/>
    <w:rsid w:val="00C6406C"/>
    <w:rsid w:val="00C64636"/>
    <w:rsid w:val="00C646AC"/>
    <w:rsid w:val="00C652CE"/>
    <w:rsid w:val="00C6630B"/>
    <w:rsid w:val="00C663B6"/>
    <w:rsid w:val="00C701AF"/>
    <w:rsid w:val="00C7054F"/>
    <w:rsid w:val="00C70D2D"/>
    <w:rsid w:val="00C72651"/>
    <w:rsid w:val="00C72C89"/>
    <w:rsid w:val="00C72E70"/>
    <w:rsid w:val="00C73B10"/>
    <w:rsid w:val="00C74B05"/>
    <w:rsid w:val="00C75F0D"/>
    <w:rsid w:val="00C75F73"/>
    <w:rsid w:val="00C80520"/>
    <w:rsid w:val="00C80EF3"/>
    <w:rsid w:val="00C81007"/>
    <w:rsid w:val="00C83BDD"/>
    <w:rsid w:val="00C84A12"/>
    <w:rsid w:val="00C85EA2"/>
    <w:rsid w:val="00C86D66"/>
    <w:rsid w:val="00C86FAC"/>
    <w:rsid w:val="00C87E02"/>
    <w:rsid w:val="00C90367"/>
    <w:rsid w:val="00C907BB"/>
    <w:rsid w:val="00C909BF"/>
    <w:rsid w:val="00C9152B"/>
    <w:rsid w:val="00C917D0"/>
    <w:rsid w:val="00C9246F"/>
    <w:rsid w:val="00C9290A"/>
    <w:rsid w:val="00C93D87"/>
    <w:rsid w:val="00C93DA1"/>
    <w:rsid w:val="00C94C39"/>
    <w:rsid w:val="00C9626E"/>
    <w:rsid w:val="00C97975"/>
    <w:rsid w:val="00CA211C"/>
    <w:rsid w:val="00CA2C46"/>
    <w:rsid w:val="00CA2DC5"/>
    <w:rsid w:val="00CA44ED"/>
    <w:rsid w:val="00CA6E7C"/>
    <w:rsid w:val="00CA7C68"/>
    <w:rsid w:val="00CA7C77"/>
    <w:rsid w:val="00CB0013"/>
    <w:rsid w:val="00CB04AC"/>
    <w:rsid w:val="00CB0D35"/>
    <w:rsid w:val="00CB1EA7"/>
    <w:rsid w:val="00CB2C84"/>
    <w:rsid w:val="00CB311F"/>
    <w:rsid w:val="00CB407D"/>
    <w:rsid w:val="00CB4560"/>
    <w:rsid w:val="00CB47DE"/>
    <w:rsid w:val="00CB7966"/>
    <w:rsid w:val="00CC16C7"/>
    <w:rsid w:val="00CC199B"/>
    <w:rsid w:val="00CC2AAE"/>
    <w:rsid w:val="00CC51BF"/>
    <w:rsid w:val="00CC53C4"/>
    <w:rsid w:val="00CC577F"/>
    <w:rsid w:val="00CC67DD"/>
    <w:rsid w:val="00CC6A54"/>
    <w:rsid w:val="00CD019B"/>
    <w:rsid w:val="00CD1303"/>
    <w:rsid w:val="00CD16E6"/>
    <w:rsid w:val="00CD1F78"/>
    <w:rsid w:val="00CD3371"/>
    <w:rsid w:val="00CD4B5D"/>
    <w:rsid w:val="00CD68CA"/>
    <w:rsid w:val="00CD699F"/>
    <w:rsid w:val="00CD707C"/>
    <w:rsid w:val="00CD769F"/>
    <w:rsid w:val="00CE0770"/>
    <w:rsid w:val="00CE0D08"/>
    <w:rsid w:val="00CE1254"/>
    <w:rsid w:val="00CE3C0D"/>
    <w:rsid w:val="00CE518B"/>
    <w:rsid w:val="00CE69B5"/>
    <w:rsid w:val="00CE6CFC"/>
    <w:rsid w:val="00CE7444"/>
    <w:rsid w:val="00CF0291"/>
    <w:rsid w:val="00CF0CC9"/>
    <w:rsid w:val="00CF0D75"/>
    <w:rsid w:val="00CF162C"/>
    <w:rsid w:val="00CF1DF9"/>
    <w:rsid w:val="00CF4E1E"/>
    <w:rsid w:val="00CF586D"/>
    <w:rsid w:val="00CF5FA3"/>
    <w:rsid w:val="00D004D6"/>
    <w:rsid w:val="00D0057C"/>
    <w:rsid w:val="00D00D24"/>
    <w:rsid w:val="00D0131E"/>
    <w:rsid w:val="00D01C27"/>
    <w:rsid w:val="00D02C61"/>
    <w:rsid w:val="00D0344E"/>
    <w:rsid w:val="00D0409E"/>
    <w:rsid w:val="00D04EE0"/>
    <w:rsid w:val="00D0655B"/>
    <w:rsid w:val="00D06D66"/>
    <w:rsid w:val="00D0711F"/>
    <w:rsid w:val="00D10F1E"/>
    <w:rsid w:val="00D134CD"/>
    <w:rsid w:val="00D14D13"/>
    <w:rsid w:val="00D15C59"/>
    <w:rsid w:val="00D17067"/>
    <w:rsid w:val="00D17EA4"/>
    <w:rsid w:val="00D20419"/>
    <w:rsid w:val="00D20CDA"/>
    <w:rsid w:val="00D21899"/>
    <w:rsid w:val="00D222E7"/>
    <w:rsid w:val="00D2271A"/>
    <w:rsid w:val="00D227CE"/>
    <w:rsid w:val="00D253F6"/>
    <w:rsid w:val="00D26B12"/>
    <w:rsid w:val="00D26EB8"/>
    <w:rsid w:val="00D27200"/>
    <w:rsid w:val="00D31577"/>
    <w:rsid w:val="00D31748"/>
    <w:rsid w:val="00D3212B"/>
    <w:rsid w:val="00D32131"/>
    <w:rsid w:val="00D322B0"/>
    <w:rsid w:val="00D32FC1"/>
    <w:rsid w:val="00D333BF"/>
    <w:rsid w:val="00D33EDE"/>
    <w:rsid w:val="00D3402D"/>
    <w:rsid w:val="00D34181"/>
    <w:rsid w:val="00D34827"/>
    <w:rsid w:val="00D35983"/>
    <w:rsid w:val="00D3631D"/>
    <w:rsid w:val="00D36486"/>
    <w:rsid w:val="00D4058D"/>
    <w:rsid w:val="00D40A23"/>
    <w:rsid w:val="00D41AE3"/>
    <w:rsid w:val="00D4422E"/>
    <w:rsid w:val="00D44ED9"/>
    <w:rsid w:val="00D45256"/>
    <w:rsid w:val="00D4747F"/>
    <w:rsid w:val="00D47D6A"/>
    <w:rsid w:val="00D501DA"/>
    <w:rsid w:val="00D506A3"/>
    <w:rsid w:val="00D50FD4"/>
    <w:rsid w:val="00D51C00"/>
    <w:rsid w:val="00D51E0A"/>
    <w:rsid w:val="00D527AF"/>
    <w:rsid w:val="00D52AB9"/>
    <w:rsid w:val="00D5378F"/>
    <w:rsid w:val="00D542E5"/>
    <w:rsid w:val="00D55775"/>
    <w:rsid w:val="00D564C8"/>
    <w:rsid w:val="00D5714E"/>
    <w:rsid w:val="00D57413"/>
    <w:rsid w:val="00D60D35"/>
    <w:rsid w:val="00D61692"/>
    <w:rsid w:val="00D61837"/>
    <w:rsid w:val="00D64F6E"/>
    <w:rsid w:val="00D64FD3"/>
    <w:rsid w:val="00D66F3C"/>
    <w:rsid w:val="00D67D95"/>
    <w:rsid w:val="00D710FD"/>
    <w:rsid w:val="00D71690"/>
    <w:rsid w:val="00D719A0"/>
    <w:rsid w:val="00D7326E"/>
    <w:rsid w:val="00D733AC"/>
    <w:rsid w:val="00D73AA8"/>
    <w:rsid w:val="00D74BF0"/>
    <w:rsid w:val="00D75F50"/>
    <w:rsid w:val="00D76A94"/>
    <w:rsid w:val="00D7718A"/>
    <w:rsid w:val="00D77F3E"/>
    <w:rsid w:val="00D800B5"/>
    <w:rsid w:val="00D803C1"/>
    <w:rsid w:val="00D834E8"/>
    <w:rsid w:val="00D848EE"/>
    <w:rsid w:val="00D84D2A"/>
    <w:rsid w:val="00D85C94"/>
    <w:rsid w:val="00D85F1E"/>
    <w:rsid w:val="00D8651E"/>
    <w:rsid w:val="00D90D26"/>
    <w:rsid w:val="00D91904"/>
    <w:rsid w:val="00D928AF"/>
    <w:rsid w:val="00D92C91"/>
    <w:rsid w:val="00D94466"/>
    <w:rsid w:val="00D96B77"/>
    <w:rsid w:val="00D96CD3"/>
    <w:rsid w:val="00DA1A1F"/>
    <w:rsid w:val="00DA2655"/>
    <w:rsid w:val="00DA2F0A"/>
    <w:rsid w:val="00DA35C2"/>
    <w:rsid w:val="00DA372E"/>
    <w:rsid w:val="00DA3BC4"/>
    <w:rsid w:val="00DA6330"/>
    <w:rsid w:val="00DB0D61"/>
    <w:rsid w:val="00DB2EE2"/>
    <w:rsid w:val="00DB35E7"/>
    <w:rsid w:val="00DB3E5E"/>
    <w:rsid w:val="00DB3FE3"/>
    <w:rsid w:val="00DB4A28"/>
    <w:rsid w:val="00DB51B0"/>
    <w:rsid w:val="00DB55E7"/>
    <w:rsid w:val="00DB561E"/>
    <w:rsid w:val="00DB67E3"/>
    <w:rsid w:val="00DB6B8F"/>
    <w:rsid w:val="00DB6DB6"/>
    <w:rsid w:val="00DB721D"/>
    <w:rsid w:val="00DB7C5D"/>
    <w:rsid w:val="00DC006E"/>
    <w:rsid w:val="00DC0241"/>
    <w:rsid w:val="00DC04AD"/>
    <w:rsid w:val="00DC1184"/>
    <w:rsid w:val="00DC19DD"/>
    <w:rsid w:val="00DC2D45"/>
    <w:rsid w:val="00DC3690"/>
    <w:rsid w:val="00DC47F3"/>
    <w:rsid w:val="00DC48C0"/>
    <w:rsid w:val="00DC4AD1"/>
    <w:rsid w:val="00DC4EE0"/>
    <w:rsid w:val="00DC6634"/>
    <w:rsid w:val="00DC7E28"/>
    <w:rsid w:val="00DD0300"/>
    <w:rsid w:val="00DD1F57"/>
    <w:rsid w:val="00DD230D"/>
    <w:rsid w:val="00DD2925"/>
    <w:rsid w:val="00DD2C83"/>
    <w:rsid w:val="00DD351E"/>
    <w:rsid w:val="00DD5A8F"/>
    <w:rsid w:val="00DD6AB8"/>
    <w:rsid w:val="00DD6B2D"/>
    <w:rsid w:val="00DD756A"/>
    <w:rsid w:val="00DD75DD"/>
    <w:rsid w:val="00DE0595"/>
    <w:rsid w:val="00DE1A7C"/>
    <w:rsid w:val="00DE2A1F"/>
    <w:rsid w:val="00DE2C31"/>
    <w:rsid w:val="00DE4794"/>
    <w:rsid w:val="00DE47FC"/>
    <w:rsid w:val="00DE495F"/>
    <w:rsid w:val="00DE63E8"/>
    <w:rsid w:val="00DE7609"/>
    <w:rsid w:val="00DF1C86"/>
    <w:rsid w:val="00DF1ED1"/>
    <w:rsid w:val="00DF228E"/>
    <w:rsid w:val="00DF2695"/>
    <w:rsid w:val="00DF27B1"/>
    <w:rsid w:val="00DF2AA3"/>
    <w:rsid w:val="00DF2C31"/>
    <w:rsid w:val="00DF4F9D"/>
    <w:rsid w:val="00DF6B9D"/>
    <w:rsid w:val="00E00EA3"/>
    <w:rsid w:val="00E00EAA"/>
    <w:rsid w:val="00E01B04"/>
    <w:rsid w:val="00E01F45"/>
    <w:rsid w:val="00E0269D"/>
    <w:rsid w:val="00E02E82"/>
    <w:rsid w:val="00E03367"/>
    <w:rsid w:val="00E04E50"/>
    <w:rsid w:val="00E0598B"/>
    <w:rsid w:val="00E05C49"/>
    <w:rsid w:val="00E06855"/>
    <w:rsid w:val="00E0706D"/>
    <w:rsid w:val="00E074E4"/>
    <w:rsid w:val="00E07C08"/>
    <w:rsid w:val="00E139E6"/>
    <w:rsid w:val="00E143F2"/>
    <w:rsid w:val="00E14901"/>
    <w:rsid w:val="00E157D0"/>
    <w:rsid w:val="00E16763"/>
    <w:rsid w:val="00E20800"/>
    <w:rsid w:val="00E2133B"/>
    <w:rsid w:val="00E22571"/>
    <w:rsid w:val="00E2307A"/>
    <w:rsid w:val="00E23374"/>
    <w:rsid w:val="00E2362B"/>
    <w:rsid w:val="00E237D9"/>
    <w:rsid w:val="00E249A9"/>
    <w:rsid w:val="00E25472"/>
    <w:rsid w:val="00E27F19"/>
    <w:rsid w:val="00E30184"/>
    <w:rsid w:val="00E3083C"/>
    <w:rsid w:val="00E30F05"/>
    <w:rsid w:val="00E318AD"/>
    <w:rsid w:val="00E32169"/>
    <w:rsid w:val="00E328B1"/>
    <w:rsid w:val="00E34692"/>
    <w:rsid w:val="00E34A15"/>
    <w:rsid w:val="00E35767"/>
    <w:rsid w:val="00E35972"/>
    <w:rsid w:val="00E35BCC"/>
    <w:rsid w:val="00E36E18"/>
    <w:rsid w:val="00E37149"/>
    <w:rsid w:val="00E37A47"/>
    <w:rsid w:val="00E37E87"/>
    <w:rsid w:val="00E40915"/>
    <w:rsid w:val="00E41355"/>
    <w:rsid w:val="00E42290"/>
    <w:rsid w:val="00E43D7A"/>
    <w:rsid w:val="00E44BCC"/>
    <w:rsid w:val="00E453FC"/>
    <w:rsid w:val="00E456CD"/>
    <w:rsid w:val="00E4592D"/>
    <w:rsid w:val="00E4745C"/>
    <w:rsid w:val="00E474C1"/>
    <w:rsid w:val="00E50BCF"/>
    <w:rsid w:val="00E51282"/>
    <w:rsid w:val="00E523EF"/>
    <w:rsid w:val="00E527EE"/>
    <w:rsid w:val="00E53719"/>
    <w:rsid w:val="00E5473E"/>
    <w:rsid w:val="00E54993"/>
    <w:rsid w:val="00E54D5C"/>
    <w:rsid w:val="00E54F87"/>
    <w:rsid w:val="00E565C1"/>
    <w:rsid w:val="00E56648"/>
    <w:rsid w:val="00E56972"/>
    <w:rsid w:val="00E56E69"/>
    <w:rsid w:val="00E57610"/>
    <w:rsid w:val="00E57695"/>
    <w:rsid w:val="00E57725"/>
    <w:rsid w:val="00E57C4B"/>
    <w:rsid w:val="00E610DC"/>
    <w:rsid w:val="00E64AA5"/>
    <w:rsid w:val="00E64E93"/>
    <w:rsid w:val="00E660EE"/>
    <w:rsid w:val="00E72541"/>
    <w:rsid w:val="00E72808"/>
    <w:rsid w:val="00E72A79"/>
    <w:rsid w:val="00E72F93"/>
    <w:rsid w:val="00E734B7"/>
    <w:rsid w:val="00E73E27"/>
    <w:rsid w:val="00E75796"/>
    <w:rsid w:val="00E802C5"/>
    <w:rsid w:val="00E8093F"/>
    <w:rsid w:val="00E82901"/>
    <w:rsid w:val="00E82AAA"/>
    <w:rsid w:val="00E82C42"/>
    <w:rsid w:val="00E83DA8"/>
    <w:rsid w:val="00E83E92"/>
    <w:rsid w:val="00E842DE"/>
    <w:rsid w:val="00E84A41"/>
    <w:rsid w:val="00E8523D"/>
    <w:rsid w:val="00E85243"/>
    <w:rsid w:val="00E85E7A"/>
    <w:rsid w:val="00E860CB"/>
    <w:rsid w:val="00E87BA7"/>
    <w:rsid w:val="00E9031B"/>
    <w:rsid w:val="00E90B13"/>
    <w:rsid w:val="00E9108B"/>
    <w:rsid w:val="00E91311"/>
    <w:rsid w:val="00E91ED3"/>
    <w:rsid w:val="00E92380"/>
    <w:rsid w:val="00E95A95"/>
    <w:rsid w:val="00EA0BE5"/>
    <w:rsid w:val="00EA2FB5"/>
    <w:rsid w:val="00EA43D5"/>
    <w:rsid w:val="00EA5738"/>
    <w:rsid w:val="00EA60A7"/>
    <w:rsid w:val="00EB250E"/>
    <w:rsid w:val="00EB32D7"/>
    <w:rsid w:val="00EB3658"/>
    <w:rsid w:val="00EB39B5"/>
    <w:rsid w:val="00EB39E1"/>
    <w:rsid w:val="00EB405A"/>
    <w:rsid w:val="00EB54F9"/>
    <w:rsid w:val="00EB568C"/>
    <w:rsid w:val="00EB6068"/>
    <w:rsid w:val="00EB64B9"/>
    <w:rsid w:val="00EB7CD3"/>
    <w:rsid w:val="00EC0C1D"/>
    <w:rsid w:val="00EC0D33"/>
    <w:rsid w:val="00EC1003"/>
    <w:rsid w:val="00EC3691"/>
    <w:rsid w:val="00EC3B14"/>
    <w:rsid w:val="00EC4680"/>
    <w:rsid w:val="00EC6854"/>
    <w:rsid w:val="00EC70BD"/>
    <w:rsid w:val="00ED05BC"/>
    <w:rsid w:val="00ED0E4C"/>
    <w:rsid w:val="00ED21BB"/>
    <w:rsid w:val="00ED2422"/>
    <w:rsid w:val="00ED2988"/>
    <w:rsid w:val="00ED3980"/>
    <w:rsid w:val="00ED3FE9"/>
    <w:rsid w:val="00ED4AD3"/>
    <w:rsid w:val="00ED4E43"/>
    <w:rsid w:val="00ED66A9"/>
    <w:rsid w:val="00EE0167"/>
    <w:rsid w:val="00EE0860"/>
    <w:rsid w:val="00EE096D"/>
    <w:rsid w:val="00EE0F98"/>
    <w:rsid w:val="00EE2019"/>
    <w:rsid w:val="00EE219A"/>
    <w:rsid w:val="00EE2426"/>
    <w:rsid w:val="00EE337A"/>
    <w:rsid w:val="00EE4F3A"/>
    <w:rsid w:val="00EE531C"/>
    <w:rsid w:val="00EE5F9C"/>
    <w:rsid w:val="00EE725A"/>
    <w:rsid w:val="00EE7773"/>
    <w:rsid w:val="00EF0EF4"/>
    <w:rsid w:val="00EF1511"/>
    <w:rsid w:val="00EF3CD5"/>
    <w:rsid w:val="00EF4511"/>
    <w:rsid w:val="00EF490F"/>
    <w:rsid w:val="00EF5EA4"/>
    <w:rsid w:val="00EF668F"/>
    <w:rsid w:val="00EF6766"/>
    <w:rsid w:val="00EF6D1A"/>
    <w:rsid w:val="00EF737D"/>
    <w:rsid w:val="00F00B04"/>
    <w:rsid w:val="00F01200"/>
    <w:rsid w:val="00F02C33"/>
    <w:rsid w:val="00F032DD"/>
    <w:rsid w:val="00F03604"/>
    <w:rsid w:val="00F03B06"/>
    <w:rsid w:val="00F03CCF"/>
    <w:rsid w:val="00F04386"/>
    <w:rsid w:val="00F048C2"/>
    <w:rsid w:val="00F04AF5"/>
    <w:rsid w:val="00F051B2"/>
    <w:rsid w:val="00F053FC"/>
    <w:rsid w:val="00F06157"/>
    <w:rsid w:val="00F064DC"/>
    <w:rsid w:val="00F076BD"/>
    <w:rsid w:val="00F10750"/>
    <w:rsid w:val="00F10EBC"/>
    <w:rsid w:val="00F1178A"/>
    <w:rsid w:val="00F11F0D"/>
    <w:rsid w:val="00F1270D"/>
    <w:rsid w:val="00F13EE1"/>
    <w:rsid w:val="00F176FB"/>
    <w:rsid w:val="00F17884"/>
    <w:rsid w:val="00F17E2E"/>
    <w:rsid w:val="00F20B19"/>
    <w:rsid w:val="00F21847"/>
    <w:rsid w:val="00F21D60"/>
    <w:rsid w:val="00F22301"/>
    <w:rsid w:val="00F231BA"/>
    <w:rsid w:val="00F2366D"/>
    <w:rsid w:val="00F24232"/>
    <w:rsid w:val="00F24992"/>
    <w:rsid w:val="00F25012"/>
    <w:rsid w:val="00F2525E"/>
    <w:rsid w:val="00F26EE8"/>
    <w:rsid w:val="00F27924"/>
    <w:rsid w:val="00F3219F"/>
    <w:rsid w:val="00F32946"/>
    <w:rsid w:val="00F32E78"/>
    <w:rsid w:val="00F34299"/>
    <w:rsid w:val="00F36375"/>
    <w:rsid w:val="00F37E59"/>
    <w:rsid w:val="00F37F75"/>
    <w:rsid w:val="00F40003"/>
    <w:rsid w:val="00F409E5"/>
    <w:rsid w:val="00F4195C"/>
    <w:rsid w:val="00F41ABF"/>
    <w:rsid w:val="00F43051"/>
    <w:rsid w:val="00F44108"/>
    <w:rsid w:val="00F500C1"/>
    <w:rsid w:val="00F52271"/>
    <w:rsid w:val="00F52987"/>
    <w:rsid w:val="00F54342"/>
    <w:rsid w:val="00F54BF8"/>
    <w:rsid w:val="00F550CB"/>
    <w:rsid w:val="00F558A7"/>
    <w:rsid w:val="00F5720E"/>
    <w:rsid w:val="00F5737B"/>
    <w:rsid w:val="00F61509"/>
    <w:rsid w:val="00F619FF"/>
    <w:rsid w:val="00F6272A"/>
    <w:rsid w:val="00F6365F"/>
    <w:rsid w:val="00F637D8"/>
    <w:rsid w:val="00F65299"/>
    <w:rsid w:val="00F653CD"/>
    <w:rsid w:val="00F65D2D"/>
    <w:rsid w:val="00F6620F"/>
    <w:rsid w:val="00F664A5"/>
    <w:rsid w:val="00F6696A"/>
    <w:rsid w:val="00F67252"/>
    <w:rsid w:val="00F67463"/>
    <w:rsid w:val="00F70CC9"/>
    <w:rsid w:val="00F72EE3"/>
    <w:rsid w:val="00F737D1"/>
    <w:rsid w:val="00F73FC6"/>
    <w:rsid w:val="00F74097"/>
    <w:rsid w:val="00F743B0"/>
    <w:rsid w:val="00F80192"/>
    <w:rsid w:val="00F8107E"/>
    <w:rsid w:val="00F81AF7"/>
    <w:rsid w:val="00F81F17"/>
    <w:rsid w:val="00F8300B"/>
    <w:rsid w:val="00F838C5"/>
    <w:rsid w:val="00F83B3C"/>
    <w:rsid w:val="00F8680A"/>
    <w:rsid w:val="00F911BE"/>
    <w:rsid w:val="00F9185B"/>
    <w:rsid w:val="00F92862"/>
    <w:rsid w:val="00F92BD8"/>
    <w:rsid w:val="00F92EB4"/>
    <w:rsid w:val="00F93375"/>
    <w:rsid w:val="00F93E6F"/>
    <w:rsid w:val="00F943E3"/>
    <w:rsid w:val="00F94653"/>
    <w:rsid w:val="00F967FC"/>
    <w:rsid w:val="00F96C7B"/>
    <w:rsid w:val="00FA053C"/>
    <w:rsid w:val="00FA0AE5"/>
    <w:rsid w:val="00FA1BE2"/>
    <w:rsid w:val="00FA2AA4"/>
    <w:rsid w:val="00FA3278"/>
    <w:rsid w:val="00FA3780"/>
    <w:rsid w:val="00FA3E67"/>
    <w:rsid w:val="00FB03D2"/>
    <w:rsid w:val="00FB0828"/>
    <w:rsid w:val="00FB33D1"/>
    <w:rsid w:val="00FB495F"/>
    <w:rsid w:val="00FB54D1"/>
    <w:rsid w:val="00FB55B2"/>
    <w:rsid w:val="00FB6971"/>
    <w:rsid w:val="00FB6B92"/>
    <w:rsid w:val="00FB73F7"/>
    <w:rsid w:val="00FC1555"/>
    <w:rsid w:val="00FC1EDA"/>
    <w:rsid w:val="00FC2E1D"/>
    <w:rsid w:val="00FC39C8"/>
    <w:rsid w:val="00FC3AFD"/>
    <w:rsid w:val="00FC4259"/>
    <w:rsid w:val="00FD004E"/>
    <w:rsid w:val="00FD0116"/>
    <w:rsid w:val="00FD0297"/>
    <w:rsid w:val="00FD06B2"/>
    <w:rsid w:val="00FD0AB9"/>
    <w:rsid w:val="00FD2C51"/>
    <w:rsid w:val="00FD2F04"/>
    <w:rsid w:val="00FD41E4"/>
    <w:rsid w:val="00FD4282"/>
    <w:rsid w:val="00FD6D73"/>
    <w:rsid w:val="00FE0243"/>
    <w:rsid w:val="00FE097A"/>
    <w:rsid w:val="00FE138A"/>
    <w:rsid w:val="00FE28DC"/>
    <w:rsid w:val="00FE3405"/>
    <w:rsid w:val="00FE4291"/>
    <w:rsid w:val="00FE4AB0"/>
    <w:rsid w:val="00FE4F9D"/>
    <w:rsid w:val="00FE5A47"/>
    <w:rsid w:val="00FE5CB3"/>
    <w:rsid w:val="00FE6153"/>
    <w:rsid w:val="00FE641C"/>
    <w:rsid w:val="00FE6A48"/>
    <w:rsid w:val="00FE7290"/>
    <w:rsid w:val="00FE76FA"/>
    <w:rsid w:val="00FF0188"/>
    <w:rsid w:val="00FF0DA4"/>
    <w:rsid w:val="00FF13A2"/>
    <w:rsid w:val="00FF1463"/>
    <w:rsid w:val="00FF2BA5"/>
    <w:rsid w:val="00FF2D0B"/>
    <w:rsid w:val="00FF390E"/>
    <w:rsid w:val="00FF3DED"/>
    <w:rsid w:val="00FF5BDC"/>
    <w:rsid w:val="00FF5D0A"/>
    <w:rsid w:val="00FF614F"/>
    <w:rsid w:val="00FF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99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b/>
      <w:bCs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9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  <w:style w:type="paragraph" w:customStyle="1" w:styleId="xl230">
    <w:name w:val="xl230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31">
    <w:name w:val="xl231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32">
    <w:name w:val="xl23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3">
    <w:name w:val="xl233"/>
    <w:basedOn w:val="Normal"/>
    <w:rsid w:val="00842C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4">
    <w:name w:val="xl234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5">
    <w:name w:val="xl23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6">
    <w:name w:val="xl236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8"/>
      <w:szCs w:val="18"/>
      <w:lang w:val="sr-Latn-CS" w:eastAsia="sr-Latn-CS"/>
    </w:rPr>
  </w:style>
  <w:style w:type="paragraph" w:customStyle="1" w:styleId="xl237">
    <w:name w:val="xl237"/>
    <w:basedOn w:val="Normal"/>
    <w:rsid w:val="00842C5E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8">
    <w:name w:val="xl23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39">
    <w:name w:val="xl23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0">
    <w:name w:val="xl24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1">
    <w:name w:val="xl24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2">
    <w:name w:val="xl24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3">
    <w:name w:val="xl24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4">
    <w:name w:val="xl24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5">
    <w:name w:val="xl24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6">
    <w:name w:val="xl24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7">
    <w:name w:val="xl24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8">
    <w:name w:val="xl24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9">
    <w:name w:val="xl24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0">
    <w:name w:val="xl25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1">
    <w:name w:val="xl25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2">
    <w:name w:val="xl25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253">
    <w:name w:val="xl25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4">
    <w:name w:val="xl25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5">
    <w:name w:val="xl25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6">
    <w:name w:val="xl25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7">
    <w:name w:val="xl25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8">
    <w:name w:val="xl25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9">
    <w:name w:val="xl25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0">
    <w:name w:val="xl26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1">
    <w:name w:val="xl26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2">
    <w:name w:val="xl26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3">
    <w:name w:val="xl26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64">
    <w:name w:val="xl26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5">
    <w:name w:val="xl26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6">
    <w:name w:val="xl26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7">
    <w:name w:val="xl26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8">
    <w:name w:val="xl26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9">
    <w:name w:val="xl26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0">
    <w:name w:val="xl27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1">
    <w:name w:val="xl27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2">
    <w:name w:val="xl27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3">
    <w:name w:val="xl27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4">
    <w:name w:val="xl27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5">
    <w:name w:val="xl27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6">
    <w:name w:val="xl27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7">
    <w:name w:val="xl27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8">
    <w:name w:val="xl27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9">
    <w:name w:val="xl279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80">
    <w:name w:val="xl28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1">
    <w:name w:val="xl28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2">
    <w:name w:val="xl28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3">
    <w:name w:val="xl28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4">
    <w:name w:val="xl28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5">
    <w:name w:val="xl28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6">
    <w:name w:val="xl286"/>
    <w:basedOn w:val="Normal"/>
    <w:rsid w:val="00842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7">
    <w:name w:val="xl28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8">
    <w:name w:val="xl28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9">
    <w:name w:val="xl28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0">
    <w:name w:val="xl290"/>
    <w:basedOn w:val="Normal"/>
    <w:rsid w:val="00CE3C0D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91">
    <w:name w:val="xl291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2">
    <w:name w:val="xl292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3">
    <w:name w:val="xl293"/>
    <w:basedOn w:val="Normal"/>
    <w:rsid w:val="00CE3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4">
    <w:name w:val="xl294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5">
    <w:name w:val="xl295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96">
    <w:name w:val="xl296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7">
    <w:name w:val="xl29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8">
    <w:name w:val="xl29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9">
    <w:name w:val="xl29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0">
    <w:name w:val="xl300"/>
    <w:basedOn w:val="Normal"/>
    <w:rsid w:val="00CE3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1">
    <w:name w:val="xl301"/>
    <w:basedOn w:val="Normal"/>
    <w:rsid w:val="00CE3C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37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0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olja.tomanovic\Desktop\mmi-2014-06olj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nko.jeknic\Desktop\Dropbox\MINISTARSTVO%20FINANSIJA%20(1)\SEP\02_MMI\MMI%202014\MMI_2014_06\mmi-2014-06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Desktop\ratko\Podaci%20za%20MF%20-%20MAJ%202014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AppData\Local\Microsoft\Windows\Temporary%20Internet%20Files\Content.Outlook\7XU0HJLS\SDI%202013%20-%20%20april%202014%20%20godina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/>
            </a:pPr>
            <a:r>
              <a:rPr lang="sr-Latn-CS" sz="900"/>
              <a:t>IFO indeks za</a:t>
            </a:r>
            <a:r>
              <a:rPr lang="sr-Latn-CS" sz="900" baseline="0"/>
              <a:t> Eurozonu</a:t>
            </a:r>
            <a:endParaRPr lang="sr-Latn-CS"/>
          </a:p>
        </c:rich>
      </c:tx>
      <c:overlay val="1"/>
    </c:title>
    <c:plotArea>
      <c:layout>
        <c:manualLayout>
          <c:layoutTarget val="inner"/>
          <c:xMode val="edge"/>
          <c:yMode val="edge"/>
          <c:x val="0.16588025553409763"/>
          <c:y val="0.12037037037037036"/>
          <c:w val="0.78223295201307463"/>
          <c:h val="0.59383238553513562"/>
        </c:manualLayout>
      </c:layout>
      <c:barChart>
        <c:barDir val="col"/>
        <c:grouping val="clustered"/>
        <c:ser>
          <c:idx val="0"/>
          <c:order val="0"/>
          <c:tx>
            <c:strRef>
              <c:f>Sheet1!$C$3</c:f>
              <c:strCache>
                <c:ptCount val="1"/>
                <c:pt idx="0">
                  <c:v>Biznis okruženje</c:v>
                </c:pt>
              </c:strCache>
            </c:strRef>
          </c:tx>
          <c:spPr>
            <a:ln w="6350">
              <a:solidFill>
                <a:schemeClr val="tx2">
                  <a:lumMod val="75000"/>
                </a:schemeClr>
              </a:solidFill>
            </a:ln>
          </c:spPr>
          <c:cat>
            <c:strRef>
              <c:f>Sheet1!$D$2:$L$2</c:f>
              <c:strCache>
                <c:ptCount val="9"/>
                <c:pt idx="0">
                  <c:v>II/2012</c:v>
                </c:pt>
                <c:pt idx="1">
                  <c:v>III/2012</c:v>
                </c:pt>
                <c:pt idx="2">
                  <c:v>IV/2012</c:v>
                </c:pt>
                <c:pt idx="3">
                  <c:v>I/2013</c:v>
                </c:pt>
                <c:pt idx="4">
                  <c:v>II/2013</c:v>
                </c:pt>
                <c:pt idx="5">
                  <c:v>III/2013</c:v>
                </c:pt>
                <c:pt idx="6">
                  <c:v>IV/2013</c:v>
                </c:pt>
                <c:pt idx="7">
                  <c:v>I/2014</c:v>
                </c:pt>
                <c:pt idx="8">
                  <c:v>II/2014</c:v>
                </c:pt>
              </c:strCache>
            </c:strRef>
          </c:cat>
          <c:val>
            <c:numRef>
              <c:f>Sheet1!$D$3:$L$3</c:f>
              <c:numCache>
                <c:formatCode>0.0</c:formatCode>
                <c:ptCount val="9"/>
                <c:pt idx="0">
                  <c:v>100.3</c:v>
                </c:pt>
                <c:pt idx="1">
                  <c:v>88.9</c:v>
                </c:pt>
                <c:pt idx="2">
                  <c:v>81.7</c:v>
                </c:pt>
                <c:pt idx="3">
                  <c:v>95.1</c:v>
                </c:pt>
                <c:pt idx="4">
                  <c:v>95.1</c:v>
                </c:pt>
                <c:pt idx="5">
                  <c:v>102.3</c:v>
                </c:pt>
                <c:pt idx="6">
                  <c:v>114.7</c:v>
                </c:pt>
                <c:pt idx="7">
                  <c:v>119.9</c:v>
                </c:pt>
                <c:pt idx="8">
                  <c:v>123</c:v>
                </c:pt>
              </c:numCache>
            </c:numRef>
          </c:val>
        </c:ser>
        <c:ser>
          <c:idx val="1"/>
          <c:order val="1"/>
          <c:tx>
            <c:strRef>
              <c:f>Sheet1!$C$4</c:f>
              <c:strCache>
                <c:ptCount val="1"/>
                <c:pt idx="0">
                  <c:v>Situacija 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 w="6350">
              <a:solidFill>
                <a:schemeClr val="tx2"/>
              </a:solidFill>
              <a:prstDash val="solid"/>
            </a:ln>
          </c:spPr>
          <c:cat>
            <c:strRef>
              <c:f>Sheet1!$D$2:$L$2</c:f>
              <c:strCache>
                <c:ptCount val="9"/>
                <c:pt idx="0">
                  <c:v>II/2012</c:v>
                </c:pt>
                <c:pt idx="1">
                  <c:v>III/2012</c:v>
                </c:pt>
                <c:pt idx="2">
                  <c:v>IV/2012</c:v>
                </c:pt>
                <c:pt idx="3">
                  <c:v>I/2013</c:v>
                </c:pt>
                <c:pt idx="4">
                  <c:v>II/2013</c:v>
                </c:pt>
                <c:pt idx="5">
                  <c:v>III/2013</c:v>
                </c:pt>
                <c:pt idx="6">
                  <c:v>IV/2013</c:v>
                </c:pt>
                <c:pt idx="7">
                  <c:v>I/2014</c:v>
                </c:pt>
                <c:pt idx="8">
                  <c:v>II/2014</c:v>
                </c:pt>
              </c:strCache>
            </c:strRef>
          </c:cat>
          <c:val>
            <c:numRef>
              <c:f>Sheet1!$D$4:$L$4</c:f>
              <c:numCache>
                <c:formatCode>0.0</c:formatCode>
                <c:ptCount val="9"/>
                <c:pt idx="0">
                  <c:v>114.7</c:v>
                </c:pt>
                <c:pt idx="1">
                  <c:v>103.5</c:v>
                </c:pt>
                <c:pt idx="2">
                  <c:v>97.9</c:v>
                </c:pt>
                <c:pt idx="3">
                  <c:v>95.1</c:v>
                </c:pt>
                <c:pt idx="4">
                  <c:v>92.3</c:v>
                </c:pt>
                <c:pt idx="5">
                  <c:v>95.1</c:v>
                </c:pt>
                <c:pt idx="6">
                  <c:v>106.3</c:v>
                </c:pt>
                <c:pt idx="7">
                  <c:v>120.3</c:v>
                </c:pt>
                <c:pt idx="8">
                  <c:v>128.69999999999999</c:v>
                </c:pt>
              </c:numCache>
            </c:numRef>
          </c:val>
        </c:ser>
        <c:ser>
          <c:idx val="2"/>
          <c:order val="2"/>
          <c:tx>
            <c:strRef>
              <c:f>Sheet1!$C$5</c:f>
              <c:strCache>
                <c:ptCount val="1"/>
                <c:pt idx="0">
                  <c:v>Očekivanja</c:v>
                </c:pt>
              </c:strCache>
            </c:strRef>
          </c:tx>
          <c:spPr>
            <a:ln w="6350">
              <a:solidFill>
                <a:schemeClr val="accent3">
                  <a:lumMod val="75000"/>
                </a:schemeClr>
              </a:solidFill>
            </a:ln>
          </c:spPr>
          <c:cat>
            <c:strRef>
              <c:f>Sheet1!$D$2:$L$2</c:f>
              <c:strCache>
                <c:ptCount val="9"/>
                <c:pt idx="0">
                  <c:v>II/2012</c:v>
                </c:pt>
                <c:pt idx="1">
                  <c:v>III/2012</c:v>
                </c:pt>
                <c:pt idx="2">
                  <c:v>IV/2012</c:v>
                </c:pt>
                <c:pt idx="3">
                  <c:v>I/2013</c:v>
                </c:pt>
                <c:pt idx="4">
                  <c:v>II/2013</c:v>
                </c:pt>
                <c:pt idx="5">
                  <c:v>III/2013</c:v>
                </c:pt>
                <c:pt idx="6">
                  <c:v>IV/2013</c:v>
                </c:pt>
                <c:pt idx="7">
                  <c:v>I/2014</c:v>
                </c:pt>
                <c:pt idx="8">
                  <c:v>II/2014</c:v>
                </c:pt>
              </c:strCache>
            </c:strRef>
          </c:cat>
          <c:val>
            <c:numRef>
              <c:f>Sheet1!$D$5:$L$5</c:f>
              <c:numCache>
                <c:formatCode>0.0</c:formatCode>
                <c:ptCount val="9"/>
                <c:pt idx="0">
                  <c:v>91.8</c:v>
                </c:pt>
                <c:pt idx="1">
                  <c:v>80.3</c:v>
                </c:pt>
                <c:pt idx="2">
                  <c:v>72.099999999999994</c:v>
                </c:pt>
                <c:pt idx="3">
                  <c:v>95.1</c:v>
                </c:pt>
                <c:pt idx="4">
                  <c:v>96.7</c:v>
                </c:pt>
                <c:pt idx="5">
                  <c:v>106.6</c:v>
                </c:pt>
                <c:pt idx="6">
                  <c:v>119.7</c:v>
                </c:pt>
                <c:pt idx="7">
                  <c:v>119.7</c:v>
                </c:pt>
                <c:pt idx="8">
                  <c:v>119.7</c:v>
                </c:pt>
              </c:numCache>
            </c:numRef>
          </c:val>
        </c:ser>
        <c:gapWidth val="110"/>
        <c:axId val="51362048"/>
        <c:axId val="51388800"/>
      </c:barChart>
      <c:catAx>
        <c:axId val="51362048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600"/>
            </a:pPr>
            <a:endParaRPr lang="sr-Latn-CS"/>
          </a:p>
        </c:txPr>
        <c:crossAx val="51388800"/>
        <c:crosses val="autoZero"/>
        <c:auto val="1"/>
        <c:lblAlgn val="ctr"/>
        <c:lblOffset val="100"/>
      </c:catAx>
      <c:valAx>
        <c:axId val="51388800"/>
        <c:scaling>
          <c:orientation val="minMax"/>
          <c:max val="130"/>
          <c:min val="70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  <a:prstDash val="sysDot"/>
            </a:ln>
          </c:spPr>
        </c:majorGridlines>
        <c:numFmt formatCode="0.0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51362048"/>
        <c:crosses val="autoZero"/>
        <c:crossBetween val="between"/>
      </c:valAx>
    </c:plotArea>
    <c:legend>
      <c:legendPos val="b"/>
      <c:txPr>
        <a:bodyPr/>
        <a:lstStyle/>
        <a:p>
          <a:pPr>
            <a:defRPr lang="sr-Latn-CS" sz="700"/>
          </a:pPr>
          <a:endParaRPr lang="sr-Latn-CS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 sz="1100"/>
            </a:pPr>
            <a:r>
              <a:rPr lang="en-US" sz="1100"/>
              <a:t>Noćenja u turizmu </a:t>
            </a:r>
          </a:p>
        </c:rich>
      </c:tx>
    </c:title>
    <c:plotArea>
      <c:layout>
        <c:manualLayout>
          <c:layoutTarget val="inner"/>
          <c:xMode val="edge"/>
          <c:yMode val="edge"/>
          <c:x val="8.7097112860892598E-2"/>
          <c:y val="0.19420626813341826"/>
          <c:w val="0.82557608515182057"/>
          <c:h val="0.64347532106441985"/>
        </c:manualLayout>
      </c:layout>
      <c:barChart>
        <c:barDir val="col"/>
        <c:grouping val="clustered"/>
        <c:ser>
          <c:idx val="0"/>
          <c:order val="0"/>
          <c:tx>
            <c:strRef>
              <c:f>'Makroekonomski indikatori'!$C$16</c:f>
              <c:strCache>
                <c:ptCount val="1"/>
                <c:pt idx="0">
                  <c:v>Noćenja u turizmu (stopa rasta)</c:v>
                </c:pt>
              </c:strCache>
            </c:strRef>
          </c:tx>
          <c:spPr>
            <a:solidFill>
              <a:srgbClr val="C4486B"/>
            </a:solidFill>
            <a:ln>
              <a:solidFill>
                <a:srgbClr val="C00000"/>
              </a:solidFill>
            </a:ln>
          </c:spPr>
          <c:dLbls>
            <c:txPr>
              <a:bodyPr/>
              <a:lstStyle/>
              <a:p>
                <a:pPr>
                  <a:defRPr lang="sr-Latn-CS" sz="600"/>
                </a:pPr>
                <a:endParaRPr lang="sr-Latn-CS"/>
              </a:p>
            </c:txPr>
            <c:showVal val="1"/>
          </c:dLbls>
          <c:cat>
            <c:strRef>
              <c:f>'Makroekonomski indikatori'!$AF$28:$AS$28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2014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'Makroekonomski indikatori'!$AF$16:$AS$16</c:f>
              <c:numCache>
                <c:formatCode>0.0</c:formatCode>
                <c:ptCount val="13"/>
                <c:pt idx="0">
                  <c:v>7.3</c:v>
                </c:pt>
                <c:pt idx="1">
                  <c:v>4.5</c:v>
                </c:pt>
                <c:pt idx="2">
                  <c:v>-3.6</c:v>
                </c:pt>
                <c:pt idx="3">
                  <c:v>4.3</c:v>
                </c:pt>
                <c:pt idx="4">
                  <c:v>5.6</c:v>
                </c:pt>
                <c:pt idx="5">
                  <c:v>30.3</c:v>
                </c:pt>
                <c:pt idx="6">
                  <c:v>1.1000000000000001</c:v>
                </c:pt>
                <c:pt idx="7">
                  <c:v>22.1</c:v>
                </c:pt>
                <c:pt idx="8">
                  <c:v>2</c:v>
                </c:pt>
                <c:pt idx="9" formatCode="General">
                  <c:v>2.7</c:v>
                </c:pt>
                <c:pt idx="10" formatCode="General">
                  <c:v>5.3</c:v>
                </c:pt>
                <c:pt idx="11" formatCode="General">
                  <c:v>2.1</c:v>
                </c:pt>
                <c:pt idx="12" formatCode="General">
                  <c:v>-4.2</c:v>
                </c:pt>
              </c:numCache>
            </c:numRef>
          </c:val>
        </c:ser>
        <c:gapWidth val="35"/>
        <c:axId val="51479680"/>
        <c:axId val="51481600"/>
      </c:barChart>
      <c:catAx>
        <c:axId val="51479680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600"/>
            </a:pPr>
            <a:endParaRPr lang="sr-Latn-CS"/>
          </a:p>
        </c:txPr>
        <c:crossAx val="51481600"/>
        <c:crosses val="autoZero"/>
        <c:auto val="1"/>
        <c:lblAlgn val="ctr"/>
        <c:lblOffset val="100"/>
      </c:catAx>
      <c:valAx>
        <c:axId val="51481600"/>
        <c:scaling>
          <c:orientation val="minMax"/>
        </c:scaling>
        <c:axPos val="l"/>
        <c:numFmt formatCode="0.0" sourceLinked="1"/>
        <c:tickLblPos val="nextTo"/>
        <c:txPr>
          <a:bodyPr/>
          <a:lstStyle/>
          <a:p>
            <a:pPr>
              <a:defRPr lang="sr-Latn-CS" sz="600"/>
            </a:pPr>
            <a:endParaRPr lang="sr-Latn-CS"/>
          </a:p>
        </c:txPr>
        <c:crossAx val="51479680"/>
        <c:crosses val="autoZero"/>
        <c:crossBetween val="between"/>
      </c:valAx>
      <c:spPr>
        <a:ln>
          <a:noFill/>
        </a:ln>
      </c:spPr>
    </c:plotArea>
    <c:legend>
      <c:legendPos val="b"/>
      <c:txPr>
        <a:bodyPr/>
        <a:lstStyle/>
        <a:p>
          <a:pPr>
            <a:defRPr lang="sr-Latn-CS" sz="800"/>
          </a:pPr>
          <a:endParaRPr lang="sr-Latn-CS"/>
        </a:p>
      </c:txPr>
    </c:legend>
    <c:plotVisOnly val="1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sz="800"/>
            </a:pPr>
            <a:r>
              <a:rPr lang="en-US" sz="800"/>
              <a:t>HICP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'Makroekonomski indikatori'!$C$24</c:f>
              <c:strCache>
                <c:ptCount val="1"/>
                <c:pt idx="0">
                  <c:v>HICP(mjesečne stope rasta)</c:v>
                </c:pt>
              </c:strCache>
            </c:strRef>
          </c:tx>
          <c:dLbls>
            <c:txPr>
              <a:bodyPr/>
              <a:lstStyle/>
              <a:p>
                <a:pPr>
                  <a:defRPr sz="600"/>
                </a:pPr>
                <a:endParaRPr lang="sr-Latn-CS"/>
              </a:p>
            </c:txPr>
            <c:showVal val="1"/>
          </c:dLbls>
          <c:cat>
            <c:strRef>
              <c:f>'Makroekonomski indikatori'!$AF$29:$AS$29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2014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'Makroekonomski indikatori'!$AF$24:$AS$24</c:f>
              <c:numCache>
                <c:formatCode>0.0</c:formatCode>
                <c:ptCount val="13"/>
                <c:pt idx="0">
                  <c:v>0.5</c:v>
                </c:pt>
                <c:pt idx="1">
                  <c:v>-0.1</c:v>
                </c:pt>
                <c:pt idx="2">
                  <c:v>1.1000000000000001</c:v>
                </c:pt>
                <c:pt idx="3">
                  <c:v>-0.2</c:v>
                </c:pt>
                <c:pt idx="4">
                  <c:v>-0.30000000000000016</c:v>
                </c:pt>
                <c:pt idx="5">
                  <c:v>-0.5</c:v>
                </c:pt>
                <c:pt idx="6">
                  <c:v>-0.60000000000000031</c:v>
                </c:pt>
                <c:pt idx="7">
                  <c:v>-0.1</c:v>
                </c:pt>
                <c:pt idx="8" formatCode="General">
                  <c:v>-0.4</c:v>
                </c:pt>
                <c:pt idx="9" formatCode="General">
                  <c:v>0.1</c:v>
                </c:pt>
                <c:pt idx="10" formatCode="General">
                  <c:v>-0.1</c:v>
                </c:pt>
                <c:pt idx="11" formatCode="General">
                  <c:v>-0.1</c:v>
                </c:pt>
                <c:pt idx="12" formatCode="General">
                  <c:v>0.5</c:v>
                </c:pt>
              </c:numCache>
            </c:numRef>
          </c:val>
        </c:ser>
        <c:gapWidth val="26"/>
        <c:axId val="51869952"/>
        <c:axId val="51924992"/>
      </c:barChart>
      <c:catAx>
        <c:axId val="51869952"/>
        <c:scaling>
          <c:orientation val="minMax"/>
        </c:scaling>
        <c:axPos val="b"/>
        <c:tickLblPos val="low"/>
        <c:txPr>
          <a:bodyPr/>
          <a:lstStyle/>
          <a:p>
            <a:pPr>
              <a:defRPr sz="600"/>
            </a:pPr>
            <a:endParaRPr lang="sr-Latn-CS"/>
          </a:p>
        </c:txPr>
        <c:crossAx val="51924992"/>
        <c:crosses val="autoZero"/>
        <c:auto val="1"/>
        <c:lblAlgn val="ctr"/>
        <c:lblOffset val="100"/>
      </c:catAx>
      <c:valAx>
        <c:axId val="51924992"/>
        <c:scaling>
          <c:orientation val="minMax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  <a:prstDash val="sysDot"/>
            </a:ln>
          </c:spPr>
        </c:majorGridlines>
        <c:numFmt formatCode="0.0" sourceLinked="1"/>
        <c:tickLblPos val="nextTo"/>
        <c:txPr>
          <a:bodyPr/>
          <a:lstStyle/>
          <a:p>
            <a:pPr>
              <a:defRPr sz="600"/>
            </a:pPr>
            <a:endParaRPr lang="sr-Latn-CS"/>
          </a:p>
        </c:txPr>
        <c:crossAx val="51869952"/>
        <c:crosses val="autoZero"/>
        <c:crossBetween val="between"/>
      </c:valAx>
    </c:plotArea>
    <c:legend>
      <c:legendPos val="b"/>
      <c:txPr>
        <a:bodyPr/>
        <a:lstStyle/>
        <a:p>
          <a:pPr>
            <a:defRPr sz="800"/>
          </a:pPr>
          <a:endParaRPr lang="sr-Latn-CS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'Makroekonomski indikatori'!$AD$9:$AQ$9</c:f>
              <c:strCache>
                <c:ptCount val="14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2014</c:v>
                </c:pt>
                <c:pt idx="11">
                  <c:v>II</c:v>
                </c:pt>
                <c:pt idx="12">
                  <c:v>III</c:v>
                </c:pt>
                <c:pt idx="13">
                  <c:v>IV</c:v>
                </c:pt>
              </c:strCache>
            </c:strRef>
          </c:cat>
          <c:val>
            <c:numRef>
              <c:f>'Makroekonomski indikatori'!$AD$21:$AQ$21</c:f>
              <c:numCache>
                <c:formatCode>#,##0</c:formatCode>
                <c:ptCount val="14"/>
                <c:pt idx="0">
                  <c:v>167738</c:v>
                </c:pt>
                <c:pt idx="1">
                  <c:v>170302</c:v>
                </c:pt>
                <c:pt idx="2">
                  <c:v>174369</c:v>
                </c:pt>
                <c:pt idx="3">
                  <c:v>179861</c:v>
                </c:pt>
                <c:pt idx="4">
                  <c:v>178815</c:v>
                </c:pt>
                <c:pt idx="5">
                  <c:v>176588</c:v>
                </c:pt>
                <c:pt idx="6">
                  <c:v>169044</c:v>
                </c:pt>
                <c:pt idx="7">
                  <c:v>169044</c:v>
                </c:pt>
                <c:pt idx="8">
                  <c:v>167607</c:v>
                </c:pt>
                <c:pt idx="9">
                  <c:v>167173</c:v>
                </c:pt>
                <c:pt idx="10">
                  <c:v>167616</c:v>
                </c:pt>
                <c:pt idx="11">
                  <c:v>168805</c:v>
                </c:pt>
                <c:pt idx="12">
                  <c:v>170177</c:v>
                </c:pt>
                <c:pt idx="13">
                  <c:v>172202</c:v>
                </c:pt>
              </c:numCache>
            </c:numRef>
          </c:val>
        </c:ser>
        <c:marker val="1"/>
        <c:axId val="74809344"/>
        <c:axId val="74873088"/>
      </c:lineChart>
      <c:lineChart>
        <c:grouping val="standard"/>
        <c:ser>
          <c:idx val="1"/>
          <c:order val="1"/>
          <c:marker>
            <c:symbol val="none"/>
          </c:marker>
          <c:cat>
            <c:strRef>
              <c:f>'Makroekonomski indikatori'!$AD$9:$AQ$9</c:f>
              <c:strCache>
                <c:ptCount val="14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2014</c:v>
                </c:pt>
                <c:pt idx="11">
                  <c:v>II</c:v>
                </c:pt>
                <c:pt idx="12">
                  <c:v>III</c:v>
                </c:pt>
                <c:pt idx="13">
                  <c:v>IV</c:v>
                </c:pt>
              </c:strCache>
            </c:strRef>
          </c:cat>
          <c:val>
            <c:numRef>
              <c:f>'Makroekonomski indikatori'!$AD$22:$AQ$22</c:f>
              <c:numCache>
                <c:formatCode>#,##0</c:formatCode>
                <c:ptCount val="14"/>
                <c:pt idx="0">
                  <c:v>32986</c:v>
                </c:pt>
                <c:pt idx="1">
                  <c:v>32624</c:v>
                </c:pt>
                <c:pt idx="2">
                  <c:v>31363</c:v>
                </c:pt>
                <c:pt idx="3">
                  <c:v>30337</c:v>
                </c:pt>
                <c:pt idx="4">
                  <c:v>30102</c:v>
                </c:pt>
                <c:pt idx="5">
                  <c:v>30947</c:v>
                </c:pt>
                <c:pt idx="6">
                  <c:v>33271</c:v>
                </c:pt>
                <c:pt idx="7">
                  <c:v>33271</c:v>
                </c:pt>
                <c:pt idx="8">
                  <c:v>34680</c:v>
                </c:pt>
                <c:pt idx="9">
                  <c:v>34514</c:v>
                </c:pt>
                <c:pt idx="10">
                  <c:v>34804</c:v>
                </c:pt>
                <c:pt idx="11">
                  <c:v>34664</c:v>
                </c:pt>
                <c:pt idx="12">
                  <c:v>34671</c:v>
                </c:pt>
                <c:pt idx="13">
                  <c:v>33906</c:v>
                </c:pt>
              </c:numCache>
            </c:numRef>
          </c:val>
        </c:ser>
        <c:marker val="1"/>
        <c:axId val="75282304"/>
        <c:axId val="75280384"/>
      </c:lineChart>
      <c:catAx>
        <c:axId val="74809344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74873088"/>
        <c:crosses val="autoZero"/>
        <c:auto val="1"/>
        <c:lblAlgn val="ctr"/>
        <c:lblOffset val="100"/>
      </c:catAx>
      <c:valAx>
        <c:axId val="74873088"/>
        <c:scaling>
          <c:orientation val="minMax"/>
          <c:min val="164000"/>
        </c:scaling>
        <c:axPos val="l"/>
        <c:majorGridlines>
          <c:spPr>
            <a:ln>
              <a:prstDash val="sysDot"/>
            </a:ln>
          </c:spPr>
        </c:majorGridlines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74809344"/>
        <c:crosses val="autoZero"/>
        <c:crossBetween val="between"/>
        <c:dispUnits>
          <c:builtInUnit val="thousands"/>
        </c:dispUnits>
      </c:valAx>
      <c:valAx>
        <c:axId val="75280384"/>
        <c:scaling>
          <c:orientation val="maxMin"/>
          <c:max val="35000"/>
          <c:min val="27000"/>
        </c:scaling>
        <c:axPos val="r"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75282304"/>
        <c:crosses val="max"/>
        <c:crossBetween val="between"/>
        <c:dispUnits>
          <c:builtInUnit val="thousands"/>
        </c:dispUnits>
      </c:valAx>
      <c:catAx>
        <c:axId val="75282304"/>
        <c:scaling>
          <c:orientation val="minMax"/>
        </c:scaling>
        <c:delete val="1"/>
        <c:axPos val="t"/>
        <c:tickLblPos val="none"/>
        <c:crossAx val="7528038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plotArea>
      <c:layout>
        <c:manualLayout>
          <c:layoutTarget val="inner"/>
          <c:xMode val="edge"/>
          <c:yMode val="edge"/>
          <c:x val="0.17523877646207359"/>
          <c:y val="4.1424676898629414E-2"/>
          <c:w val="0.64460499846746044"/>
          <c:h val="0.67126644191027851"/>
        </c:manualLayout>
      </c:layout>
      <c:barChart>
        <c:barDir val="col"/>
        <c:grouping val="clustered"/>
        <c:ser>
          <c:idx val="2"/>
          <c:order val="2"/>
          <c:tx>
            <c:strRef>
              <c:f>'Fiskalni indikatori (3)'!$BD$30</c:f>
              <c:strCache>
                <c:ptCount val="1"/>
                <c:pt idx="0">
                  <c:v>Suficit/Deficit</c:v>
                </c:pt>
              </c:strCache>
            </c:strRef>
          </c:tx>
          <c:spPr>
            <a:solidFill>
              <a:srgbClr val="EEECE1"/>
            </a:solidFill>
            <a:ln>
              <a:solidFill>
                <a:srgbClr val="C00000"/>
              </a:solidFill>
            </a:ln>
          </c:spPr>
          <c:cat>
            <c:strRef>
              <c:f>'Fiskalni indikatori (3)'!$CC$6:$CM$6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'Fiskalni indikatori (3)'!$CC$20:$CS$20</c:f>
              <c:numCache>
                <c:formatCode>0.00,,</c:formatCode>
                <c:ptCount val="17"/>
                <c:pt idx="0">
                  <c:v>-25863779.340000056</c:v>
                </c:pt>
                <c:pt idx="1">
                  <c:v>-18804242.285214216</c:v>
                </c:pt>
                <c:pt idx="2">
                  <c:v>-14921103.394283717</c:v>
                </c:pt>
                <c:pt idx="3">
                  <c:v>-15891365.313259348</c:v>
                </c:pt>
                <c:pt idx="4">
                  <c:v>-1544398.830167097</c:v>
                </c:pt>
                <c:pt idx="5">
                  <c:v>-607686.93338963401</c:v>
                </c:pt>
                <c:pt idx="6">
                  <c:v>-38312345.495714545</c:v>
                </c:pt>
                <c:pt idx="7">
                  <c:v>-16221972.00090231</c:v>
                </c:pt>
                <c:pt idx="8">
                  <c:v>-2657604.3090550057</c:v>
                </c:pt>
                <c:pt idx="9">
                  <c:v>17862496.387521476</c:v>
                </c:pt>
                <c:pt idx="10">
                  <c:v>-2710356.1671831482</c:v>
                </c:pt>
                <c:pt idx="11">
                  <c:v>-7703230.0812701583</c:v>
                </c:pt>
                <c:pt idx="12">
                  <c:v>-23541980.710000008</c:v>
                </c:pt>
                <c:pt idx="13">
                  <c:v>-6795277.9000000358</c:v>
                </c:pt>
                <c:pt idx="14">
                  <c:v>-15146455.100000024</c:v>
                </c:pt>
                <c:pt idx="15">
                  <c:v>-13244500.030000031</c:v>
                </c:pt>
                <c:pt idx="16">
                  <c:v>696976.86999996006</c:v>
                </c:pt>
              </c:numCache>
            </c:numRef>
          </c:val>
        </c:ser>
        <c:gapWidth val="70"/>
        <c:axId val="78387840"/>
        <c:axId val="78386304"/>
      </c:barChart>
      <c:lineChart>
        <c:grouping val="standard"/>
        <c:ser>
          <c:idx val="0"/>
          <c:order val="0"/>
          <c:tx>
            <c:strRef>
              <c:f>'Fiskalni indikatori (3)'!$BD$28</c:f>
              <c:strCache>
                <c:ptCount val="1"/>
                <c:pt idx="0">
                  <c:v>Izvorni prihodi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diamond"/>
            <c:size val="4"/>
            <c:spPr>
              <a:solidFill>
                <a:schemeClr val="tx2">
                  <a:lumMod val="75000"/>
                </a:schemeClr>
              </a:solidFill>
              <a:ln cap="flat">
                <a:solidFill>
                  <a:sysClr val="windowText" lastClr="000000"/>
                </a:solidFill>
                <a:round/>
              </a:ln>
            </c:spPr>
          </c:marker>
          <c:cat>
            <c:strRef>
              <c:f>'Fiskalni indikatori (3)'!$V$5:$AW$5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'Fiskalni indikatori (3)'!$CC$7:$CS$7</c:f>
              <c:numCache>
                <c:formatCode>0.00,,</c:formatCode>
                <c:ptCount val="17"/>
                <c:pt idx="0">
                  <c:v>54923313.240000002</c:v>
                </c:pt>
                <c:pt idx="1">
                  <c:v>75831835.340000004</c:v>
                </c:pt>
                <c:pt idx="2">
                  <c:v>88914656.390000015</c:v>
                </c:pt>
                <c:pt idx="3">
                  <c:v>103948838</c:v>
                </c:pt>
                <c:pt idx="4">
                  <c:v>93997829.599999994</c:v>
                </c:pt>
                <c:pt idx="5">
                  <c:v>99561632.659999892</c:v>
                </c:pt>
                <c:pt idx="6">
                  <c:v>122021331.04999998</c:v>
                </c:pt>
                <c:pt idx="7">
                  <c:v>125053427.64999999</c:v>
                </c:pt>
                <c:pt idx="8">
                  <c:v>116342017.78000002</c:v>
                </c:pt>
                <c:pt idx="9">
                  <c:v>117283627.60000001</c:v>
                </c:pt>
                <c:pt idx="10">
                  <c:v>95781753.159999892</c:v>
                </c:pt>
                <c:pt idx="11">
                  <c:v>142429369.22999999</c:v>
                </c:pt>
                <c:pt idx="12">
                  <c:v>70782033.309999973</c:v>
                </c:pt>
                <c:pt idx="13">
                  <c:v>82133335.760000005</c:v>
                </c:pt>
                <c:pt idx="14">
                  <c:v>100705525.86999999</c:v>
                </c:pt>
                <c:pt idx="15">
                  <c:v>109025419.03999998</c:v>
                </c:pt>
                <c:pt idx="16">
                  <c:v>102074797.2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'Fiskalni indikatori (3)'!$BD$29</c:f>
              <c:strCache>
                <c:ptCount val="1"/>
                <c:pt idx="0">
                  <c:v>Izdaci budžeta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cat>
            <c:strRef>
              <c:f>'Fiskalni indikatori (3)'!$V$5:$AW$5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'Fiskalni indikatori (3)'!$CC$13:$CS$13</c:f>
              <c:numCache>
                <c:formatCode>0.00,,</c:formatCode>
                <c:ptCount val="17"/>
                <c:pt idx="0">
                  <c:v>80787092.580000043</c:v>
                </c:pt>
                <c:pt idx="1">
                  <c:v>94636077.625213578</c:v>
                </c:pt>
                <c:pt idx="2">
                  <c:v>103835759.78428364</c:v>
                </c:pt>
                <c:pt idx="3">
                  <c:v>119840203.31325933</c:v>
                </c:pt>
                <c:pt idx="4">
                  <c:v>95542228.430167973</c:v>
                </c:pt>
                <c:pt idx="5">
                  <c:v>100169319.59339043</c:v>
                </c:pt>
                <c:pt idx="6">
                  <c:v>160333676.54571453</c:v>
                </c:pt>
                <c:pt idx="7">
                  <c:v>141275399.6509023</c:v>
                </c:pt>
                <c:pt idx="8">
                  <c:v>118999622.08905503</c:v>
                </c:pt>
                <c:pt idx="9">
                  <c:v>99421131.212479696</c:v>
                </c:pt>
                <c:pt idx="10">
                  <c:v>98492109.327183142</c:v>
                </c:pt>
                <c:pt idx="11">
                  <c:v>150132599.31127</c:v>
                </c:pt>
                <c:pt idx="12">
                  <c:v>94324014.019999996</c:v>
                </c:pt>
                <c:pt idx="13">
                  <c:v>88928613.660000041</c:v>
                </c:pt>
                <c:pt idx="14">
                  <c:v>115851980.97000003</c:v>
                </c:pt>
                <c:pt idx="15">
                  <c:v>122269919.07000001</c:v>
                </c:pt>
                <c:pt idx="16">
                  <c:v>101377820.33000004</c:v>
                </c:pt>
              </c:numCache>
            </c:numRef>
          </c:val>
          <c:smooth val="1"/>
        </c:ser>
        <c:marker val="1"/>
        <c:axId val="75829248"/>
        <c:axId val="75832704"/>
      </c:lineChart>
      <c:dateAx>
        <c:axId val="75829248"/>
        <c:scaling>
          <c:orientation val="minMax"/>
        </c:scaling>
        <c:axPos val="b"/>
        <c:numFmt formatCode="#,##0.00" sourceLinked="0"/>
        <c:tickLblPos val="nextTo"/>
        <c:txPr>
          <a:bodyPr/>
          <a:lstStyle/>
          <a:p>
            <a:pPr>
              <a:defRPr lang="sr-Latn-CS" sz="650" baseline="0"/>
            </a:pPr>
            <a:endParaRPr lang="sr-Latn-CS"/>
          </a:p>
        </c:txPr>
        <c:crossAx val="75832704"/>
        <c:crosses val="autoZero"/>
        <c:lblOffset val="100"/>
        <c:baseTimeUnit val="days"/>
      </c:dateAx>
      <c:valAx>
        <c:axId val="75832704"/>
        <c:scaling>
          <c:orientation val="minMax"/>
        </c:scaling>
        <c:axPos val="l"/>
        <c:numFmt formatCode="0.0,," sourceLinked="0"/>
        <c:tickLblPos val="nextTo"/>
        <c:txPr>
          <a:bodyPr/>
          <a:lstStyle/>
          <a:p>
            <a:pPr>
              <a:defRPr lang="sr-Latn-CS"/>
            </a:pPr>
            <a:endParaRPr lang="sr-Latn-CS"/>
          </a:p>
        </c:txPr>
        <c:crossAx val="75829248"/>
        <c:crosses val="autoZero"/>
        <c:crossBetween val="between"/>
      </c:valAx>
      <c:valAx>
        <c:axId val="78386304"/>
        <c:scaling>
          <c:orientation val="minMax"/>
          <c:max val="130000000"/>
          <c:min val="-50000000"/>
        </c:scaling>
        <c:axPos val="r"/>
        <c:numFmt formatCode="0.0,," sourceLinked="0"/>
        <c:tickLblPos val="nextTo"/>
        <c:txPr>
          <a:bodyPr/>
          <a:lstStyle/>
          <a:p>
            <a:pPr>
              <a:defRPr lang="sr-Latn-CS"/>
            </a:pPr>
            <a:endParaRPr lang="sr-Latn-CS"/>
          </a:p>
        </c:txPr>
        <c:crossAx val="78387840"/>
        <c:crosses val="max"/>
        <c:crossBetween val="between"/>
        <c:majorUnit val="20000000"/>
      </c:valAx>
      <c:catAx>
        <c:axId val="78387840"/>
        <c:scaling>
          <c:orientation val="minMax"/>
        </c:scaling>
        <c:delete val="1"/>
        <c:axPos val="b"/>
        <c:numFmt formatCode="General" sourceLinked="1"/>
        <c:tickLblPos val="none"/>
        <c:crossAx val="78386304"/>
        <c:crosses val="autoZero"/>
        <c:auto val="1"/>
        <c:lblAlgn val="ctr"/>
        <c:lblOffset val="100"/>
      </c:catAx>
      <c:spPr>
        <a:ln>
          <a:solidFill>
            <a:schemeClr val="tx1"/>
          </a:solidFill>
        </a:ln>
      </c:spPr>
    </c:plotArea>
    <c:legend>
      <c:legendPos val="b"/>
      <c:txPr>
        <a:bodyPr/>
        <a:lstStyle/>
        <a:p>
          <a:pPr>
            <a:defRPr lang="sr-Latn-CS"/>
          </a:pPr>
          <a:endParaRPr lang="sr-Latn-CS"/>
        </a:p>
      </c:txPr>
    </c:legend>
    <c:plotVisOnly val="1"/>
    <c:dispBlanksAs val="gap"/>
  </c:chart>
  <c:spPr>
    <a:ln w="6350">
      <a:prstDash val="sysDot"/>
    </a:ln>
  </c:spPr>
  <c:txPr>
    <a:bodyPr/>
    <a:lstStyle/>
    <a:p>
      <a:pPr>
        <a:defRPr sz="700" baseline="0"/>
      </a:pPr>
      <a:endParaRPr lang="sr-Latn-C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style val="6"/>
  <c:chart>
    <c:title>
      <c:tx>
        <c:rich>
          <a:bodyPr/>
          <a:lstStyle/>
          <a:p>
            <a:pPr>
              <a:defRPr lang="en-US" sz="800"/>
            </a:pPr>
            <a:r>
              <a:rPr lang="x-none" sz="800"/>
              <a:t>  Krediti, ročna sruktura, u %</a:t>
            </a:r>
            <a:endParaRPr lang="en-US" sz="800"/>
          </a:p>
        </c:rich>
      </c:tx>
      <c:overlay val="1"/>
    </c:title>
    <c:plotArea>
      <c:layout/>
      <c:barChart>
        <c:barDir val="col"/>
        <c:grouping val="stacked"/>
        <c:ser>
          <c:idx val="0"/>
          <c:order val="0"/>
          <c:tx>
            <c:v>kratkoročni</c:v>
          </c:tx>
          <c:spPr>
            <a:solidFill>
              <a:srgbClr val="57427A"/>
            </a:solidFill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  <c:cat>
            <c:strRef>
              <c:f>'Pokaz strukture kred i depoz'!$AQ$6:$BC$6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'Pokaz strukture kred i depoz'!$AQ$7:$BE$7</c:f>
              <c:numCache>
                <c:formatCode>0.0</c:formatCode>
                <c:ptCount val="15"/>
                <c:pt idx="0">
                  <c:v>33.097585083888198</c:v>
                </c:pt>
                <c:pt idx="1">
                  <c:v>33.053371063131998</c:v>
                </c:pt>
                <c:pt idx="2">
                  <c:v>35.250470411467845</c:v>
                </c:pt>
                <c:pt idx="3">
                  <c:v>34.828025146469415</c:v>
                </c:pt>
                <c:pt idx="4">
                  <c:v>34.433271706503305</c:v>
                </c:pt>
                <c:pt idx="5">
                  <c:v>33.300000000000004</c:v>
                </c:pt>
                <c:pt idx="6">
                  <c:v>32.928331966914065</c:v>
                </c:pt>
                <c:pt idx="7">
                  <c:v>31.330028691230833</c:v>
                </c:pt>
                <c:pt idx="8">
                  <c:v>31.891321014244191</c:v>
                </c:pt>
                <c:pt idx="9">
                  <c:v>32.044551202288645</c:v>
                </c:pt>
                <c:pt idx="10">
                  <c:v>32.388664472630381</c:v>
                </c:pt>
                <c:pt idx="11">
                  <c:v>31.951240564926781</c:v>
                </c:pt>
                <c:pt idx="12">
                  <c:v>31.84190770886023</c:v>
                </c:pt>
              </c:numCache>
            </c:numRef>
          </c:val>
        </c:ser>
        <c:ser>
          <c:idx val="1"/>
          <c:order val="1"/>
          <c:tx>
            <c:v>dugoročni</c:v>
          </c:tx>
          <c:cat>
            <c:strRef>
              <c:f>'Pokaz strukture kred i depoz'!$AQ$6:$BC$6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'Pokaz strukture kred i depoz'!$AQ$8:$BC$8</c:f>
              <c:numCache>
                <c:formatCode>0.0</c:formatCode>
                <c:ptCount val="13"/>
                <c:pt idx="0">
                  <c:v>66.902374555171988</c:v>
                </c:pt>
                <c:pt idx="1">
                  <c:v>66.946669629059471</c:v>
                </c:pt>
                <c:pt idx="2">
                  <c:v>64.749569496185927</c:v>
                </c:pt>
                <c:pt idx="3">
                  <c:v>65.171974853529704</c:v>
                </c:pt>
                <c:pt idx="4">
                  <c:v>65.566728293495871</c:v>
                </c:pt>
                <c:pt idx="5">
                  <c:v>66.7</c:v>
                </c:pt>
                <c:pt idx="6">
                  <c:v>67.071668033085658</c:v>
                </c:pt>
                <c:pt idx="7">
                  <c:v>68.669971308768226</c:v>
                </c:pt>
                <c:pt idx="8">
                  <c:v>68.108678985755759</c:v>
                </c:pt>
                <c:pt idx="9">
                  <c:v>67.955448797710858</c:v>
                </c:pt>
                <c:pt idx="10">
                  <c:v>67.611335527368951</c:v>
                </c:pt>
                <c:pt idx="11">
                  <c:v>68.048675632936579</c:v>
                </c:pt>
                <c:pt idx="12">
                  <c:v>68.158092291138971</c:v>
                </c:pt>
              </c:numCache>
            </c:numRef>
          </c:val>
        </c:ser>
        <c:gapWidth val="30"/>
        <c:overlap val="100"/>
        <c:axId val="83113472"/>
        <c:axId val="94493696"/>
      </c:barChart>
      <c:catAx>
        <c:axId val="83113472"/>
        <c:scaling>
          <c:orientation val="minMax"/>
        </c:scaling>
        <c:axPos val="b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94493696"/>
        <c:crosses val="autoZero"/>
        <c:auto val="1"/>
        <c:lblAlgn val="ctr"/>
        <c:lblOffset val="100"/>
      </c:catAx>
      <c:valAx>
        <c:axId val="94493696"/>
        <c:scaling>
          <c:orientation val="minMax"/>
          <c:max val="120"/>
        </c:scaling>
        <c:axPos val="l"/>
        <c:numFmt formatCode="0.0" sourceLinked="1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83113472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 sz="700"/>
          </a:pPr>
          <a:endParaRPr lang="sr-Latn-CS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 sz="900" b="0" i="1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sr-Latn-CS" sz="900" b="1" i="1" u="none" strike="noStrike" baseline="0">
                <a:solidFill>
                  <a:srgbClr val="000000"/>
                </a:solidFill>
                <a:latin typeface="Calibri"/>
                <a:cs typeface="Calibri"/>
              </a:rPr>
              <a:t>SDI u mil.€</a:t>
            </a:r>
          </a:p>
        </c:rich>
      </c:tx>
      <c:layout>
        <c:manualLayout>
          <c:xMode val="edge"/>
          <c:yMode val="edge"/>
          <c:x val="0.35367903597685801"/>
          <c:y val="3.0959752321981424E-2"/>
        </c:manualLayout>
      </c:layout>
    </c:title>
    <c:plotArea>
      <c:layout>
        <c:manualLayout>
          <c:layoutTarget val="inner"/>
          <c:xMode val="edge"/>
          <c:yMode val="edge"/>
          <c:x val="0.13783573928258969"/>
          <c:y val="4.2141294838145604E-2"/>
          <c:w val="0.68080446194225441"/>
          <c:h val="0.79822506561679785"/>
        </c:manualLayout>
      </c:layout>
      <c:barChart>
        <c:barDir val="col"/>
        <c:grouping val="clustered"/>
        <c:ser>
          <c:idx val="0"/>
          <c:order val="0"/>
          <c:tx>
            <c:v>2013</c:v>
          </c:tx>
          <c:spPr>
            <a:solidFill>
              <a:srgbClr val="C0504D">
                <a:lumMod val="40000"/>
                <a:lumOff val="60000"/>
              </a:srgbClr>
            </a:solidFill>
            <a:ln>
              <a:solidFill>
                <a:prstClr val="black"/>
              </a:solidFill>
            </a:ln>
          </c:spPr>
          <c:cat>
            <c:strRef>
              <c:f>'SDI 2013-2014'!$B$6:$B$9</c:f>
              <c:strCache>
                <c:ptCount val="4"/>
                <c:pt idx="0">
                  <c:v>januar</c:v>
                </c:pt>
                <c:pt idx="1">
                  <c:v>februar</c:v>
                </c:pt>
                <c:pt idx="2">
                  <c:v>mart</c:v>
                </c:pt>
                <c:pt idx="3">
                  <c:v>april</c:v>
                </c:pt>
              </c:strCache>
            </c:strRef>
          </c:cat>
          <c:val>
            <c:numRef>
              <c:f>'SDI 2013-2014'!$E$6:$E$9</c:f>
              <c:numCache>
                <c:formatCode>#,##0.00</c:formatCode>
                <c:ptCount val="4"/>
                <c:pt idx="0">
                  <c:v>6560302.5300000012</c:v>
                </c:pt>
                <c:pt idx="1">
                  <c:v>19478189.93</c:v>
                </c:pt>
                <c:pt idx="2">
                  <c:v>39496029.809999995</c:v>
                </c:pt>
                <c:pt idx="3">
                  <c:v>17076705.57</c:v>
                </c:pt>
              </c:numCache>
            </c:numRef>
          </c:val>
        </c:ser>
        <c:ser>
          <c:idx val="1"/>
          <c:order val="1"/>
          <c:tx>
            <c:v>2014</c:v>
          </c:tx>
          <c:spPr>
            <a:ln>
              <a:solidFill>
                <a:prstClr val="black"/>
              </a:solidFill>
            </a:ln>
          </c:spPr>
          <c:cat>
            <c:strRef>
              <c:f>'SDI 2013-2014'!$B$6:$B$9</c:f>
              <c:strCache>
                <c:ptCount val="4"/>
                <c:pt idx="0">
                  <c:v>januar</c:v>
                </c:pt>
                <c:pt idx="1">
                  <c:v>februar</c:v>
                </c:pt>
                <c:pt idx="2">
                  <c:v>mart</c:v>
                </c:pt>
                <c:pt idx="3">
                  <c:v>april</c:v>
                </c:pt>
              </c:strCache>
            </c:strRef>
          </c:cat>
          <c:val>
            <c:numRef>
              <c:f>'SDI 2013-2014'!$H$6:$H$9</c:f>
              <c:numCache>
                <c:formatCode>#,##0.00</c:formatCode>
                <c:ptCount val="4"/>
                <c:pt idx="0">
                  <c:v>17014486.699999999</c:v>
                </c:pt>
                <c:pt idx="1">
                  <c:v>28849392.009999994</c:v>
                </c:pt>
                <c:pt idx="2">
                  <c:v>32090293.239999998</c:v>
                </c:pt>
                <c:pt idx="3">
                  <c:v>16554229.399999999</c:v>
                </c:pt>
              </c:numCache>
            </c:numRef>
          </c:val>
        </c:ser>
        <c:gapWidth val="30"/>
        <c:overlap val="-5"/>
        <c:axId val="48002176"/>
        <c:axId val="48003712"/>
      </c:barChart>
      <c:catAx>
        <c:axId val="48002176"/>
        <c:scaling>
          <c:orientation val="minMax"/>
        </c:scaling>
        <c:axPos val="b"/>
        <c:numFmt formatCode="#,##0.00" sourceLinked="1"/>
        <c:tickLblPos val="nextTo"/>
        <c:txPr>
          <a:bodyPr rot="0" vert="horz"/>
          <a:lstStyle/>
          <a:p>
            <a:pPr>
              <a:defRPr lang="sr-Latn-CS" sz="700" b="0" i="1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CS"/>
          </a:p>
        </c:txPr>
        <c:crossAx val="48003712"/>
        <c:crosses val="autoZero"/>
        <c:auto val="1"/>
        <c:lblAlgn val="ctr"/>
        <c:lblOffset val="100"/>
      </c:catAx>
      <c:valAx>
        <c:axId val="48003712"/>
        <c:scaling>
          <c:orientation val="minMax"/>
        </c:scaling>
        <c:axPos val="l"/>
        <c:numFmt formatCode="#,##0.0" sourceLinked="0"/>
        <c:tickLblPos val="nextTo"/>
        <c:txPr>
          <a:bodyPr rot="0" vert="horz"/>
          <a:lstStyle/>
          <a:p>
            <a:pPr>
              <a:defRPr lang="sr-Latn-CS" sz="7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CS"/>
          </a:p>
        </c:txPr>
        <c:crossAx val="48002176"/>
        <c:crosses val="autoZero"/>
        <c:crossBetween val="between"/>
        <c:dispUnits>
          <c:builtInUnit val="millions"/>
          <c:dispUnitsLbl>
            <c:txPr>
              <a:bodyPr rot="-5400000" vert="horz"/>
              <a:lstStyle/>
              <a:p>
                <a:pPr algn="ctr">
                  <a:defRPr lang="sr-Latn-CS" sz="900" b="1" i="1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CS"/>
              </a:p>
            </c:txPr>
          </c:dispUnitsLbl>
        </c:dispUnits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700" b="0" i="1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CS"/>
          </a:p>
        </c:txPr>
      </c:legendEntry>
      <c:legendEntry>
        <c:idx val="1"/>
        <c:txPr>
          <a:bodyPr/>
          <a:lstStyle/>
          <a:p>
            <a:pPr>
              <a:defRPr sz="700" b="0" i="1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CS"/>
          </a:p>
        </c:txPr>
      </c:legendEntry>
      <c:layout>
        <c:manualLayout>
          <c:xMode val="edge"/>
          <c:yMode val="edge"/>
          <c:x val="0.14640913600346508"/>
          <c:y val="0.12693498452012503"/>
          <c:w val="0.77900710099956261"/>
          <c:h val="8.3591331269350228E-2"/>
        </c:manualLayout>
      </c:layout>
      <c:txPr>
        <a:bodyPr/>
        <a:lstStyle/>
        <a:p>
          <a:pPr>
            <a:defRPr lang="sr-Latn-CS" sz="825" b="0" i="1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CS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900" b="0" i="1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CS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0.11265</cdr:x>
      <cdr:y>0.15167</cdr:y>
    </cdr:from>
    <cdr:to>
      <cdr:x>0.44444</cdr:x>
      <cdr:y>0.23136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15056" y="416278"/>
          <a:ext cx="1516945" cy="218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sr-Latn-CS" sz="1100"/>
        </a:p>
      </cdr:txBody>
    </cdr:sp>
  </cdr:relSizeAnchor>
  <cdr:relSizeAnchor xmlns:cdr="http://schemas.openxmlformats.org/drawingml/2006/chartDrawing">
    <cdr:from>
      <cdr:x>0.23372</cdr:x>
      <cdr:y>0.05832</cdr:y>
    </cdr:from>
    <cdr:to>
      <cdr:x>0.43372</cdr:x>
      <cdr:y>0.1303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87999" y="117579"/>
          <a:ext cx="417600" cy="1451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CS" sz="700"/>
            <a:t>broj</a:t>
          </a:r>
          <a:r>
            <a:rPr lang="sr-Latn-CS" sz="700" baseline="0"/>
            <a:t> zaposlenih</a:t>
          </a:r>
          <a:endParaRPr lang="sr-Latn-CS" sz="800"/>
        </a:p>
      </cdr:txBody>
    </cdr:sp>
  </cdr:relSizeAnchor>
  <cdr:relSizeAnchor xmlns:cdr="http://schemas.openxmlformats.org/drawingml/2006/chartDrawing">
    <cdr:from>
      <cdr:x>0.20919</cdr:x>
      <cdr:y>0.70696</cdr:y>
    </cdr:from>
    <cdr:to>
      <cdr:x>0.66199</cdr:x>
      <cdr:y>0.78395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15084" y="1473893"/>
          <a:ext cx="898468" cy="1605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36000" rIns="36000" rtlCol="0"/>
        <a:lstStyle xmlns:a="http://schemas.openxmlformats.org/drawingml/2006/main"/>
        <a:p xmlns:a="http://schemas.openxmlformats.org/drawingml/2006/main">
          <a:r>
            <a:rPr lang="sr-Latn-CS" sz="700"/>
            <a:t>broj</a:t>
          </a:r>
          <a:r>
            <a:rPr lang="sr-Latn-CS" sz="700" baseline="0"/>
            <a:t> nezaposlenih</a:t>
          </a:r>
          <a:endParaRPr lang="sr-Latn-CS" sz="7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EF90D-A054-4D7A-B4B9-9655857B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milos.popovic;Iva Radovan</dc:creator>
  <cp:lastModifiedBy>radovan.zivkovic</cp:lastModifiedBy>
  <cp:revision>4</cp:revision>
  <cp:lastPrinted>2014-01-16T09:51:00Z</cp:lastPrinted>
  <dcterms:created xsi:type="dcterms:W3CDTF">2014-07-10T13:23:00Z</dcterms:created>
  <dcterms:modified xsi:type="dcterms:W3CDTF">2014-07-10T13:36:00Z</dcterms:modified>
</cp:coreProperties>
</file>