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484B5B" w14:textId="1740DA3E" w:rsidR="003634F4" w:rsidRPr="001C58C6" w:rsidRDefault="006362BE">
      <w:pPr>
        <w:pStyle w:val="TOCHeading"/>
        <w:rPr>
          <w:rFonts w:ascii="Calibri" w:hAnsi="Calibri" w:cs="Calibri"/>
          <w:color w:val="000000" w:themeColor="text1"/>
          <w:sz w:val="24"/>
          <w:lang w:val="sr-Latn-ME"/>
        </w:rPr>
      </w:pPr>
      <w:r>
        <w:rPr>
          <w:rFonts w:ascii="Calibri" w:hAnsi="Calibri" w:cs="Calibri"/>
          <w:noProof/>
          <w:color w:val="000000" w:themeColor="text1"/>
          <w:sz w:val="24"/>
          <w:lang w:val="sr-Latn-ME"/>
        </w:rPr>
        <w:drawing>
          <wp:anchor distT="0" distB="0" distL="114300" distR="114300" simplePos="0" relativeHeight="251659264" behindDoc="1" locked="0" layoutInCell="1" allowOverlap="1" wp14:anchorId="5AC4A0BB" wp14:editId="03709902">
            <wp:simplePos x="0" y="0"/>
            <wp:positionH relativeFrom="column">
              <wp:posOffset>-899160</wp:posOffset>
            </wp:positionH>
            <wp:positionV relativeFrom="paragraph">
              <wp:posOffset>-883920</wp:posOffset>
            </wp:positionV>
            <wp:extent cx="7566551" cy="10675620"/>
            <wp:effectExtent l="0" t="0" r="0" b="0"/>
            <wp:wrapNone/>
            <wp:docPr id="1177802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02064" name="Picture 1177802064"/>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4480" cy="10715025"/>
                    </a:xfrm>
                    <a:prstGeom prst="rect">
                      <a:avLst/>
                    </a:prstGeom>
                  </pic:spPr>
                </pic:pic>
              </a:graphicData>
            </a:graphic>
            <wp14:sizeRelH relativeFrom="margin">
              <wp14:pctWidth>0</wp14:pctWidth>
            </wp14:sizeRelH>
            <wp14:sizeRelV relativeFrom="margin">
              <wp14:pctHeight>0</wp14:pctHeight>
            </wp14:sizeRelV>
          </wp:anchor>
        </w:drawing>
      </w:r>
    </w:p>
    <w:p w14:paraId="397FC963" w14:textId="77777777" w:rsidR="003634F4" w:rsidRPr="001C58C6" w:rsidRDefault="003634F4">
      <w:pPr>
        <w:jc w:val="left"/>
        <w:rPr>
          <w:rFonts w:ascii="Calibri" w:hAnsi="Calibri" w:cs="Calibri"/>
          <w:color w:val="000000" w:themeColor="text1"/>
        </w:rPr>
      </w:pPr>
      <w:r w:rsidRPr="001C58C6">
        <w:rPr>
          <w:rFonts w:ascii="Calibri" w:hAnsi="Calibri" w:cs="Calibri"/>
          <w:color w:val="000000" w:themeColor="text1"/>
        </w:rPr>
        <w:br w:type="page"/>
      </w:r>
    </w:p>
    <w:sdt>
      <w:sdtPr>
        <w:rPr>
          <w:rFonts w:ascii="Calibri" w:eastAsiaTheme="minorEastAsia" w:hAnsi="Calibri" w:cs="Calibri"/>
          <w:b w:val="0"/>
          <w:color w:val="000000" w:themeColor="text1"/>
          <w:sz w:val="24"/>
          <w:szCs w:val="22"/>
          <w:lang w:val="sr-Latn-ME"/>
        </w:rPr>
        <w:id w:val="-181747516"/>
        <w:docPartObj>
          <w:docPartGallery w:val="Table of Contents"/>
          <w:docPartUnique/>
        </w:docPartObj>
      </w:sdtPr>
      <w:sdtEndPr>
        <w:rPr>
          <w:bCs/>
        </w:rPr>
      </w:sdtEndPr>
      <w:sdtContent>
        <w:p w14:paraId="765DA0F2" w14:textId="77777777" w:rsidR="000039EA" w:rsidRPr="001C58C6" w:rsidRDefault="000039EA" w:rsidP="00E630B7">
          <w:pPr>
            <w:pStyle w:val="TOCHeading"/>
            <w:rPr>
              <w:rFonts w:ascii="Calibri" w:hAnsi="Calibri" w:cs="Calibri"/>
              <w:color w:val="000000" w:themeColor="text1"/>
              <w:sz w:val="36"/>
              <w:lang w:val="sr-Latn-ME"/>
            </w:rPr>
          </w:pPr>
          <w:r w:rsidRPr="001C58C6">
            <w:rPr>
              <w:rFonts w:ascii="Calibri" w:hAnsi="Calibri" w:cs="Calibri"/>
              <w:color w:val="000000" w:themeColor="text1"/>
              <w:sz w:val="36"/>
              <w:lang w:val="sr-Latn-ME"/>
            </w:rPr>
            <w:t>SADRŽAJ</w:t>
          </w:r>
        </w:p>
        <w:p w14:paraId="5EA03173" w14:textId="17616B2F" w:rsidR="00891EB6" w:rsidRDefault="000039EA">
          <w:pPr>
            <w:pStyle w:val="TOC1"/>
            <w:rPr>
              <w:noProof/>
              <w:sz w:val="22"/>
              <w:lang w:val="en-US"/>
            </w:rPr>
          </w:pPr>
          <w:r w:rsidRPr="001C58C6">
            <w:rPr>
              <w:rFonts w:ascii="Calibri" w:hAnsi="Calibri" w:cs="Calibri"/>
              <w:color w:val="000000" w:themeColor="text1"/>
            </w:rPr>
            <w:fldChar w:fldCharType="begin"/>
          </w:r>
          <w:r w:rsidRPr="001C58C6">
            <w:rPr>
              <w:rFonts w:ascii="Calibri" w:hAnsi="Calibri" w:cs="Calibri"/>
              <w:color w:val="000000" w:themeColor="text1"/>
            </w:rPr>
            <w:instrText xml:space="preserve"> TOC \o "1-3" \h \z \u </w:instrText>
          </w:r>
          <w:r w:rsidRPr="001C58C6">
            <w:rPr>
              <w:rFonts w:ascii="Calibri" w:hAnsi="Calibri" w:cs="Calibri"/>
              <w:color w:val="000000" w:themeColor="text1"/>
            </w:rPr>
            <w:fldChar w:fldCharType="separate"/>
          </w:r>
          <w:hyperlink w:anchor="_Toc233711722" w:history="1">
            <w:r w:rsidR="00891EB6" w:rsidRPr="00924ADB">
              <w:rPr>
                <w:rStyle w:val="Hyperlink"/>
                <w:rFonts w:ascii="Calibri" w:hAnsi="Calibri" w:cs="Calibri"/>
                <w:noProof/>
              </w:rPr>
              <w:t>UVOD</w:t>
            </w:r>
            <w:r w:rsidR="00891EB6">
              <w:rPr>
                <w:noProof/>
                <w:webHidden/>
              </w:rPr>
              <w:tab/>
            </w:r>
            <w:r w:rsidR="00891EB6">
              <w:rPr>
                <w:noProof/>
                <w:webHidden/>
              </w:rPr>
              <w:fldChar w:fldCharType="begin"/>
            </w:r>
            <w:r w:rsidR="00891EB6">
              <w:rPr>
                <w:noProof/>
                <w:webHidden/>
              </w:rPr>
              <w:instrText xml:space="preserve"> PAGEREF _Toc233711722 \h </w:instrText>
            </w:r>
            <w:r w:rsidR="00891EB6">
              <w:rPr>
                <w:noProof/>
                <w:webHidden/>
              </w:rPr>
            </w:r>
            <w:r w:rsidR="00891EB6">
              <w:rPr>
                <w:noProof/>
                <w:webHidden/>
              </w:rPr>
              <w:fldChar w:fldCharType="separate"/>
            </w:r>
            <w:r w:rsidR="00891EB6">
              <w:rPr>
                <w:noProof/>
                <w:webHidden/>
              </w:rPr>
              <w:t>7</w:t>
            </w:r>
            <w:r w:rsidR="00891EB6">
              <w:rPr>
                <w:noProof/>
                <w:webHidden/>
              </w:rPr>
              <w:fldChar w:fldCharType="end"/>
            </w:r>
          </w:hyperlink>
        </w:p>
        <w:p w14:paraId="4295FCF4" w14:textId="180C51CF" w:rsidR="00891EB6" w:rsidRDefault="00891EB6">
          <w:pPr>
            <w:pStyle w:val="TOC1"/>
            <w:tabs>
              <w:tab w:val="left" w:pos="480"/>
            </w:tabs>
            <w:rPr>
              <w:noProof/>
              <w:sz w:val="22"/>
              <w:lang w:val="en-US"/>
            </w:rPr>
          </w:pPr>
          <w:hyperlink w:anchor="_Toc233711723" w:history="1">
            <w:r w:rsidRPr="00924ADB">
              <w:rPr>
                <w:rStyle w:val="Hyperlink"/>
                <w:rFonts w:ascii="Calibri" w:hAnsi="Calibri" w:cs="Calibri"/>
                <w:noProof/>
              </w:rPr>
              <w:t>1.</w:t>
            </w:r>
            <w:r>
              <w:rPr>
                <w:noProof/>
                <w:sz w:val="22"/>
                <w:lang w:val="en-US"/>
              </w:rPr>
              <w:tab/>
            </w:r>
            <w:r w:rsidRPr="00924ADB">
              <w:rPr>
                <w:rStyle w:val="Hyperlink"/>
                <w:rFonts w:ascii="Calibri" w:hAnsi="Calibri" w:cs="Calibri"/>
                <w:noProof/>
              </w:rPr>
              <w:t>ANALIZA STANJA</w:t>
            </w:r>
            <w:r>
              <w:rPr>
                <w:noProof/>
                <w:webHidden/>
              </w:rPr>
              <w:tab/>
            </w:r>
            <w:r>
              <w:rPr>
                <w:noProof/>
                <w:webHidden/>
              </w:rPr>
              <w:fldChar w:fldCharType="begin"/>
            </w:r>
            <w:r>
              <w:rPr>
                <w:noProof/>
                <w:webHidden/>
              </w:rPr>
              <w:instrText xml:space="preserve"> PAGEREF _Toc233711723 \h </w:instrText>
            </w:r>
            <w:r>
              <w:rPr>
                <w:noProof/>
                <w:webHidden/>
              </w:rPr>
            </w:r>
            <w:r>
              <w:rPr>
                <w:noProof/>
                <w:webHidden/>
              </w:rPr>
              <w:fldChar w:fldCharType="separate"/>
            </w:r>
            <w:r>
              <w:rPr>
                <w:noProof/>
                <w:webHidden/>
              </w:rPr>
              <w:t>10</w:t>
            </w:r>
            <w:r>
              <w:rPr>
                <w:noProof/>
                <w:webHidden/>
              </w:rPr>
              <w:fldChar w:fldCharType="end"/>
            </w:r>
          </w:hyperlink>
        </w:p>
        <w:p w14:paraId="0F15FBA7" w14:textId="7007874B" w:rsidR="00891EB6" w:rsidRDefault="00891EB6">
          <w:pPr>
            <w:pStyle w:val="TOC3"/>
            <w:tabs>
              <w:tab w:val="right" w:leader="dot" w:pos="9016"/>
            </w:tabs>
            <w:rPr>
              <w:noProof/>
              <w:sz w:val="22"/>
              <w:lang w:val="en-US"/>
            </w:rPr>
          </w:pPr>
          <w:hyperlink w:anchor="_Toc233711724" w:history="1">
            <w:r w:rsidRPr="00924ADB">
              <w:rPr>
                <w:rStyle w:val="Hyperlink"/>
                <w:rFonts w:ascii="Calibri" w:hAnsi="Calibri" w:cs="Calibri"/>
                <w:noProof/>
              </w:rPr>
              <w:t>Sistematizacija izazova, uzroka i posljedica</w:t>
            </w:r>
            <w:r>
              <w:rPr>
                <w:noProof/>
                <w:webHidden/>
              </w:rPr>
              <w:tab/>
            </w:r>
            <w:r>
              <w:rPr>
                <w:noProof/>
                <w:webHidden/>
              </w:rPr>
              <w:fldChar w:fldCharType="begin"/>
            </w:r>
            <w:r>
              <w:rPr>
                <w:noProof/>
                <w:webHidden/>
              </w:rPr>
              <w:instrText xml:space="preserve"> PAGEREF _Toc233711724 \h </w:instrText>
            </w:r>
            <w:r>
              <w:rPr>
                <w:noProof/>
                <w:webHidden/>
              </w:rPr>
            </w:r>
            <w:r>
              <w:rPr>
                <w:noProof/>
                <w:webHidden/>
              </w:rPr>
              <w:fldChar w:fldCharType="separate"/>
            </w:r>
            <w:r>
              <w:rPr>
                <w:noProof/>
                <w:webHidden/>
              </w:rPr>
              <w:t>10</w:t>
            </w:r>
            <w:r>
              <w:rPr>
                <w:noProof/>
                <w:webHidden/>
              </w:rPr>
              <w:fldChar w:fldCharType="end"/>
            </w:r>
          </w:hyperlink>
        </w:p>
        <w:p w14:paraId="5963F56E" w14:textId="6D0F7B7B" w:rsidR="00891EB6" w:rsidRDefault="00891EB6">
          <w:pPr>
            <w:pStyle w:val="TOC2"/>
            <w:tabs>
              <w:tab w:val="right" w:leader="dot" w:pos="9016"/>
            </w:tabs>
            <w:rPr>
              <w:noProof/>
              <w:sz w:val="22"/>
              <w:lang w:val="en-US"/>
            </w:rPr>
          </w:pPr>
          <w:hyperlink w:anchor="_Toc233711725" w:history="1">
            <w:r w:rsidRPr="00924ADB">
              <w:rPr>
                <w:rStyle w:val="Hyperlink"/>
                <w:rFonts w:ascii="Calibri" w:hAnsi="Calibri" w:cs="Calibri"/>
                <w:noProof/>
              </w:rPr>
              <w:t>1.1 STANJE KVALITETA VAZDUHA U CRNOJ GORI</w:t>
            </w:r>
            <w:r>
              <w:rPr>
                <w:noProof/>
                <w:webHidden/>
              </w:rPr>
              <w:tab/>
            </w:r>
            <w:r>
              <w:rPr>
                <w:noProof/>
                <w:webHidden/>
              </w:rPr>
              <w:fldChar w:fldCharType="begin"/>
            </w:r>
            <w:r>
              <w:rPr>
                <w:noProof/>
                <w:webHidden/>
              </w:rPr>
              <w:instrText xml:space="preserve"> PAGEREF _Toc233711725 \h </w:instrText>
            </w:r>
            <w:r>
              <w:rPr>
                <w:noProof/>
                <w:webHidden/>
              </w:rPr>
            </w:r>
            <w:r>
              <w:rPr>
                <w:noProof/>
                <w:webHidden/>
              </w:rPr>
              <w:fldChar w:fldCharType="separate"/>
            </w:r>
            <w:r>
              <w:rPr>
                <w:noProof/>
                <w:webHidden/>
              </w:rPr>
              <w:t>11</w:t>
            </w:r>
            <w:r>
              <w:rPr>
                <w:noProof/>
                <w:webHidden/>
              </w:rPr>
              <w:fldChar w:fldCharType="end"/>
            </w:r>
          </w:hyperlink>
        </w:p>
        <w:p w14:paraId="6ACB6CE7" w14:textId="7425DCB8" w:rsidR="00891EB6" w:rsidRDefault="00891EB6">
          <w:pPr>
            <w:pStyle w:val="TOC2"/>
            <w:tabs>
              <w:tab w:val="right" w:leader="dot" w:pos="9016"/>
            </w:tabs>
            <w:rPr>
              <w:noProof/>
              <w:sz w:val="22"/>
              <w:lang w:val="en-US"/>
            </w:rPr>
          </w:pPr>
          <w:hyperlink w:anchor="_Toc233711726" w:history="1">
            <w:r w:rsidRPr="00924ADB">
              <w:rPr>
                <w:rStyle w:val="Hyperlink"/>
                <w:rFonts w:ascii="Calibri" w:hAnsi="Calibri" w:cs="Calibri"/>
                <w:noProof/>
              </w:rPr>
              <w:t>1.2 POREĐENJE AKTUELNOG STANJA KVALITETA VAZDUHA SA PRETHODNIM PERIODOM (2009.-2018. GODINA)</w:t>
            </w:r>
            <w:r>
              <w:rPr>
                <w:noProof/>
                <w:webHidden/>
              </w:rPr>
              <w:tab/>
            </w:r>
            <w:r>
              <w:rPr>
                <w:noProof/>
                <w:webHidden/>
              </w:rPr>
              <w:fldChar w:fldCharType="begin"/>
            </w:r>
            <w:r>
              <w:rPr>
                <w:noProof/>
                <w:webHidden/>
              </w:rPr>
              <w:instrText xml:space="preserve"> PAGEREF _Toc233711726 \h </w:instrText>
            </w:r>
            <w:r>
              <w:rPr>
                <w:noProof/>
                <w:webHidden/>
              </w:rPr>
            </w:r>
            <w:r>
              <w:rPr>
                <w:noProof/>
                <w:webHidden/>
              </w:rPr>
              <w:fldChar w:fldCharType="separate"/>
            </w:r>
            <w:r>
              <w:rPr>
                <w:noProof/>
                <w:webHidden/>
              </w:rPr>
              <w:t>19</w:t>
            </w:r>
            <w:r>
              <w:rPr>
                <w:noProof/>
                <w:webHidden/>
              </w:rPr>
              <w:fldChar w:fldCharType="end"/>
            </w:r>
          </w:hyperlink>
        </w:p>
        <w:p w14:paraId="191DC1FF" w14:textId="5137C5F3" w:rsidR="00891EB6" w:rsidRDefault="00891EB6">
          <w:pPr>
            <w:pStyle w:val="TOC2"/>
            <w:tabs>
              <w:tab w:val="right" w:leader="dot" w:pos="9016"/>
            </w:tabs>
            <w:rPr>
              <w:noProof/>
              <w:sz w:val="22"/>
              <w:lang w:val="en-US"/>
            </w:rPr>
          </w:pPr>
          <w:hyperlink w:anchor="_Toc233711727" w:history="1">
            <w:r w:rsidRPr="00924ADB">
              <w:rPr>
                <w:rStyle w:val="Hyperlink"/>
                <w:rFonts w:ascii="Calibri" w:hAnsi="Calibri" w:cs="Calibri"/>
                <w:noProof/>
              </w:rPr>
              <w:t>1.3 KRATAK PREGLED PODATAKA IZ INVENTARA O EMISIJAMA ZAGAĐUJUĆIH MATERIJA U VAZDUH</w:t>
            </w:r>
            <w:r>
              <w:rPr>
                <w:noProof/>
                <w:webHidden/>
              </w:rPr>
              <w:tab/>
            </w:r>
            <w:r>
              <w:rPr>
                <w:noProof/>
                <w:webHidden/>
              </w:rPr>
              <w:fldChar w:fldCharType="begin"/>
            </w:r>
            <w:r>
              <w:rPr>
                <w:noProof/>
                <w:webHidden/>
              </w:rPr>
              <w:instrText xml:space="preserve"> PAGEREF _Toc233711727 \h </w:instrText>
            </w:r>
            <w:r>
              <w:rPr>
                <w:noProof/>
                <w:webHidden/>
              </w:rPr>
            </w:r>
            <w:r>
              <w:rPr>
                <w:noProof/>
                <w:webHidden/>
              </w:rPr>
              <w:fldChar w:fldCharType="separate"/>
            </w:r>
            <w:r>
              <w:rPr>
                <w:noProof/>
                <w:webHidden/>
              </w:rPr>
              <w:t>20</w:t>
            </w:r>
            <w:r>
              <w:rPr>
                <w:noProof/>
                <w:webHidden/>
              </w:rPr>
              <w:fldChar w:fldCharType="end"/>
            </w:r>
          </w:hyperlink>
        </w:p>
        <w:p w14:paraId="25A812A7" w14:textId="74369CAA" w:rsidR="00891EB6" w:rsidRDefault="00891EB6">
          <w:pPr>
            <w:pStyle w:val="TOC2"/>
            <w:tabs>
              <w:tab w:val="left" w:pos="880"/>
              <w:tab w:val="right" w:leader="dot" w:pos="9016"/>
            </w:tabs>
            <w:rPr>
              <w:noProof/>
              <w:sz w:val="22"/>
              <w:lang w:val="en-US"/>
            </w:rPr>
          </w:pPr>
          <w:hyperlink w:anchor="_Toc233711728" w:history="1">
            <w:r w:rsidRPr="00924ADB">
              <w:rPr>
                <w:rStyle w:val="Hyperlink"/>
                <w:rFonts w:ascii="Calibri" w:hAnsi="Calibri" w:cs="Calibri"/>
                <w:noProof/>
              </w:rPr>
              <w:t>1.4</w:t>
            </w:r>
            <w:r>
              <w:rPr>
                <w:noProof/>
                <w:sz w:val="22"/>
                <w:lang w:val="en-US"/>
              </w:rPr>
              <w:tab/>
            </w:r>
            <w:r w:rsidRPr="00924ADB">
              <w:rPr>
                <w:rStyle w:val="Hyperlink"/>
                <w:rFonts w:ascii="Calibri" w:hAnsi="Calibri" w:cs="Calibri"/>
                <w:noProof/>
              </w:rPr>
              <w:t>UTICAJ KVALITETA VAZDUHA NA ZDRAVLJE</w:t>
            </w:r>
            <w:r>
              <w:rPr>
                <w:noProof/>
                <w:webHidden/>
              </w:rPr>
              <w:tab/>
            </w:r>
            <w:r>
              <w:rPr>
                <w:noProof/>
                <w:webHidden/>
              </w:rPr>
              <w:fldChar w:fldCharType="begin"/>
            </w:r>
            <w:r>
              <w:rPr>
                <w:noProof/>
                <w:webHidden/>
              </w:rPr>
              <w:instrText xml:space="preserve"> PAGEREF _Toc233711728 \h </w:instrText>
            </w:r>
            <w:r>
              <w:rPr>
                <w:noProof/>
                <w:webHidden/>
              </w:rPr>
            </w:r>
            <w:r>
              <w:rPr>
                <w:noProof/>
                <w:webHidden/>
              </w:rPr>
              <w:fldChar w:fldCharType="separate"/>
            </w:r>
            <w:r>
              <w:rPr>
                <w:noProof/>
                <w:webHidden/>
              </w:rPr>
              <w:t>21</w:t>
            </w:r>
            <w:r>
              <w:rPr>
                <w:noProof/>
                <w:webHidden/>
              </w:rPr>
              <w:fldChar w:fldCharType="end"/>
            </w:r>
          </w:hyperlink>
        </w:p>
        <w:p w14:paraId="3BE0614B" w14:textId="662614D1" w:rsidR="00891EB6" w:rsidRDefault="00891EB6">
          <w:pPr>
            <w:pStyle w:val="TOC3"/>
            <w:tabs>
              <w:tab w:val="right" w:leader="dot" w:pos="9016"/>
            </w:tabs>
            <w:rPr>
              <w:noProof/>
              <w:sz w:val="22"/>
              <w:lang w:val="en-US"/>
            </w:rPr>
          </w:pPr>
          <w:hyperlink w:anchor="_Toc233711729" w:history="1">
            <w:r w:rsidRPr="00924ADB">
              <w:rPr>
                <w:rStyle w:val="Hyperlink"/>
                <w:rFonts w:ascii="Calibri" w:hAnsi="Calibri" w:cs="Calibri"/>
                <w:noProof/>
              </w:rPr>
              <w:t>1.4.1 Poređenje kvaliteta vazduha i uticaja zagađenja na zdravlje u Crnoj Gori sa regionom i državama članicama EU</w:t>
            </w:r>
            <w:r>
              <w:rPr>
                <w:noProof/>
                <w:webHidden/>
              </w:rPr>
              <w:tab/>
            </w:r>
            <w:r>
              <w:rPr>
                <w:noProof/>
                <w:webHidden/>
              </w:rPr>
              <w:fldChar w:fldCharType="begin"/>
            </w:r>
            <w:r>
              <w:rPr>
                <w:noProof/>
                <w:webHidden/>
              </w:rPr>
              <w:instrText xml:space="preserve"> PAGEREF _Toc233711729 \h </w:instrText>
            </w:r>
            <w:r>
              <w:rPr>
                <w:noProof/>
                <w:webHidden/>
              </w:rPr>
            </w:r>
            <w:r>
              <w:rPr>
                <w:noProof/>
                <w:webHidden/>
              </w:rPr>
              <w:fldChar w:fldCharType="separate"/>
            </w:r>
            <w:r>
              <w:rPr>
                <w:noProof/>
                <w:webHidden/>
              </w:rPr>
              <w:t>21</w:t>
            </w:r>
            <w:r>
              <w:rPr>
                <w:noProof/>
                <w:webHidden/>
              </w:rPr>
              <w:fldChar w:fldCharType="end"/>
            </w:r>
          </w:hyperlink>
        </w:p>
        <w:p w14:paraId="2A013ECF" w14:textId="4CD0F14D" w:rsidR="00891EB6" w:rsidRDefault="00891EB6">
          <w:pPr>
            <w:pStyle w:val="TOC3"/>
            <w:tabs>
              <w:tab w:val="right" w:leader="dot" w:pos="9016"/>
            </w:tabs>
            <w:rPr>
              <w:noProof/>
              <w:sz w:val="22"/>
              <w:lang w:val="en-US"/>
            </w:rPr>
          </w:pPr>
          <w:hyperlink w:anchor="_Toc233711730" w:history="1">
            <w:r w:rsidRPr="00924ADB">
              <w:rPr>
                <w:rStyle w:val="Hyperlink"/>
                <w:rFonts w:ascii="Calibri" w:hAnsi="Calibri" w:cs="Calibri"/>
                <w:noProof/>
              </w:rPr>
              <w:t>Rodna i socijalna dimenzija uticaja zagađenja vazduha</w:t>
            </w:r>
            <w:r>
              <w:rPr>
                <w:noProof/>
                <w:webHidden/>
              </w:rPr>
              <w:tab/>
            </w:r>
            <w:r>
              <w:rPr>
                <w:noProof/>
                <w:webHidden/>
              </w:rPr>
              <w:fldChar w:fldCharType="begin"/>
            </w:r>
            <w:r>
              <w:rPr>
                <w:noProof/>
                <w:webHidden/>
              </w:rPr>
              <w:instrText xml:space="preserve"> PAGEREF _Toc233711730 \h </w:instrText>
            </w:r>
            <w:r>
              <w:rPr>
                <w:noProof/>
                <w:webHidden/>
              </w:rPr>
            </w:r>
            <w:r>
              <w:rPr>
                <w:noProof/>
                <w:webHidden/>
              </w:rPr>
              <w:fldChar w:fldCharType="separate"/>
            </w:r>
            <w:r>
              <w:rPr>
                <w:noProof/>
                <w:webHidden/>
              </w:rPr>
              <w:t>23</w:t>
            </w:r>
            <w:r>
              <w:rPr>
                <w:noProof/>
                <w:webHidden/>
              </w:rPr>
              <w:fldChar w:fldCharType="end"/>
            </w:r>
          </w:hyperlink>
        </w:p>
        <w:p w14:paraId="0CD34665" w14:textId="4DD47861" w:rsidR="00891EB6" w:rsidRDefault="00891EB6">
          <w:pPr>
            <w:pStyle w:val="TOC2"/>
            <w:tabs>
              <w:tab w:val="right" w:leader="dot" w:pos="9016"/>
            </w:tabs>
            <w:rPr>
              <w:noProof/>
              <w:sz w:val="22"/>
              <w:lang w:val="en-US"/>
            </w:rPr>
          </w:pPr>
          <w:hyperlink w:anchor="_Toc233711731" w:history="1">
            <w:r w:rsidRPr="00924ADB">
              <w:rPr>
                <w:rStyle w:val="Hyperlink"/>
                <w:rFonts w:ascii="Calibri" w:hAnsi="Calibri" w:cs="Calibri"/>
                <w:noProof/>
              </w:rPr>
              <w:t>1.5 ANALIZA PRETHODNIH STRATEŠKIH DOKUMENATA</w:t>
            </w:r>
            <w:r>
              <w:rPr>
                <w:noProof/>
                <w:webHidden/>
              </w:rPr>
              <w:tab/>
            </w:r>
            <w:r>
              <w:rPr>
                <w:noProof/>
                <w:webHidden/>
              </w:rPr>
              <w:fldChar w:fldCharType="begin"/>
            </w:r>
            <w:r>
              <w:rPr>
                <w:noProof/>
                <w:webHidden/>
              </w:rPr>
              <w:instrText xml:space="preserve"> PAGEREF _Toc233711731 \h </w:instrText>
            </w:r>
            <w:r>
              <w:rPr>
                <w:noProof/>
                <w:webHidden/>
              </w:rPr>
            </w:r>
            <w:r>
              <w:rPr>
                <w:noProof/>
                <w:webHidden/>
              </w:rPr>
              <w:fldChar w:fldCharType="separate"/>
            </w:r>
            <w:r>
              <w:rPr>
                <w:noProof/>
                <w:webHidden/>
              </w:rPr>
              <w:t>24</w:t>
            </w:r>
            <w:r>
              <w:rPr>
                <w:noProof/>
                <w:webHidden/>
              </w:rPr>
              <w:fldChar w:fldCharType="end"/>
            </w:r>
          </w:hyperlink>
        </w:p>
        <w:p w14:paraId="20405734" w14:textId="2051FE2D" w:rsidR="00891EB6" w:rsidRDefault="00891EB6">
          <w:pPr>
            <w:pStyle w:val="TOC2"/>
            <w:tabs>
              <w:tab w:val="right" w:leader="dot" w:pos="9016"/>
            </w:tabs>
            <w:rPr>
              <w:noProof/>
              <w:sz w:val="22"/>
              <w:lang w:val="en-US"/>
            </w:rPr>
          </w:pPr>
          <w:hyperlink w:anchor="_Toc233711732" w:history="1">
            <w:r w:rsidRPr="00924ADB">
              <w:rPr>
                <w:rStyle w:val="Hyperlink"/>
                <w:rFonts w:ascii="Calibri" w:hAnsi="Calibri" w:cs="Calibri"/>
                <w:noProof/>
              </w:rPr>
              <w:t>1.6 USKLAĐENOST SA NACIONALNIM ZAKONODAVSTVOM, STRATEŠKIM OKVIROM I ZAKONODAVSTVOM EU</w:t>
            </w:r>
            <w:r>
              <w:rPr>
                <w:noProof/>
                <w:webHidden/>
              </w:rPr>
              <w:tab/>
            </w:r>
            <w:r>
              <w:rPr>
                <w:noProof/>
                <w:webHidden/>
              </w:rPr>
              <w:fldChar w:fldCharType="begin"/>
            </w:r>
            <w:r>
              <w:rPr>
                <w:noProof/>
                <w:webHidden/>
              </w:rPr>
              <w:instrText xml:space="preserve"> PAGEREF _Toc233711732 \h </w:instrText>
            </w:r>
            <w:r>
              <w:rPr>
                <w:noProof/>
                <w:webHidden/>
              </w:rPr>
            </w:r>
            <w:r>
              <w:rPr>
                <w:noProof/>
                <w:webHidden/>
              </w:rPr>
              <w:fldChar w:fldCharType="separate"/>
            </w:r>
            <w:r>
              <w:rPr>
                <w:noProof/>
                <w:webHidden/>
              </w:rPr>
              <w:t>26</w:t>
            </w:r>
            <w:r>
              <w:rPr>
                <w:noProof/>
                <w:webHidden/>
              </w:rPr>
              <w:fldChar w:fldCharType="end"/>
            </w:r>
          </w:hyperlink>
        </w:p>
        <w:p w14:paraId="5F5E1671" w14:textId="3BE3689A" w:rsidR="00891EB6" w:rsidRDefault="00891EB6">
          <w:pPr>
            <w:pStyle w:val="TOC3"/>
            <w:tabs>
              <w:tab w:val="right" w:leader="dot" w:pos="9016"/>
            </w:tabs>
            <w:rPr>
              <w:noProof/>
              <w:sz w:val="22"/>
              <w:lang w:val="en-US"/>
            </w:rPr>
          </w:pPr>
          <w:hyperlink w:anchor="_Toc233711733" w:history="1">
            <w:r w:rsidRPr="00924ADB">
              <w:rPr>
                <w:rStyle w:val="Hyperlink"/>
                <w:rFonts w:ascii="Calibri" w:hAnsi="Calibri" w:cs="Calibri"/>
                <w:noProof/>
              </w:rPr>
              <w:t>Nacionalni zakonodavni okvir</w:t>
            </w:r>
            <w:r>
              <w:rPr>
                <w:noProof/>
                <w:webHidden/>
              </w:rPr>
              <w:tab/>
            </w:r>
            <w:r>
              <w:rPr>
                <w:noProof/>
                <w:webHidden/>
              </w:rPr>
              <w:fldChar w:fldCharType="begin"/>
            </w:r>
            <w:r>
              <w:rPr>
                <w:noProof/>
                <w:webHidden/>
              </w:rPr>
              <w:instrText xml:space="preserve"> PAGEREF _Toc233711733 \h </w:instrText>
            </w:r>
            <w:r>
              <w:rPr>
                <w:noProof/>
                <w:webHidden/>
              </w:rPr>
            </w:r>
            <w:r>
              <w:rPr>
                <w:noProof/>
                <w:webHidden/>
              </w:rPr>
              <w:fldChar w:fldCharType="separate"/>
            </w:r>
            <w:r>
              <w:rPr>
                <w:noProof/>
                <w:webHidden/>
              </w:rPr>
              <w:t>26</w:t>
            </w:r>
            <w:r>
              <w:rPr>
                <w:noProof/>
                <w:webHidden/>
              </w:rPr>
              <w:fldChar w:fldCharType="end"/>
            </w:r>
          </w:hyperlink>
        </w:p>
        <w:p w14:paraId="378FE1DD" w14:textId="1060341A" w:rsidR="00891EB6" w:rsidRDefault="00891EB6">
          <w:pPr>
            <w:pStyle w:val="TOC3"/>
            <w:tabs>
              <w:tab w:val="right" w:leader="dot" w:pos="9016"/>
            </w:tabs>
            <w:rPr>
              <w:noProof/>
              <w:sz w:val="22"/>
              <w:lang w:val="en-US"/>
            </w:rPr>
          </w:pPr>
          <w:hyperlink w:anchor="_Toc233711734" w:history="1">
            <w:r w:rsidRPr="00924ADB">
              <w:rPr>
                <w:rStyle w:val="Hyperlink"/>
                <w:rFonts w:ascii="Calibri" w:hAnsi="Calibri" w:cs="Calibri"/>
                <w:noProof/>
              </w:rPr>
              <w:t>Usklađenost sa krovnim i sektorskim strateškim dokumentima</w:t>
            </w:r>
            <w:r>
              <w:rPr>
                <w:noProof/>
                <w:webHidden/>
              </w:rPr>
              <w:tab/>
            </w:r>
            <w:r>
              <w:rPr>
                <w:noProof/>
                <w:webHidden/>
              </w:rPr>
              <w:fldChar w:fldCharType="begin"/>
            </w:r>
            <w:r>
              <w:rPr>
                <w:noProof/>
                <w:webHidden/>
              </w:rPr>
              <w:instrText xml:space="preserve"> PAGEREF _Toc233711734 \h </w:instrText>
            </w:r>
            <w:r>
              <w:rPr>
                <w:noProof/>
                <w:webHidden/>
              </w:rPr>
            </w:r>
            <w:r>
              <w:rPr>
                <w:noProof/>
                <w:webHidden/>
              </w:rPr>
              <w:fldChar w:fldCharType="separate"/>
            </w:r>
            <w:r>
              <w:rPr>
                <w:noProof/>
                <w:webHidden/>
              </w:rPr>
              <w:t>30</w:t>
            </w:r>
            <w:r>
              <w:rPr>
                <w:noProof/>
                <w:webHidden/>
              </w:rPr>
              <w:fldChar w:fldCharType="end"/>
            </w:r>
          </w:hyperlink>
        </w:p>
        <w:p w14:paraId="25D8BBF2" w14:textId="39A5D146" w:rsidR="00891EB6" w:rsidRDefault="00891EB6">
          <w:pPr>
            <w:pStyle w:val="TOC2"/>
            <w:tabs>
              <w:tab w:val="right" w:leader="dot" w:pos="9016"/>
            </w:tabs>
            <w:rPr>
              <w:noProof/>
              <w:sz w:val="22"/>
              <w:lang w:val="en-US"/>
            </w:rPr>
          </w:pPr>
          <w:hyperlink w:anchor="_Toc233711735" w:history="1">
            <w:r w:rsidRPr="00924ADB">
              <w:rPr>
                <w:rStyle w:val="Hyperlink"/>
                <w:rFonts w:ascii="Calibri" w:hAnsi="Calibri" w:cs="Calibri"/>
                <w:noProof/>
              </w:rPr>
              <w:t>1.7 MAPIRANJE ZAINTERESOVANIH STRANA</w:t>
            </w:r>
            <w:r>
              <w:rPr>
                <w:noProof/>
                <w:webHidden/>
              </w:rPr>
              <w:tab/>
            </w:r>
            <w:r>
              <w:rPr>
                <w:noProof/>
                <w:webHidden/>
              </w:rPr>
              <w:fldChar w:fldCharType="begin"/>
            </w:r>
            <w:r>
              <w:rPr>
                <w:noProof/>
                <w:webHidden/>
              </w:rPr>
              <w:instrText xml:space="preserve"> PAGEREF _Toc233711735 \h </w:instrText>
            </w:r>
            <w:r>
              <w:rPr>
                <w:noProof/>
                <w:webHidden/>
              </w:rPr>
            </w:r>
            <w:r>
              <w:rPr>
                <w:noProof/>
                <w:webHidden/>
              </w:rPr>
              <w:fldChar w:fldCharType="separate"/>
            </w:r>
            <w:r>
              <w:rPr>
                <w:noProof/>
                <w:webHidden/>
              </w:rPr>
              <w:t>31</w:t>
            </w:r>
            <w:r>
              <w:rPr>
                <w:noProof/>
                <w:webHidden/>
              </w:rPr>
              <w:fldChar w:fldCharType="end"/>
            </w:r>
          </w:hyperlink>
        </w:p>
        <w:p w14:paraId="06AEF288" w14:textId="55883237" w:rsidR="00891EB6" w:rsidRDefault="00891EB6">
          <w:pPr>
            <w:pStyle w:val="TOC2"/>
            <w:tabs>
              <w:tab w:val="right" w:leader="dot" w:pos="9016"/>
            </w:tabs>
            <w:rPr>
              <w:noProof/>
              <w:sz w:val="22"/>
              <w:lang w:val="en-US"/>
            </w:rPr>
          </w:pPr>
          <w:hyperlink w:anchor="_Toc233711736" w:history="1">
            <w:r w:rsidRPr="00924ADB">
              <w:rPr>
                <w:rStyle w:val="Hyperlink"/>
                <w:rFonts w:ascii="Calibri" w:hAnsi="Calibri" w:cs="Calibri"/>
                <w:noProof/>
              </w:rPr>
              <w:t>1.8 ANALIZA RESURSA</w:t>
            </w:r>
            <w:r>
              <w:rPr>
                <w:noProof/>
                <w:webHidden/>
              </w:rPr>
              <w:tab/>
            </w:r>
            <w:r>
              <w:rPr>
                <w:noProof/>
                <w:webHidden/>
              </w:rPr>
              <w:fldChar w:fldCharType="begin"/>
            </w:r>
            <w:r>
              <w:rPr>
                <w:noProof/>
                <w:webHidden/>
              </w:rPr>
              <w:instrText xml:space="preserve"> PAGEREF _Toc233711736 \h </w:instrText>
            </w:r>
            <w:r>
              <w:rPr>
                <w:noProof/>
                <w:webHidden/>
              </w:rPr>
            </w:r>
            <w:r>
              <w:rPr>
                <w:noProof/>
                <w:webHidden/>
              </w:rPr>
              <w:fldChar w:fldCharType="separate"/>
            </w:r>
            <w:r>
              <w:rPr>
                <w:noProof/>
                <w:webHidden/>
              </w:rPr>
              <w:t>33</w:t>
            </w:r>
            <w:r>
              <w:rPr>
                <w:noProof/>
                <w:webHidden/>
              </w:rPr>
              <w:fldChar w:fldCharType="end"/>
            </w:r>
          </w:hyperlink>
        </w:p>
        <w:p w14:paraId="009B070E" w14:textId="4B6DCB30" w:rsidR="00891EB6" w:rsidRDefault="00891EB6">
          <w:pPr>
            <w:pStyle w:val="TOC2"/>
            <w:tabs>
              <w:tab w:val="right" w:leader="dot" w:pos="9016"/>
            </w:tabs>
            <w:rPr>
              <w:noProof/>
              <w:sz w:val="22"/>
              <w:lang w:val="en-US"/>
            </w:rPr>
          </w:pPr>
          <w:hyperlink w:anchor="_Toc233711737" w:history="1">
            <w:r w:rsidRPr="00924ADB">
              <w:rPr>
                <w:rStyle w:val="Hyperlink"/>
                <w:rFonts w:ascii="Calibri" w:hAnsi="Calibri" w:cs="Calibri"/>
                <w:noProof/>
              </w:rPr>
              <w:t>1.9 SWOT ANALIZA</w:t>
            </w:r>
            <w:r>
              <w:rPr>
                <w:noProof/>
                <w:webHidden/>
              </w:rPr>
              <w:tab/>
            </w:r>
            <w:r>
              <w:rPr>
                <w:noProof/>
                <w:webHidden/>
              </w:rPr>
              <w:fldChar w:fldCharType="begin"/>
            </w:r>
            <w:r>
              <w:rPr>
                <w:noProof/>
                <w:webHidden/>
              </w:rPr>
              <w:instrText xml:space="preserve"> PAGEREF _Toc233711737 \h </w:instrText>
            </w:r>
            <w:r>
              <w:rPr>
                <w:noProof/>
                <w:webHidden/>
              </w:rPr>
            </w:r>
            <w:r>
              <w:rPr>
                <w:noProof/>
                <w:webHidden/>
              </w:rPr>
              <w:fldChar w:fldCharType="separate"/>
            </w:r>
            <w:r>
              <w:rPr>
                <w:noProof/>
                <w:webHidden/>
              </w:rPr>
              <w:t>34</w:t>
            </w:r>
            <w:r>
              <w:rPr>
                <w:noProof/>
                <w:webHidden/>
              </w:rPr>
              <w:fldChar w:fldCharType="end"/>
            </w:r>
          </w:hyperlink>
        </w:p>
        <w:p w14:paraId="566A47AD" w14:textId="7637393F" w:rsidR="00891EB6" w:rsidRDefault="00891EB6">
          <w:pPr>
            <w:pStyle w:val="TOC1"/>
            <w:tabs>
              <w:tab w:val="left" w:pos="480"/>
            </w:tabs>
            <w:rPr>
              <w:noProof/>
              <w:sz w:val="22"/>
              <w:lang w:val="en-US"/>
            </w:rPr>
          </w:pPr>
          <w:hyperlink w:anchor="_Toc233711738" w:history="1">
            <w:r w:rsidRPr="00924ADB">
              <w:rPr>
                <w:rStyle w:val="Hyperlink"/>
                <w:rFonts w:ascii="Calibri" w:hAnsi="Calibri" w:cs="Calibri"/>
                <w:noProof/>
              </w:rPr>
              <w:t>2.</w:t>
            </w:r>
            <w:r>
              <w:rPr>
                <w:noProof/>
                <w:sz w:val="22"/>
                <w:lang w:val="en-US"/>
              </w:rPr>
              <w:tab/>
            </w:r>
            <w:r w:rsidRPr="00924ADB">
              <w:rPr>
                <w:rStyle w:val="Hyperlink"/>
                <w:rFonts w:ascii="Calibri" w:hAnsi="Calibri" w:cs="Calibri"/>
                <w:noProof/>
              </w:rPr>
              <w:t>STRATEŠKI I OPERATIVNI CILJEVI</w:t>
            </w:r>
            <w:r>
              <w:rPr>
                <w:noProof/>
                <w:webHidden/>
              </w:rPr>
              <w:tab/>
            </w:r>
            <w:r>
              <w:rPr>
                <w:noProof/>
                <w:webHidden/>
              </w:rPr>
              <w:fldChar w:fldCharType="begin"/>
            </w:r>
            <w:r>
              <w:rPr>
                <w:noProof/>
                <w:webHidden/>
              </w:rPr>
              <w:instrText xml:space="preserve"> PAGEREF _Toc233711738 \h </w:instrText>
            </w:r>
            <w:r>
              <w:rPr>
                <w:noProof/>
                <w:webHidden/>
              </w:rPr>
            </w:r>
            <w:r>
              <w:rPr>
                <w:noProof/>
                <w:webHidden/>
              </w:rPr>
              <w:fldChar w:fldCharType="separate"/>
            </w:r>
            <w:r>
              <w:rPr>
                <w:noProof/>
                <w:webHidden/>
              </w:rPr>
              <w:t>35</w:t>
            </w:r>
            <w:r>
              <w:rPr>
                <w:noProof/>
                <w:webHidden/>
              </w:rPr>
              <w:fldChar w:fldCharType="end"/>
            </w:r>
          </w:hyperlink>
        </w:p>
        <w:p w14:paraId="464C9C67" w14:textId="6A313592" w:rsidR="00891EB6" w:rsidRDefault="00891EB6">
          <w:pPr>
            <w:pStyle w:val="TOC1"/>
            <w:tabs>
              <w:tab w:val="left" w:pos="480"/>
            </w:tabs>
            <w:rPr>
              <w:noProof/>
              <w:sz w:val="22"/>
              <w:lang w:val="en-US"/>
            </w:rPr>
          </w:pPr>
          <w:hyperlink w:anchor="_Toc233711739" w:history="1">
            <w:r w:rsidRPr="00924ADB">
              <w:rPr>
                <w:rStyle w:val="Hyperlink"/>
                <w:rFonts w:ascii="Calibri" w:hAnsi="Calibri" w:cs="Calibri"/>
                <w:noProof/>
              </w:rPr>
              <w:t>3.</w:t>
            </w:r>
            <w:r>
              <w:rPr>
                <w:noProof/>
                <w:sz w:val="22"/>
                <w:lang w:val="en-US"/>
              </w:rPr>
              <w:tab/>
            </w:r>
            <w:r w:rsidRPr="00924ADB">
              <w:rPr>
                <w:rStyle w:val="Hyperlink"/>
                <w:rFonts w:ascii="Calibri" w:hAnsi="Calibri" w:cs="Calibri"/>
                <w:noProof/>
              </w:rPr>
              <w:t>OPIS KLJUČNIH MJERA ZA SPROVOĐENJE OPERATIVNIH CILJEVA</w:t>
            </w:r>
            <w:r>
              <w:rPr>
                <w:noProof/>
                <w:webHidden/>
              </w:rPr>
              <w:tab/>
            </w:r>
            <w:r>
              <w:rPr>
                <w:noProof/>
                <w:webHidden/>
              </w:rPr>
              <w:fldChar w:fldCharType="begin"/>
            </w:r>
            <w:r>
              <w:rPr>
                <w:noProof/>
                <w:webHidden/>
              </w:rPr>
              <w:instrText xml:space="preserve"> PAGEREF _Toc233711739 \h </w:instrText>
            </w:r>
            <w:r>
              <w:rPr>
                <w:noProof/>
                <w:webHidden/>
              </w:rPr>
            </w:r>
            <w:r>
              <w:rPr>
                <w:noProof/>
                <w:webHidden/>
              </w:rPr>
              <w:fldChar w:fldCharType="separate"/>
            </w:r>
            <w:r>
              <w:rPr>
                <w:noProof/>
                <w:webHidden/>
              </w:rPr>
              <w:t>41</w:t>
            </w:r>
            <w:r>
              <w:rPr>
                <w:noProof/>
                <w:webHidden/>
              </w:rPr>
              <w:fldChar w:fldCharType="end"/>
            </w:r>
          </w:hyperlink>
        </w:p>
        <w:p w14:paraId="0418F795" w14:textId="705A2D3E" w:rsidR="00891EB6" w:rsidRDefault="00891EB6">
          <w:pPr>
            <w:pStyle w:val="TOC1"/>
            <w:tabs>
              <w:tab w:val="left" w:pos="480"/>
            </w:tabs>
            <w:rPr>
              <w:noProof/>
              <w:sz w:val="22"/>
              <w:lang w:val="en-US"/>
            </w:rPr>
          </w:pPr>
          <w:hyperlink w:anchor="_Toc233711740" w:history="1">
            <w:r w:rsidRPr="00924ADB">
              <w:rPr>
                <w:rStyle w:val="Hyperlink"/>
                <w:rFonts w:ascii="Calibri" w:hAnsi="Calibri" w:cs="Calibri"/>
                <w:noProof/>
              </w:rPr>
              <w:t>4.</w:t>
            </w:r>
            <w:r>
              <w:rPr>
                <w:noProof/>
                <w:sz w:val="22"/>
                <w:lang w:val="en-US"/>
              </w:rPr>
              <w:tab/>
            </w:r>
            <w:r w:rsidRPr="00924ADB">
              <w:rPr>
                <w:rStyle w:val="Hyperlink"/>
                <w:rFonts w:ascii="Calibri" w:hAnsi="Calibri" w:cs="Calibri"/>
                <w:noProof/>
              </w:rPr>
              <w:t>OPIS AKTIVNOSTI NADLEŽNIH ORGANA I TIJELA ZA PRAĆENJE SPROVOĐENJA STRATEGIJE</w:t>
            </w:r>
            <w:r>
              <w:rPr>
                <w:noProof/>
                <w:webHidden/>
              </w:rPr>
              <w:tab/>
            </w:r>
            <w:r>
              <w:rPr>
                <w:noProof/>
                <w:webHidden/>
              </w:rPr>
              <w:fldChar w:fldCharType="begin"/>
            </w:r>
            <w:r>
              <w:rPr>
                <w:noProof/>
                <w:webHidden/>
              </w:rPr>
              <w:instrText xml:space="preserve"> PAGEREF _Toc233711740 \h </w:instrText>
            </w:r>
            <w:r>
              <w:rPr>
                <w:noProof/>
                <w:webHidden/>
              </w:rPr>
            </w:r>
            <w:r>
              <w:rPr>
                <w:noProof/>
                <w:webHidden/>
              </w:rPr>
              <w:fldChar w:fldCharType="separate"/>
            </w:r>
            <w:r>
              <w:rPr>
                <w:noProof/>
                <w:webHidden/>
              </w:rPr>
              <w:t>44</w:t>
            </w:r>
            <w:r>
              <w:rPr>
                <w:noProof/>
                <w:webHidden/>
              </w:rPr>
              <w:fldChar w:fldCharType="end"/>
            </w:r>
          </w:hyperlink>
        </w:p>
        <w:p w14:paraId="4CDED2A4" w14:textId="3EEFF374" w:rsidR="00891EB6" w:rsidRDefault="00891EB6">
          <w:pPr>
            <w:pStyle w:val="TOC3"/>
            <w:tabs>
              <w:tab w:val="right" w:leader="dot" w:pos="9016"/>
            </w:tabs>
            <w:rPr>
              <w:noProof/>
              <w:sz w:val="22"/>
              <w:lang w:val="en-US"/>
            </w:rPr>
          </w:pPr>
          <w:hyperlink w:anchor="_Toc233711741" w:history="1">
            <w:r w:rsidRPr="00924ADB">
              <w:rPr>
                <w:rStyle w:val="Hyperlink"/>
                <w:rFonts w:ascii="Calibri" w:hAnsi="Calibri" w:cs="Calibri"/>
                <w:noProof/>
              </w:rPr>
              <w:t>Ministarstvo ekologije, održivog razvoja i razvoja sjevera</w:t>
            </w:r>
            <w:r>
              <w:rPr>
                <w:noProof/>
                <w:webHidden/>
              </w:rPr>
              <w:tab/>
            </w:r>
            <w:r>
              <w:rPr>
                <w:noProof/>
                <w:webHidden/>
              </w:rPr>
              <w:fldChar w:fldCharType="begin"/>
            </w:r>
            <w:r>
              <w:rPr>
                <w:noProof/>
                <w:webHidden/>
              </w:rPr>
              <w:instrText xml:space="preserve"> PAGEREF _Toc233711741 \h </w:instrText>
            </w:r>
            <w:r>
              <w:rPr>
                <w:noProof/>
                <w:webHidden/>
              </w:rPr>
            </w:r>
            <w:r>
              <w:rPr>
                <w:noProof/>
                <w:webHidden/>
              </w:rPr>
              <w:fldChar w:fldCharType="separate"/>
            </w:r>
            <w:r>
              <w:rPr>
                <w:noProof/>
                <w:webHidden/>
              </w:rPr>
              <w:t>44</w:t>
            </w:r>
            <w:r>
              <w:rPr>
                <w:noProof/>
                <w:webHidden/>
              </w:rPr>
              <w:fldChar w:fldCharType="end"/>
            </w:r>
          </w:hyperlink>
        </w:p>
        <w:p w14:paraId="1B43AA4F" w14:textId="41BF2133" w:rsidR="00891EB6" w:rsidRDefault="00891EB6">
          <w:pPr>
            <w:pStyle w:val="TOC3"/>
            <w:tabs>
              <w:tab w:val="right" w:leader="dot" w:pos="9016"/>
            </w:tabs>
            <w:rPr>
              <w:noProof/>
              <w:sz w:val="22"/>
              <w:lang w:val="en-US"/>
            </w:rPr>
          </w:pPr>
          <w:hyperlink w:anchor="_Toc233711742" w:history="1">
            <w:r w:rsidRPr="00924ADB">
              <w:rPr>
                <w:rStyle w:val="Hyperlink"/>
                <w:rFonts w:ascii="Calibri" w:hAnsi="Calibri" w:cs="Calibri"/>
                <w:noProof/>
              </w:rPr>
              <w:t>Agencija za zaštitu životne sredine</w:t>
            </w:r>
            <w:r>
              <w:rPr>
                <w:noProof/>
                <w:webHidden/>
              </w:rPr>
              <w:tab/>
            </w:r>
            <w:r>
              <w:rPr>
                <w:noProof/>
                <w:webHidden/>
              </w:rPr>
              <w:fldChar w:fldCharType="begin"/>
            </w:r>
            <w:r>
              <w:rPr>
                <w:noProof/>
                <w:webHidden/>
              </w:rPr>
              <w:instrText xml:space="preserve"> PAGEREF _Toc233711742 \h </w:instrText>
            </w:r>
            <w:r>
              <w:rPr>
                <w:noProof/>
                <w:webHidden/>
              </w:rPr>
            </w:r>
            <w:r>
              <w:rPr>
                <w:noProof/>
                <w:webHidden/>
              </w:rPr>
              <w:fldChar w:fldCharType="separate"/>
            </w:r>
            <w:r>
              <w:rPr>
                <w:noProof/>
                <w:webHidden/>
              </w:rPr>
              <w:t>45</w:t>
            </w:r>
            <w:r>
              <w:rPr>
                <w:noProof/>
                <w:webHidden/>
              </w:rPr>
              <w:fldChar w:fldCharType="end"/>
            </w:r>
          </w:hyperlink>
        </w:p>
        <w:p w14:paraId="0DE94C2E" w14:textId="33F073BA" w:rsidR="00891EB6" w:rsidRDefault="00891EB6">
          <w:pPr>
            <w:pStyle w:val="TOC3"/>
            <w:tabs>
              <w:tab w:val="right" w:leader="dot" w:pos="9016"/>
            </w:tabs>
            <w:rPr>
              <w:noProof/>
              <w:sz w:val="22"/>
              <w:lang w:val="en-US"/>
            </w:rPr>
          </w:pPr>
          <w:hyperlink w:anchor="_Toc233711743" w:history="1">
            <w:r w:rsidRPr="00924ADB">
              <w:rPr>
                <w:rStyle w:val="Hyperlink"/>
                <w:rFonts w:ascii="Calibri" w:hAnsi="Calibri" w:cs="Calibri"/>
                <w:noProof/>
              </w:rPr>
              <w:t>Lokalne samouprave</w:t>
            </w:r>
            <w:r>
              <w:rPr>
                <w:noProof/>
                <w:webHidden/>
              </w:rPr>
              <w:tab/>
            </w:r>
            <w:r>
              <w:rPr>
                <w:noProof/>
                <w:webHidden/>
              </w:rPr>
              <w:fldChar w:fldCharType="begin"/>
            </w:r>
            <w:r>
              <w:rPr>
                <w:noProof/>
                <w:webHidden/>
              </w:rPr>
              <w:instrText xml:space="preserve"> PAGEREF _Toc233711743 \h </w:instrText>
            </w:r>
            <w:r>
              <w:rPr>
                <w:noProof/>
                <w:webHidden/>
              </w:rPr>
            </w:r>
            <w:r>
              <w:rPr>
                <w:noProof/>
                <w:webHidden/>
              </w:rPr>
              <w:fldChar w:fldCharType="separate"/>
            </w:r>
            <w:r>
              <w:rPr>
                <w:noProof/>
                <w:webHidden/>
              </w:rPr>
              <w:t>45</w:t>
            </w:r>
            <w:r>
              <w:rPr>
                <w:noProof/>
                <w:webHidden/>
              </w:rPr>
              <w:fldChar w:fldCharType="end"/>
            </w:r>
          </w:hyperlink>
        </w:p>
        <w:p w14:paraId="4A1C2C05" w14:textId="6164ADD7" w:rsidR="00891EB6" w:rsidRDefault="00891EB6">
          <w:pPr>
            <w:pStyle w:val="TOC3"/>
            <w:tabs>
              <w:tab w:val="right" w:leader="dot" w:pos="9016"/>
            </w:tabs>
            <w:rPr>
              <w:noProof/>
              <w:sz w:val="22"/>
              <w:lang w:val="en-US"/>
            </w:rPr>
          </w:pPr>
          <w:hyperlink w:anchor="_Toc233711744" w:history="1">
            <w:r w:rsidRPr="00924ADB">
              <w:rPr>
                <w:rStyle w:val="Hyperlink"/>
                <w:rFonts w:ascii="Calibri" w:hAnsi="Calibri" w:cs="Calibri"/>
                <w:noProof/>
              </w:rPr>
              <w:t>Ministarstvo energetike i rudarstva</w:t>
            </w:r>
            <w:r>
              <w:rPr>
                <w:noProof/>
                <w:webHidden/>
              </w:rPr>
              <w:tab/>
            </w:r>
            <w:r>
              <w:rPr>
                <w:noProof/>
                <w:webHidden/>
              </w:rPr>
              <w:fldChar w:fldCharType="begin"/>
            </w:r>
            <w:r>
              <w:rPr>
                <w:noProof/>
                <w:webHidden/>
              </w:rPr>
              <w:instrText xml:space="preserve"> PAGEREF _Toc233711744 \h </w:instrText>
            </w:r>
            <w:r>
              <w:rPr>
                <w:noProof/>
                <w:webHidden/>
              </w:rPr>
            </w:r>
            <w:r>
              <w:rPr>
                <w:noProof/>
                <w:webHidden/>
              </w:rPr>
              <w:fldChar w:fldCharType="separate"/>
            </w:r>
            <w:r>
              <w:rPr>
                <w:noProof/>
                <w:webHidden/>
              </w:rPr>
              <w:t>45</w:t>
            </w:r>
            <w:r>
              <w:rPr>
                <w:noProof/>
                <w:webHidden/>
              </w:rPr>
              <w:fldChar w:fldCharType="end"/>
            </w:r>
          </w:hyperlink>
        </w:p>
        <w:p w14:paraId="35D19535" w14:textId="1EFCDE62" w:rsidR="00891EB6" w:rsidRDefault="00891EB6">
          <w:pPr>
            <w:pStyle w:val="TOC3"/>
            <w:tabs>
              <w:tab w:val="right" w:leader="dot" w:pos="9016"/>
            </w:tabs>
            <w:rPr>
              <w:noProof/>
              <w:sz w:val="22"/>
              <w:lang w:val="en-US"/>
            </w:rPr>
          </w:pPr>
          <w:hyperlink w:anchor="_Toc233711745" w:history="1">
            <w:r w:rsidRPr="00924ADB">
              <w:rPr>
                <w:rStyle w:val="Hyperlink"/>
                <w:rFonts w:ascii="Calibri" w:hAnsi="Calibri" w:cs="Calibri"/>
                <w:noProof/>
              </w:rPr>
              <w:t>Ministarstvo saobraćaja</w:t>
            </w:r>
            <w:r>
              <w:rPr>
                <w:noProof/>
                <w:webHidden/>
              </w:rPr>
              <w:tab/>
            </w:r>
            <w:r>
              <w:rPr>
                <w:noProof/>
                <w:webHidden/>
              </w:rPr>
              <w:fldChar w:fldCharType="begin"/>
            </w:r>
            <w:r>
              <w:rPr>
                <w:noProof/>
                <w:webHidden/>
              </w:rPr>
              <w:instrText xml:space="preserve"> PAGEREF _Toc233711745 \h </w:instrText>
            </w:r>
            <w:r>
              <w:rPr>
                <w:noProof/>
                <w:webHidden/>
              </w:rPr>
            </w:r>
            <w:r>
              <w:rPr>
                <w:noProof/>
                <w:webHidden/>
              </w:rPr>
              <w:fldChar w:fldCharType="separate"/>
            </w:r>
            <w:r>
              <w:rPr>
                <w:noProof/>
                <w:webHidden/>
              </w:rPr>
              <w:t>46</w:t>
            </w:r>
            <w:r>
              <w:rPr>
                <w:noProof/>
                <w:webHidden/>
              </w:rPr>
              <w:fldChar w:fldCharType="end"/>
            </w:r>
          </w:hyperlink>
        </w:p>
        <w:p w14:paraId="4455E07B" w14:textId="0F597400" w:rsidR="00891EB6" w:rsidRDefault="00891EB6">
          <w:pPr>
            <w:pStyle w:val="TOC3"/>
            <w:tabs>
              <w:tab w:val="right" w:leader="dot" w:pos="9016"/>
            </w:tabs>
            <w:rPr>
              <w:noProof/>
              <w:sz w:val="22"/>
              <w:lang w:val="en-US"/>
            </w:rPr>
          </w:pPr>
          <w:hyperlink w:anchor="_Toc233711746" w:history="1">
            <w:r w:rsidRPr="00924ADB">
              <w:rPr>
                <w:rStyle w:val="Hyperlink"/>
                <w:rFonts w:ascii="Calibri" w:hAnsi="Calibri" w:cs="Calibri"/>
                <w:noProof/>
              </w:rPr>
              <w:t>Ministarstvo finansija i Ministarstvo evropskih poslova</w:t>
            </w:r>
            <w:r>
              <w:rPr>
                <w:noProof/>
                <w:webHidden/>
              </w:rPr>
              <w:tab/>
            </w:r>
            <w:r>
              <w:rPr>
                <w:noProof/>
                <w:webHidden/>
              </w:rPr>
              <w:fldChar w:fldCharType="begin"/>
            </w:r>
            <w:r>
              <w:rPr>
                <w:noProof/>
                <w:webHidden/>
              </w:rPr>
              <w:instrText xml:space="preserve"> PAGEREF _Toc233711746 \h </w:instrText>
            </w:r>
            <w:r>
              <w:rPr>
                <w:noProof/>
                <w:webHidden/>
              </w:rPr>
            </w:r>
            <w:r>
              <w:rPr>
                <w:noProof/>
                <w:webHidden/>
              </w:rPr>
              <w:fldChar w:fldCharType="separate"/>
            </w:r>
            <w:r>
              <w:rPr>
                <w:noProof/>
                <w:webHidden/>
              </w:rPr>
              <w:t>46</w:t>
            </w:r>
            <w:r>
              <w:rPr>
                <w:noProof/>
                <w:webHidden/>
              </w:rPr>
              <w:fldChar w:fldCharType="end"/>
            </w:r>
          </w:hyperlink>
        </w:p>
        <w:p w14:paraId="2D919A70" w14:textId="025A89CD" w:rsidR="00891EB6" w:rsidRDefault="00891EB6">
          <w:pPr>
            <w:pStyle w:val="TOC3"/>
            <w:tabs>
              <w:tab w:val="right" w:leader="dot" w:pos="9016"/>
            </w:tabs>
            <w:rPr>
              <w:noProof/>
              <w:sz w:val="22"/>
              <w:lang w:val="en-US"/>
            </w:rPr>
          </w:pPr>
          <w:hyperlink w:anchor="_Toc233711747" w:history="1">
            <w:r w:rsidRPr="00924ADB">
              <w:rPr>
                <w:rStyle w:val="Hyperlink"/>
                <w:rFonts w:ascii="Calibri" w:hAnsi="Calibri" w:cs="Calibri"/>
                <w:noProof/>
              </w:rPr>
              <w:t>Ministarstvo poljoprivrede, šumarstva i vodoprivrede</w:t>
            </w:r>
            <w:r>
              <w:rPr>
                <w:noProof/>
                <w:webHidden/>
              </w:rPr>
              <w:tab/>
            </w:r>
            <w:r>
              <w:rPr>
                <w:noProof/>
                <w:webHidden/>
              </w:rPr>
              <w:fldChar w:fldCharType="begin"/>
            </w:r>
            <w:r>
              <w:rPr>
                <w:noProof/>
                <w:webHidden/>
              </w:rPr>
              <w:instrText xml:space="preserve"> PAGEREF _Toc233711747 \h </w:instrText>
            </w:r>
            <w:r>
              <w:rPr>
                <w:noProof/>
                <w:webHidden/>
              </w:rPr>
            </w:r>
            <w:r>
              <w:rPr>
                <w:noProof/>
                <w:webHidden/>
              </w:rPr>
              <w:fldChar w:fldCharType="separate"/>
            </w:r>
            <w:r>
              <w:rPr>
                <w:noProof/>
                <w:webHidden/>
              </w:rPr>
              <w:t>46</w:t>
            </w:r>
            <w:r>
              <w:rPr>
                <w:noProof/>
                <w:webHidden/>
              </w:rPr>
              <w:fldChar w:fldCharType="end"/>
            </w:r>
          </w:hyperlink>
        </w:p>
        <w:p w14:paraId="45DE86AA" w14:textId="402D1BC6" w:rsidR="00891EB6" w:rsidRDefault="00891EB6">
          <w:pPr>
            <w:pStyle w:val="TOC3"/>
            <w:tabs>
              <w:tab w:val="right" w:leader="dot" w:pos="9016"/>
            </w:tabs>
            <w:rPr>
              <w:noProof/>
              <w:sz w:val="22"/>
              <w:lang w:val="en-US"/>
            </w:rPr>
          </w:pPr>
          <w:hyperlink w:anchor="_Toc233711748" w:history="1">
            <w:r w:rsidRPr="00924ADB">
              <w:rPr>
                <w:rStyle w:val="Hyperlink"/>
                <w:rFonts w:ascii="Calibri" w:hAnsi="Calibri" w:cs="Calibri"/>
                <w:noProof/>
              </w:rPr>
              <w:t>Eko fond</w:t>
            </w:r>
            <w:r>
              <w:rPr>
                <w:noProof/>
                <w:webHidden/>
              </w:rPr>
              <w:tab/>
            </w:r>
            <w:r>
              <w:rPr>
                <w:noProof/>
                <w:webHidden/>
              </w:rPr>
              <w:fldChar w:fldCharType="begin"/>
            </w:r>
            <w:r>
              <w:rPr>
                <w:noProof/>
                <w:webHidden/>
              </w:rPr>
              <w:instrText xml:space="preserve"> PAGEREF _Toc233711748 \h </w:instrText>
            </w:r>
            <w:r>
              <w:rPr>
                <w:noProof/>
                <w:webHidden/>
              </w:rPr>
            </w:r>
            <w:r>
              <w:rPr>
                <w:noProof/>
                <w:webHidden/>
              </w:rPr>
              <w:fldChar w:fldCharType="separate"/>
            </w:r>
            <w:r>
              <w:rPr>
                <w:noProof/>
                <w:webHidden/>
              </w:rPr>
              <w:t>46</w:t>
            </w:r>
            <w:r>
              <w:rPr>
                <w:noProof/>
                <w:webHidden/>
              </w:rPr>
              <w:fldChar w:fldCharType="end"/>
            </w:r>
          </w:hyperlink>
        </w:p>
        <w:p w14:paraId="04E108A5" w14:textId="51FFB596" w:rsidR="00891EB6" w:rsidRDefault="00891EB6">
          <w:pPr>
            <w:pStyle w:val="TOC3"/>
            <w:tabs>
              <w:tab w:val="right" w:leader="dot" w:pos="9016"/>
            </w:tabs>
            <w:rPr>
              <w:noProof/>
              <w:sz w:val="22"/>
              <w:lang w:val="en-US"/>
            </w:rPr>
          </w:pPr>
          <w:hyperlink w:anchor="_Toc233711749" w:history="1">
            <w:r w:rsidRPr="00924ADB">
              <w:rPr>
                <w:rStyle w:val="Hyperlink"/>
                <w:rFonts w:ascii="Calibri" w:hAnsi="Calibri" w:cs="Calibri"/>
                <w:noProof/>
              </w:rPr>
              <w:t>Institucije zdravstvenog sistema</w:t>
            </w:r>
            <w:r>
              <w:rPr>
                <w:noProof/>
                <w:webHidden/>
              </w:rPr>
              <w:tab/>
            </w:r>
            <w:r>
              <w:rPr>
                <w:noProof/>
                <w:webHidden/>
              </w:rPr>
              <w:fldChar w:fldCharType="begin"/>
            </w:r>
            <w:r>
              <w:rPr>
                <w:noProof/>
                <w:webHidden/>
              </w:rPr>
              <w:instrText xml:space="preserve"> PAGEREF _Toc233711749 \h </w:instrText>
            </w:r>
            <w:r>
              <w:rPr>
                <w:noProof/>
                <w:webHidden/>
              </w:rPr>
            </w:r>
            <w:r>
              <w:rPr>
                <w:noProof/>
                <w:webHidden/>
              </w:rPr>
              <w:fldChar w:fldCharType="separate"/>
            </w:r>
            <w:r>
              <w:rPr>
                <w:noProof/>
                <w:webHidden/>
              </w:rPr>
              <w:t>47</w:t>
            </w:r>
            <w:r>
              <w:rPr>
                <w:noProof/>
                <w:webHidden/>
              </w:rPr>
              <w:fldChar w:fldCharType="end"/>
            </w:r>
          </w:hyperlink>
        </w:p>
        <w:p w14:paraId="48155019" w14:textId="258A1D32" w:rsidR="00891EB6" w:rsidRDefault="00891EB6">
          <w:pPr>
            <w:pStyle w:val="TOC3"/>
            <w:tabs>
              <w:tab w:val="right" w:leader="dot" w:pos="9016"/>
            </w:tabs>
            <w:rPr>
              <w:noProof/>
              <w:sz w:val="22"/>
              <w:lang w:val="en-US"/>
            </w:rPr>
          </w:pPr>
          <w:hyperlink w:anchor="_Toc233711750" w:history="1">
            <w:r w:rsidRPr="00924ADB">
              <w:rPr>
                <w:rStyle w:val="Hyperlink"/>
                <w:rFonts w:ascii="Calibri" w:hAnsi="Calibri" w:cs="Calibri"/>
                <w:noProof/>
              </w:rPr>
              <w:t>4.1 Koordinaciono tijelo i mehanizam nadzora</w:t>
            </w:r>
            <w:r>
              <w:rPr>
                <w:noProof/>
                <w:webHidden/>
              </w:rPr>
              <w:tab/>
            </w:r>
            <w:r>
              <w:rPr>
                <w:noProof/>
                <w:webHidden/>
              </w:rPr>
              <w:fldChar w:fldCharType="begin"/>
            </w:r>
            <w:r>
              <w:rPr>
                <w:noProof/>
                <w:webHidden/>
              </w:rPr>
              <w:instrText xml:space="preserve"> PAGEREF _Toc233711750 \h </w:instrText>
            </w:r>
            <w:r>
              <w:rPr>
                <w:noProof/>
                <w:webHidden/>
              </w:rPr>
            </w:r>
            <w:r>
              <w:rPr>
                <w:noProof/>
                <w:webHidden/>
              </w:rPr>
              <w:fldChar w:fldCharType="separate"/>
            </w:r>
            <w:r>
              <w:rPr>
                <w:noProof/>
                <w:webHidden/>
              </w:rPr>
              <w:t>47</w:t>
            </w:r>
            <w:r>
              <w:rPr>
                <w:noProof/>
                <w:webHidden/>
              </w:rPr>
              <w:fldChar w:fldCharType="end"/>
            </w:r>
          </w:hyperlink>
        </w:p>
        <w:p w14:paraId="74AEA4B9" w14:textId="373AB48B" w:rsidR="00891EB6" w:rsidRDefault="00891EB6">
          <w:pPr>
            <w:pStyle w:val="TOC3"/>
            <w:tabs>
              <w:tab w:val="right" w:leader="dot" w:pos="9016"/>
            </w:tabs>
            <w:rPr>
              <w:noProof/>
              <w:sz w:val="22"/>
              <w:lang w:val="en-US"/>
            </w:rPr>
          </w:pPr>
          <w:hyperlink w:anchor="_Toc233711751" w:history="1">
            <w:r w:rsidRPr="00924ADB">
              <w:rPr>
                <w:rStyle w:val="Hyperlink"/>
                <w:rFonts w:ascii="Calibri" w:hAnsi="Calibri" w:cs="Calibri"/>
                <w:noProof/>
              </w:rPr>
              <w:t>4.2 Izvještavanje i evaluacija</w:t>
            </w:r>
            <w:r>
              <w:rPr>
                <w:noProof/>
                <w:webHidden/>
              </w:rPr>
              <w:tab/>
            </w:r>
            <w:r>
              <w:rPr>
                <w:noProof/>
                <w:webHidden/>
              </w:rPr>
              <w:fldChar w:fldCharType="begin"/>
            </w:r>
            <w:r>
              <w:rPr>
                <w:noProof/>
                <w:webHidden/>
              </w:rPr>
              <w:instrText xml:space="preserve"> PAGEREF _Toc233711751 \h </w:instrText>
            </w:r>
            <w:r>
              <w:rPr>
                <w:noProof/>
                <w:webHidden/>
              </w:rPr>
            </w:r>
            <w:r>
              <w:rPr>
                <w:noProof/>
                <w:webHidden/>
              </w:rPr>
              <w:fldChar w:fldCharType="separate"/>
            </w:r>
            <w:r>
              <w:rPr>
                <w:noProof/>
                <w:webHidden/>
              </w:rPr>
              <w:t>47</w:t>
            </w:r>
            <w:r>
              <w:rPr>
                <w:noProof/>
                <w:webHidden/>
              </w:rPr>
              <w:fldChar w:fldCharType="end"/>
            </w:r>
          </w:hyperlink>
        </w:p>
        <w:p w14:paraId="6AF23EA5" w14:textId="42CCCC09" w:rsidR="00891EB6" w:rsidRDefault="00891EB6">
          <w:pPr>
            <w:pStyle w:val="TOC1"/>
            <w:rPr>
              <w:noProof/>
              <w:sz w:val="22"/>
              <w:lang w:val="en-US"/>
            </w:rPr>
          </w:pPr>
          <w:hyperlink w:anchor="_Toc233711752" w:history="1">
            <w:r w:rsidRPr="00924ADB">
              <w:rPr>
                <w:rStyle w:val="Hyperlink"/>
                <w:rFonts w:ascii="Calibri" w:hAnsi="Calibri" w:cs="Calibri"/>
                <w:noProof/>
              </w:rPr>
              <w:t>5. NAČIN IZVJEŠTAVANJA I EVALUACIJE</w:t>
            </w:r>
            <w:r>
              <w:rPr>
                <w:noProof/>
                <w:webHidden/>
              </w:rPr>
              <w:tab/>
            </w:r>
            <w:r>
              <w:rPr>
                <w:noProof/>
                <w:webHidden/>
              </w:rPr>
              <w:fldChar w:fldCharType="begin"/>
            </w:r>
            <w:r>
              <w:rPr>
                <w:noProof/>
                <w:webHidden/>
              </w:rPr>
              <w:instrText xml:space="preserve"> PAGEREF _Toc233711752 \h </w:instrText>
            </w:r>
            <w:r>
              <w:rPr>
                <w:noProof/>
                <w:webHidden/>
              </w:rPr>
            </w:r>
            <w:r>
              <w:rPr>
                <w:noProof/>
                <w:webHidden/>
              </w:rPr>
              <w:fldChar w:fldCharType="separate"/>
            </w:r>
            <w:r>
              <w:rPr>
                <w:noProof/>
                <w:webHidden/>
              </w:rPr>
              <w:t>48</w:t>
            </w:r>
            <w:r>
              <w:rPr>
                <w:noProof/>
                <w:webHidden/>
              </w:rPr>
              <w:fldChar w:fldCharType="end"/>
            </w:r>
          </w:hyperlink>
        </w:p>
        <w:p w14:paraId="6A5A4071" w14:textId="1ABE45B8" w:rsidR="00891EB6" w:rsidRDefault="00891EB6">
          <w:pPr>
            <w:pStyle w:val="TOC2"/>
            <w:tabs>
              <w:tab w:val="right" w:leader="dot" w:pos="9016"/>
            </w:tabs>
            <w:rPr>
              <w:noProof/>
              <w:sz w:val="22"/>
              <w:lang w:val="en-US"/>
            </w:rPr>
          </w:pPr>
          <w:hyperlink w:anchor="_Toc233711753" w:history="1">
            <w:r w:rsidRPr="00924ADB">
              <w:rPr>
                <w:rStyle w:val="Hyperlink"/>
                <w:rFonts w:ascii="Calibri" w:hAnsi="Calibri" w:cs="Calibri"/>
                <w:noProof/>
              </w:rPr>
              <w:t>5.1 Ciljevi sistema izvještavanja i evaluacije</w:t>
            </w:r>
            <w:r>
              <w:rPr>
                <w:noProof/>
                <w:webHidden/>
              </w:rPr>
              <w:tab/>
            </w:r>
            <w:r>
              <w:rPr>
                <w:noProof/>
                <w:webHidden/>
              </w:rPr>
              <w:fldChar w:fldCharType="begin"/>
            </w:r>
            <w:r>
              <w:rPr>
                <w:noProof/>
                <w:webHidden/>
              </w:rPr>
              <w:instrText xml:space="preserve"> PAGEREF _Toc233711753 \h </w:instrText>
            </w:r>
            <w:r>
              <w:rPr>
                <w:noProof/>
                <w:webHidden/>
              </w:rPr>
            </w:r>
            <w:r>
              <w:rPr>
                <w:noProof/>
                <w:webHidden/>
              </w:rPr>
              <w:fldChar w:fldCharType="separate"/>
            </w:r>
            <w:r>
              <w:rPr>
                <w:noProof/>
                <w:webHidden/>
              </w:rPr>
              <w:t>48</w:t>
            </w:r>
            <w:r>
              <w:rPr>
                <w:noProof/>
                <w:webHidden/>
              </w:rPr>
              <w:fldChar w:fldCharType="end"/>
            </w:r>
          </w:hyperlink>
        </w:p>
        <w:p w14:paraId="23671CAC" w14:textId="7F80F3DE" w:rsidR="00891EB6" w:rsidRDefault="00891EB6">
          <w:pPr>
            <w:pStyle w:val="TOC2"/>
            <w:tabs>
              <w:tab w:val="right" w:leader="dot" w:pos="9016"/>
            </w:tabs>
            <w:rPr>
              <w:noProof/>
              <w:sz w:val="22"/>
              <w:lang w:val="en-US"/>
            </w:rPr>
          </w:pPr>
          <w:hyperlink w:anchor="_Toc233711754" w:history="1">
            <w:r w:rsidRPr="00924ADB">
              <w:rPr>
                <w:rStyle w:val="Hyperlink"/>
                <w:rFonts w:ascii="Calibri" w:hAnsi="Calibri" w:cs="Calibri"/>
                <w:noProof/>
              </w:rPr>
              <w:t>5.2 Subjekti izvještavanja</w:t>
            </w:r>
            <w:r>
              <w:rPr>
                <w:noProof/>
                <w:webHidden/>
              </w:rPr>
              <w:tab/>
            </w:r>
            <w:r>
              <w:rPr>
                <w:noProof/>
                <w:webHidden/>
              </w:rPr>
              <w:fldChar w:fldCharType="begin"/>
            </w:r>
            <w:r>
              <w:rPr>
                <w:noProof/>
                <w:webHidden/>
              </w:rPr>
              <w:instrText xml:space="preserve"> PAGEREF _Toc233711754 \h </w:instrText>
            </w:r>
            <w:r>
              <w:rPr>
                <w:noProof/>
                <w:webHidden/>
              </w:rPr>
            </w:r>
            <w:r>
              <w:rPr>
                <w:noProof/>
                <w:webHidden/>
              </w:rPr>
              <w:fldChar w:fldCharType="separate"/>
            </w:r>
            <w:r>
              <w:rPr>
                <w:noProof/>
                <w:webHidden/>
              </w:rPr>
              <w:t>48</w:t>
            </w:r>
            <w:r>
              <w:rPr>
                <w:noProof/>
                <w:webHidden/>
              </w:rPr>
              <w:fldChar w:fldCharType="end"/>
            </w:r>
          </w:hyperlink>
        </w:p>
        <w:p w14:paraId="45C3C25C" w14:textId="2AC2979D" w:rsidR="00891EB6" w:rsidRDefault="00891EB6">
          <w:pPr>
            <w:pStyle w:val="TOC2"/>
            <w:tabs>
              <w:tab w:val="right" w:leader="dot" w:pos="9016"/>
            </w:tabs>
            <w:rPr>
              <w:noProof/>
              <w:sz w:val="22"/>
              <w:lang w:val="en-US"/>
            </w:rPr>
          </w:pPr>
          <w:hyperlink w:anchor="_Toc233711755" w:history="1">
            <w:r w:rsidRPr="00924ADB">
              <w:rPr>
                <w:rStyle w:val="Hyperlink"/>
                <w:rFonts w:ascii="Calibri" w:hAnsi="Calibri" w:cs="Calibri"/>
                <w:noProof/>
              </w:rPr>
              <w:t>5.3 Vrste i dinamika izvještavanja</w:t>
            </w:r>
            <w:r>
              <w:rPr>
                <w:noProof/>
                <w:webHidden/>
              </w:rPr>
              <w:tab/>
            </w:r>
            <w:r>
              <w:rPr>
                <w:noProof/>
                <w:webHidden/>
              </w:rPr>
              <w:fldChar w:fldCharType="begin"/>
            </w:r>
            <w:r>
              <w:rPr>
                <w:noProof/>
                <w:webHidden/>
              </w:rPr>
              <w:instrText xml:space="preserve"> PAGEREF _Toc233711755 \h </w:instrText>
            </w:r>
            <w:r>
              <w:rPr>
                <w:noProof/>
                <w:webHidden/>
              </w:rPr>
            </w:r>
            <w:r>
              <w:rPr>
                <w:noProof/>
                <w:webHidden/>
              </w:rPr>
              <w:fldChar w:fldCharType="separate"/>
            </w:r>
            <w:r>
              <w:rPr>
                <w:noProof/>
                <w:webHidden/>
              </w:rPr>
              <w:t>49</w:t>
            </w:r>
            <w:r>
              <w:rPr>
                <w:noProof/>
                <w:webHidden/>
              </w:rPr>
              <w:fldChar w:fldCharType="end"/>
            </w:r>
          </w:hyperlink>
        </w:p>
        <w:p w14:paraId="02040F07" w14:textId="2E0852D6" w:rsidR="00891EB6" w:rsidRDefault="00891EB6">
          <w:pPr>
            <w:pStyle w:val="TOC2"/>
            <w:tabs>
              <w:tab w:val="right" w:leader="dot" w:pos="9016"/>
            </w:tabs>
            <w:rPr>
              <w:noProof/>
              <w:sz w:val="22"/>
              <w:lang w:val="en-US"/>
            </w:rPr>
          </w:pPr>
          <w:hyperlink w:anchor="_Toc233711756" w:history="1">
            <w:r w:rsidRPr="00924ADB">
              <w:rPr>
                <w:rStyle w:val="Hyperlink"/>
                <w:rFonts w:ascii="Calibri" w:hAnsi="Calibri" w:cs="Calibri"/>
                <w:noProof/>
              </w:rPr>
              <w:t>5.4 Evaluacija Strategije</w:t>
            </w:r>
            <w:r>
              <w:rPr>
                <w:noProof/>
                <w:webHidden/>
              </w:rPr>
              <w:tab/>
            </w:r>
            <w:r>
              <w:rPr>
                <w:noProof/>
                <w:webHidden/>
              </w:rPr>
              <w:fldChar w:fldCharType="begin"/>
            </w:r>
            <w:r>
              <w:rPr>
                <w:noProof/>
                <w:webHidden/>
              </w:rPr>
              <w:instrText xml:space="preserve"> PAGEREF _Toc233711756 \h </w:instrText>
            </w:r>
            <w:r>
              <w:rPr>
                <w:noProof/>
                <w:webHidden/>
              </w:rPr>
            </w:r>
            <w:r>
              <w:rPr>
                <w:noProof/>
                <w:webHidden/>
              </w:rPr>
              <w:fldChar w:fldCharType="separate"/>
            </w:r>
            <w:r>
              <w:rPr>
                <w:noProof/>
                <w:webHidden/>
              </w:rPr>
              <w:t>49</w:t>
            </w:r>
            <w:r>
              <w:rPr>
                <w:noProof/>
                <w:webHidden/>
              </w:rPr>
              <w:fldChar w:fldCharType="end"/>
            </w:r>
          </w:hyperlink>
        </w:p>
        <w:p w14:paraId="70C13D95" w14:textId="3238265D" w:rsidR="00891EB6" w:rsidRDefault="00891EB6">
          <w:pPr>
            <w:pStyle w:val="TOC2"/>
            <w:tabs>
              <w:tab w:val="right" w:leader="dot" w:pos="9016"/>
            </w:tabs>
            <w:rPr>
              <w:noProof/>
              <w:sz w:val="22"/>
              <w:lang w:val="en-US"/>
            </w:rPr>
          </w:pPr>
          <w:hyperlink w:anchor="_Toc233711757" w:history="1">
            <w:r w:rsidRPr="00924ADB">
              <w:rPr>
                <w:rStyle w:val="Hyperlink"/>
                <w:rFonts w:ascii="Calibri" w:hAnsi="Calibri" w:cs="Calibri"/>
                <w:noProof/>
              </w:rPr>
              <w:t>5.5 Mehanizmi korektivnog djelovanja</w:t>
            </w:r>
            <w:r>
              <w:rPr>
                <w:noProof/>
                <w:webHidden/>
              </w:rPr>
              <w:tab/>
            </w:r>
            <w:r>
              <w:rPr>
                <w:noProof/>
                <w:webHidden/>
              </w:rPr>
              <w:fldChar w:fldCharType="begin"/>
            </w:r>
            <w:r>
              <w:rPr>
                <w:noProof/>
                <w:webHidden/>
              </w:rPr>
              <w:instrText xml:space="preserve"> PAGEREF _Toc233711757 \h </w:instrText>
            </w:r>
            <w:r>
              <w:rPr>
                <w:noProof/>
                <w:webHidden/>
              </w:rPr>
            </w:r>
            <w:r>
              <w:rPr>
                <w:noProof/>
                <w:webHidden/>
              </w:rPr>
              <w:fldChar w:fldCharType="separate"/>
            </w:r>
            <w:r>
              <w:rPr>
                <w:noProof/>
                <w:webHidden/>
              </w:rPr>
              <w:t>50</w:t>
            </w:r>
            <w:r>
              <w:rPr>
                <w:noProof/>
                <w:webHidden/>
              </w:rPr>
              <w:fldChar w:fldCharType="end"/>
            </w:r>
          </w:hyperlink>
        </w:p>
        <w:p w14:paraId="40646642" w14:textId="33667398" w:rsidR="00891EB6" w:rsidRDefault="00891EB6">
          <w:pPr>
            <w:pStyle w:val="TOC2"/>
            <w:tabs>
              <w:tab w:val="right" w:leader="dot" w:pos="9016"/>
            </w:tabs>
            <w:rPr>
              <w:noProof/>
              <w:sz w:val="22"/>
              <w:lang w:val="en-US"/>
            </w:rPr>
          </w:pPr>
          <w:hyperlink w:anchor="_Toc233711758" w:history="1">
            <w:r w:rsidRPr="00924ADB">
              <w:rPr>
                <w:rStyle w:val="Hyperlink"/>
                <w:rFonts w:ascii="Calibri" w:hAnsi="Calibri" w:cs="Calibri"/>
                <w:noProof/>
              </w:rPr>
              <w:t>5.6 Transparentnost i informisanje javnosti</w:t>
            </w:r>
            <w:r>
              <w:rPr>
                <w:noProof/>
                <w:webHidden/>
              </w:rPr>
              <w:tab/>
            </w:r>
            <w:r>
              <w:rPr>
                <w:noProof/>
                <w:webHidden/>
              </w:rPr>
              <w:fldChar w:fldCharType="begin"/>
            </w:r>
            <w:r>
              <w:rPr>
                <w:noProof/>
                <w:webHidden/>
              </w:rPr>
              <w:instrText xml:space="preserve"> PAGEREF _Toc233711758 \h </w:instrText>
            </w:r>
            <w:r>
              <w:rPr>
                <w:noProof/>
                <w:webHidden/>
              </w:rPr>
            </w:r>
            <w:r>
              <w:rPr>
                <w:noProof/>
                <w:webHidden/>
              </w:rPr>
              <w:fldChar w:fldCharType="separate"/>
            </w:r>
            <w:r>
              <w:rPr>
                <w:noProof/>
                <w:webHidden/>
              </w:rPr>
              <w:t>50</w:t>
            </w:r>
            <w:r>
              <w:rPr>
                <w:noProof/>
                <w:webHidden/>
              </w:rPr>
              <w:fldChar w:fldCharType="end"/>
            </w:r>
          </w:hyperlink>
        </w:p>
        <w:p w14:paraId="66B3B662" w14:textId="6733FEDF" w:rsidR="00891EB6" w:rsidRDefault="00891EB6">
          <w:pPr>
            <w:pStyle w:val="TOC1"/>
            <w:tabs>
              <w:tab w:val="left" w:pos="480"/>
            </w:tabs>
            <w:rPr>
              <w:noProof/>
              <w:sz w:val="22"/>
              <w:lang w:val="en-US"/>
            </w:rPr>
          </w:pPr>
          <w:hyperlink w:anchor="_Toc233711759" w:history="1">
            <w:r w:rsidRPr="00924ADB">
              <w:rPr>
                <w:rStyle w:val="Hyperlink"/>
                <w:rFonts w:ascii="Calibri" w:hAnsi="Calibri" w:cs="Calibri"/>
                <w:noProof/>
              </w:rPr>
              <w:t>6.</w:t>
            </w:r>
            <w:r>
              <w:rPr>
                <w:noProof/>
                <w:sz w:val="22"/>
                <w:lang w:val="en-US"/>
              </w:rPr>
              <w:tab/>
            </w:r>
            <w:r w:rsidRPr="00924ADB">
              <w:rPr>
                <w:rStyle w:val="Hyperlink"/>
                <w:rFonts w:ascii="Calibri" w:hAnsi="Calibri" w:cs="Calibri"/>
                <w:noProof/>
              </w:rPr>
              <w:t>AKCIONI PLAN</w:t>
            </w:r>
            <w:r>
              <w:rPr>
                <w:noProof/>
                <w:webHidden/>
              </w:rPr>
              <w:tab/>
            </w:r>
            <w:r>
              <w:rPr>
                <w:noProof/>
                <w:webHidden/>
              </w:rPr>
              <w:fldChar w:fldCharType="begin"/>
            </w:r>
            <w:r>
              <w:rPr>
                <w:noProof/>
                <w:webHidden/>
              </w:rPr>
              <w:instrText xml:space="preserve"> PAGEREF _Toc233711759 \h </w:instrText>
            </w:r>
            <w:r>
              <w:rPr>
                <w:noProof/>
                <w:webHidden/>
              </w:rPr>
            </w:r>
            <w:r>
              <w:rPr>
                <w:noProof/>
                <w:webHidden/>
              </w:rPr>
              <w:fldChar w:fldCharType="separate"/>
            </w:r>
            <w:r>
              <w:rPr>
                <w:noProof/>
                <w:webHidden/>
              </w:rPr>
              <w:t>50</w:t>
            </w:r>
            <w:r>
              <w:rPr>
                <w:noProof/>
                <w:webHidden/>
              </w:rPr>
              <w:fldChar w:fldCharType="end"/>
            </w:r>
          </w:hyperlink>
        </w:p>
        <w:p w14:paraId="1768C796" w14:textId="43192816" w:rsidR="00891EB6" w:rsidRDefault="00891EB6">
          <w:pPr>
            <w:pStyle w:val="TOC1"/>
            <w:rPr>
              <w:noProof/>
              <w:sz w:val="22"/>
              <w:lang w:val="en-US"/>
            </w:rPr>
          </w:pPr>
          <w:hyperlink w:anchor="_Toc233711760" w:history="1">
            <w:r w:rsidRPr="00924ADB">
              <w:rPr>
                <w:rStyle w:val="Hyperlink"/>
                <w:rFonts w:ascii="Calibri" w:hAnsi="Calibri" w:cs="Calibri"/>
                <w:noProof/>
              </w:rPr>
              <w:t>7. PLANOVI KVALITETA VAZDUHA</w:t>
            </w:r>
            <w:r>
              <w:rPr>
                <w:noProof/>
                <w:webHidden/>
              </w:rPr>
              <w:tab/>
            </w:r>
            <w:r>
              <w:rPr>
                <w:noProof/>
                <w:webHidden/>
              </w:rPr>
              <w:fldChar w:fldCharType="begin"/>
            </w:r>
            <w:r>
              <w:rPr>
                <w:noProof/>
                <w:webHidden/>
              </w:rPr>
              <w:instrText xml:space="preserve"> PAGEREF _Toc233711760 \h </w:instrText>
            </w:r>
            <w:r>
              <w:rPr>
                <w:noProof/>
                <w:webHidden/>
              </w:rPr>
            </w:r>
            <w:r>
              <w:rPr>
                <w:noProof/>
                <w:webHidden/>
              </w:rPr>
              <w:fldChar w:fldCharType="separate"/>
            </w:r>
            <w:r>
              <w:rPr>
                <w:noProof/>
                <w:webHidden/>
              </w:rPr>
              <w:t>61</w:t>
            </w:r>
            <w:r>
              <w:rPr>
                <w:noProof/>
                <w:webHidden/>
              </w:rPr>
              <w:fldChar w:fldCharType="end"/>
            </w:r>
          </w:hyperlink>
        </w:p>
        <w:p w14:paraId="29BD943E" w14:textId="5701F199" w:rsidR="00891EB6" w:rsidRDefault="00891EB6">
          <w:pPr>
            <w:pStyle w:val="TOC2"/>
            <w:tabs>
              <w:tab w:val="right" w:leader="dot" w:pos="9016"/>
            </w:tabs>
            <w:rPr>
              <w:noProof/>
              <w:sz w:val="22"/>
              <w:lang w:val="en-US"/>
            </w:rPr>
          </w:pPr>
          <w:hyperlink w:anchor="_Toc233711761" w:history="1">
            <w:r w:rsidRPr="00924ADB">
              <w:rPr>
                <w:rStyle w:val="Hyperlink"/>
                <w:rFonts w:ascii="Calibri" w:hAnsi="Calibri" w:cs="Calibri"/>
                <w:noProof/>
              </w:rPr>
              <w:t>7.1 Plan kvaliteta vazduha z</w:t>
            </w:r>
            <w:r w:rsidRPr="00924ADB">
              <w:rPr>
                <w:rStyle w:val="Hyperlink"/>
                <w:rFonts w:ascii="Calibri" w:hAnsi="Calibri" w:cs="Calibri"/>
                <w:noProof/>
              </w:rPr>
              <w:t>a</w:t>
            </w:r>
            <w:r w:rsidRPr="00924ADB">
              <w:rPr>
                <w:rStyle w:val="Hyperlink"/>
                <w:rFonts w:ascii="Calibri" w:hAnsi="Calibri" w:cs="Calibri"/>
                <w:noProof/>
              </w:rPr>
              <w:t xml:space="preserve"> sjevernu zonu</w:t>
            </w:r>
            <w:r>
              <w:rPr>
                <w:noProof/>
                <w:webHidden/>
              </w:rPr>
              <w:tab/>
            </w:r>
            <w:r>
              <w:rPr>
                <w:noProof/>
                <w:webHidden/>
              </w:rPr>
              <w:fldChar w:fldCharType="begin"/>
            </w:r>
            <w:r>
              <w:rPr>
                <w:noProof/>
                <w:webHidden/>
              </w:rPr>
              <w:instrText xml:space="preserve"> PAGEREF _Toc233711761 \h </w:instrText>
            </w:r>
            <w:r>
              <w:rPr>
                <w:noProof/>
                <w:webHidden/>
              </w:rPr>
            </w:r>
            <w:r>
              <w:rPr>
                <w:noProof/>
                <w:webHidden/>
              </w:rPr>
              <w:fldChar w:fldCharType="separate"/>
            </w:r>
            <w:r>
              <w:rPr>
                <w:noProof/>
                <w:webHidden/>
              </w:rPr>
              <w:t>61</w:t>
            </w:r>
            <w:r>
              <w:rPr>
                <w:noProof/>
                <w:webHidden/>
              </w:rPr>
              <w:fldChar w:fldCharType="end"/>
            </w:r>
          </w:hyperlink>
        </w:p>
        <w:p w14:paraId="68ECE4B0" w14:textId="37173E82" w:rsidR="00891EB6" w:rsidRDefault="00891EB6">
          <w:pPr>
            <w:pStyle w:val="TOC3"/>
            <w:tabs>
              <w:tab w:val="right" w:leader="dot" w:pos="9016"/>
            </w:tabs>
            <w:rPr>
              <w:noProof/>
              <w:sz w:val="22"/>
              <w:lang w:val="en-US"/>
            </w:rPr>
          </w:pPr>
          <w:hyperlink w:anchor="_Toc233711762" w:history="1">
            <w:r w:rsidRPr="00924ADB">
              <w:rPr>
                <w:rStyle w:val="Hyperlink"/>
                <w:rFonts w:ascii="Calibri" w:hAnsi="Calibri" w:cs="Calibri"/>
                <w:noProof/>
              </w:rPr>
              <w:t>7.1.1 Lokacija prekoračenja zagađenja (region, opština, mjerno mjesto)</w:t>
            </w:r>
            <w:r>
              <w:rPr>
                <w:noProof/>
                <w:webHidden/>
              </w:rPr>
              <w:tab/>
            </w:r>
            <w:r>
              <w:rPr>
                <w:noProof/>
                <w:webHidden/>
              </w:rPr>
              <w:fldChar w:fldCharType="begin"/>
            </w:r>
            <w:r>
              <w:rPr>
                <w:noProof/>
                <w:webHidden/>
              </w:rPr>
              <w:instrText xml:space="preserve"> PAGEREF _Toc233711762 \h </w:instrText>
            </w:r>
            <w:r>
              <w:rPr>
                <w:noProof/>
                <w:webHidden/>
              </w:rPr>
            </w:r>
            <w:r>
              <w:rPr>
                <w:noProof/>
                <w:webHidden/>
              </w:rPr>
              <w:fldChar w:fldCharType="separate"/>
            </w:r>
            <w:r>
              <w:rPr>
                <w:noProof/>
                <w:webHidden/>
              </w:rPr>
              <w:t>61</w:t>
            </w:r>
            <w:r>
              <w:rPr>
                <w:noProof/>
                <w:webHidden/>
              </w:rPr>
              <w:fldChar w:fldCharType="end"/>
            </w:r>
          </w:hyperlink>
        </w:p>
        <w:p w14:paraId="630E2FCB" w14:textId="7D08128C" w:rsidR="00891EB6" w:rsidRDefault="00891EB6">
          <w:pPr>
            <w:pStyle w:val="TOC3"/>
            <w:tabs>
              <w:tab w:val="right" w:leader="dot" w:pos="9016"/>
            </w:tabs>
            <w:rPr>
              <w:noProof/>
              <w:sz w:val="22"/>
              <w:lang w:val="en-US"/>
            </w:rPr>
          </w:pPr>
          <w:hyperlink w:anchor="_Toc233711763" w:history="1">
            <w:r w:rsidRPr="00924ADB">
              <w:rPr>
                <w:rStyle w:val="Hyperlink"/>
                <w:rFonts w:ascii="Calibri" w:hAnsi="Calibri" w:cs="Calibri"/>
                <w:noProof/>
              </w:rPr>
              <w:t>7.1.2 Opšte informacije</w:t>
            </w:r>
            <w:r>
              <w:rPr>
                <w:noProof/>
                <w:webHidden/>
              </w:rPr>
              <w:tab/>
            </w:r>
            <w:r>
              <w:rPr>
                <w:noProof/>
                <w:webHidden/>
              </w:rPr>
              <w:fldChar w:fldCharType="begin"/>
            </w:r>
            <w:r>
              <w:rPr>
                <w:noProof/>
                <w:webHidden/>
              </w:rPr>
              <w:instrText xml:space="preserve"> PAGEREF _Toc233711763 \h </w:instrText>
            </w:r>
            <w:r>
              <w:rPr>
                <w:noProof/>
                <w:webHidden/>
              </w:rPr>
            </w:r>
            <w:r>
              <w:rPr>
                <w:noProof/>
                <w:webHidden/>
              </w:rPr>
              <w:fldChar w:fldCharType="separate"/>
            </w:r>
            <w:r>
              <w:rPr>
                <w:noProof/>
                <w:webHidden/>
              </w:rPr>
              <w:t>63</w:t>
            </w:r>
            <w:r>
              <w:rPr>
                <w:noProof/>
                <w:webHidden/>
              </w:rPr>
              <w:fldChar w:fldCharType="end"/>
            </w:r>
          </w:hyperlink>
        </w:p>
        <w:p w14:paraId="324C6241" w14:textId="0DAD7CDD" w:rsidR="00891EB6" w:rsidRDefault="00891EB6">
          <w:pPr>
            <w:pStyle w:val="TOC3"/>
            <w:tabs>
              <w:tab w:val="right" w:leader="dot" w:pos="9016"/>
            </w:tabs>
            <w:rPr>
              <w:noProof/>
              <w:sz w:val="22"/>
              <w:lang w:val="en-US"/>
            </w:rPr>
          </w:pPr>
          <w:hyperlink w:anchor="_Toc233711764" w:history="1">
            <w:r w:rsidRPr="00924ADB">
              <w:rPr>
                <w:rStyle w:val="Hyperlink"/>
                <w:rFonts w:ascii="Calibri" w:hAnsi="Calibri" w:cs="Calibri"/>
                <w:noProof/>
              </w:rPr>
              <w:t>7.1.3 Nadležni organi</w:t>
            </w:r>
            <w:r>
              <w:rPr>
                <w:noProof/>
                <w:webHidden/>
              </w:rPr>
              <w:tab/>
            </w:r>
            <w:r>
              <w:rPr>
                <w:noProof/>
                <w:webHidden/>
              </w:rPr>
              <w:fldChar w:fldCharType="begin"/>
            </w:r>
            <w:r>
              <w:rPr>
                <w:noProof/>
                <w:webHidden/>
              </w:rPr>
              <w:instrText xml:space="preserve"> PAGEREF _Toc233711764 \h </w:instrText>
            </w:r>
            <w:r>
              <w:rPr>
                <w:noProof/>
                <w:webHidden/>
              </w:rPr>
            </w:r>
            <w:r>
              <w:rPr>
                <w:noProof/>
                <w:webHidden/>
              </w:rPr>
              <w:fldChar w:fldCharType="separate"/>
            </w:r>
            <w:r>
              <w:rPr>
                <w:noProof/>
                <w:webHidden/>
              </w:rPr>
              <w:t>65</w:t>
            </w:r>
            <w:r>
              <w:rPr>
                <w:noProof/>
                <w:webHidden/>
              </w:rPr>
              <w:fldChar w:fldCharType="end"/>
            </w:r>
          </w:hyperlink>
        </w:p>
        <w:p w14:paraId="3762137B" w14:textId="4034AAC3" w:rsidR="00891EB6" w:rsidRDefault="00891EB6">
          <w:pPr>
            <w:pStyle w:val="TOC3"/>
            <w:tabs>
              <w:tab w:val="right" w:leader="dot" w:pos="9016"/>
            </w:tabs>
            <w:rPr>
              <w:noProof/>
              <w:sz w:val="22"/>
              <w:lang w:val="en-US"/>
            </w:rPr>
          </w:pPr>
          <w:hyperlink w:anchor="_Toc233711765" w:history="1">
            <w:r w:rsidRPr="00924ADB">
              <w:rPr>
                <w:rStyle w:val="Hyperlink"/>
                <w:rFonts w:ascii="Calibri" w:hAnsi="Calibri" w:cs="Calibri"/>
                <w:noProof/>
              </w:rPr>
              <w:t>7.1.4 Porijeklo zagađenja, uzimajući u obzir podatke iz inventara emisija zagađujućih materija u vazduh i podatke iz Programa kontrole zagađenja vazduha</w:t>
            </w:r>
            <w:r>
              <w:rPr>
                <w:noProof/>
                <w:webHidden/>
              </w:rPr>
              <w:tab/>
            </w:r>
            <w:r>
              <w:rPr>
                <w:noProof/>
                <w:webHidden/>
              </w:rPr>
              <w:fldChar w:fldCharType="begin"/>
            </w:r>
            <w:r>
              <w:rPr>
                <w:noProof/>
                <w:webHidden/>
              </w:rPr>
              <w:instrText xml:space="preserve"> PAGEREF _Toc233711765 \h </w:instrText>
            </w:r>
            <w:r>
              <w:rPr>
                <w:noProof/>
                <w:webHidden/>
              </w:rPr>
            </w:r>
            <w:r>
              <w:rPr>
                <w:noProof/>
                <w:webHidden/>
              </w:rPr>
              <w:fldChar w:fldCharType="separate"/>
            </w:r>
            <w:r>
              <w:rPr>
                <w:noProof/>
                <w:webHidden/>
              </w:rPr>
              <w:t>66</w:t>
            </w:r>
            <w:r>
              <w:rPr>
                <w:noProof/>
                <w:webHidden/>
              </w:rPr>
              <w:fldChar w:fldCharType="end"/>
            </w:r>
          </w:hyperlink>
        </w:p>
        <w:p w14:paraId="4892348B" w14:textId="25E3606F" w:rsidR="00891EB6" w:rsidRDefault="00891EB6">
          <w:pPr>
            <w:pStyle w:val="TOC3"/>
            <w:tabs>
              <w:tab w:val="right" w:leader="dot" w:pos="9016"/>
            </w:tabs>
            <w:rPr>
              <w:noProof/>
              <w:sz w:val="22"/>
              <w:lang w:val="en-US"/>
            </w:rPr>
          </w:pPr>
          <w:hyperlink w:anchor="_Toc233711766" w:history="1">
            <w:r w:rsidRPr="00924ADB">
              <w:rPr>
                <w:rStyle w:val="Hyperlink"/>
                <w:rFonts w:ascii="Calibri" w:hAnsi="Calibri" w:cs="Calibri"/>
                <w:noProof/>
              </w:rPr>
              <w:t>7.1.5. Opis osnovnog scenarija na kojem se zasniva plan kvaliteta vazduha, radi prikaza posljedica nedjelovanja, uključujući predviđeni razvoj emisija i koncen</w:t>
            </w:r>
            <w:r w:rsidRPr="00924ADB">
              <w:rPr>
                <w:rStyle w:val="Hyperlink"/>
                <w:rFonts w:ascii="Calibri" w:hAnsi="Calibri" w:cs="Calibri"/>
                <w:noProof/>
              </w:rPr>
              <w:t>t</w:t>
            </w:r>
            <w:r w:rsidRPr="00924ADB">
              <w:rPr>
                <w:rStyle w:val="Hyperlink"/>
                <w:rFonts w:ascii="Calibri" w:hAnsi="Calibri" w:cs="Calibri"/>
                <w:noProof/>
              </w:rPr>
              <w:t>racija.</w:t>
            </w:r>
            <w:r>
              <w:rPr>
                <w:noProof/>
                <w:webHidden/>
              </w:rPr>
              <w:tab/>
            </w:r>
            <w:r>
              <w:rPr>
                <w:noProof/>
                <w:webHidden/>
              </w:rPr>
              <w:fldChar w:fldCharType="begin"/>
            </w:r>
            <w:r>
              <w:rPr>
                <w:noProof/>
                <w:webHidden/>
              </w:rPr>
              <w:instrText xml:space="preserve"> PAGEREF _Toc233711766 \h </w:instrText>
            </w:r>
            <w:r>
              <w:rPr>
                <w:noProof/>
                <w:webHidden/>
              </w:rPr>
            </w:r>
            <w:r>
              <w:rPr>
                <w:noProof/>
                <w:webHidden/>
              </w:rPr>
              <w:fldChar w:fldCharType="separate"/>
            </w:r>
            <w:r>
              <w:rPr>
                <w:noProof/>
                <w:webHidden/>
              </w:rPr>
              <w:t>66</w:t>
            </w:r>
            <w:r>
              <w:rPr>
                <w:noProof/>
                <w:webHidden/>
              </w:rPr>
              <w:fldChar w:fldCharType="end"/>
            </w:r>
          </w:hyperlink>
        </w:p>
        <w:p w14:paraId="2BF690B0" w14:textId="7AF84D5B" w:rsidR="00891EB6" w:rsidRDefault="00891EB6">
          <w:pPr>
            <w:pStyle w:val="TOC3"/>
            <w:tabs>
              <w:tab w:val="right" w:leader="dot" w:pos="9016"/>
            </w:tabs>
            <w:rPr>
              <w:noProof/>
              <w:sz w:val="22"/>
              <w:lang w:val="en-US"/>
            </w:rPr>
          </w:pPr>
          <w:hyperlink w:anchor="_Toc233711767" w:history="1">
            <w:r w:rsidRPr="00924ADB">
              <w:rPr>
                <w:rStyle w:val="Hyperlink"/>
                <w:rFonts w:ascii="Calibri" w:hAnsi="Calibri" w:cs="Calibri"/>
                <w:noProof/>
              </w:rPr>
              <w:t>7.1.6 Kratak opis mjera preuzetih iz NEKP-a</w:t>
            </w:r>
            <w:r>
              <w:rPr>
                <w:noProof/>
                <w:webHidden/>
              </w:rPr>
              <w:tab/>
            </w:r>
            <w:r>
              <w:rPr>
                <w:noProof/>
                <w:webHidden/>
              </w:rPr>
              <w:fldChar w:fldCharType="begin"/>
            </w:r>
            <w:r>
              <w:rPr>
                <w:noProof/>
                <w:webHidden/>
              </w:rPr>
              <w:instrText xml:space="preserve"> PAGEREF _Toc233711767 \h </w:instrText>
            </w:r>
            <w:r>
              <w:rPr>
                <w:noProof/>
                <w:webHidden/>
              </w:rPr>
            </w:r>
            <w:r>
              <w:rPr>
                <w:noProof/>
                <w:webHidden/>
              </w:rPr>
              <w:fldChar w:fldCharType="separate"/>
            </w:r>
            <w:r>
              <w:rPr>
                <w:noProof/>
                <w:webHidden/>
              </w:rPr>
              <w:t>68</w:t>
            </w:r>
            <w:r>
              <w:rPr>
                <w:noProof/>
                <w:webHidden/>
              </w:rPr>
              <w:fldChar w:fldCharType="end"/>
            </w:r>
          </w:hyperlink>
        </w:p>
        <w:p w14:paraId="2D1981C3" w14:textId="491B9CD3" w:rsidR="00891EB6" w:rsidRDefault="00891EB6">
          <w:pPr>
            <w:pStyle w:val="TOC2"/>
            <w:tabs>
              <w:tab w:val="right" w:leader="dot" w:pos="9016"/>
            </w:tabs>
            <w:rPr>
              <w:noProof/>
              <w:sz w:val="22"/>
              <w:lang w:val="en-US"/>
            </w:rPr>
          </w:pPr>
          <w:hyperlink w:anchor="_Toc233711768" w:history="1">
            <w:r w:rsidRPr="00924ADB">
              <w:rPr>
                <w:rStyle w:val="Hyperlink"/>
                <w:rFonts w:ascii="Calibri" w:hAnsi="Calibri" w:cs="Calibri"/>
                <w:noProof/>
              </w:rPr>
              <w:t>7.2 PLAN KVALITETA VAZDUHA ZA CENTRALNU ZONU</w:t>
            </w:r>
            <w:r>
              <w:rPr>
                <w:noProof/>
                <w:webHidden/>
              </w:rPr>
              <w:tab/>
            </w:r>
            <w:r>
              <w:rPr>
                <w:noProof/>
                <w:webHidden/>
              </w:rPr>
              <w:fldChar w:fldCharType="begin"/>
            </w:r>
            <w:r>
              <w:rPr>
                <w:noProof/>
                <w:webHidden/>
              </w:rPr>
              <w:instrText xml:space="preserve"> PAGEREF _Toc233711768 \h </w:instrText>
            </w:r>
            <w:r>
              <w:rPr>
                <w:noProof/>
                <w:webHidden/>
              </w:rPr>
            </w:r>
            <w:r>
              <w:rPr>
                <w:noProof/>
                <w:webHidden/>
              </w:rPr>
              <w:fldChar w:fldCharType="separate"/>
            </w:r>
            <w:r>
              <w:rPr>
                <w:noProof/>
                <w:webHidden/>
              </w:rPr>
              <w:t>73</w:t>
            </w:r>
            <w:r>
              <w:rPr>
                <w:noProof/>
                <w:webHidden/>
              </w:rPr>
              <w:fldChar w:fldCharType="end"/>
            </w:r>
          </w:hyperlink>
        </w:p>
        <w:p w14:paraId="4693D6CD" w14:textId="71DEA231" w:rsidR="00891EB6" w:rsidRDefault="00891EB6">
          <w:pPr>
            <w:pStyle w:val="TOC3"/>
            <w:tabs>
              <w:tab w:val="right" w:leader="dot" w:pos="9016"/>
            </w:tabs>
            <w:rPr>
              <w:noProof/>
              <w:sz w:val="22"/>
              <w:lang w:val="en-US"/>
            </w:rPr>
          </w:pPr>
          <w:hyperlink w:anchor="_Toc233711769" w:history="1">
            <w:r w:rsidRPr="00924ADB">
              <w:rPr>
                <w:rStyle w:val="Hyperlink"/>
                <w:rFonts w:ascii="Calibri" w:hAnsi="Calibri" w:cs="Calibri"/>
                <w:noProof/>
              </w:rPr>
              <w:t>7.2.1 Lokacija prekoračenja zagađenja (region, opština, mjerno mjesto)</w:t>
            </w:r>
            <w:r>
              <w:rPr>
                <w:noProof/>
                <w:webHidden/>
              </w:rPr>
              <w:tab/>
            </w:r>
            <w:r>
              <w:rPr>
                <w:noProof/>
                <w:webHidden/>
              </w:rPr>
              <w:fldChar w:fldCharType="begin"/>
            </w:r>
            <w:r>
              <w:rPr>
                <w:noProof/>
                <w:webHidden/>
              </w:rPr>
              <w:instrText xml:space="preserve"> PAGEREF _Toc233711769 \h </w:instrText>
            </w:r>
            <w:r>
              <w:rPr>
                <w:noProof/>
                <w:webHidden/>
              </w:rPr>
            </w:r>
            <w:r>
              <w:rPr>
                <w:noProof/>
                <w:webHidden/>
              </w:rPr>
              <w:fldChar w:fldCharType="separate"/>
            </w:r>
            <w:r>
              <w:rPr>
                <w:noProof/>
                <w:webHidden/>
              </w:rPr>
              <w:t>73</w:t>
            </w:r>
            <w:r>
              <w:rPr>
                <w:noProof/>
                <w:webHidden/>
              </w:rPr>
              <w:fldChar w:fldCharType="end"/>
            </w:r>
          </w:hyperlink>
        </w:p>
        <w:p w14:paraId="30A462D2" w14:textId="76DF6D39" w:rsidR="00891EB6" w:rsidRDefault="00891EB6">
          <w:pPr>
            <w:pStyle w:val="TOC3"/>
            <w:tabs>
              <w:tab w:val="right" w:leader="dot" w:pos="9016"/>
            </w:tabs>
            <w:rPr>
              <w:noProof/>
              <w:sz w:val="22"/>
              <w:lang w:val="en-US"/>
            </w:rPr>
          </w:pPr>
          <w:hyperlink w:anchor="_Toc233711770" w:history="1">
            <w:r w:rsidRPr="00924ADB">
              <w:rPr>
                <w:rStyle w:val="Hyperlink"/>
                <w:rFonts w:ascii="Calibri" w:hAnsi="Calibri" w:cs="Calibri"/>
                <w:noProof/>
              </w:rPr>
              <w:t>7.2.2 Opšte informacije</w:t>
            </w:r>
            <w:r>
              <w:rPr>
                <w:noProof/>
                <w:webHidden/>
              </w:rPr>
              <w:tab/>
            </w:r>
            <w:r>
              <w:rPr>
                <w:noProof/>
                <w:webHidden/>
              </w:rPr>
              <w:fldChar w:fldCharType="begin"/>
            </w:r>
            <w:r>
              <w:rPr>
                <w:noProof/>
                <w:webHidden/>
              </w:rPr>
              <w:instrText xml:space="preserve"> PAGEREF _Toc233711770 \h </w:instrText>
            </w:r>
            <w:r>
              <w:rPr>
                <w:noProof/>
                <w:webHidden/>
              </w:rPr>
            </w:r>
            <w:r>
              <w:rPr>
                <w:noProof/>
                <w:webHidden/>
              </w:rPr>
              <w:fldChar w:fldCharType="separate"/>
            </w:r>
            <w:r>
              <w:rPr>
                <w:noProof/>
                <w:webHidden/>
              </w:rPr>
              <w:t>76</w:t>
            </w:r>
            <w:r>
              <w:rPr>
                <w:noProof/>
                <w:webHidden/>
              </w:rPr>
              <w:fldChar w:fldCharType="end"/>
            </w:r>
          </w:hyperlink>
        </w:p>
        <w:p w14:paraId="2D6FDECB" w14:textId="3F578359" w:rsidR="00891EB6" w:rsidRDefault="00891EB6">
          <w:pPr>
            <w:pStyle w:val="TOC3"/>
            <w:tabs>
              <w:tab w:val="right" w:leader="dot" w:pos="9016"/>
            </w:tabs>
            <w:rPr>
              <w:noProof/>
              <w:sz w:val="22"/>
              <w:lang w:val="en-US"/>
            </w:rPr>
          </w:pPr>
          <w:hyperlink w:anchor="_Toc233711771" w:history="1">
            <w:r w:rsidRPr="00924ADB">
              <w:rPr>
                <w:rStyle w:val="Hyperlink"/>
                <w:rFonts w:ascii="Calibri" w:hAnsi="Calibri" w:cs="Calibri"/>
                <w:noProof/>
              </w:rPr>
              <w:t>7.2.3 Nadležni organi</w:t>
            </w:r>
            <w:r>
              <w:rPr>
                <w:noProof/>
                <w:webHidden/>
              </w:rPr>
              <w:tab/>
            </w:r>
            <w:r>
              <w:rPr>
                <w:noProof/>
                <w:webHidden/>
              </w:rPr>
              <w:fldChar w:fldCharType="begin"/>
            </w:r>
            <w:r>
              <w:rPr>
                <w:noProof/>
                <w:webHidden/>
              </w:rPr>
              <w:instrText xml:space="preserve"> PAGEREF _Toc233711771 \h </w:instrText>
            </w:r>
            <w:r>
              <w:rPr>
                <w:noProof/>
                <w:webHidden/>
              </w:rPr>
            </w:r>
            <w:r>
              <w:rPr>
                <w:noProof/>
                <w:webHidden/>
              </w:rPr>
              <w:fldChar w:fldCharType="separate"/>
            </w:r>
            <w:r>
              <w:rPr>
                <w:noProof/>
                <w:webHidden/>
              </w:rPr>
              <w:t>77</w:t>
            </w:r>
            <w:r>
              <w:rPr>
                <w:noProof/>
                <w:webHidden/>
              </w:rPr>
              <w:fldChar w:fldCharType="end"/>
            </w:r>
          </w:hyperlink>
        </w:p>
        <w:p w14:paraId="37C2D6AE" w14:textId="48F8EEA2" w:rsidR="00891EB6" w:rsidRDefault="00891EB6">
          <w:pPr>
            <w:pStyle w:val="TOC3"/>
            <w:tabs>
              <w:tab w:val="right" w:leader="dot" w:pos="9016"/>
            </w:tabs>
            <w:rPr>
              <w:noProof/>
              <w:sz w:val="22"/>
              <w:lang w:val="en-US"/>
            </w:rPr>
          </w:pPr>
          <w:hyperlink w:anchor="_Toc233711772" w:history="1">
            <w:r w:rsidRPr="00924ADB">
              <w:rPr>
                <w:rStyle w:val="Hyperlink"/>
                <w:rFonts w:ascii="Calibri" w:hAnsi="Calibri" w:cs="Calibri"/>
                <w:noProof/>
              </w:rPr>
              <w:t>7.2.4 Porijeklo zagađenja, uzimajući u obzir podatke iz inventara emisija zagađujućih materija u vazduh i podatke iz Programa kontrole zagađenja vazduha</w:t>
            </w:r>
            <w:r>
              <w:rPr>
                <w:noProof/>
                <w:webHidden/>
              </w:rPr>
              <w:tab/>
            </w:r>
            <w:r>
              <w:rPr>
                <w:noProof/>
                <w:webHidden/>
              </w:rPr>
              <w:fldChar w:fldCharType="begin"/>
            </w:r>
            <w:r>
              <w:rPr>
                <w:noProof/>
                <w:webHidden/>
              </w:rPr>
              <w:instrText xml:space="preserve"> PAGEREF _Toc233711772 \h </w:instrText>
            </w:r>
            <w:r>
              <w:rPr>
                <w:noProof/>
                <w:webHidden/>
              </w:rPr>
            </w:r>
            <w:r>
              <w:rPr>
                <w:noProof/>
                <w:webHidden/>
              </w:rPr>
              <w:fldChar w:fldCharType="separate"/>
            </w:r>
            <w:r>
              <w:rPr>
                <w:noProof/>
                <w:webHidden/>
              </w:rPr>
              <w:t>78</w:t>
            </w:r>
            <w:r>
              <w:rPr>
                <w:noProof/>
                <w:webHidden/>
              </w:rPr>
              <w:fldChar w:fldCharType="end"/>
            </w:r>
          </w:hyperlink>
        </w:p>
        <w:p w14:paraId="48B2AF3F" w14:textId="2ED4CA69" w:rsidR="00891EB6" w:rsidRDefault="00891EB6">
          <w:pPr>
            <w:pStyle w:val="TOC3"/>
            <w:tabs>
              <w:tab w:val="right" w:leader="dot" w:pos="9016"/>
            </w:tabs>
            <w:rPr>
              <w:noProof/>
              <w:sz w:val="22"/>
              <w:lang w:val="en-US"/>
            </w:rPr>
          </w:pPr>
          <w:hyperlink w:anchor="_Toc233711773" w:history="1">
            <w:r w:rsidRPr="00924ADB">
              <w:rPr>
                <w:rStyle w:val="Hyperlink"/>
                <w:rFonts w:ascii="Calibri" w:hAnsi="Calibri" w:cs="Calibri"/>
                <w:noProof/>
              </w:rPr>
              <w:t>7.2.5 Opis osnovnog scenarija na kojem se zasniva plan kvaliteta vazduha radi prikaza posljedica nedjelovanja, uključujući predviđeni razvoj emisija i koncentracija.</w:t>
            </w:r>
            <w:r>
              <w:rPr>
                <w:noProof/>
                <w:webHidden/>
              </w:rPr>
              <w:tab/>
            </w:r>
            <w:r>
              <w:rPr>
                <w:noProof/>
                <w:webHidden/>
              </w:rPr>
              <w:fldChar w:fldCharType="begin"/>
            </w:r>
            <w:r>
              <w:rPr>
                <w:noProof/>
                <w:webHidden/>
              </w:rPr>
              <w:instrText xml:space="preserve"> PAGEREF _Toc233711773 \h </w:instrText>
            </w:r>
            <w:r>
              <w:rPr>
                <w:noProof/>
                <w:webHidden/>
              </w:rPr>
            </w:r>
            <w:r>
              <w:rPr>
                <w:noProof/>
                <w:webHidden/>
              </w:rPr>
              <w:fldChar w:fldCharType="separate"/>
            </w:r>
            <w:r>
              <w:rPr>
                <w:noProof/>
                <w:webHidden/>
              </w:rPr>
              <w:t>78</w:t>
            </w:r>
            <w:r>
              <w:rPr>
                <w:noProof/>
                <w:webHidden/>
              </w:rPr>
              <w:fldChar w:fldCharType="end"/>
            </w:r>
          </w:hyperlink>
        </w:p>
        <w:p w14:paraId="09F9DC28" w14:textId="68F2C4FA" w:rsidR="00891EB6" w:rsidRDefault="00891EB6">
          <w:pPr>
            <w:pStyle w:val="TOC2"/>
            <w:tabs>
              <w:tab w:val="right" w:leader="dot" w:pos="9016"/>
            </w:tabs>
            <w:rPr>
              <w:noProof/>
              <w:sz w:val="22"/>
              <w:lang w:val="en-US"/>
            </w:rPr>
          </w:pPr>
          <w:hyperlink w:anchor="_Toc233711774" w:history="1">
            <w:r w:rsidRPr="00924ADB">
              <w:rPr>
                <w:rStyle w:val="Hyperlink"/>
                <w:rFonts w:ascii="Calibri" w:hAnsi="Calibri" w:cs="Calibri"/>
                <w:noProof/>
              </w:rPr>
              <w:t>7.3 PLAN ODRŽAVANJA KVALITETA VAZDUHA ZA JUŽNU ZONU</w:t>
            </w:r>
            <w:r>
              <w:rPr>
                <w:noProof/>
                <w:webHidden/>
              </w:rPr>
              <w:tab/>
            </w:r>
            <w:r>
              <w:rPr>
                <w:noProof/>
                <w:webHidden/>
              </w:rPr>
              <w:fldChar w:fldCharType="begin"/>
            </w:r>
            <w:r>
              <w:rPr>
                <w:noProof/>
                <w:webHidden/>
              </w:rPr>
              <w:instrText xml:space="preserve"> PAGEREF _Toc233711774 \h </w:instrText>
            </w:r>
            <w:r>
              <w:rPr>
                <w:noProof/>
                <w:webHidden/>
              </w:rPr>
            </w:r>
            <w:r>
              <w:rPr>
                <w:noProof/>
                <w:webHidden/>
              </w:rPr>
              <w:fldChar w:fldCharType="separate"/>
            </w:r>
            <w:r>
              <w:rPr>
                <w:noProof/>
                <w:webHidden/>
              </w:rPr>
              <w:t>84</w:t>
            </w:r>
            <w:r>
              <w:rPr>
                <w:noProof/>
                <w:webHidden/>
              </w:rPr>
              <w:fldChar w:fldCharType="end"/>
            </w:r>
          </w:hyperlink>
        </w:p>
        <w:p w14:paraId="517F9CF5" w14:textId="5D7DBE33" w:rsidR="00891EB6" w:rsidRDefault="00891EB6">
          <w:pPr>
            <w:pStyle w:val="TOC3"/>
            <w:tabs>
              <w:tab w:val="right" w:leader="dot" w:pos="9016"/>
            </w:tabs>
            <w:rPr>
              <w:noProof/>
              <w:sz w:val="22"/>
              <w:lang w:val="en-US"/>
            </w:rPr>
          </w:pPr>
          <w:hyperlink w:anchor="_Toc233711775" w:history="1">
            <w:r w:rsidRPr="00924ADB">
              <w:rPr>
                <w:rStyle w:val="Hyperlink"/>
                <w:rFonts w:ascii="Calibri" w:hAnsi="Calibri" w:cs="Calibri"/>
                <w:noProof/>
              </w:rPr>
              <w:t>7.3.1 Opšte informacije</w:t>
            </w:r>
            <w:r>
              <w:rPr>
                <w:noProof/>
                <w:webHidden/>
              </w:rPr>
              <w:tab/>
            </w:r>
            <w:r>
              <w:rPr>
                <w:noProof/>
                <w:webHidden/>
              </w:rPr>
              <w:fldChar w:fldCharType="begin"/>
            </w:r>
            <w:r>
              <w:rPr>
                <w:noProof/>
                <w:webHidden/>
              </w:rPr>
              <w:instrText xml:space="preserve"> PAGEREF _Toc233711775 \h </w:instrText>
            </w:r>
            <w:r>
              <w:rPr>
                <w:noProof/>
                <w:webHidden/>
              </w:rPr>
            </w:r>
            <w:r>
              <w:rPr>
                <w:noProof/>
                <w:webHidden/>
              </w:rPr>
              <w:fldChar w:fldCharType="separate"/>
            </w:r>
            <w:r>
              <w:rPr>
                <w:noProof/>
                <w:webHidden/>
              </w:rPr>
              <w:t>85</w:t>
            </w:r>
            <w:r>
              <w:rPr>
                <w:noProof/>
                <w:webHidden/>
              </w:rPr>
              <w:fldChar w:fldCharType="end"/>
            </w:r>
          </w:hyperlink>
        </w:p>
        <w:p w14:paraId="27B54636" w14:textId="4D69C441" w:rsidR="00891EB6" w:rsidRDefault="00891EB6">
          <w:pPr>
            <w:pStyle w:val="TOC3"/>
            <w:tabs>
              <w:tab w:val="right" w:leader="dot" w:pos="9016"/>
            </w:tabs>
            <w:rPr>
              <w:noProof/>
              <w:sz w:val="22"/>
              <w:lang w:val="en-US"/>
            </w:rPr>
          </w:pPr>
          <w:hyperlink w:anchor="_Toc233711776" w:history="1">
            <w:r w:rsidRPr="00924ADB">
              <w:rPr>
                <w:rStyle w:val="Hyperlink"/>
                <w:rFonts w:ascii="Calibri" w:hAnsi="Calibri" w:cs="Calibri"/>
                <w:noProof/>
              </w:rPr>
              <w:t>7.3.2 Nadležni organi</w:t>
            </w:r>
            <w:r>
              <w:rPr>
                <w:noProof/>
                <w:webHidden/>
              </w:rPr>
              <w:tab/>
            </w:r>
            <w:r>
              <w:rPr>
                <w:noProof/>
                <w:webHidden/>
              </w:rPr>
              <w:fldChar w:fldCharType="begin"/>
            </w:r>
            <w:r>
              <w:rPr>
                <w:noProof/>
                <w:webHidden/>
              </w:rPr>
              <w:instrText xml:space="preserve"> PAGEREF _Toc233711776 \h </w:instrText>
            </w:r>
            <w:r>
              <w:rPr>
                <w:noProof/>
                <w:webHidden/>
              </w:rPr>
            </w:r>
            <w:r>
              <w:rPr>
                <w:noProof/>
                <w:webHidden/>
              </w:rPr>
              <w:fldChar w:fldCharType="separate"/>
            </w:r>
            <w:r>
              <w:rPr>
                <w:noProof/>
                <w:webHidden/>
              </w:rPr>
              <w:t>87</w:t>
            </w:r>
            <w:r>
              <w:rPr>
                <w:noProof/>
                <w:webHidden/>
              </w:rPr>
              <w:fldChar w:fldCharType="end"/>
            </w:r>
          </w:hyperlink>
        </w:p>
        <w:p w14:paraId="70534BF9" w14:textId="21879AC2" w:rsidR="00891EB6" w:rsidRDefault="00891EB6">
          <w:pPr>
            <w:pStyle w:val="TOC3"/>
            <w:tabs>
              <w:tab w:val="right" w:leader="dot" w:pos="9016"/>
            </w:tabs>
            <w:rPr>
              <w:noProof/>
              <w:sz w:val="22"/>
              <w:lang w:val="en-US"/>
            </w:rPr>
          </w:pPr>
          <w:hyperlink w:anchor="_Toc233711777" w:history="1">
            <w:r w:rsidRPr="00924ADB">
              <w:rPr>
                <w:rStyle w:val="Hyperlink"/>
                <w:rFonts w:ascii="Calibri" w:hAnsi="Calibri" w:cs="Calibri"/>
                <w:noProof/>
              </w:rPr>
              <w:t>7.3.3 Opis osnovnog scenarija na kojem se zasniva plan kvaliteta vazduha radi prikaza posljedica nedjelovanja, uključujući predviđeni razvoj emisija i koncentracija.</w:t>
            </w:r>
            <w:r>
              <w:rPr>
                <w:noProof/>
                <w:webHidden/>
              </w:rPr>
              <w:tab/>
            </w:r>
            <w:r>
              <w:rPr>
                <w:noProof/>
                <w:webHidden/>
              </w:rPr>
              <w:fldChar w:fldCharType="begin"/>
            </w:r>
            <w:r>
              <w:rPr>
                <w:noProof/>
                <w:webHidden/>
              </w:rPr>
              <w:instrText xml:space="preserve"> PAGEREF _Toc233711777 \h </w:instrText>
            </w:r>
            <w:r>
              <w:rPr>
                <w:noProof/>
                <w:webHidden/>
              </w:rPr>
            </w:r>
            <w:r>
              <w:rPr>
                <w:noProof/>
                <w:webHidden/>
              </w:rPr>
              <w:fldChar w:fldCharType="separate"/>
            </w:r>
            <w:r>
              <w:rPr>
                <w:noProof/>
                <w:webHidden/>
              </w:rPr>
              <w:t>87</w:t>
            </w:r>
            <w:r>
              <w:rPr>
                <w:noProof/>
                <w:webHidden/>
              </w:rPr>
              <w:fldChar w:fldCharType="end"/>
            </w:r>
          </w:hyperlink>
        </w:p>
        <w:p w14:paraId="46967ECD" w14:textId="032743B3" w:rsidR="00891EB6" w:rsidRDefault="00891EB6">
          <w:pPr>
            <w:pStyle w:val="TOC1"/>
            <w:rPr>
              <w:noProof/>
              <w:sz w:val="22"/>
              <w:lang w:val="en-US"/>
            </w:rPr>
          </w:pPr>
          <w:hyperlink w:anchor="_Toc233711778" w:history="1">
            <w:r w:rsidRPr="00924ADB">
              <w:rPr>
                <w:rStyle w:val="Hyperlink"/>
                <w:rFonts w:ascii="Calibri" w:hAnsi="Calibri" w:cs="Calibri"/>
                <w:noProof/>
              </w:rPr>
              <w:t>8. PROGRAM MJERA ZA KONTROLU ZAGAĐIVANJA VAZDUHA</w:t>
            </w:r>
            <w:r>
              <w:rPr>
                <w:noProof/>
                <w:webHidden/>
              </w:rPr>
              <w:tab/>
            </w:r>
            <w:r>
              <w:rPr>
                <w:noProof/>
                <w:webHidden/>
              </w:rPr>
              <w:fldChar w:fldCharType="begin"/>
            </w:r>
            <w:r>
              <w:rPr>
                <w:noProof/>
                <w:webHidden/>
              </w:rPr>
              <w:instrText xml:space="preserve"> PAGEREF _Toc233711778 \h </w:instrText>
            </w:r>
            <w:r>
              <w:rPr>
                <w:noProof/>
                <w:webHidden/>
              </w:rPr>
            </w:r>
            <w:r>
              <w:rPr>
                <w:noProof/>
                <w:webHidden/>
              </w:rPr>
              <w:fldChar w:fldCharType="separate"/>
            </w:r>
            <w:r>
              <w:rPr>
                <w:noProof/>
                <w:webHidden/>
              </w:rPr>
              <w:t>91</w:t>
            </w:r>
            <w:r>
              <w:rPr>
                <w:noProof/>
                <w:webHidden/>
              </w:rPr>
              <w:fldChar w:fldCharType="end"/>
            </w:r>
          </w:hyperlink>
        </w:p>
        <w:p w14:paraId="168B5551" w14:textId="480E7D5E" w:rsidR="00891EB6" w:rsidRDefault="00891EB6">
          <w:pPr>
            <w:pStyle w:val="TOC1"/>
            <w:rPr>
              <w:noProof/>
              <w:sz w:val="22"/>
              <w:lang w:val="en-US"/>
            </w:rPr>
          </w:pPr>
          <w:hyperlink w:anchor="_Toc233711779" w:history="1">
            <w:r w:rsidRPr="00924ADB">
              <w:rPr>
                <w:rStyle w:val="Hyperlink"/>
                <w:rFonts w:ascii="Calibri" w:hAnsi="Calibri" w:cs="Calibri"/>
                <w:noProof/>
              </w:rPr>
              <w:t>9. INFORMACIJA ZA JAVNOST O CILJEVIMA I OČEKIVANIM UČINCIMA STRATEGIJE</w:t>
            </w:r>
            <w:r>
              <w:rPr>
                <w:noProof/>
                <w:webHidden/>
              </w:rPr>
              <w:tab/>
            </w:r>
            <w:r>
              <w:rPr>
                <w:noProof/>
                <w:webHidden/>
              </w:rPr>
              <w:fldChar w:fldCharType="begin"/>
            </w:r>
            <w:r>
              <w:rPr>
                <w:noProof/>
                <w:webHidden/>
              </w:rPr>
              <w:instrText xml:space="preserve"> PAGEREF _Toc233711779 \h </w:instrText>
            </w:r>
            <w:r>
              <w:rPr>
                <w:noProof/>
                <w:webHidden/>
              </w:rPr>
            </w:r>
            <w:r>
              <w:rPr>
                <w:noProof/>
                <w:webHidden/>
              </w:rPr>
              <w:fldChar w:fldCharType="separate"/>
            </w:r>
            <w:r>
              <w:rPr>
                <w:noProof/>
                <w:webHidden/>
              </w:rPr>
              <w:t>129</w:t>
            </w:r>
            <w:r>
              <w:rPr>
                <w:noProof/>
                <w:webHidden/>
              </w:rPr>
              <w:fldChar w:fldCharType="end"/>
            </w:r>
          </w:hyperlink>
        </w:p>
        <w:p w14:paraId="7A54CBE7" w14:textId="7ADBF513" w:rsidR="00891EB6" w:rsidRDefault="00891EB6">
          <w:pPr>
            <w:pStyle w:val="TOC1"/>
            <w:rPr>
              <w:noProof/>
              <w:sz w:val="22"/>
              <w:lang w:val="en-US"/>
            </w:rPr>
          </w:pPr>
          <w:hyperlink w:anchor="_Toc233711780" w:history="1">
            <w:r w:rsidRPr="00924ADB">
              <w:rPr>
                <w:rStyle w:val="Hyperlink"/>
                <w:rFonts w:ascii="Calibri" w:hAnsi="Calibri" w:cs="Calibri"/>
                <w:bCs/>
                <w:noProof/>
              </w:rPr>
              <w:t>10. LITERATURA</w:t>
            </w:r>
            <w:r>
              <w:rPr>
                <w:noProof/>
                <w:webHidden/>
              </w:rPr>
              <w:tab/>
            </w:r>
            <w:r>
              <w:rPr>
                <w:noProof/>
                <w:webHidden/>
              </w:rPr>
              <w:fldChar w:fldCharType="begin"/>
            </w:r>
            <w:r>
              <w:rPr>
                <w:noProof/>
                <w:webHidden/>
              </w:rPr>
              <w:instrText xml:space="preserve"> PAGEREF _Toc233711780 \h </w:instrText>
            </w:r>
            <w:r>
              <w:rPr>
                <w:noProof/>
                <w:webHidden/>
              </w:rPr>
            </w:r>
            <w:r>
              <w:rPr>
                <w:noProof/>
                <w:webHidden/>
              </w:rPr>
              <w:fldChar w:fldCharType="separate"/>
            </w:r>
            <w:r>
              <w:rPr>
                <w:noProof/>
                <w:webHidden/>
              </w:rPr>
              <w:t>132</w:t>
            </w:r>
            <w:r>
              <w:rPr>
                <w:noProof/>
                <w:webHidden/>
              </w:rPr>
              <w:fldChar w:fldCharType="end"/>
            </w:r>
          </w:hyperlink>
        </w:p>
        <w:p w14:paraId="221F6810" w14:textId="5DA51697" w:rsidR="00891EB6" w:rsidRDefault="00891EB6">
          <w:pPr>
            <w:pStyle w:val="TOC1"/>
            <w:rPr>
              <w:noProof/>
              <w:sz w:val="22"/>
              <w:lang w:val="en-US"/>
            </w:rPr>
          </w:pPr>
          <w:hyperlink w:anchor="_Toc233711781" w:history="1">
            <w:r w:rsidRPr="00924ADB">
              <w:rPr>
                <w:rStyle w:val="Hyperlink"/>
                <w:rFonts w:ascii="Calibri" w:hAnsi="Calibri" w:cs="Calibri"/>
                <w:noProof/>
              </w:rPr>
              <w:t>PRILOG 1</w:t>
            </w:r>
            <w:r>
              <w:rPr>
                <w:noProof/>
                <w:webHidden/>
              </w:rPr>
              <w:tab/>
            </w:r>
            <w:r>
              <w:rPr>
                <w:noProof/>
                <w:webHidden/>
              </w:rPr>
              <w:fldChar w:fldCharType="begin"/>
            </w:r>
            <w:r>
              <w:rPr>
                <w:noProof/>
                <w:webHidden/>
              </w:rPr>
              <w:instrText xml:space="preserve"> PAGEREF _Toc233711781 \h </w:instrText>
            </w:r>
            <w:r>
              <w:rPr>
                <w:noProof/>
                <w:webHidden/>
              </w:rPr>
            </w:r>
            <w:r>
              <w:rPr>
                <w:noProof/>
                <w:webHidden/>
              </w:rPr>
              <w:fldChar w:fldCharType="separate"/>
            </w:r>
            <w:r>
              <w:rPr>
                <w:noProof/>
                <w:webHidden/>
              </w:rPr>
              <w:t>134</w:t>
            </w:r>
            <w:r>
              <w:rPr>
                <w:noProof/>
                <w:webHidden/>
              </w:rPr>
              <w:fldChar w:fldCharType="end"/>
            </w:r>
          </w:hyperlink>
        </w:p>
        <w:p w14:paraId="29E7ED21" w14:textId="3458A061" w:rsidR="00891EB6" w:rsidRDefault="00891EB6">
          <w:pPr>
            <w:pStyle w:val="TOC2"/>
            <w:tabs>
              <w:tab w:val="right" w:leader="dot" w:pos="9016"/>
            </w:tabs>
            <w:rPr>
              <w:noProof/>
              <w:sz w:val="22"/>
              <w:lang w:val="en-US"/>
            </w:rPr>
          </w:pPr>
          <w:hyperlink w:anchor="_Toc233711782" w:history="1">
            <w:r w:rsidRPr="00924ADB">
              <w:rPr>
                <w:rStyle w:val="Hyperlink"/>
                <w:noProof/>
              </w:rPr>
              <w:t>A.</w:t>
            </w:r>
            <w:r w:rsidRPr="00924ADB">
              <w:rPr>
                <w:rStyle w:val="Hyperlink"/>
                <w:rFonts w:ascii="Calibri" w:hAnsi="Calibri" w:cs="Calibri"/>
                <w:noProof/>
              </w:rPr>
              <w:t xml:space="preserve"> Informacije koje treba da sadrže planovi kvaliteta vazduha i akcioni planove kvaliteta vazduha</w:t>
            </w:r>
            <w:r>
              <w:rPr>
                <w:noProof/>
                <w:webHidden/>
              </w:rPr>
              <w:tab/>
            </w:r>
            <w:r>
              <w:rPr>
                <w:noProof/>
                <w:webHidden/>
              </w:rPr>
              <w:fldChar w:fldCharType="begin"/>
            </w:r>
            <w:r>
              <w:rPr>
                <w:noProof/>
                <w:webHidden/>
              </w:rPr>
              <w:instrText xml:space="preserve"> PAGEREF _Toc233711782 \h </w:instrText>
            </w:r>
            <w:r>
              <w:rPr>
                <w:noProof/>
                <w:webHidden/>
              </w:rPr>
            </w:r>
            <w:r>
              <w:rPr>
                <w:noProof/>
                <w:webHidden/>
              </w:rPr>
              <w:fldChar w:fldCharType="separate"/>
            </w:r>
            <w:r>
              <w:rPr>
                <w:noProof/>
                <w:webHidden/>
              </w:rPr>
              <w:t>134</w:t>
            </w:r>
            <w:r>
              <w:rPr>
                <w:noProof/>
                <w:webHidden/>
              </w:rPr>
              <w:fldChar w:fldCharType="end"/>
            </w:r>
          </w:hyperlink>
        </w:p>
        <w:p w14:paraId="4180D11F" w14:textId="3AD064C5" w:rsidR="00891EB6" w:rsidRDefault="00891EB6">
          <w:pPr>
            <w:pStyle w:val="TOC2"/>
            <w:tabs>
              <w:tab w:val="right" w:leader="dot" w:pos="9016"/>
            </w:tabs>
            <w:rPr>
              <w:noProof/>
              <w:sz w:val="22"/>
              <w:lang w:val="en-US"/>
            </w:rPr>
          </w:pPr>
          <w:hyperlink w:anchor="_Toc233711783" w:history="1">
            <w:r w:rsidRPr="00924ADB">
              <w:rPr>
                <w:rStyle w:val="Hyperlink"/>
                <w:noProof/>
              </w:rPr>
              <w:t>B.</w:t>
            </w:r>
            <w:r w:rsidRPr="00924ADB">
              <w:rPr>
                <w:rStyle w:val="Hyperlink"/>
                <w:rFonts w:ascii="Calibri" w:hAnsi="Calibri" w:cs="Calibri"/>
                <w:noProof/>
              </w:rPr>
              <w:t xml:space="preserve"> Indikativni spisak mjera za smanjenje zagađenja vazduha</w:t>
            </w:r>
            <w:r>
              <w:rPr>
                <w:noProof/>
                <w:webHidden/>
              </w:rPr>
              <w:tab/>
            </w:r>
            <w:r>
              <w:rPr>
                <w:noProof/>
                <w:webHidden/>
              </w:rPr>
              <w:fldChar w:fldCharType="begin"/>
            </w:r>
            <w:r>
              <w:rPr>
                <w:noProof/>
                <w:webHidden/>
              </w:rPr>
              <w:instrText xml:space="preserve"> PAGEREF _Toc233711783 \h </w:instrText>
            </w:r>
            <w:r>
              <w:rPr>
                <w:noProof/>
                <w:webHidden/>
              </w:rPr>
            </w:r>
            <w:r>
              <w:rPr>
                <w:noProof/>
                <w:webHidden/>
              </w:rPr>
              <w:fldChar w:fldCharType="separate"/>
            </w:r>
            <w:r>
              <w:rPr>
                <w:noProof/>
                <w:webHidden/>
              </w:rPr>
              <w:t>136</w:t>
            </w:r>
            <w:r>
              <w:rPr>
                <w:noProof/>
                <w:webHidden/>
              </w:rPr>
              <w:fldChar w:fldCharType="end"/>
            </w:r>
          </w:hyperlink>
        </w:p>
        <w:p w14:paraId="05E36CB4" w14:textId="5852419F" w:rsidR="00891EB6" w:rsidRDefault="00891EB6">
          <w:pPr>
            <w:pStyle w:val="TOC1"/>
            <w:rPr>
              <w:noProof/>
              <w:sz w:val="22"/>
              <w:lang w:val="en-US"/>
            </w:rPr>
          </w:pPr>
          <w:hyperlink w:anchor="_Toc233711784" w:history="1">
            <w:r w:rsidRPr="00924ADB">
              <w:rPr>
                <w:rStyle w:val="Hyperlink"/>
                <w:rFonts w:ascii="Calibri" w:hAnsi="Calibri" w:cs="Calibri"/>
                <w:noProof/>
              </w:rPr>
              <w:t>PRILOG 2</w:t>
            </w:r>
            <w:r>
              <w:rPr>
                <w:noProof/>
                <w:webHidden/>
              </w:rPr>
              <w:tab/>
            </w:r>
            <w:r>
              <w:rPr>
                <w:noProof/>
                <w:webHidden/>
              </w:rPr>
              <w:fldChar w:fldCharType="begin"/>
            </w:r>
            <w:r>
              <w:rPr>
                <w:noProof/>
                <w:webHidden/>
              </w:rPr>
              <w:instrText xml:space="preserve"> PAGEREF _Toc233711784 \h </w:instrText>
            </w:r>
            <w:r>
              <w:rPr>
                <w:noProof/>
                <w:webHidden/>
              </w:rPr>
            </w:r>
            <w:r>
              <w:rPr>
                <w:noProof/>
                <w:webHidden/>
              </w:rPr>
              <w:fldChar w:fldCharType="separate"/>
            </w:r>
            <w:r>
              <w:rPr>
                <w:noProof/>
                <w:webHidden/>
              </w:rPr>
              <w:t>138</w:t>
            </w:r>
            <w:r>
              <w:rPr>
                <w:noProof/>
                <w:webHidden/>
              </w:rPr>
              <w:fldChar w:fldCharType="end"/>
            </w:r>
          </w:hyperlink>
        </w:p>
        <w:p w14:paraId="00CDF216" w14:textId="4F16E033" w:rsidR="00891EB6" w:rsidRDefault="00891EB6">
          <w:pPr>
            <w:pStyle w:val="TOC2"/>
            <w:tabs>
              <w:tab w:val="right" w:leader="dot" w:pos="9016"/>
            </w:tabs>
            <w:rPr>
              <w:noProof/>
              <w:sz w:val="22"/>
              <w:lang w:val="en-US"/>
            </w:rPr>
          </w:pPr>
          <w:hyperlink w:anchor="_Toc233711785" w:history="1">
            <w:r w:rsidRPr="00924ADB">
              <w:rPr>
                <w:rStyle w:val="Hyperlink"/>
                <w:rFonts w:ascii="Calibri" w:hAnsi="Calibri" w:cs="Calibri"/>
                <w:noProof/>
              </w:rPr>
              <w:t>Dodatne prateće informacije za planove kvaliteta vazduha</w:t>
            </w:r>
            <w:r>
              <w:rPr>
                <w:noProof/>
                <w:webHidden/>
              </w:rPr>
              <w:tab/>
            </w:r>
            <w:r>
              <w:rPr>
                <w:noProof/>
                <w:webHidden/>
              </w:rPr>
              <w:fldChar w:fldCharType="begin"/>
            </w:r>
            <w:r>
              <w:rPr>
                <w:noProof/>
                <w:webHidden/>
              </w:rPr>
              <w:instrText xml:space="preserve"> PAGEREF _Toc233711785 \h </w:instrText>
            </w:r>
            <w:r>
              <w:rPr>
                <w:noProof/>
                <w:webHidden/>
              </w:rPr>
            </w:r>
            <w:r>
              <w:rPr>
                <w:noProof/>
                <w:webHidden/>
              </w:rPr>
              <w:fldChar w:fldCharType="separate"/>
            </w:r>
            <w:r>
              <w:rPr>
                <w:noProof/>
                <w:webHidden/>
              </w:rPr>
              <w:t>138</w:t>
            </w:r>
            <w:r>
              <w:rPr>
                <w:noProof/>
                <w:webHidden/>
              </w:rPr>
              <w:fldChar w:fldCharType="end"/>
            </w:r>
          </w:hyperlink>
        </w:p>
        <w:p w14:paraId="418D8E58" w14:textId="1E0C72E3" w:rsidR="000039EA" w:rsidRPr="001C58C6" w:rsidRDefault="000039EA" w:rsidP="000039EA">
          <w:pPr>
            <w:rPr>
              <w:rFonts w:ascii="Calibri" w:hAnsi="Calibri" w:cs="Calibri"/>
              <w:color w:val="000000" w:themeColor="text1"/>
            </w:rPr>
          </w:pPr>
          <w:r w:rsidRPr="001C58C6">
            <w:rPr>
              <w:rFonts w:ascii="Calibri" w:hAnsi="Calibri" w:cs="Calibri"/>
              <w:b/>
              <w:bCs/>
              <w:color w:val="000000" w:themeColor="text1"/>
            </w:rPr>
            <w:fldChar w:fldCharType="end"/>
          </w:r>
        </w:p>
      </w:sdtContent>
    </w:sdt>
    <w:p w14:paraId="6E9A90F8" w14:textId="77777777" w:rsidR="0055253B" w:rsidRPr="001C58C6" w:rsidRDefault="0055253B" w:rsidP="0055253B">
      <w:pPr>
        <w:jc w:val="left"/>
        <w:rPr>
          <w:rFonts w:ascii="Calibri" w:hAnsi="Calibri" w:cs="Calibri"/>
          <w:b/>
          <w:color w:val="000000" w:themeColor="text1"/>
        </w:rPr>
      </w:pPr>
      <w:r w:rsidRPr="001C58C6">
        <w:rPr>
          <w:rFonts w:ascii="Calibri" w:hAnsi="Calibri" w:cs="Calibri"/>
          <w:b/>
          <w:color w:val="000000" w:themeColor="text1"/>
        </w:rPr>
        <w:t>LISTA GRAFIKA</w:t>
      </w:r>
    </w:p>
    <w:p w14:paraId="2525F4FA" w14:textId="776355BD" w:rsidR="006362BE" w:rsidRDefault="00B33518">
      <w:pPr>
        <w:pStyle w:val="TableofFigures"/>
        <w:tabs>
          <w:tab w:val="right" w:leader="dot" w:pos="9016"/>
        </w:tabs>
        <w:rPr>
          <w:noProof/>
          <w:kern w:val="2"/>
          <w:szCs w:val="24"/>
          <w:lang w:val="en-GB" w:eastAsia="en-GB"/>
          <w14:ligatures w14:val="standardContextual"/>
        </w:rPr>
      </w:pPr>
      <w:r w:rsidRPr="001C58C6">
        <w:rPr>
          <w:rFonts w:ascii="Calibri" w:hAnsi="Calibri" w:cs="Calibri"/>
          <w:color w:val="000000" w:themeColor="text1"/>
        </w:rPr>
        <w:fldChar w:fldCharType="begin"/>
      </w:r>
      <w:r w:rsidRPr="001C58C6">
        <w:rPr>
          <w:rFonts w:ascii="Calibri" w:hAnsi="Calibri" w:cs="Calibri"/>
          <w:color w:val="000000" w:themeColor="text1"/>
        </w:rPr>
        <w:instrText xml:space="preserve"> TOC \h \z \t "Heading 6,1" \c "Grafik" </w:instrText>
      </w:r>
      <w:r w:rsidRPr="001C58C6">
        <w:rPr>
          <w:rFonts w:ascii="Calibri" w:hAnsi="Calibri" w:cs="Calibri"/>
          <w:color w:val="000000" w:themeColor="text1"/>
        </w:rPr>
        <w:fldChar w:fldCharType="separate"/>
      </w:r>
      <w:hyperlink w:anchor="_Toc233584662" w:history="1">
        <w:r w:rsidR="006362BE" w:rsidRPr="001E4F4A">
          <w:rPr>
            <w:rStyle w:val="Hyperlink"/>
            <w:rFonts w:ascii="Calibri" w:hAnsi="Calibri" w:cs="Calibri"/>
            <w:i/>
            <w:iCs/>
            <w:noProof/>
          </w:rPr>
          <w:t>Grafik 1: Srednje godišnje koncentracije azot-dioksida (2020-2024)</w:t>
        </w:r>
        <w:r w:rsidR="006362BE">
          <w:rPr>
            <w:noProof/>
            <w:webHidden/>
          </w:rPr>
          <w:tab/>
        </w:r>
        <w:r w:rsidR="006362BE">
          <w:rPr>
            <w:noProof/>
            <w:webHidden/>
          </w:rPr>
          <w:fldChar w:fldCharType="begin"/>
        </w:r>
        <w:r w:rsidR="006362BE">
          <w:rPr>
            <w:noProof/>
            <w:webHidden/>
          </w:rPr>
          <w:instrText xml:space="preserve"> PAGEREF _Toc233584662 \h </w:instrText>
        </w:r>
        <w:r w:rsidR="006362BE">
          <w:rPr>
            <w:noProof/>
            <w:webHidden/>
          </w:rPr>
        </w:r>
        <w:r w:rsidR="006362BE">
          <w:rPr>
            <w:noProof/>
            <w:webHidden/>
          </w:rPr>
          <w:fldChar w:fldCharType="separate"/>
        </w:r>
        <w:r w:rsidR="006362BE">
          <w:rPr>
            <w:noProof/>
            <w:webHidden/>
          </w:rPr>
          <w:t>12</w:t>
        </w:r>
        <w:r w:rsidR="006362BE">
          <w:rPr>
            <w:noProof/>
            <w:webHidden/>
          </w:rPr>
          <w:fldChar w:fldCharType="end"/>
        </w:r>
      </w:hyperlink>
    </w:p>
    <w:p w14:paraId="3C33DA23" w14:textId="1982F261" w:rsidR="006362BE" w:rsidRDefault="00891EB6">
      <w:pPr>
        <w:pStyle w:val="TableofFigures"/>
        <w:tabs>
          <w:tab w:val="right" w:leader="dot" w:pos="9016"/>
        </w:tabs>
        <w:rPr>
          <w:noProof/>
          <w:kern w:val="2"/>
          <w:szCs w:val="24"/>
          <w:lang w:val="en-GB" w:eastAsia="en-GB"/>
          <w14:ligatures w14:val="standardContextual"/>
        </w:rPr>
      </w:pPr>
      <w:hyperlink w:anchor="_Toc233584663" w:history="1">
        <w:r w:rsidR="006362BE" w:rsidRPr="001E4F4A">
          <w:rPr>
            <w:rStyle w:val="Hyperlink"/>
            <w:rFonts w:ascii="Calibri" w:hAnsi="Calibri" w:cs="Calibri"/>
            <w:i/>
            <w:iCs/>
            <w:noProof/>
          </w:rPr>
          <w:t>Grafik 2: Srednje godišnje koncentracije sumpor-dioksida (2020-2024)</w:t>
        </w:r>
        <w:r w:rsidR="006362BE">
          <w:rPr>
            <w:noProof/>
            <w:webHidden/>
          </w:rPr>
          <w:tab/>
        </w:r>
        <w:r w:rsidR="006362BE">
          <w:rPr>
            <w:noProof/>
            <w:webHidden/>
          </w:rPr>
          <w:fldChar w:fldCharType="begin"/>
        </w:r>
        <w:r w:rsidR="006362BE">
          <w:rPr>
            <w:noProof/>
            <w:webHidden/>
          </w:rPr>
          <w:instrText xml:space="preserve"> PAGEREF _Toc233584663 \h </w:instrText>
        </w:r>
        <w:r w:rsidR="006362BE">
          <w:rPr>
            <w:noProof/>
            <w:webHidden/>
          </w:rPr>
        </w:r>
        <w:r w:rsidR="006362BE">
          <w:rPr>
            <w:noProof/>
            <w:webHidden/>
          </w:rPr>
          <w:fldChar w:fldCharType="separate"/>
        </w:r>
        <w:r w:rsidR="006362BE">
          <w:rPr>
            <w:noProof/>
            <w:webHidden/>
          </w:rPr>
          <w:t>13</w:t>
        </w:r>
        <w:r w:rsidR="006362BE">
          <w:rPr>
            <w:noProof/>
            <w:webHidden/>
          </w:rPr>
          <w:fldChar w:fldCharType="end"/>
        </w:r>
      </w:hyperlink>
    </w:p>
    <w:p w14:paraId="2C4436D9" w14:textId="432C981B" w:rsidR="006362BE" w:rsidRDefault="00891EB6">
      <w:pPr>
        <w:pStyle w:val="TableofFigures"/>
        <w:tabs>
          <w:tab w:val="right" w:leader="dot" w:pos="9016"/>
        </w:tabs>
        <w:rPr>
          <w:noProof/>
          <w:kern w:val="2"/>
          <w:szCs w:val="24"/>
          <w:lang w:val="en-GB" w:eastAsia="en-GB"/>
          <w14:ligatures w14:val="standardContextual"/>
        </w:rPr>
      </w:pPr>
      <w:hyperlink w:anchor="_Toc233584664" w:history="1">
        <w:r w:rsidR="006362BE" w:rsidRPr="001E4F4A">
          <w:rPr>
            <w:rStyle w:val="Hyperlink"/>
            <w:rFonts w:ascii="Calibri" w:hAnsi="Calibri" w:cs="Calibri"/>
            <w:i/>
            <w:iCs/>
            <w:noProof/>
          </w:rPr>
          <w:t>Grafik 3  – Koncentracije sumpor – dioksida, decembar 2025, Pljevlja, Gradina, Sjeverna zona kvaliteta vazduha</w:t>
        </w:r>
        <w:r w:rsidR="006362BE">
          <w:rPr>
            <w:noProof/>
            <w:webHidden/>
          </w:rPr>
          <w:tab/>
        </w:r>
        <w:r w:rsidR="006362BE">
          <w:rPr>
            <w:noProof/>
            <w:webHidden/>
          </w:rPr>
          <w:fldChar w:fldCharType="begin"/>
        </w:r>
        <w:r w:rsidR="006362BE">
          <w:rPr>
            <w:noProof/>
            <w:webHidden/>
          </w:rPr>
          <w:instrText xml:space="preserve"> PAGEREF _Toc233584664 \h </w:instrText>
        </w:r>
        <w:r w:rsidR="006362BE">
          <w:rPr>
            <w:noProof/>
            <w:webHidden/>
          </w:rPr>
        </w:r>
        <w:r w:rsidR="006362BE">
          <w:rPr>
            <w:noProof/>
            <w:webHidden/>
          </w:rPr>
          <w:fldChar w:fldCharType="separate"/>
        </w:r>
        <w:r w:rsidR="006362BE">
          <w:rPr>
            <w:noProof/>
            <w:webHidden/>
          </w:rPr>
          <w:t>14</w:t>
        </w:r>
        <w:r w:rsidR="006362BE">
          <w:rPr>
            <w:noProof/>
            <w:webHidden/>
          </w:rPr>
          <w:fldChar w:fldCharType="end"/>
        </w:r>
      </w:hyperlink>
    </w:p>
    <w:p w14:paraId="4FF8FD45" w14:textId="0673849B" w:rsidR="006362BE" w:rsidRDefault="00891EB6">
      <w:pPr>
        <w:pStyle w:val="TableofFigures"/>
        <w:tabs>
          <w:tab w:val="right" w:leader="dot" w:pos="9016"/>
        </w:tabs>
        <w:rPr>
          <w:noProof/>
          <w:kern w:val="2"/>
          <w:szCs w:val="24"/>
          <w:lang w:val="en-GB" w:eastAsia="en-GB"/>
          <w14:ligatures w14:val="standardContextual"/>
        </w:rPr>
      </w:pPr>
      <w:hyperlink w:anchor="_Toc233584665" w:history="1">
        <w:r w:rsidR="006362BE" w:rsidRPr="001E4F4A">
          <w:rPr>
            <w:rStyle w:val="Hyperlink"/>
            <w:rFonts w:ascii="Calibri" w:hAnsi="Calibri" w:cs="Calibri"/>
            <w:i/>
            <w:iCs/>
            <w:noProof/>
          </w:rPr>
          <w:t>Grafik 4: Srednje godišnje koncentracije suspendovanih čestica PM10 (2020-2024)</w:t>
        </w:r>
        <w:r w:rsidR="006362BE">
          <w:rPr>
            <w:noProof/>
            <w:webHidden/>
          </w:rPr>
          <w:tab/>
        </w:r>
        <w:r w:rsidR="006362BE">
          <w:rPr>
            <w:noProof/>
            <w:webHidden/>
          </w:rPr>
          <w:fldChar w:fldCharType="begin"/>
        </w:r>
        <w:r w:rsidR="006362BE">
          <w:rPr>
            <w:noProof/>
            <w:webHidden/>
          </w:rPr>
          <w:instrText xml:space="preserve"> PAGEREF _Toc233584665 \h </w:instrText>
        </w:r>
        <w:r w:rsidR="006362BE">
          <w:rPr>
            <w:noProof/>
            <w:webHidden/>
          </w:rPr>
        </w:r>
        <w:r w:rsidR="006362BE">
          <w:rPr>
            <w:noProof/>
            <w:webHidden/>
          </w:rPr>
          <w:fldChar w:fldCharType="separate"/>
        </w:r>
        <w:r w:rsidR="006362BE">
          <w:rPr>
            <w:noProof/>
            <w:webHidden/>
          </w:rPr>
          <w:t>15</w:t>
        </w:r>
        <w:r w:rsidR="006362BE">
          <w:rPr>
            <w:noProof/>
            <w:webHidden/>
          </w:rPr>
          <w:fldChar w:fldCharType="end"/>
        </w:r>
      </w:hyperlink>
    </w:p>
    <w:p w14:paraId="1E192320" w14:textId="23DFB2EC" w:rsidR="006362BE" w:rsidRDefault="00891EB6">
      <w:pPr>
        <w:pStyle w:val="TableofFigures"/>
        <w:tabs>
          <w:tab w:val="right" w:leader="dot" w:pos="9016"/>
        </w:tabs>
        <w:rPr>
          <w:noProof/>
          <w:kern w:val="2"/>
          <w:szCs w:val="24"/>
          <w:lang w:val="en-GB" w:eastAsia="en-GB"/>
          <w14:ligatures w14:val="standardContextual"/>
        </w:rPr>
      </w:pPr>
      <w:hyperlink w:anchor="_Toc233584666" w:history="1">
        <w:r w:rsidR="006362BE" w:rsidRPr="001E4F4A">
          <w:rPr>
            <w:rStyle w:val="Hyperlink"/>
            <w:rFonts w:ascii="Calibri" w:hAnsi="Calibri" w:cs="Calibri"/>
            <w:i/>
            <w:iCs/>
            <w:noProof/>
          </w:rPr>
          <w:t>Grafik 5: Srednje godišnje koncentracije suspendovanih čestica pm2.5 (2020-2024)</w:t>
        </w:r>
        <w:r w:rsidR="006362BE">
          <w:rPr>
            <w:noProof/>
            <w:webHidden/>
          </w:rPr>
          <w:tab/>
        </w:r>
        <w:r w:rsidR="006362BE">
          <w:rPr>
            <w:noProof/>
            <w:webHidden/>
          </w:rPr>
          <w:fldChar w:fldCharType="begin"/>
        </w:r>
        <w:r w:rsidR="006362BE">
          <w:rPr>
            <w:noProof/>
            <w:webHidden/>
          </w:rPr>
          <w:instrText xml:space="preserve"> PAGEREF _Toc233584666 \h </w:instrText>
        </w:r>
        <w:r w:rsidR="006362BE">
          <w:rPr>
            <w:noProof/>
            <w:webHidden/>
          </w:rPr>
        </w:r>
        <w:r w:rsidR="006362BE">
          <w:rPr>
            <w:noProof/>
            <w:webHidden/>
          </w:rPr>
          <w:fldChar w:fldCharType="separate"/>
        </w:r>
        <w:r w:rsidR="006362BE">
          <w:rPr>
            <w:noProof/>
            <w:webHidden/>
          </w:rPr>
          <w:t>16</w:t>
        </w:r>
        <w:r w:rsidR="006362BE">
          <w:rPr>
            <w:noProof/>
            <w:webHidden/>
          </w:rPr>
          <w:fldChar w:fldCharType="end"/>
        </w:r>
      </w:hyperlink>
    </w:p>
    <w:p w14:paraId="45653B0C" w14:textId="41708680" w:rsidR="006362BE" w:rsidRDefault="00891EB6">
      <w:pPr>
        <w:pStyle w:val="TableofFigures"/>
        <w:tabs>
          <w:tab w:val="right" w:leader="dot" w:pos="9016"/>
        </w:tabs>
        <w:rPr>
          <w:noProof/>
          <w:kern w:val="2"/>
          <w:szCs w:val="24"/>
          <w:lang w:val="en-GB" w:eastAsia="en-GB"/>
          <w14:ligatures w14:val="standardContextual"/>
        </w:rPr>
      </w:pPr>
      <w:hyperlink w:anchor="_Toc233584667" w:history="1">
        <w:r w:rsidR="006362BE" w:rsidRPr="001E4F4A">
          <w:rPr>
            <w:rStyle w:val="Hyperlink"/>
            <w:rFonts w:ascii="Calibri" w:hAnsi="Calibri" w:cs="Calibri"/>
            <w:i/>
            <w:iCs/>
            <w:noProof/>
          </w:rPr>
          <w:t>Grafik 6: Srednje godišnje vrijednosti sadržaja benzo(a)pirena u suspendovanim česticama</w:t>
        </w:r>
        <w:r w:rsidR="006362BE">
          <w:rPr>
            <w:noProof/>
            <w:webHidden/>
          </w:rPr>
          <w:tab/>
        </w:r>
        <w:r w:rsidR="006362BE">
          <w:rPr>
            <w:noProof/>
            <w:webHidden/>
          </w:rPr>
          <w:fldChar w:fldCharType="begin"/>
        </w:r>
        <w:r w:rsidR="006362BE">
          <w:rPr>
            <w:noProof/>
            <w:webHidden/>
          </w:rPr>
          <w:instrText xml:space="preserve"> PAGEREF _Toc233584667 \h </w:instrText>
        </w:r>
        <w:r w:rsidR="006362BE">
          <w:rPr>
            <w:noProof/>
            <w:webHidden/>
          </w:rPr>
        </w:r>
        <w:r w:rsidR="006362BE">
          <w:rPr>
            <w:noProof/>
            <w:webHidden/>
          </w:rPr>
          <w:fldChar w:fldCharType="separate"/>
        </w:r>
        <w:r w:rsidR="006362BE">
          <w:rPr>
            <w:noProof/>
            <w:webHidden/>
          </w:rPr>
          <w:t>18</w:t>
        </w:r>
        <w:r w:rsidR="006362BE">
          <w:rPr>
            <w:noProof/>
            <w:webHidden/>
          </w:rPr>
          <w:fldChar w:fldCharType="end"/>
        </w:r>
      </w:hyperlink>
    </w:p>
    <w:p w14:paraId="57970C95" w14:textId="2314B1B9" w:rsidR="006362BE" w:rsidRDefault="00891EB6">
      <w:pPr>
        <w:pStyle w:val="TableofFigures"/>
        <w:tabs>
          <w:tab w:val="right" w:leader="dot" w:pos="9016"/>
        </w:tabs>
        <w:rPr>
          <w:noProof/>
          <w:kern w:val="2"/>
          <w:szCs w:val="24"/>
          <w:lang w:val="en-GB" w:eastAsia="en-GB"/>
          <w14:ligatures w14:val="standardContextual"/>
        </w:rPr>
      </w:pPr>
      <w:hyperlink w:anchor="_Toc233584668" w:history="1">
        <w:r w:rsidR="006362BE" w:rsidRPr="001E4F4A">
          <w:rPr>
            <w:rStyle w:val="Hyperlink"/>
            <w:rFonts w:ascii="Calibri" w:hAnsi="Calibri" w:cs="Calibri"/>
            <w:i/>
            <w:iCs/>
            <w:noProof/>
          </w:rPr>
          <w:t>Grafik 7– Srednje godišnje koncentracije suspendovanih čestica PM10 (2009 – 2018)</w:t>
        </w:r>
        <w:r w:rsidR="006362BE">
          <w:rPr>
            <w:noProof/>
            <w:webHidden/>
          </w:rPr>
          <w:tab/>
        </w:r>
        <w:r w:rsidR="006362BE">
          <w:rPr>
            <w:noProof/>
            <w:webHidden/>
          </w:rPr>
          <w:fldChar w:fldCharType="begin"/>
        </w:r>
        <w:r w:rsidR="006362BE">
          <w:rPr>
            <w:noProof/>
            <w:webHidden/>
          </w:rPr>
          <w:instrText xml:space="preserve"> PAGEREF _Toc233584668 \h </w:instrText>
        </w:r>
        <w:r w:rsidR="006362BE">
          <w:rPr>
            <w:noProof/>
            <w:webHidden/>
          </w:rPr>
        </w:r>
        <w:r w:rsidR="006362BE">
          <w:rPr>
            <w:noProof/>
            <w:webHidden/>
          </w:rPr>
          <w:fldChar w:fldCharType="separate"/>
        </w:r>
        <w:r w:rsidR="006362BE">
          <w:rPr>
            <w:noProof/>
            <w:webHidden/>
          </w:rPr>
          <w:t>19</w:t>
        </w:r>
        <w:r w:rsidR="006362BE">
          <w:rPr>
            <w:noProof/>
            <w:webHidden/>
          </w:rPr>
          <w:fldChar w:fldCharType="end"/>
        </w:r>
      </w:hyperlink>
    </w:p>
    <w:p w14:paraId="58CA8612" w14:textId="5B768CFA" w:rsidR="006362BE" w:rsidRDefault="00891EB6">
      <w:pPr>
        <w:pStyle w:val="TableofFigures"/>
        <w:tabs>
          <w:tab w:val="right" w:leader="dot" w:pos="9016"/>
        </w:tabs>
        <w:rPr>
          <w:noProof/>
          <w:kern w:val="2"/>
          <w:szCs w:val="24"/>
          <w:lang w:val="en-GB" w:eastAsia="en-GB"/>
          <w14:ligatures w14:val="standardContextual"/>
        </w:rPr>
      </w:pPr>
      <w:hyperlink w:anchor="_Toc233584669" w:history="1">
        <w:r w:rsidR="006362BE" w:rsidRPr="001E4F4A">
          <w:rPr>
            <w:rStyle w:val="Hyperlink"/>
            <w:rFonts w:ascii="Calibri" w:hAnsi="Calibri" w:cs="Calibri"/>
            <w:i/>
            <w:iCs/>
            <w:noProof/>
          </w:rPr>
          <w:t>Grafik 8: Broj preuranjenih smrti koje se mogu pripisati zagađenju vazduha (PM2.5 region – eu 27)</w:t>
        </w:r>
        <w:r w:rsidR="006362BE">
          <w:rPr>
            <w:noProof/>
            <w:webHidden/>
          </w:rPr>
          <w:tab/>
        </w:r>
        <w:r w:rsidR="006362BE">
          <w:rPr>
            <w:noProof/>
            <w:webHidden/>
          </w:rPr>
          <w:fldChar w:fldCharType="begin"/>
        </w:r>
        <w:r w:rsidR="006362BE">
          <w:rPr>
            <w:noProof/>
            <w:webHidden/>
          </w:rPr>
          <w:instrText xml:space="preserve"> PAGEREF _Toc233584669 \h </w:instrText>
        </w:r>
        <w:r w:rsidR="006362BE">
          <w:rPr>
            <w:noProof/>
            <w:webHidden/>
          </w:rPr>
        </w:r>
        <w:r w:rsidR="006362BE">
          <w:rPr>
            <w:noProof/>
            <w:webHidden/>
          </w:rPr>
          <w:fldChar w:fldCharType="separate"/>
        </w:r>
        <w:r w:rsidR="006362BE">
          <w:rPr>
            <w:noProof/>
            <w:webHidden/>
          </w:rPr>
          <w:t>21</w:t>
        </w:r>
        <w:r w:rsidR="006362BE">
          <w:rPr>
            <w:noProof/>
            <w:webHidden/>
          </w:rPr>
          <w:fldChar w:fldCharType="end"/>
        </w:r>
      </w:hyperlink>
    </w:p>
    <w:p w14:paraId="6C86477D" w14:textId="3DA6221A" w:rsidR="006362BE" w:rsidRDefault="00891EB6">
      <w:pPr>
        <w:pStyle w:val="TableofFigures"/>
        <w:tabs>
          <w:tab w:val="right" w:leader="dot" w:pos="9016"/>
        </w:tabs>
        <w:rPr>
          <w:noProof/>
          <w:kern w:val="2"/>
          <w:szCs w:val="24"/>
          <w:lang w:val="en-GB" w:eastAsia="en-GB"/>
          <w14:ligatures w14:val="standardContextual"/>
        </w:rPr>
      </w:pPr>
      <w:hyperlink w:anchor="_Toc233584670" w:history="1">
        <w:r w:rsidR="006362BE" w:rsidRPr="001E4F4A">
          <w:rPr>
            <w:rStyle w:val="Hyperlink"/>
            <w:rFonts w:ascii="Calibri" w:hAnsi="Calibri" w:cs="Calibri"/>
            <w:i/>
            <w:iCs/>
            <w:noProof/>
          </w:rPr>
          <w:t>Grafik 9: Broj prekoračenja granične vrijednosti za srednju dnevnu koncentraciju suspendovanih čestica PM10 tokom 2010. godine</w:t>
        </w:r>
        <w:r w:rsidR="006362BE">
          <w:rPr>
            <w:noProof/>
            <w:webHidden/>
          </w:rPr>
          <w:tab/>
        </w:r>
        <w:r w:rsidR="006362BE">
          <w:rPr>
            <w:noProof/>
            <w:webHidden/>
          </w:rPr>
          <w:fldChar w:fldCharType="begin"/>
        </w:r>
        <w:r w:rsidR="006362BE">
          <w:rPr>
            <w:noProof/>
            <w:webHidden/>
          </w:rPr>
          <w:instrText xml:space="preserve"> PAGEREF _Toc233584670 \h </w:instrText>
        </w:r>
        <w:r w:rsidR="006362BE">
          <w:rPr>
            <w:noProof/>
            <w:webHidden/>
          </w:rPr>
        </w:r>
        <w:r w:rsidR="006362BE">
          <w:rPr>
            <w:noProof/>
            <w:webHidden/>
          </w:rPr>
          <w:fldChar w:fldCharType="separate"/>
        </w:r>
        <w:r w:rsidR="006362BE">
          <w:rPr>
            <w:noProof/>
            <w:webHidden/>
          </w:rPr>
          <w:t>25</w:t>
        </w:r>
        <w:r w:rsidR="006362BE">
          <w:rPr>
            <w:noProof/>
            <w:webHidden/>
          </w:rPr>
          <w:fldChar w:fldCharType="end"/>
        </w:r>
      </w:hyperlink>
    </w:p>
    <w:p w14:paraId="76717646" w14:textId="58376105" w:rsidR="006362BE" w:rsidRDefault="00891EB6">
      <w:pPr>
        <w:pStyle w:val="TableofFigures"/>
        <w:tabs>
          <w:tab w:val="right" w:leader="dot" w:pos="9016"/>
        </w:tabs>
        <w:rPr>
          <w:noProof/>
          <w:kern w:val="2"/>
          <w:szCs w:val="24"/>
          <w:lang w:val="en-GB" w:eastAsia="en-GB"/>
          <w14:ligatures w14:val="standardContextual"/>
        </w:rPr>
      </w:pPr>
      <w:hyperlink w:anchor="_Toc233584671" w:history="1">
        <w:r w:rsidR="006362BE" w:rsidRPr="001E4F4A">
          <w:rPr>
            <w:rStyle w:val="Hyperlink"/>
            <w:rFonts w:ascii="Calibri" w:hAnsi="Calibri" w:cs="Calibri"/>
            <w:i/>
            <w:iCs/>
            <w:noProof/>
          </w:rPr>
          <w:t>Grafik 10: Srednje godišnje koncentracije suspendovanih čestica PM10 i PM2.5 u Pljevljima i Bijelom Polju (2020-2024)</w:t>
        </w:r>
        <w:r w:rsidR="006362BE">
          <w:rPr>
            <w:noProof/>
            <w:webHidden/>
          </w:rPr>
          <w:tab/>
        </w:r>
        <w:r w:rsidR="006362BE">
          <w:rPr>
            <w:noProof/>
            <w:webHidden/>
          </w:rPr>
          <w:fldChar w:fldCharType="begin"/>
        </w:r>
        <w:r w:rsidR="006362BE">
          <w:rPr>
            <w:noProof/>
            <w:webHidden/>
          </w:rPr>
          <w:instrText xml:space="preserve"> PAGEREF _Toc233584671 \h </w:instrText>
        </w:r>
        <w:r w:rsidR="006362BE">
          <w:rPr>
            <w:noProof/>
            <w:webHidden/>
          </w:rPr>
        </w:r>
        <w:r w:rsidR="006362BE">
          <w:rPr>
            <w:noProof/>
            <w:webHidden/>
          </w:rPr>
          <w:fldChar w:fldCharType="separate"/>
        </w:r>
        <w:r w:rsidR="006362BE">
          <w:rPr>
            <w:noProof/>
            <w:webHidden/>
          </w:rPr>
          <w:t>65</w:t>
        </w:r>
        <w:r w:rsidR="006362BE">
          <w:rPr>
            <w:noProof/>
            <w:webHidden/>
          </w:rPr>
          <w:fldChar w:fldCharType="end"/>
        </w:r>
      </w:hyperlink>
    </w:p>
    <w:p w14:paraId="79D362F9" w14:textId="79C4F29D" w:rsidR="006362BE" w:rsidRDefault="00891EB6">
      <w:pPr>
        <w:pStyle w:val="TableofFigures"/>
        <w:tabs>
          <w:tab w:val="right" w:leader="dot" w:pos="9016"/>
        </w:tabs>
        <w:rPr>
          <w:noProof/>
          <w:kern w:val="2"/>
          <w:szCs w:val="24"/>
          <w:lang w:val="en-GB" w:eastAsia="en-GB"/>
          <w14:ligatures w14:val="standardContextual"/>
        </w:rPr>
      </w:pPr>
      <w:hyperlink w:anchor="_Toc233584672" w:history="1">
        <w:r w:rsidR="006362BE" w:rsidRPr="001E4F4A">
          <w:rPr>
            <w:rStyle w:val="Hyperlink"/>
            <w:rFonts w:ascii="Calibri" w:hAnsi="Calibri" w:cs="Calibri"/>
            <w:i/>
            <w:iCs/>
            <w:noProof/>
          </w:rPr>
          <w:t>Grafik 11: Sadržaj benzo(a)pirena u PM česticama je u Pljevljima i Bijelom Polju (2020-2024)</w:t>
        </w:r>
        <w:r w:rsidR="006362BE">
          <w:rPr>
            <w:noProof/>
            <w:webHidden/>
          </w:rPr>
          <w:tab/>
        </w:r>
        <w:r w:rsidR="006362BE">
          <w:rPr>
            <w:noProof/>
            <w:webHidden/>
          </w:rPr>
          <w:fldChar w:fldCharType="begin"/>
        </w:r>
        <w:r w:rsidR="006362BE">
          <w:rPr>
            <w:noProof/>
            <w:webHidden/>
          </w:rPr>
          <w:instrText xml:space="preserve"> PAGEREF _Toc233584672 \h </w:instrText>
        </w:r>
        <w:r w:rsidR="006362BE">
          <w:rPr>
            <w:noProof/>
            <w:webHidden/>
          </w:rPr>
        </w:r>
        <w:r w:rsidR="006362BE">
          <w:rPr>
            <w:noProof/>
            <w:webHidden/>
          </w:rPr>
          <w:fldChar w:fldCharType="separate"/>
        </w:r>
        <w:r w:rsidR="006362BE">
          <w:rPr>
            <w:noProof/>
            <w:webHidden/>
          </w:rPr>
          <w:t>66</w:t>
        </w:r>
        <w:r w:rsidR="006362BE">
          <w:rPr>
            <w:noProof/>
            <w:webHidden/>
          </w:rPr>
          <w:fldChar w:fldCharType="end"/>
        </w:r>
      </w:hyperlink>
    </w:p>
    <w:p w14:paraId="3D88DAED" w14:textId="71721CC5" w:rsidR="006362BE" w:rsidRDefault="00891EB6">
      <w:pPr>
        <w:pStyle w:val="TableofFigures"/>
        <w:tabs>
          <w:tab w:val="right" w:leader="dot" w:pos="9016"/>
        </w:tabs>
        <w:rPr>
          <w:noProof/>
          <w:kern w:val="2"/>
          <w:szCs w:val="24"/>
          <w:lang w:val="en-GB" w:eastAsia="en-GB"/>
          <w14:ligatures w14:val="standardContextual"/>
        </w:rPr>
      </w:pPr>
      <w:hyperlink w:anchor="_Toc233584673" w:history="1">
        <w:r w:rsidR="006362BE" w:rsidRPr="001E4F4A">
          <w:rPr>
            <w:rStyle w:val="Hyperlink"/>
            <w:rFonts w:ascii="Calibri" w:hAnsi="Calibri" w:cs="Calibri"/>
            <w:i/>
            <w:iCs/>
            <w:noProof/>
          </w:rPr>
          <w:t>Grafik 12: Sadržaj benzo(a)pirena u suspendovanim česticama, Podgorica, Nikšić (2020 – 2024)</w:t>
        </w:r>
        <w:r w:rsidR="006362BE">
          <w:rPr>
            <w:noProof/>
            <w:webHidden/>
          </w:rPr>
          <w:tab/>
        </w:r>
        <w:r w:rsidR="006362BE">
          <w:rPr>
            <w:noProof/>
            <w:webHidden/>
          </w:rPr>
          <w:fldChar w:fldCharType="begin"/>
        </w:r>
        <w:r w:rsidR="006362BE">
          <w:rPr>
            <w:noProof/>
            <w:webHidden/>
          </w:rPr>
          <w:instrText xml:space="preserve"> PAGEREF _Toc233584673 \h </w:instrText>
        </w:r>
        <w:r w:rsidR="006362BE">
          <w:rPr>
            <w:noProof/>
            <w:webHidden/>
          </w:rPr>
        </w:r>
        <w:r w:rsidR="006362BE">
          <w:rPr>
            <w:noProof/>
            <w:webHidden/>
          </w:rPr>
          <w:fldChar w:fldCharType="separate"/>
        </w:r>
        <w:r w:rsidR="006362BE">
          <w:rPr>
            <w:noProof/>
            <w:webHidden/>
          </w:rPr>
          <w:t>78</w:t>
        </w:r>
        <w:r w:rsidR="006362BE">
          <w:rPr>
            <w:noProof/>
            <w:webHidden/>
          </w:rPr>
          <w:fldChar w:fldCharType="end"/>
        </w:r>
      </w:hyperlink>
    </w:p>
    <w:p w14:paraId="4643824D" w14:textId="7CA1DB47" w:rsidR="006362BE" w:rsidRDefault="00891EB6">
      <w:pPr>
        <w:pStyle w:val="TableofFigures"/>
        <w:tabs>
          <w:tab w:val="right" w:leader="dot" w:pos="9016"/>
        </w:tabs>
        <w:rPr>
          <w:noProof/>
          <w:kern w:val="2"/>
          <w:szCs w:val="24"/>
          <w:lang w:val="en-GB" w:eastAsia="en-GB"/>
          <w14:ligatures w14:val="standardContextual"/>
        </w:rPr>
      </w:pPr>
      <w:hyperlink w:anchor="_Toc233584674" w:history="1">
        <w:r w:rsidR="006362BE" w:rsidRPr="001E4F4A">
          <w:rPr>
            <w:rStyle w:val="Hyperlink"/>
            <w:rFonts w:ascii="Calibri" w:hAnsi="Calibri" w:cs="Calibri"/>
            <w:i/>
            <w:iCs/>
            <w:noProof/>
          </w:rPr>
          <w:t>Grafik 13- Klimati u Crnoj Gori po Kepenu (Izvor: Atlas klime Crne Gore, CANU, 2012.)</w:t>
        </w:r>
        <w:r w:rsidR="006362BE">
          <w:rPr>
            <w:noProof/>
            <w:webHidden/>
          </w:rPr>
          <w:tab/>
        </w:r>
        <w:r w:rsidR="006362BE">
          <w:rPr>
            <w:noProof/>
            <w:webHidden/>
          </w:rPr>
          <w:fldChar w:fldCharType="begin"/>
        </w:r>
        <w:r w:rsidR="006362BE">
          <w:rPr>
            <w:noProof/>
            <w:webHidden/>
          </w:rPr>
          <w:instrText xml:space="preserve"> PAGEREF _Toc233584674 \h </w:instrText>
        </w:r>
        <w:r w:rsidR="006362BE">
          <w:rPr>
            <w:noProof/>
            <w:webHidden/>
          </w:rPr>
        </w:r>
        <w:r w:rsidR="006362BE">
          <w:rPr>
            <w:noProof/>
            <w:webHidden/>
          </w:rPr>
          <w:fldChar w:fldCharType="separate"/>
        </w:r>
        <w:r w:rsidR="006362BE">
          <w:rPr>
            <w:noProof/>
            <w:webHidden/>
          </w:rPr>
          <w:t>139</w:t>
        </w:r>
        <w:r w:rsidR="006362BE">
          <w:rPr>
            <w:noProof/>
            <w:webHidden/>
          </w:rPr>
          <w:fldChar w:fldCharType="end"/>
        </w:r>
      </w:hyperlink>
    </w:p>
    <w:p w14:paraId="26EA9366" w14:textId="3018FC7E" w:rsidR="006362BE" w:rsidRDefault="00891EB6">
      <w:pPr>
        <w:pStyle w:val="TableofFigures"/>
        <w:tabs>
          <w:tab w:val="right" w:leader="dot" w:pos="9016"/>
        </w:tabs>
        <w:rPr>
          <w:noProof/>
          <w:kern w:val="2"/>
          <w:szCs w:val="24"/>
          <w:lang w:val="en-GB" w:eastAsia="en-GB"/>
          <w14:ligatures w14:val="standardContextual"/>
        </w:rPr>
      </w:pPr>
      <w:hyperlink w:anchor="_Toc233584675" w:history="1">
        <w:r w:rsidR="006362BE" w:rsidRPr="001E4F4A">
          <w:rPr>
            <w:rStyle w:val="Hyperlink"/>
            <w:rFonts w:ascii="Calibri" w:hAnsi="Calibri" w:cs="Calibri"/>
            <w:noProof/>
          </w:rPr>
          <w:t>Grafik 14 – Glavne reljefne cjeline</w:t>
        </w:r>
        <w:r w:rsidR="006362BE">
          <w:rPr>
            <w:noProof/>
            <w:webHidden/>
          </w:rPr>
          <w:tab/>
        </w:r>
        <w:r w:rsidR="006362BE">
          <w:rPr>
            <w:noProof/>
            <w:webHidden/>
          </w:rPr>
          <w:fldChar w:fldCharType="begin"/>
        </w:r>
        <w:r w:rsidR="006362BE">
          <w:rPr>
            <w:noProof/>
            <w:webHidden/>
          </w:rPr>
          <w:instrText xml:space="preserve"> PAGEREF _Toc233584675 \h </w:instrText>
        </w:r>
        <w:r w:rsidR="006362BE">
          <w:rPr>
            <w:noProof/>
            <w:webHidden/>
          </w:rPr>
        </w:r>
        <w:r w:rsidR="006362BE">
          <w:rPr>
            <w:noProof/>
            <w:webHidden/>
          </w:rPr>
          <w:fldChar w:fldCharType="separate"/>
        </w:r>
        <w:r w:rsidR="006362BE">
          <w:rPr>
            <w:noProof/>
            <w:webHidden/>
          </w:rPr>
          <w:t>144</w:t>
        </w:r>
        <w:r w:rsidR="006362BE">
          <w:rPr>
            <w:noProof/>
            <w:webHidden/>
          </w:rPr>
          <w:fldChar w:fldCharType="end"/>
        </w:r>
      </w:hyperlink>
    </w:p>
    <w:p w14:paraId="1EAAA040" w14:textId="77777777" w:rsidR="009442E2" w:rsidRPr="001C58C6" w:rsidRDefault="00B33518">
      <w:pPr>
        <w:jc w:val="left"/>
        <w:rPr>
          <w:rFonts w:ascii="Calibri" w:hAnsi="Calibri" w:cs="Calibri"/>
          <w:color w:val="000000" w:themeColor="text1"/>
        </w:rPr>
      </w:pPr>
      <w:r w:rsidRPr="001C58C6">
        <w:rPr>
          <w:rFonts w:ascii="Calibri" w:hAnsi="Calibri" w:cs="Calibri"/>
          <w:color w:val="000000" w:themeColor="text1"/>
        </w:rPr>
        <w:fldChar w:fldCharType="end"/>
      </w:r>
    </w:p>
    <w:p w14:paraId="12D28747" w14:textId="77777777" w:rsidR="0055253B" w:rsidRPr="001C58C6" w:rsidRDefault="0055253B" w:rsidP="0055253B">
      <w:pPr>
        <w:jc w:val="left"/>
        <w:rPr>
          <w:rFonts w:ascii="Calibri" w:hAnsi="Calibri" w:cs="Calibri"/>
          <w:b/>
          <w:color w:val="000000" w:themeColor="text1"/>
        </w:rPr>
      </w:pPr>
      <w:r w:rsidRPr="001C58C6">
        <w:rPr>
          <w:rFonts w:ascii="Calibri" w:hAnsi="Calibri" w:cs="Calibri"/>
          <w:b/>
          <w:color w:val="000000" w:themeColor="text1"/>
        </w:rPr>
        <w:t>LISTA TABELA</w:t>
      </w:r>
    </w:p>
    <w:p w14:paraId="5D0346EB" w14:textId="7D84C7AB" w:rsidR="006362BE" w:rsidRDefault="00B33518">
      <w:pPr>
        <w:pStyle w:val="TableofFigures"/>
        <w:tabs>
          <w:tab w:val="right" w:leader="dot" w:pos="9016"/>
        </w:tabs>
        <w:rPr>
          <w:noProof/>
          <w:kern w:val="2"/>
          <w:szCs w:val="24"/>
          <w:lang w:val="en-GB" w:eastAsia="en-GB"/>
          <w14:ligatures w14:val="standardContextual"/>
        </w:rPr>
      </w:pPr>
      <w:r w:rsidRPr="001C58C6">
        <w:rPr>
          <w:rFonts w:ascii="Calibri" w:hAnsi="Calibri" w:cs="Calibri"/>
          <w:b/>
          <w:color w:val="000000" w:themeColor="text1"/>
        </w:rPr>
        <w:fldChar w:fldCharType="begin"/>
      </w:r>
      <w:r w:rsidRPr="001C58C6">
        <w:rPr>
          <w:rFonts w:ascii="Calibri" w:hAnsi="Calibri" w:cs="Calibri"/>
          <w:b/>
          <w:color w:val="000000" w:themeColor="text1"/>
        </w:rPr>
        <w:instrText xml:space="preserve"> TOC \h \z \c "Tabela" </w:instrText>
      </w:r>
      <w:r w:rsidRPr="001C58C6">
        <w:rPr>
          <w:rFonts w:ascii="Calibri" w:hAnsi="Calibri" w:cs="Calibri"/>
          <w:b/>
          <w:color w:val="000000" w:themeColor="text1"/>
        </w:rPr>
        <w:fldChar w:fldCharType="separate"/>
      </w:r>
      <w:hyperlink w:anchor="_Toc233584676" w:history="1">
        <w:r w:rsidR="006362BE" w:rsidRPr="002415E0">
          <w:rPr>
            <w:rStyle w:val="Hyperlink"/>
            <w:rFonts w:ascii="Calibri" w:hAnsi="Calibri" w:cs="Calibri"/>
            <w:i/>
            <w:iCs/>
            <w:noProof/>
          </w:rPr>
          <w:t>Tabela 1: Opštine u sastavu zona kvaliteta vazduha</w:t>
        </w:r>
        <w:r w:rsidR="006362BE">
          <w:rPr>
            <w:noProof/>
            <w:webHidden/>
          </w:rPr>
          <w:tab/>
        </w:r>
        <w:r w:rsidR="006362BE">
          <w:rPr>
            <w:noProof/>
            <w:webHidden/>
          </w:rPr>
          <w:fldChar w:fldCharType="begin"/>
        </w:r>
        <w:r w:rsidR="006362BE">
          <w:rPr>
            <w:noProof/>
            <w:webHidden/>
          </w:rPr>
          <w:instrText xml:space="preserve"> PAGEREF _Toc233584676 \h </w:instrText>
        </w:r>
        <w:r w:rsidR="006362BE">
          <w:rPr>
            <w:noProof/>
            <w:webHidden/>
          </w:rPr>
        </w:r>
        <w:r w:rsidR="006362BE">
          <w:rPr>
            <w:noProof/>
            <w:webHidden/>
          </w:rPr>
          <w:fldChar w:fldCharType="separate"/>
        </w:r>
        <w:r w:rsidR="006362BE">
          <w:rPr>
            <w:noProof/>
            <w:webHidden/>
          </w:rPr>
          <w:t>11</w:t>
        </w:r>
        <w:r w:rsidR="006362BE">
          <w:rPr>
            <w:noProof/>
            <w:webHidden/>
          </w:rPr>
          <w:fldChar w:fldCharType="end"/>
        </w:r>
      </w:hyperlink>
    </w:p>
    <w:p w14:paraId="61C48DBF" w14:textId="42D5AC69" w:rsidR="006362BE" w:rsidRDefault="00891EB6">
      <w:pPr>
        <w:pStyle w:val="TableofFigures"/>
        <w:tabs>
          <w:tab w:val="right" w:leader="dot" w:pos="9016"/>
        </w:tabs>
        <w:rPr>
          <w:noProof/>
          <w:kern w:val="2"/>
          <w:szCs w:val="24"/>
          <w:lang w:val="en-GB" w:eastAsia="en-GB"/>
          <w14:ligatures w14:val="standardContextual"/>
        </w:rPr>
      </w:pPr>
      <w:hyperlink w:anchor="_Toc233584677" w:history="1">
        <w:r w:rsidR="006362BE" w:rsidRPr="002415E0">
          <w:rPr>
            <w:rStyle w:val="Hyperlink"/>
            <w:rFonts w:ascii="Calibri" w:hAnsi="Calibri" w:cs="Calibri"/>
            <w:i/>
            <w:iCs/>
            <w:noProof/>
          </w:rPr>
          <w:t>Tabela 2: Srednje godišnje koncentracije zagađujućih materija (2024)</w:t>
        </w:r>
        <w:r w:rsidR="006362BE">
          <w:rPr>
            <w:noProof/>
            <w:webHidden/>
          </w:rPr>
          <w:tab/>
        </w:r>
        <w:r w:rsidR="006362BE">
          <w:rPr>
            <w:noProof/>
            <w:webHidden/>
          </w:rPr>
          <w:fldChar w:fldCharType="begin"/>
        </w:r>
        <w:r w:rsidR="006362BE">
          <w:rPr>
            <w:noProof/>
            <w:webHidden/>
          </w:rPr>
          <w:instrText xml:space="preserve"> PAGEREF _Toc233584677 \h </w:instrText>
        </w:r>
        <w:r w:rsidR="006362BE">
          <w:rPr>
            <w:noProof/>
            <w:webHidden/>
          </w:rPr>
        </w:r>
        <w:r w:rsidR="006362BE">
          <w:rPr>
            <w:noProof/>
            <w:webHidden/>
          </w:rPr>
          <w:fldChar w:fldCharType="separate"/>
        </w:r>
        <w:r w:rsidR="006362BE">
          <w:rPr>
            <w:noProof/>
            <w:webHidden/>
          </w:rPr>
          <w:t>18</w:t>
        </w:r>
        <w:r w:rsidR="006362BE">
          <w:rPr>
            <w:noProof/>
            <w:webHidden/>
          </w:rPr>
          <w:fldChar w:fldCharType="end"/>
        </w:r>
      </w:hyperlink>
    </w:p>
    <w:p w14:paraId="4C7EB333" w14:textId="4202503E" w:rsidR="006362BE" w:rsidRDefault="00891EB6">
      <w:pPr>
        <w:pStyle w:val="TableofFigures"/>
        <w:tabs>
          <w:tab w:val="right" w:leader="dot" w:pos="9016"/>
        </w:tabs>
        <w:rPr>
          <w:noProof/>
          <w:kern w:val="2"/>
          <w:szCs w:val="24"/>
          <w:lang w:val="en-GB" w:eastAsia="en-GB"/>
          <w14:ligatures w14:val="standardContextual"/>
        </w:rPr>
      </w:pPr>
      <w:hyperlink w:anchor="_Toc233584678" w:history="1">
        <w:r w:rsidR="006362BE" w:rsidRPr="002415E0">
          <w:rPr>
            <w:rStyle w:val="Hyperlink"/>
            <w:rFonts w:ascii="Calibri" w:hAnsi="Calibri" w:cs="Calibri"/>
            <w:i/>
            <w:iCs/>
            <w:noProof/>
          </w:rPr>
          <w:t>Tabela 3: Emisije polutanata iz ključnih sektora (2023)</w:t>
        </w:r>
        <w:r w:rsidR="006362BE">
          <w:rPr>
            <w:noProof/>
            <w:webHidden/>
          </w:rPr>
          <w:tab/>
        </w:r>
        <w:r w:rsidR="006362BE">
          <w:rPr>
            <w:noProof/>
            <w:webHidden/>
          </w:rPr>
          <w:fldChar w:fldCharType="begin"/>
        </w:r>
        <w:r w:rsidR="006362BE">
          <w:rPr>
            <w:noProof/>
            <w:webHidden/>
          </w:rPr>
          <w:instrText xml:space="preserve"> PAGEREF _Toc233584678 \h </w:instrText>
        </w:r>
        <w:r w:rsidR="006362BE">
          <w:rPr>
            <w:noProof/>
            <w:webHidden/>
          </w:rPr>
        </w:r>
        <w:r w:rsidR="006362BE">
          <w:rPr>
            <w:noProof/>
            <w:webHidden/>
          </w:rPr>
          <w:fldChar w:fldCharType="separate"/>
        </w:r>
        <w:r w:rsidR="006362BE">
          <w:rPr>
            <w:noProof/>
            <w:webHidden/>
          </w:rPr>
          <w:t>20</w:t>
        </w:r>
        <w:r w:rsidR="006362BE">
          <w:rPr>
            <w:noProof/>
            <w:webHidden/>
          </w:rPr>
          <w:fldChar w:fldCharType="end"/>
        </w:r>
      </w:hyperlink>
    </w:p>
    <w:p w14:paraId="33AD8B10" w14:textId="74B201B4" w:rsidR="006362BE" w:rsidRDefault="00891EB6">
      <w:pPr>
        <w:pStyle w:val="TableofFigures"/>
        <w:tabs>
          <w:tab w:val="right" w:leader="dot" w:pos="9016"/>
        </w:tabs>
        <w:rPr>
          <w:noProof/>
          <w:kern w:val="2"/>
          <w:szCs w:val="24"/>
          <w:lang w:val="en-GB" w:eastAsia="en-GB"/>
          <w14:ligatures w14:val="standardContextual"/>
        </w:rPr>
      </w:pPr>
      <w:hyperlink w:anchor="_Toc233584679" w:history="1">
        <w:r w:rsidR="006362BE" w:rsidRPr="002415E0">
          <w:rPr>
            <w:rStyle w:val="Hyperlink"/>
            <w:rFonts w:ascii="Calibri" w:hAnsi="Calibri" w:cs="Calibri"/>
            <w:i/>
            <w:iCs/>
            <w:noProof/>
          </w:rPr>
          <w:t>Tabela 4: Procjena broja preuranjenih smrti koje se mogu pripisati zagađenju vazduha u Evropi (2022)</w:t>
        </w:r>
        <w:r w:rsidR="006362BE">
          <w:rPr>
            <w:noProof/>
            <w:webHidden/>
          </w:rPr>
          <w:tab/>
        </w:r>
        <w:r w:rsidR="006362BE">
          <w:rPr>
            <w:noProof/>
            <w:webHidden/>
          </w:rPr>
          <w:fldChar w:fldCharType="begin"/>
        </w:r>
        <w:r w:rsidR="006362BE">
          <w:rPr>
            <w:noProof/>
            <w:webHidden/>
          </w:rPr>
          <w:instrText xml:space="preserve"> PAGEREF _Toc233584679 \h </w:instrText>
        </w:r>
        <w:r w:rsidR="006362BE">
          <w:rPr>
            <w:noProof/>
            <w:webHidden/>
          </w:rPr>
        </w:r>
        <w:r w:rsidR="006362BE">
          <w:rPr>
            <w:noProof/>
            <w:webHidden/>
          </w:rPr>
          <w:fldChar w:fldCharType="separate"/>
        </w:r>
        <w:r w:rsidR="006362BE">
          <w:rPr>
            <w:noProof/>
            <w:webHidden/>
          </w:rPr>
          <w:t>22</w:t>
        </w:r>
        <w:r w:rsidR="006362BE">
          <w:rPr>
            <w:noProof/>
            <w:webHidden/>
          </w:rPr>
          <w:fldChar w:fldCharType="end"/>
        </w:r>
      </w:hyperlink>
    </w:p>
    <w:p w14:paraId="23BCAEFE" w14:textId="3066DF3E" w:rsidR="006362BE" w:rsidRDefault="00891EB6">
      <w:pPr>
        <w:pStyle w:val="TableofFigures"/>
        <w:tabs>
          <w:tab w:val="right" w:leader="dot" w:pos="9016"/>
        </w:tabs>
        <w:rPr>
          <w:noProof/>
          <w:kern w:val="2"/>
          <w:szCs w:val="24"/>
          <w:lang w:val="en-GB" w:eastAsia="en-GB"/>
          <w14:ligatures w14:val="standardContextual"/>
        </w:rPr>
      </w:pPr>
      <w:hyperlink w:anchor="_Toc233584680" w:history="1">
        <w:r w:rsidR="006362BE" w:rsidRPr="002415E0">
          <w:rPr>
            <w:rStyle w:val="Hyperlink"/>
            <w:rFonts w:ascii="Calibri" w:hAnsi="Calibri" w:cs="Calibri"/>
            <w:noProof/>
          </w:rPr>
          <w:t>T</w:t>
        </w:r>
        <w:r w:rsidR="006362BE" w:rsidRPr="002415E0">
          <w:rPr>
            <w:rStyle w:val="Hyperlink"/>
            <w:rFonts w:ascii="Calibri" w:hAnsi="Calibri" w:cs="Calibri"/>
            <w:i/>
            <w:iCs/>
            <w:noProof/>
          </w:rPr>
          <w:t>abela 5 – Godišnje uštede u emisijama u odnosu na scenario sa postojećim mjerama u kt/god.</w:t>
        </w:r>
        <w:r w:rsidR="006362BE">
          <w:rPr>
            <w:noProof/>
            <w:webHidden/>
          </w:rPr>
          <w:tab/>
        </w:r>
        <w:r w:rsidR="006362BE">
          <w:rPr>
            <w:noProof/>
            <w:webHidden/>
          </w:rPr>
          <w:fldChar w:fldCharType="begin"/>
        </w:r>
        <w:r w:rsidR="006362BE">
          <w:rPr>
            <w:noProof/>
            <w:webHidden/>
          </w:rPr>
          <w:instrText xml:space="preserve"> PAGEREF _Toc233584680 \h </w:instrText>
        </w:r>
        <w:r w:rsidR="006362BE">
          <w:rPr>
            <w:noProof/>
            <w:webHidden/>
          </w:rPr>
        </w:r>
        <w:r w:rsidR="006362BE">
          <w:rPr>
            <w:noProof/>
            <w:webHidden/>
          </w:rPr>
          <w:fldChar w:fldCharType="separate"/>
        </w:r>
        <w:r w:rsidR="006362BE">
          <w:rPr>
            <w:noProof/>
            <w:webHidden/>
          </w:rPr>
          <w:t>41</w:t>
        </w:r>
        <w:r w:rsidR="006362BE">
          <w:rPr>
            <w:noProof/>
            <w:webHidden/>
          </w:rPr>
          <w:fldChar w:fldCharType="end"/>
        </w:r>
      </w:hyperlink>
    </w:p>
    <w:p w14:paraId="1892195F" w14:textId="102AE95B" w:rsidR="006362BE" w:rsidRDefault="00891EB6">
      <w:pPr>
        <w:pStyle w:val="TableofFigures"/>
        <w:tabs>
          <w:tab w:val="right" w:leader="dot" w:pos="9016"/>
        </w:tabs>
        <w:rPr>
          <w:noProof/>
          <w:kern w:val="2"/>
          <w:szCs w:val="24"/>
          <w:lang w:val="en-GB" w:eastAsia="en-GB"/>
          <w14:ligatures w14:val="standardContextual"/>
        </w:rPr>
      </w:pPr>
      <w:hyperlink w:anchor="_Toc233584681" w:history="1">
        <w:r w:rsidR="006362BE" w:rsidRPr="002415E0">
          <w:rPr>
            <w:rStyle w:val="Hyperlink"/>
            <w:rFonts w:ascii="Calibri" w:hAnsi="Calibri" w:cs="Calibri"/>
            <w:i/>
            <w:iCs/>
            <w:noProof/>
          </w:rPr>
          <w:t>Tabela 6: Mjerna mjesta u Sjevernoj zoni kvaliteta vazduha</w:t>
        </w:r>
        <w:r w:rsidR="006362BE">
          <w:rPr>
            <w:noProof/>
            <w:webHidden/>
          </w:rPr>
          <w:tab/>
        </w:r>
        <w:r w:rsidR="006362BE">
          <w:rPr>
            <w:noProof/>
            <w:webHidden/>
          </w:rPr>
          <w:fldChar w:fldCharType="begin"/>
        </w:r>
        <w:r w:rsidR="006362BE">
          <w:rPr>
            <w:noProof/>
            <w:webHidden/>
          </w:rPr>
          <w:instrText xml:space="preserve"> PAGEREF _Toc233584681 \h </w:instrText>
        </w:r>
        <w:r w:rsidR="006362BE">
          <w:rPr>
            <w:noProof/>
            <w:webHidden/>
          </w:rPr>
        </w:r>
        <w:r w:rsidR="006362BE">
          <w:rPr>
            <w:noProof/>
            <w:webHidden/>
          </w:rPr>
          <w:fldChar w:fldCharType="separate"/>
        </w:r>
        <w:r w:rsidR="006362BE">
          <w:rPr>
            <w:noProof/>
            <w:webHidden/>
          </w:rPr>
          <w:t>62</w:t>
        </w:r>
        <w:r w:rsidR="006362BE">
          <w:rPr>
            <w:noProof/>
            <w:webHidden/>
          </w:rPr>
          <w:fldChar w:fldCharType="end"/>
        </w:r>
      </w:hyperlink>
    </w:p>
    <w:p w14:paraId="37E415D9" w14:textId="158DED07" w:rsidR="006362BE" w:rsidRDefault="00891EB6">
      <w:pPr>
        <w:pStyle w:val="TableofFigures"/>
        <w:tabs>
          <w:tab w:val="right" w:leader="dot" w:pos="9016"/>
        </w:tabs>
        <w:rPr>
          <w:noProof/>
          <w:kern w:val="2"/>
          <w:szCs w:val="24"/>
          <w:lang w:val="en-GB" w:eastAsia="en-GB"/>
          <w14:ligatures w14:val="standardContextual"/>
        </w:rPr>
      </w:pPr>
      <w:hyperlink w:anchor="_Toc233584682" w:history="1">
        <w:r w:rsidR="006362BE" w:rsidRPr="002415E0">
          <w:rPr>
            <w:rStyle w:val="Hyperlink"/>
            <w:rFonts w:ascii="Calibri" w:hAnsi="Calibri" w:cs="Calibri"/>
            <w:i/>
            <w:iCs/>
            <w:smallCaps/>
            <w:noProof/>
          </w:rPr>
          <w:t>Tabela 7: Koordinate mjerna mjesta u Sjevernoj zoni kvaliteta vazduha</w:t>
        </w:r>
        <w:r w:rsidR="006362BE">
          <w:rPr>
            <w:noProof/>
            <w:webHidden/>
          </w:rPr>
          <w:tab/>
        </w:r>
        <w:r w:rsidR="006362BE">
          <w:rPr>
            <w:noProof/>
            <w:webHidden/>
          </w:rPr>
          <w:fldChar w:fldCharType="begin"/>
        </w:r>
        <w:r w:rsidR="006362BE">
          <w:rPr>
            <w:noProof/>
            <w:webHidden/>
          </w:rPr>
          <w:instrText xml:space="preserve"> PAGEREF _Toc233584682 \h </w:instrText>
        </w:r>
        <w:r w:rsidR="006362BE">
          <w:rPr>
            <w:noProof/>
            <w:webHidden/>
          </w:rPr>
        </w:r>
        <w:r w:rsidR="006362BE">
          <w:rPr>
            <w:noProof/>
            <w:webHidden/>
          </w:rPr>
          <w:fldChar w:fldCharType="separate"/>
        </w:r>
        <w:r w:rsidR="006362BE">
          <w:rPr>
            <w:noProof/>
            <w:webHidden/>
          </w:rPr>
          <w:t>62</w:t>
        </w:r>
        <w:r w:rsidR="006362BE">
          <w:rPr>
            <w:noProof/>
            <w:webHidden/>
          </w:rPr>
          <w:fldChar w:fldCharType="end"/>
        </w:r>
      </w:hyperlink>
    </w:p>
    <w:p w14:paraId="4426F27C" w14:textId="02309844" w:rsidR="006362BE" w:rsidRDefault="00891EB6">
      <w:pPr>
        <w:pStyle w:val="TableofFigures"/>
        <w:tabs>
          <w:tab w:val="right" w:leader="dot" w:pos="9016"/>
        </w:tabs>
        <w:rPr>
          <w:noProof/>
          <w:kern w:val="2"/>
          <w:szCs w:val="24"/>
          <w:lang w:val="en-GB" w:eastAsia="en-GB"/>
          <w14:ligatures w14:val="standardContextual"/>
        </w:rPr>
      </w:pPr>
      <w:hyperlink w:anchor="_Toc233584683" w:history="1">
        <w:r w:rsidR="006362BE" w:rsidRPr="002415E0">
          <w:rPr>
            <w:rStyle w:val="Hyperlink"/>
            <w:rFonts w:ascii="Calibri" w:hAnsi="Calibri" w:cs="Calibri"/>
            <w:i/>
            <w:iCs/>
            <w:noProof/>
          </w:rPr>
          <w:t>Tabela 8: Ključni izvori emisija polutanata</w:t>
        </w:r>
        <w:r w:rsidR="006362BE">
          <w:rPr>
            <w:noProof/>
            <w:webHidden/>
          </w:rPr>
          <w:tab/>
        </w:r>
        <w:r w:rsidR="006362BE">
          <w:rPr>
            <w:noProof/>
            <w:webHidden/>
          </w:rPr>
          <w:fldChar w:fldCharType="begin"/>
        </w:r>
        <w:r w:rsidR="006362BE">
          <w:rPr>
            <w:noProof/>
            <w:webHidden/>
          </w:rPr>
          <w:instrText xml:space="preserve"> PAGEREF _Toc233584683 \h </w:instrText>
        </w:r>
        <w:r w:rsidR="006362BE">
          <w:rPr>
            <w:noProof/>
            <w:webHidden/>
          </w:rPr>
        </w:r>
        <w:r w:rsidR="006362BE">
          <w:rPr>
            <w:noProof/>
            <w:webHidden/>
          </w:rPr>
          <w:fldChar w:fldCharType="separate"/>
        </w:r>
        <w:r w:rsidR="006362BE">
          <w:rPr>
            <w:noProof/>
            <w:webHidden/>
          </w:rPr>
          <w:t>67</w:t>
        </w:r>
        <w:r w:rsidR="006362BE">
          <w:rPr>
            <w:noProof/>
            <w:webHidden/>
          </w:rPr>
          <w:fldChar w:fldCharType="end"/>
        </w:r>
      </w:hyperlink>
    </w:p>
    <w:p w14:paraId="253151EB" w14:textId="5998E280" w:rsidR="006362BE" w:rsidRDefault="00891EB6">
      <w:pPr>
        <w:pStyle w:val="TableofFigures"/>
        <w:tabs>
          <w:tab w:val="right" w:leader="dot" w:pos="9016"/>
        </w:tabs>
        <w:rPr>
          <w:noProof/>
          <w:kern w:val="2"/>
          <w:szCs w:val="24"/>
          <w:lang w:val="en-GB" w:eastAsia="en-GB"/>
          <w14:ligatures w14:val="standardContextual"/>
        </w:rPr>
      </w:pPr>
      <w:hyperlink w:anchor="_Toc233584684" w:history="1">
        <w:r w:rsidR="006362BE" w:rsidRPr="002415E0">
          <w:rPr>
            <w:rStyle w:val="Hyperlink"/>
            <w:rFonts w:ascii="Calibri" w:hAnsi="Calibri" w:cs="Calibri"/>
            <w:i/>
            <w:iCs/>
            <w:noProof/>
          </w:rPr>
          <w:t>Tabela 9: Razmatrane mjere iz NEKP-a</w:t>
        </w:r>
        <w:r w:rsidR="006362BE">
          <w:rPr>
            <w:noProof/>
            <w:webHidden/>
          </w:rPr>
          <w:tab/>
        </w:r>
        <w:r w:rsidR="006362BE">
          <w:rPr>
            <w:noProof/>
            <w:webHidden/>
          </w:rPr>
          <w:fldChar w:fldCharType="begin"/>
        </w:r>
        <w:r w:rsidR="006362BE">
          <w:rPr>
            <w:noProof/>
            <w:webHidden/>
          </w:rPr>
          <w:instrText xml:space="preserve"> PAGEREF _Toc233584684 \h </w:instrText>
        </w:r>
        <w:r w:rsidR="006362BE">
          <w:rPr>
            <w:noProof/>
            <w:webHidden/>
          </w:rPr>
        </w:r>
        <w:r w:rsidR="006362BE">
          <w:rPr>
            <w:noProof/>
            <w:webHidden/>
          </w:rPr>
          <w:fldChar w:fldCharType="separate"/>
        </w:r>
        <w:r w:rsidR="006362BE">
          <w:rPr>
            <w:noProof/>
            <w:webHidden/>
          </w:rPr>
          <w:t>68</w:t>
        </w:r>
        <w:r w:rsidR="006362BE">
          <w:rPr>
            <w:noProof/>
            <w:webHidden/>
          </w:rPr>
          <w:fldChar w:fldCharType="end"/>
        </w:r>
      </w:hyperlink>
    </w:p>
    <w:p w14:paraId="70207A29" w14:textId="0EA3503A" w:rsidR="006362BE" w:rsidRDefault="00891EB6">
      <w:pPr>
        <w:pStyle w:val="TableofFigures"/>
        <w:tabs>
          <w:tab w:val="right" w:leader="dot" w:pos="9016"/>
        </w:tabs>
        <w:rPr>
          <w:noProof/>
          <w:kern w:val="2"/>
          <w:szCs w:val="24"/>
          <w:lang w:val="en-GB" w:eastAsia="en-GB"/>
          <w14:ligatures w14:val="standardContextual"/>
        </w:rPr>
      </w:pPr>
      <w:hyperlink w:anchor="_Toc233584685" w:history="1">
        <w:r w:rsidR="006362BE" w:rsidRPr="002415E0">
          <w:rPr>
            <w:rStyle w:val="Hyperlink"/>
            <w:rFonts w:ascii="Calibri" w:hAnsi="Calibri" w:cs="Calibri"/>
            <w:i/>
            <w:iCs/>
            <w:noProof/>
          </w:rPr>
          <w:t>Tabela 10: Odabrane mjere iz NEKP-a</w:t>
        </w:r>
        <w:r w:rsidR="006362BE">
          <w:rPr>
            <w:noProof/>
            <w:webHidden/>
          </w:rPr>
          <w:tab/>
        </w:r>
        <w:r w:rsidR="006362BE">
          <w:rPr>
            <w:noProof/>
            <w:webHidden/>
          </w:rPr>
          <w:fldChar w:fldCharType="begin"/>
        </w:r>
        <w:r w:rsidR="006362BE">
          <w:rPr>
            <w:noProof/>
            <w:webHidden/>
          </w:rPr>
          <w:instrText xml:space="preserve"> PAGEREF _Toc233584685 \h </w:instrText>
        </w:r>
        <w:r w:rsidR="006362BE">
          <w:rPr>
            <w:noProof/>
            <w:webHidden/>
          </w:rPr>
        </w:r>
        <w:r w:rsidR="006362BE">
          <w:rPr>
            <w:noProof/>
            <w:webHidden/>
          </w:rPr>
          <w:fldChar w:fldCharType="separate"/>
        </w:r>
        <w:r w:rsidR="006362BE">
          <w:rPr>
            <w:noProof/>
            <w:webHidden/>
          </w:rPr>
          <w:t>69</w:t>
        </w:r>
        <w:r w:rsidR="006362BE">
          <w:rPr>
            <w:noProof/>
            <w:webHidden/>
          </w:rPr>
          <w:fldChar w:fldCharType="end"/>
        </w:r>
      </w:hyperlink>
    </w:p>
    <w:p w14:paraId="28FB7646" w14:textId="6192934D" w:rsidR="006362BE" w:rsidRDefault="00891EB6">
      <w:pPr>
        <w:pStyle w:val="TableofFigures"/>
        <w:tabs>
          <w:tab w:val="right" w:leader="dot" w:pos="9016"/>
        </w:tabs>
        <w:rPr>
          <w:noProof/>
          <w:kern w:val="2"/>
          <w:szCs w:val="24"/>
          <w:lang w:val="en-GB" w:eastAsia="en-GB"/>
          <w14:ligatures w14:val="standardContextual"/>
        </w:rPr>
      </w:pPr>
      <w:hyperlink w:anchor="_Toc233584686" w:history="1">
        <w:r w:rsidR="006362BE" w:rsidRPr="002415E0">
          <w:rPr>
            <w:rStyle w:val="Hyperlink"/>
            <w:rFonts w:ascii="Calibri" w:hAnsi="Calibri" w:cs="Calibri"/>
            <w:i/>
            <w:iCs/>
            <w:noProof/>
          </w:rPr>
          <w:t>Tabela 11: Mjerna mjesta u Centralnoj zoni kvaliteta vazduha</w:t>
        </w:r>
        <w:r w:rsidR="006362BE">
          <w:rPr>
            <w:noProof/>
            <w:webHidden/>
          </w:rPr>
          <w:tab/>
        </w:r>
        <w:r w:rsidR="006362BE">
          <w:rPr>
            <w:noProof/>
            <w:webHidden/>
          </w:rPr>
          <w:fldChar w:fldCharType="begin"/>
        </w:r>
        <w:r w:rsidR="006362BE">
          <w:rPr>
            <w:noProof/>
            <w:webHidden/>
          </w:rPr>
          <w:instrText xml:space="preserve"> PAGEREF _Toc233584686 \h </w:instrText>
        </w:r>
        <w:r w:rsidR="006362BE">
          <w:rPr>
            <w:noProof/>
            <w:webHidden/>
          </w:rPr>
        </w:r>
        <w:r w:rsidR="006362BE">
          <w:rPr>
            <w:noProof/>
            <w:webHidden/>
          </w:rPr>
          <w:fldChar w:fldCharType="separate"/>
        </w:r>
        <w:r w:rsidR="006362BE">
          <w:rPr>
            <w:noProof/>
            <w:webHidden/>
          </w:rPr>
          <w:t>75</w:t>
        </w:r>
        <w:r w:rsidR="006362BE">
          <w:rPr>
            <w:noProof/>
            <w:webHidden/>
          </w:rPr>
          <w:fldChar w:fldCharType="end"/>
        </w:r>
      </w:hyperlink>
    </w:p>
    <w:p w14:paraId="51F52D2D" w14:textId="156CB02A" w:rsidR="006362BE" w:rsidRDefault="00891EB6">
      <w:pPr>
        <w:pStyle w:val="TableofFigures"/>
        <w:tabs>
          <w:tab w:val="right" w:leader="dot" w:pos="9016"/>
        </w:tabs>
        <w:rPr>
          <w:noProof/>
          <w:kern w:val="2"/>
          <w:szCs w:val="24"/>
          <w:lang w:val="en-GB" w:eastAsia="en-GB"/>
          <w14:ligatures w14:val="standardContextual"/>
        </w:rPr>
      </w:pPr>
      <w:hyperlink w:anchor="_Toc233584687" w:history="1">
        <w:r w:rsidR="006362BE" w:rsidRPr="002415E0">
          <w:rPr>
            <w:rStyle w:val="Hyperlink"/>
            <w:rFonts w:ascii="Calibri" w:hAnsi="Calibri" w:cs="Calibri"/>
            <w:i/>
            <w:iCs/>
            <w:noProof/>
          </w:rPr>
          <w:t>Tabela 12: Koordinate mjernih mjesta u Centralnoj zoni kvaliteta vazduha</w:t>
        </w:r>
        <w:r w:rsidR="006362BE">
          <w:rPr>
            <w:noProof/>
            <w:webHidden/>
          </w:rPr>
          <w:tab/>
        </w:r>
        <w:r w:rsidR="006362BE">
          <w:rPr>
            <w:noProof/>
            <w:webHidden/>
          </w:rPr>
          <w:fldChar w:fldCharType="begin"/>
        </w:r>
        <w:r w:rsidR="006362BE">
          <w:rPr>
            <w:noProof/>
            <w:webHidden/>
          </w:rPr>
          <w:instrText xml:space="preserve"> PAGEREF _Toc233584687 \h </w:instrText>
        </w:r>
        <w:r w:rsidR="006362BE">
          <w:rPr>
            <w:noProof/>
            <w:webHidden/>
          </w:rPr>
        </w:r>
        <w:r w:rsidR="006362BE">
          <w:rPr>
            <w:noProof/>
            <w:webHidden/>
          </w:rPr>
          <w:fldChar w:fldCharType="separate"/>
        </w:r>
        <w:r w:rsidR="006362BE">
          <w:rPr>
            <w:noProof/>
            <w:webHidden/>
          </w:rPr>
          <w:t>75</w:t>
        </w:r>
        <w:r w:rsidR="006362BE">
          <w:rPr>
            <w:noProof/>
            <w:webHidden/>
          </w:rPr>
          <w:fldChar w:fldCharType="end"/>
        </w:r>
      </w:hyperlink>
    </w:p>
    <w:p w14:paraId="45D2F7B5" w14:textId="2262BB79" w:rsidR="006362BE" w:rsidRDefault="00891EB6">
      <w:pPr>
        <w:pStyle w:val="TableofFigures"/>
        <w:tabs>
          <w:tab w:val="right" w:leader="dot" w:pos="9016"/>
        </w:tabs>
        <w:rPr>
          <w:noProof/>
          <w:kern w:val="2"/>
          <w:szCs w:val="24"/>
          <w:lang w:val="en-GB" w:eastAsia="en-GB"/>
          <w14:ligatures w14:val="standardContextual"/>
        </w:rPr>
      </w:pPr>
      <w:hyperlink w:anchor="_Toc233584688" w:history="1">
        <w:r w:rsidR="006362BE" w:rsidRPr="002415E0">
          <w:rPr>
            <w:rStyle w:val="Hyperlink"/>
            <w:rFonts w:ascii="Calibri" w:hAnsi="Calibri" w:cs="Calibri"/>
            <w:i/>
            <w:iCs/>
            <w:noProof/>
          </w:rPr>
          <w:t>Tabela 13: Razmatrane mjere iz NEKP-a</w:t>
        </w:r>
        <w:r w:rsidR="006362BE">
          <w:rPr>
            <w:noProof/>
            <w:webHidden/>
          </w:rPr>
          <w:tab/>
        </w:r>
        <w:r w:rsidR="006362BE">
          <w:rPr>
            <w:noProof/>
            <w:webHidden/>
          </w:rPr>
          <w:fldChar w:fldCharType="begin"/>
        </w:r>
        <w:r w:rsidR="006362BE">
          <w:rPr>
            <w:noProof/>
            <w:webHidden/>
          </w:rPr>
          <w:instrText xml:space="preserve"> PAGEREF _Toc233584688 \h </w:instrText>
        </w:r>
        <w:r w:rsidR="006362BE">
          <w:rPr>
            <w:noProof/>
            <w:webHidden/>
          </w:rPr>
        </w:r>
        <w:r w:rsidR="006362BE">
          <w:rPr>
            <w:noProof/>
            <w:webHidden/>
          </w:rPr>
          <w:fldChar w:fldCharType="separate"/>
        </w:r>
        <w:r w:rsidR="006362BE">
          <w:rPr>
            <w:noProof/>
            <w:webHidden/>
          </w:rPr>
          <w:t>79</w:t>
        </w:r>
        <w:r w:rsidR="006362BE">
          <w:rPr>
            <w:noProof/>
            <w:webHidden/>
          </w:rPr>
          <w:fldChar w:fldCharType="end"/>
        </w:r>
      </w:hyperlink>
    </w:p>
    <w:p w14:paraId="4975A4DC" w14:textId="72C49982" w:rsidR="006362BE" w:rsidRDefault="00891EB6">
      <w:pPr>
        <w:pStyle w:val="TableofFigures"/>
        <w:tabs>
          <w:tab w:val="right" w:leader="dot" w:pos="9016"/>
        </w:tabs>
        <w:rPr>
          <w:noProof/>
          <w:kern w:val="2"/>
          <w:szCs w:val="24"/>
          <w:lang w:val="en-GB" w:eastAsia="en-GB"/>
          <w14:ligatures w14:val="standardContextual"/>
        </w:rPr>
      </w:pPr>
      <w:hyperlink w:anchor="_Toc233584689" w:history="1">
        <w:r w:rsidR="006362BE" w:rsidRPr="002415E0">
          <w:rPr>
            <w:rStyle w:val="Hyperlink"/>
            <w:rFonts w:ascii="Calibri" w:hAnsi="Calibri" w:cs="Calibri"/>
            <w:i/>
            <w:iCs/>
            <w:noProof/>
          </w:rPr>
          <w:t>Tabela 14: Odabrane mjere iz NEKP-a</w:t>
        </w:r>
        <w:r w:rsidR="006362BE">
          <w:rPr>
            <w:noProof/>
            <w:webHidden/>
          </w:rPr>
          <w:tab/>
        </w:r>
        <w:r w:rsidR="006362BE">
          <w:rPr>
            <w:noProof/>
            <w:webHidden/>
          </w:rPr>
          <w:fldChar w:fldCharType="begin"/>
        </w:r>
        <w:r w:rsidR="006362BE">
          <w:rPr>
            <w:noProof/>
            <w:webHidden/>
          </w:rPr>
          <w:instrText xml:space="preserve"> PAGEREF _Toc233584689 \h </w:instrText>
        </w:r>
        <w:r w:rsidR="006362BE">
          <w:rPr>
            <w:noProof/>
            <w:webHidden/>
          </w:rPr>
        </w:r>
        <w:r w:rsidR="006362BE">
          <w:rPr>
            <w:noProof/>
            <w:webHidden/>
          </w:rPr>
          <w:fldChar w:fldCharType="separate"/>
        </w:r>
        <w:r w:rsidR="006362BE">
          <w:rPr>
            <w:noProof/>
            <w:webHidden/>
          </w:rPr>
          <w:t>80</w:t>
        </w:r>
        <w:r w:rsidR="006362BE">
          <w:rPr>
            <w:noProof/>
            <w:webHidden/>
          </w:rPr>
          <w:fldChar w:fldCharType="end"/>
        </w:r>
      </w:hyperlink>
    </w:p>
    <w:p w14:paraId="4142580D" w14:textId="303DE08E" w:rsidR="006362BE" w:rsidRDefault="00891EB6">
      <w:pPr>
        <w:pStyle w:val="TableofFigures"/>
        <w:tabs>
          <w:tab w:val="right" w:leader="dot" w:pos="9016"/>
        </w:tabs>
        <w:rPr>
          <w:noProof/>
          <w:kern w:val="2"/>
          <w:szCs w:val="24"/>
          <w:lang w:val="en-GB" w:eastAsia="en-GB"/>
          <w14:ligatures w14:val="standardContextual"/>
        </w:rPr>
      </w:pPr>
      <w:hyperlink w:anchor="_Toc233584690" w:history="1">
        <w:r w:rsidR="006362BE" w:rsidRPr="002415E0">
          <w:rPr>
            <w:rStyle w:val="Hyperlink"/>
            <w:rFonts w:ascii="Calibri" w:hAnsi="Calibri" w:cs="Calibri"/>
            <w:i/>
            <w:iCs/>
            <w:noProof/>
          </w:rPr>
          <w:t>Tabela 15: Mjerna mjesta u Južnoj zoni kvaliteta vazduha</w:t>
        </w:r>
        <w:r w:rsidR="006362BE">
          <w:rPr>
            <w:noProof/>
            <w:webHidden/>
          </w:rPr>
          <w:tab/>
        </w:r>
        <w:r w:rsidR="006362BE">
          <w:rPr>
            <w:noProof/>
            <w:webHidden/>
          </w:rPr>
          <w:fldChar w:fldCharType="begin"/>
        </w:r>
        <w:r w:rsidR="006362BE">
          <w:rPr>
            <w:noProof/>
            <w:webHidden/>
          </w:rPr>
          <w:instrText xml:space="preserve"> PAGEREF _Toc233584690 \h </w:instrText>
        </w:r>
        <w:r w:rsidR="006362BE">
          <w:rPr>
            <w:noProof/>
            <w:webHidden/>
          </w:rPr>
        </w:r>
        <w:r w:rsidR="006362BE">
          <w:rPr>
            <w:noProof/>
            <w:webHidden/>
          </w:rPr>
          <w:fldChar w:fldCharType="separate"/>
        </w:r>
        <w:r w:rsidR="006362BE">
          <w:rPr>
            <w:noProof/>
            <w:webHidden/>
          </w:rPr>
          <w:t>86</w:t>
        </w:r>
        <w:r w:rsidR="006362BE">
          <w:rPr>
            <w:noProof/>
            <w:webHidden/>
          </w:rPr>
          <w:fldChar w:fldCharType="end"/>
        </w:r>
      </w:hyperlink>
    </w:p>
    <w:p w14:paraId="2938B32E" w14:textId="33B1E30D" w:rsidR="006362BE" w:rsidRDefault="00891EB6">
      <w:pPr>
        <w:pStyle w:val="TableofFigures"/>
        <w:tabs>
          <w:tab w:val="right" w:leader="dot" w:pos="9016"/>
        </w:tabs>
        <w:rPr>
          <w:noProof/>
          <w:kern w:val="2"/>
          <w:szCs w:val="24"/>
          <w:lang w:val="en-GB" w:eastAsia="en-GB"/>
          <w14:ligatures w14:val="standardContextual"/>
        </w:rPr>
      </w:pPr>
      <w:hyperlink w:anchor="_Toc233584691" w:history="1">
        <w:r w:rsidR="006362BE" w:rsidRPr="002415E0">
          <w:rPr>
            <w:rStyle w:val="Hyperlink"/>
            <w:rFonts w:ascii="Calibri" w:hAnsi="Calibri" w:cs="Calibri"/>
            <w:i/>
            <w:iCs/>
            <w:noProof/>
          </w:rPr>
          <w:t>Tabela 16: Razmatrane mjere iz NEKP-a</w:t>
        </w:r>
        <w:r w:rsidR="006362BE">
          <w:rPr>
            <w:noProof/>
            <w:webHidden/>
          </w:rPr>
          <w:tab/>
        </w:r>
        <w:r w:rsidR="006362BE">
          <w:rPr>
            <w:noProof/>
            <w:webHidden/>
          </w:rPr>
          <w:fldChar w:fldCharType="begin"/>
        </w:r>
        <w:r w:rsidR="006362BE">
          <w:rPr>
            <w:noProof/>
            <w:webHidden/>
          </w:rPr>
          <w:instrText xml:space="preserve"> PAGEREF _Toc233584691 \h </w:instrText>
        </w:r>
        <w:r w:rsidR="006362BE">
          <w:rPr>
            <w:noProof/>
            <w:webHidden/>
          </w:rPr>
        </w:r>
        <w:r w:rsidR="006362BE">
          <w:rPr>
            <w:noProof/>
            <w:webHidden/>
          </w:rPr>
          <w:fldChar w:fldCharType="separate"/>
        </w:r>
        <w:r w:rsidR="006362BE">
          <w:rPr>
            <w:noProof/>
            <w:webHidden/>
          </w:rPr>
          <w:t>88</w:t>
        </w:r>
        <w:r w:rsidR="006362BE">
          <w:rPr>
            <w:noProof/>
            <w:webHidden/>
          </w:rPr>
          <w:fldChar w:fldCharType="end"/>
        </w:r>
      </w:hyperlink>
    </w:p>
    <w:p w14:paraId="7F3EB7FC" w14:textId="677D5A78" w:rsidR="006362BE" w:rsidRDefault="00891EB6">
      <w:pPr>
        <w:pStyle w:val="TableofFigures"/>
        <w:tabs>
          <w:tab w:val="right" w:leader="dot" w:pos="9016"/>
        </w:tabs>
        <w:rPr>
          <w:noProof/>
          <w:kern w:val="2"/>
          <w:szCs w:val="24"/>
          <w:lang w:val="en-GB" w:eastAsia="en-GB"/>
          <w14:ligatures w14:val="standardContextual"/>
        </w:rPr>
      </w:pPr>
      <w:hyperlink w:anchor="_Toc233584692" w:history="1">
        <w:r w:rsidR="006362BE" w:rsidRPr="002415E0">
          <w:rPr>
            <w:rStyle w:val="Hyperlink"/>
            <w:rFonts w:ascii="Calibri" w:hAnsi="Calibri" w:cs="Calibri"/>
            <w:i/>
            <w:iCs/>
            <w:noProof/>
          </w:rPr>
          <w:t>Tabela 17:  Mjere koje će se realizovati u okviru NEKP</w:t>
        </w:r>
        <w:r w:rsidR="006362BE">
          <w:rPr>
            <w:noProof/>
            <w:webHidden/>
          </w:rPr>
          <w:tab/>
        </w:r>
        <w:r w:rsidR="006362BE">
          <w:rPr>
            <w:noProof/>
            <w:webHidden/>
          </w:rPr>
          <w:fldChar w:fldCharType="begin"/>
        </w:r>
        <w:r w:rsidR="006362BE">
          <w:rPr>
            <w:noProof/>
            <w:webHidden/>
          </w:rPr>
          <w:instrText xml:space="preserve"> PAGEREF _Toc233584692 \h </w:instrText>
        </w:r>
        <w:r w:rsidR="006362BE">
          <w:rPr>
            <w:noProof/>
            <w:webHidden/>
          </w:rPr>
        </w:r>
        <w:r w:rsidR="006362BE">
          <w:rPr>
            <w:noProof/>
            <w:webHidden/>
          </w:rPr>
          <w:fldChar w:fldCharType="separate"/>
        </w:r>
        <w:r w:rsidR="006362BE">
          <w:rPr>
            <w:noProof/>
            <w:webHidden/>
          </w:rPr>
          <w:t>90</w:t>
        </w:r>
        <w:r w:rsidR="006362BE">
          <w:rPr>
            <w:noProof/>
            <w:webHidden/>
          </w:rPr>
          <w:fldChar w:fldCharType="end"/>
        </w:r>
      </w:hyperlink>
    </w:p>
    <w:p w14:paraId="12367D04" w14:textId="77777777" w:rsidR="00B33518" w:rsidRPr="001C58C6" w:rsidRDefault="00B33518" w:rsidP="0055253B">
      <w:pPr>
        <w:jc w:val="left"/>
        <w:rPr>
          <w:rFonts w:ascii="Calibri" w:hAnsi="Calibri" w:cs="Calibri"/>
          <w:b/>
          <w:color w:val="000000" w:themeColor="text1"/>
        </w:rPr>
      </w:pPr>
      <w:r w:rsidRPr="001C58C6">
        <w:rPr>
          <w:rFonts w:ascii="Calibri" w:hAnsi="Calibri" w:cs="Calibri"/>
          <w:b/>
          <w:color w:val="000000" w:themeColor="text1"/>
        </w:rPr>
        <w:lastRenderedPageBreak/>
        <w:fldChar w:fldCharType="end"/>
      </w:r>
    </w:p>
    <w:p w14:paraId="4F66B208" w14:textId="77777777" w:rsidR="000039EA" w:rsidRPr="001C58C6" w:rsidRDefault="009442E2" w:rsidP="009442E2">
      <w:pPr>
        <w:jc w:val="left"/>
        <w:rPr>
          <w:rFonts w:ascii="Calibri" w:hAnsi="Calibri" w:cs="Calibri"/>
          <w:b/>
          <w:color w:val="000000" w:themeColor="text1"/>
        </w:rPr>
      </w:pPr>
      <w:r w:rsidRPr="001C58C6">
        <w:rPr>
          <w:rFonts w:ascii="Calibri" w:hAnsi="Calibri" w:cs="Calibri"/>
          <w:b/>
          <w:color w:val="000000" w:themeColor="text1"/>
        </w:rPr>
        <w:t>LISTA ILUSTRACIJA</w:t>
      </w:r>
    </w:p>
    <w:p w14:paraId="5264D596" w14:textId="03EF0AB3" w:rsidR="006362BE" w:rsidRDefault="00B33518">
      <w:pPr>
        <w:pStyle w:val="TableofFigures"/>
        <w:tabs>
          <w:tab w:val="right" w:leader="dot" w:pos="9016"/>
        </w:tabs>
        <w:rPr>
          <w:noProof/>
          <w:kern w:val="2"/>
          <w:szCs w:val="24"/>
          <w:lang w:val="en-GB" w:eastAsia="en-GB"/>
          <w14:ligatures w14:val="standardContextual"/>
        </w:rPr>
      </w:pPr>
      <w:r w:rsidRPr="001C58C6">
        <w:rPr>
          <w:rFonts w:ascii="Calibri" w:hAnsi="Calibri" w:cs="Calibri"/>
          <w:b/>
          <w:color w:val="000000" w:themeColor="text1"/>
        </w:rPr>
        <w:fldChar w:fldCharType="begin"/>
      </w:r>
      <w:r w:rsidRPr="001C58C6">
        <w:rPr>
          <w:rFonts w:ascii="Calibri" w:hAnsi="Calibri" w:cs="Calibri"/>
          <w:b/>
          <w:color w:val="000000" w:themeColor="text1"/>
        </w:rPr>
        <w:instrText xml:space="preserve"> TOC \h \z \c "Ilustracija" </w:instrText>
      </w:r>
      <w:r w:rsidRPr="001C58C6">
        <w:rPr>
          <w:rFonts w:ascii="Calibri" w:hAnsi="Calibri" w:cs="Calibri"/>
          <w:b/>
          <w:color w:val="000000" w:themeColor="text1"/>
        </w:rPr>
        <w:fldChar w:fldCharType="separate"/>
      </w:r>
      <w:hyperlink w:anchor="_Toc233584693" w:history="1">
        <w:r w:rsidR="006362BE" w:rsidRPr="00E11BB5">
          <w:rPr>
            <w:rStyle w:val="Hyperlink"/>
            <w:rFonts w:ascii="Calibri" w:hAnsi="Calibri" w:cs="Calibri"/>
            <w:i/>
            <w:iCs/>
            <w:noProof/>
          </w:rPr>
          <w:t>Ilustracija 1: Zone kvaliteta vazduha</w:t>
        </w:r>
        <w:r w:rsidR="006362BE">
          <w:rPr>
            <w:noProof/>
            <w:webHidden/>
          </w:rPr>
          <w:tab/>
        </w:r>
        <w:r w:rsidR="006362BE">
          <w:rPr>
            <w:noProof/>
            <w:webHidden/>
          </w:rPr>
          <w:fldChar w:fldCharType="begin"/>
        </w:r>
        <w:r w:rsidR="006362BE">
          <w:rPr>
            <w:noProof/>
            <w:webHidden/>
          </w:rPr>
          <w:instrText xml:space="preserve"> PAGEREF _Toc233584693 \h </w:instrText>
        </w:r>
        <w:r w:rsidR="006362BE">
          <w:rPr>
            <w:noProof/>
            <w:webHidden/>
          </w:rPr>
        </w:r>
        <w:r w:rsidR="006362BE">
          <w:rPr>
            <w:noProof/>
            <w:webHidden/>
          </w:rPr>
          <w:fldChar w:fldCharType="separate"/>
        </w:r>
        <w:r w:rsidR="006362BE">
          <w:rPr>
            <w:noProof/>
            <w:webHidden/>
          </w:rPr>
          <w:t>11</w:t>
        </w:r>
        <w:r w:rsidR="006362BE">
          <w:rPr>
            <w:noProof/>
            <w:webHidden/>
          </w:rPr>
          <w:fldChar w:fldCharType="end"/>
        </w:r>
      </w:hyperlink>
    </w:p>
    <w:p w14:paraId="0162C239" w14:textId="5BE6E040" w:rsidR="006362BE" w:rsidRDefault="00891EB6">
      <w:pPr>
        <w:pStyle w:val="TableofFigures"/>
        <w:tabs>
          <w:tab w:val="right" w:leader="dot" w:pos="9016"/>
        </w:tabs>
        <w:rPr>
          <w:noProof/>
          <w:kern w:val="2"/>
          <w:szCs w:val="24"/>
          <w:lang w:val="en-GB" w:eastAsia="en-GB"/>
          <w14:ligatures w14:val="standardContextual"/>
        </w:rPr>
      </w:pPr>
      <w:hyperlink w:anchor="_Toc233584694" w:history="1">
        <w:r w:rsidR="006362BE" w:rsidRPr="00E11BB5">
          <w:rPr>
            <w:rStyle w:val="Hyperlink"/>
            <w:rFonts w:ascii="Calibri" w:hAnsi="Calibri" w:cs="Calibri"/>
            <w:i/>
            <w:iCs/>
            <w:noProof/>
          </w:rPr>
          <w:t>Ilustracija 2: Internet stranica agencije za zaštitu životne sredine – monitoring kvaliteta vazduha</w:t>
        </w:r>
        <w:r w:rsidR="006362BE">
          <w:rPr>
            <w:noProof/>
            <w:webHidden/>
          </w:rPr>
          <w:tab/>
        </w:r>
        <w:r w:rsidR="006362BE">
          <w:rPr>
            <w:noProof/>
            <w:webHidden/>
          </w:rPr>
          <w:fldChar w:fldCharType="begin"/>
        </w:r>
        <w:r w:rsidR="006362BE">
          <w:rPr>
            <w:noProof/>
            <w:webHidden/>
          </w:rPr>
          <w:instrText xml:space="preserve"> PAGEREF _Toc233584694 \h </w:instrText>
        </w:r>
        <w:r w:rsidR="006362BE">
          <w:rPr>
            <w:noProof/>
            <w:webHidden/>
          </w:rPr>
        </w:r>
        <w:r w:rsidR="006362BE">
          <w:rPr>
            <w:noProof/>
            <w:webHidden/>
          </w:rPr>
          <w:fldChar w:fldCharType="separate"/>
        </w:r>
        <w:r w:rsidR="006362BE">
          <w:rPr>
            <w:noProof/>
            <w:webHidden/>
          </w:rPr>
          <w:t>17</w:t>
        </w:r>
        <w:r w:rsidR="006362BE">
          <w:rPr>
            <w:noProof/>
            <w:webHidden/>
          </w:rPr>
          <w:fldChar w:fldCharType="end"/>
        </w:r>
      </w:hyperlink>
    </w:p>
    <w:p w14:paraId="44C1B94F" w14:textId="06B0E258" w:rsidR="006362BE" w:rsidRDefault="00891EB6">
      <w:pPr>
        <w:pStyle w:val="TableofFigures"/>
        <w:tabs>
          <w:tab w:val="right" w:leader="dot" w:pos="9016"/>
        </w:tabs>
        <w:rPr>
          <w:noProof/>
          <w:kern w:val="2"/>
          <w:szCs w:val="24"/>
          <w:lang w:val="en-GB" w:eastAsia="en-GB"/>
          <w14:ligatures w14:val="standardContextual"/>
        </w:rPr>
      </w:pPr>
      <w:hyperlink w:anchor="_Toc233584695" w:history="1">
        <w:r w:rsidR="006362BE" w:rsidRPr="00E11BB5">
          <w:rPr>
            <w:rStyle w:val="Hyperlink"/>
            <w:rFonts w:ascii="Calibri" w:hAnsi="Calibri" w:cs="Calibri"/>
            <w:i/>
            <w:iCs/>
            <w:noProof/>
          </w:rPr>
          <w:t>Ilustracija 3: Prosječna godišnja izloženost PM2.5 česticama ponderisana prema populaciji (2019) – Jugoistočna Evropa</w:t>
        </w:r>
        <w:r w:rsidR="006362BE">
          <w:rPr>
            <w:noProof/>
            <w:webHidden/>
          </w:rPr>
          <w:tab/>
        </w:r>
        <w:r w:rsidR="006362BE">
          <w:rPr>
            <w:noProof/>
            <w:webHidden/>
          </w:rPr>
          <w:fldChar w:fldCharType="begin"/>
        </w:r>
        <w:r w:rsidR="006362BE">
          <w:rPr>
            <w:noProof/>
            <w:webHidden/>
          </w:rPr>
          <w:instrText xml:space="preserve"> PAGEREF _Toc233584695 \h </w:instrText>
        </w:r>
        <w:r w:rsidR="006362BE">
          <w:rPr>
            <w:noProof/>
            <w:webHidden/>
          </w:rPr>
        </w:r>
        <w:r w:rsidR="006362BE">
          <w:rPr>
            <w:noProof/>
            <w:webHidden/>
          </w:rPr>
          <w:fldChar w:fldCharType="separate"/>
        </w:r>
        <w:r w:rsidR="006362BE">
          <w:rPr>
            <w:noProof/>
            <w:webHidden/>
          </w:rPr>
          <w:t>23</w:t>
        </w:r>
        <w:r w:rsidR="006362BE">
          <w:rPr>
            <w:noProof/>
            <w:webHidden/>
          </w:rPr>
          <w:fldChar w:fldCharType="end"/>
        </w:r>
      </w:hyperlink>
    </w:p>
    <w:p w14:paraId="56EED2CE" w14:textId="42266240" w:rsidR="006362BE" w:rsidRDefault="00891EB6">
      <w:pPr>
        <w:pStyle w:val="TableofFigures"/>
        <w:tabs>
          <w:tab w:val="right" w:leader="dot" w:pos="9016"/>
        </w:tabs>
        <w:rPr>
          <w:noProof/>
          <w:kern w:val="2"/>
          <w:szCs w:val="24"/>
          <w:lang w:val="en-GB" w:eastAsia="en-GB"/>
          <w14:ligatures w14:val="standardContextual"/>
        </w:rPr>
      </w:pPr>
      <w:hyperlink w:anchor="_Toc233584696" w:history="1">
        <w:r w:rsidR="006362BE" w:rsidRPr="00E11BB5">
          <w:rPr>
            <w:rStyle w:val="Hyperlink"/>
            <w:rFonts w:ascii="Calibri" w:hAnsi="Calibri" w:cs="Calibri"/>
            <w:i/>
            <w:iCs/>
            <w:noProof/>
          </w:rPr>
          <w:t>Ilustracija 4: Mjerno mjesto Pljevlja</w:t>
        </w:r>
        <w:r w:rsidR="006362BE">
          <w:rPr>
            <w:noProof/>
            <w:webHidden/>
          </w:rPr>
          <w:tab/>
        </w:r>
        <w:r w:rsidR="006362BE">
          <w:rPr>
            <w:noProof/>
            <w:webHidden/>
          </w:rPr>
          <w:fldChar w:fldCharType="begin"/>
        </w:r>
        <w:r w:rsidR="006362BE">
          <w:rPr>
            <w:noProof/>
            <w:webHidden/>
          </w:rPr>
          <w:instrText xml:space="preserve"> PAGEREF _Toc233584696 \h </w:instrText>
        </w:r>
        <w:r w:rsidR="006362BE">
          <w:rPr>
            <w:noProof/>
            <w:webHidden/>
          </w:rPr>
        </w:r>
        <w:r w:rsidR="006362BE">
          <w:rPr>
            <w:noProof/>
            <w:webHidden/>
          </w:rPr>
          <w:fldChar w:fldCharType="separate"/>
        </w:r>
        <w:r w:rsidR="006362BE">
          <w:rPr>
            <w:noProof/>
            <w:webHidden/>
          </w:rPr>
          <w:t>63</w:t>
        </w:r>
        <w:r w:rsidR="006362BE">
          <w:rPr>
            <w:noProof/>
            <w:webHidden/>
          </w:rPr>
          <w:fldChar w:fldCharType="end"/>
        </w:r>
      </w:hyperlink>
    </w:p>
    <w:p w14:paraId="231A1C9A" w14:textId="2891C486" w:rsidR="006362BE" w:rsidRDefault="00891EB6">
      <w:pPr>
        <w:pStyle w:val="TableofFigures"/>
        <w:tabs>
          <w:tab w:val="right" w:leader="dot" w:pos="9016"/>
        </w:tabs>
        <w:rPr>
          <w:noProof/>
          <w:kern w:val="2"/>
          <w:szCs w:val="24"/>
          <w:lang w:val="en-GB" w:eastAsia="en-GB"/>
          <w14:ligatures w14:val="standardContextual"/>
        </w:rPr>
      </w:pPr>
      <w:hyperlink w:anchor="_Toc233584697" w:history="1">
        <w:r w:rsidR="006362BE" w:rsidRPr="00E11BB5">
          <w:rPr>
            <w:rStyle w:val="Hyperlink"/>
            <w:rFonts w:ascii="Calibri" w:hAnsi="Calibri" w:cs="Calibri"/>
            <w:i/>
            <w:iCs/>
            <w:noProof/>
          </w:rPr>
          <w:t>Ilustracija 5 – Mjerno mjesto Bijelo Polje</w:t>
        </w:r>
        <w:r w:rsidR="006362BE">
          <w:rPr>
            <w:noProof/>
            <w:webHidden/>
          </w:rPr>
          <w:tab/>
        </w:r>
        <w:r w:rsidR="006362BE">
          <w:rPr>
            <w:noProof/>
            <w:webHidden/>
          </w:rPr>
          <w:fldChar w:fldCharType="begin"/>
        </w:r>
        <w:r w:rsidR="006362BE">
          <w:rPr>
            <w:noProof/>
            <w:webHidden/>
          </w:rPr>
          <w:instrText xml:space="preserve"> PAGEREF _Toc233584697 \h </w:instrText>
        </w:r>
        <w:r w:rsidR="006362BE">
          <w:rPr>
            <w:noProof/>
            <w:webHidden/>
          </w:rPr>
        </w:r>
        <w:r w:rsidR="006362BE">
          <w:rPr>
            <w:noProof/>
            <w:webHidden/>
          </w:rPr>
          <w:fldChar w:fldCharType="separate"/>
        </w:r>
        <w:r w:rsidR="006362BE">
          <w:rPr>
            <w:noProof/>
            <w:webHidden/>
          </w:rPr>
          <w:t>63</w:t>
        </w:r>
        <w:r w:rsidR="006362BE">
          <w:rPr>
            <w:noProof/>
            <w:webHidden/>
          </w:rPr>
          <w:fldChar w:fldCharType="end"/>
        </w:r>
      </w:hyperlink>
    </w:p>
    <w:p w14:paraId="3BC80BC6" w14:textId="0C7B4689" w:rsidR="006362BE" w:rsidRDefault="00891EB6">
      <w:pPr>
        <w:pStyle w:val="TableofFigures"/>
        <w:tabs>
          <w:tab w:val="right" w:leader="dot" w:pos="9016"/>
        </w:tabs>
        <w:rPr>
          <w:noProof/>
          <w:kern w:val="2"/>
          <w:szCs w:val="24"/>
          <w:lang w:val="en-GB" w:eastAsia="en-GB"/>
          <w14:ligatures w14:val="standardContextual"/>
        </w:rPr>
      </w:pPr>
      <w:hyperlink w:anchor="_Toc233584698" w:history="1">
        <w:r w:rsidR="006362BE" w:rsidRPr="00E11BB5">
          <w:rPr>
            <w:rStyle w:val="Hyperlink"/>
            <w:rFonts w:ascii="Calibri" w:hAnsi="Calibri" w:cs="Calibri"/>
            <w:i/>
            <w:iCs/>
            <w:noProof/>
          </w:rPr>
          <w:t>Ilustracija 6– Mjerno mjesto Podgorica, kružni tok, raskrsnica bulevar Georgija Žukova i Zetskih vladara   (UT)</w:t>
        </w:r>
        <w:r w:rsidR="006362BE">
          <w:rPr>
            <w:noProof/>
            <w:webHidden/>
          </w:rPr>
          <w:tab/>
        </w:r>
        <w:r w:rsidR="006362BE">
          <w:rPr>
            <w:noProof/>
            <w:webHidden/>
          </w:rPr>
          <w:fldChar w:fldCharType="begin"/>
        </w:r>
        <w:r w:rsidR="006362BE">
          <w:rPr>
            <w:noProof/>
            <w:webHidden/>
          </w:rPr>
          <w:instrText xml:space="preserve"> PAGEREF _Toc233584698 \h </w:instrText>
        </w:r>
        <w:r w:rsidR="006362BE">
          <w:rPr>
            <w:noProof/>
            <w:webHidden/>
          </w:rPr>
        </w:r>
        <w:r w:rsidR="006362BE">
          <w:rPr>
            <w:noProof/>
            <w:webHidden/>
          </w:rPr>
          <w:fldChar w:fldCharType="separate"/>
        </w:r>
        <w:r w:rsidR="006362BE">
          <w:rPr>
            <w:noProof/>
            <w:webHidden/>
          </w:rPr>
          <w:t>75</w:t>
        </w:r>
        <w:r w:rsidR="006362BE">
          <w:rPr>
            <w:noProof/>
            <w:webHidden/>
          </w:rPr>
          <w:fldChar w:fldCharType="end"/>
        </w:r>
      </w:hyperlink>
    </w:p>
    <w:p w14:paraId="04787DE1" w14:textId="70BE4C66" w:rsidR="006362BE" w:rsidRDefault="00891EB6">
      <w:pPr>
        <w:pStyle w:val="TableofFigures"/>
        <w:tabs>
          <w:tab w:val="right" w:leader="dot" w:pos="9016"/>
        </w:tabs>
        <w:rPr>
          <w:noProof/>
          <w:kern w:val="2"/>
          <w:szCs w:val="24"/>
          <w:lang w:val="en-GB" w:eastAsia="en-GB"/>
          <w14:ligatures w14:val="standardContextual"/>
        </w:rPr>
      </w:pPr>
      <w:hyperlink w:anchor="_Toc233584699" w:history="1">
        <w:r w:rsidR="006362BE" w:rsidRPr="00E11BB5">
          <w:rPr>
            <w:rStyle w:val="Hyperlink"/>
            <w:rFonts w:ascii="Calibri" w:hAnsi="Calibri" w:cs="Calibri"/>
            <w:i/>
            <w:iCs/>
            <w:noProof/>
          </w:rPr>
          <w:t>Ilustracija 7:  Mjerno mjesto Podgorica, Blok V (UB)</w:t>
        </w:r>
        <w:r w:rsidR="006362BE">
          <w:rPr>
            <w:noProof/>
            <w:webHidden/>
          </w:rPr>
          <w:tab/>
        </w:r>
        <w:r w:rsidR="006362BE">
          <w:rPr>
            <w:noProof/>
            <w:webHidden/>
          </w:rPr>
          <w:fldChar w:fldCharType="begin"/>
        </w:r>
        <w:r w:rsidR="006362BE">
          <w:rPr>
            <w:noProof/>
            <w:webHidden/>
          </w:rPr>
          <w:instrText xml:space="preserve"> PAGEREF _Toc233584699 \h </w:instrText>
        </w:r>
        <w:r w:rsidR="006362BE">
          <w:rPr>
            <w:noProof/>
            <w:webHidden/>
          </w:rPr>
        </w:r>
        <w:r w:rsidR="006362BE">
          <w:rPr>
            <w:noProof/>
            <w:webHidden/>
          </w:rPr>
          <w:fldChar w:fldCharType="separate"/>
        </w:r>
        <w:r w:rsidR="006362BE">
          <w:rPr>
            <w:noProof/>
            <w:webHidden/>
          </w:rPr>
          <w:t>76</w:t>
        </w:r>
        <w:r w:rsidR="006362BE">
          <w:rPr>
            <w:noProof/>
            <w:webHidden/>
          </w:rPr>
          <w:fldChar w:fldCharType="end"/>
        </w:r>
      </w:hyperlink>
    </w:p>
    <w:p w14:paraId="1D81D723" w14:textId="5B718C7C" w:rsidR="006362BE" w:rsidRDefault="00891EB6">
      <w:pPr>
        <w:pStyle w:val="TableofFigures"/>
        <w:tabs>
          <w:tab w:val="right" w:leader="dot" w:pos="9016"/>
        </w:tabs>
        <w:rPr>
          <w:noProof/>
          <w:kern w:val="2"/>
          <w:szCs w:val="24"/>
          <w:lang w:val="en-GB" w:eastAsia="en-GB"/>
          <w14:ligatures w14:val="standardContextual"/>
        </w:rPr>
      </w:pPr>
      <w:hyperlink w:anchor="_Toc233584700" w:history="1">
        <w:r w:rsidR="006362BE" w:rsidRPr="00E11BB5">
          <w:rPr>
            <w:rStyle w:val="Hyperlink"/>
            <w:rFonts w:ascii="Calibri" w:hAnsi="Calibri" w:cs="Calibri"/>
            <w:i/>
            <w:iCs/>
            <w:noProof/>
          </w:rPr>
          <w:t>Ilustracija 8: Mjerno mjesto Nikšić</w:t>
        </w:r>
        <w:r w:rsidR="006362BE">
          <w:rPr>
            <w:noProof/>
            <w:webHidden/>
          </w:rPr>
          <w:tab/>
        </w:r>
        <w:r w:rsidR="006362BE">
          <w:rPr>
            <w:noProof/>
            <w:webHidden/>
          </w:rPr>
          <w:fldChar w:fldCharType="begin"/>
        </w:r>
        <w:r w:rsidR="006362BE">
          <w:rPr>
            <w:noProof/>
            <w:webHidden/>
          </w:rPr>
          <w:instrText xml:space="preserve"> PAGEREF _Toc233584700 \h </w:instrText>
        </w:r>
        <w:r w:rsidR="006362BE">
          <w:rPr>
            <w:noProof/>
            <w:webHidden/>
          </w:rPr>
        </w:r>
        <w:r w:rsidR="006362BE">
          <w:rPr>
            <w:noProof/>
            <w:webHidden/>
          </w:rPr>
          <w:fldChar w:fldCharType="separate"/>
        </w:r>
        <w:r w:rsidR="006362BE">
          <w:rPr>
            <w:noProof/>
            <w:webHidden/>
          </w:rPr>
          <w:t>76</w:t>
        </w:r>
        <w:r w:rsidR="006362BE">
          <w:rPr>
            <w:noProof/>
            <w:webHidden/>
          </w:rPr>
          <w:fldChar w:fldCharType="end"/>
        </w:r>
      </w:hyperlink>
    </w:p>
    <w:p w14:paraId="19272E9C" w14:textId="37873493" w:rsidR="006362BE" w:rsidRDefault="00891EB6">
      <w:pPr>
        <w:pStyle w:val="TableofFigures"/>
        <w:tabs>
          <w:tab w:val="right" w:leader="dot" w:pos="9016"/>
        </w:tabs>
        <w:rPr>
          <w:noProof/>
          <w:kern w:val="2"/>
          <w:szCs w:val="24"/>
          <w:lang w:val="en-GB" w:eastAsia="en-GB"/>
          <w14:ligatures w14:val="standardContextual"/>
        </w:rPr>
      </w:pPr>
      <w:hyperlink w:anchor="_Toc233584701" w:history="1">
        <w:r w:rsidR="006362BE" w:rsidRPr="00E11BB5">
          <w:rPr>
            <w:rStyle w:val="Hyperlink"/>
            <w:rFonts w:ascii="Calibri" w:hAnsi="Calibri" w:cs="Calibri"/>
            <w:i/>
            <w:iCs/>
            <w:noProof/>
          </w:rPr>
          <w:t>Ilustracija 9: Kopenov sistem u Crnoj Gori – klimatska rejonizacija</w:t>
        </w:r>
        <w:r w:rsidR="006362BE">
          <w:rPr>
            <w:noProof/>
            <w:webHidden/>
          </w:rPr>
          <w:tab/>
        </w:r>
        <w:r w:rsidR="006362BE">
          <w:rPr>
            <w:noProof/>
            <w:webHidden/>
          </w:rPr>
          <w:fldChar w:fldCharType="begin"/>
        </w:r>
        <w:r w:rsidR="006362BE">
          <w:rPr>
            <w:noProof/>
            <w:webHidden/>
          </w:rPr>
          <w:instrText xml:space="preserve"> PAGEREF _Toc233584701 \h </w:instrText>
        </w:r>
        <w:r w:rsidR="006362BE">
          <w:rPr>
            <w:noProof/>
            <w:webHidden/>
          </w:rPr>
        </w:r>
        <w:r w:rsidR="006362BE">
          <w:rPr>
            <w:noProof/>
            <w:webHidden/>
          </w:rPr>
          <w:fldChar w:fldCharType="separate"/>
        </w:r>
        <w:r w:rsidR="006362BE">
          <w:rPr>
            <w:noProof/>
            <w:webHidden/>
          </w:rPr>
          <w:t>87</w:t>
        </w:r>
        <w:r w:rsidR="006362BE">
          <w:rPr>
            <w:noProof/>
            <w:webHidden/>
          </w:rPr>
          <w:fldChar w:fldCharType="end"/>
        </w:r>
      </w:hyperlink>
    </w:p>
    <w:p w14:paraId="2A986DE0" w14:textId="77777777" w:rsidR="0094151F" w:rsidRPr="001C58C6" w:rsidRDefault="00B33518">
      <w:pPr>
        <w:jc w:val="left"/>
        <w:rPr>
          <w:rFonts w:ascii="Calibri" w:hAnsi="Calibri" w:cs="Calibri"/>
          <w:b/>
          <w:color w:val="000000" w:themeColor="text1"/>
        </w:rPr>
      </w:pPr>
      <w:r w:rsidRPr="001C58C6">
        <w:rPr>
          <w:rFonts w:ascii="Calibri" w:hAnsi="Calibri" w:cs="Calibri"/>
          <w:b/>
          <w:color w:val="000000" w:themeColor="text1"/>
        </w:rPr>
        <w:fldChar w:fldCharType="end"/>
      </w:r>
    </w:p>
    <w:p w14:paraId="34BC0111" w14:textId="77777777" w:rsidR="0094151F" w:rsidRPr="001C58C6" w:rsidRDefault="0094151F">
      <w:pPr>
        <w:jc w:val="left"/>
        <w:rPr>
          <w:rFonts w:ascii="Calibri" w:hAnsi="Calibri" w:cs="Calibri"/>
          <w:b/>
          <w:color w:val="000000" w:themeColor="text1"/>
        </w:rPr>
      </w:pPr>
    </w:p>
    <w:p w14:paraId="2B81C916" w14:textId="77777777" w:rsidR="0094151F" w:rsidRPr="001C58C6" w:rsidRDefault="0094151F">
      <w:pPr>
        <w:jc w:val="left"/>
        <w:rPr>
          <w:rFonts w:ascii="Calibri" w:hAnsi="Calibri" w:cs="Calibri"/>
          <w:b/>
          <w:color w:val="000000" w:themeColor="text1"/>
        </w:rPr>
      </w:pPr>
      <w:r w:rsidRPr="001C58C6">
        <w:rPr>
          <w:rFonts w:ascii="Calibri" w:hAnsi="Calibri" w:cs="Calibri"/>
          <w:b/>
          <w:color w:val="000000" w:themeColor="text1"/>
        </w:rPr>
        <w:t>SKRA</w:t>
      </w:r>
      <w:r w:rsidRPr="001C58C6">
        <w:rPr>
          <w:rFonts w:ascii="Calibri" w:hAnsi="Calibri" w:cs="Calibri"/>
          <w:b/>
          <w:color w:val="000000" w:themeColor="text1"/>
          <w:lang w:val="en-GB"/>
        </w:rPr>
        <w:t>ĆENICE</w:t>
      </w:r>
    </w:p>
    <w:p w14:paraId="2D0C17A7" w14:textId="77777777" w:rsidR="0094151F" w:rsidRPr="001C58C6" w:rsidRDefault="0094151F">
      <w:pPr>
        <w:jc w:val="left"/>
        <w:rPr>
          <w:rFonts w:ascii="Calibri" w:hAnsi="Calibri" w:cs="Calibri"/>
          <w:b/>
          <w:color w:val="000000" w:themeColor="text1"/>
          <w:lang w:val="en-GB"/>
        </w:rPr>
      </w:pPr>
    </w:p>
    <w:p w14:paraId="43F42029" w14:textId="77777777" w:rsidR="0094151F" w:rsidRPr="001C58C6" w:rsidRDefault="0094151F">
      <w:pPr>
        <w:jc w:val="left"/>
        <w:rPr>
          <w:rFonts w:ascii="Calibri" w:hAnsi="Calibri" w:cs="Calibri"/>
          <w:b/>
          <w:color w:val="000000" w:themeColor="text1"/>
          <w:lang w:val="en-GB"/>
        </w:rPr>
      </w:pPr>
    </w:p>
    <w:tbl>
      <w:tblPr>
        <w:tblStyle w:val="TableGrid"/>
        <w:tblW w:w="0" w:type="auto"/>
        <w:tblLook w:val="04A0" w:firstRow="1" w:lastRow="0" w:firstColumn="1" w:lastColumn="0" w:noHBand="0" w:noVBand="1"/>
      </w:tblPr>
      <w:tblGrid>
        <w:gridCol w:w="1277"/>
        <w:gridCol w:w="7739"/>
      </w:tblGrid>
      <w:tr w:rsidR="0094151F" w:rsidRPr="001C58C6" w14:paraId="68C79B21" w14:textId="77777777" w:rsidTr="0094151F">
        <w:tc>
          <w:tcPr>
            <w:tcW w:w="0" w:type="auto"/>
            <w:hideMark/>
          </w:tcPr>
          <w:p w14:paraId="07828B1B" w14:textId="77777777" w:rsidR="0094151F" w:rsidRPr="001C58C6" w:rsidRDefault="0094151F" w:rsidP="0094151F">
            <w:pPr>
              <w:jc w:val="left"/>
              <w:rPr>
                <w:rFonts w:ascii="Calibri" w:hAnsi="Calibri" w:cs="Calibri"/>
                <w:b/>
                <w:bCs/>
                <w:color w:val="000000" w:themeColor="text1"/>
                <w:lang w:val="en-GB"/>
              </w:rPr>
            </w:pPr>
            <w:r w:rsidRPr="001C58C6">
              <w:rPr>
                <w:rFonts w:ascii="Calibri" w:hAnsi="Calibri" w:cs="Calibri"/>
                <w:b/>
                <w:bCs/>
                <w:color w:val="000000" w:themeColor="text1"/>
                <w:lang w:val="en-GB"/>
              </w:rPr>
              <w:t>Skraćenica</w:t>
            </w:r>
          </w:p>
        </w:tc>
        <w:tc>
          <w:tcPr>
            <w:tcW w:w="0" w:type="auto"/>
            <w:hideMark/>
          </w:tcPr>
          <w:p w14:paraId="361F45DA"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Puni naziv</w:t>
            </w:r>
          </w:p>
        </w:tc>
      </w:tr>
      <w:tr w:rsidR="0094151F" w:rsidRPr="001C58C6" w14:paraId="58FCA023" w14:textId="77777777" w:rsidTr="0094151F">
        <w:tc>
          <w:tcPr>
            <w:tcW w:w="0" w:type="auto"/>
            <w:hideMark/>
          </w:tcPr>
          <w:p w14:paraId="4C972026"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AŽS</w:t>
            </w:r>
          </w:p>
          <w:p w14:paraId="5CB91F81"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EPA</w:t>
            </w:r>
          </w:p>
        </w:tc>
        <w:tc>
          <w:tcPr>
            <w:tcW w:w="0" w:type="auto"/>
            <w:hideMark/>
          </w:tcPr>
          <w:p w14:paraId="44FA7F90"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Agencija za zaštitu životne sredine</w:t>
            </w:r>
          </w:p>
        </w:tc>
      </w:tr>
      <w:tr w:rsidR="0094151F" w:rsidRPr="001C58C6" w14:paraId="6F4631FD" w14:textId="77777777" w:rsidTr="0094151F">
        <w:tc>
          <w:tcPr>
            <w:tcW w:w="0" w:type="auto"/>
            <w:hideMark/>
          </w:tcPr>
          <w:p w14:paraId="6E983CF9"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BaP</w:t>
            </w:r>
          </w:p>
        </w:tc>
        <w:tc>
          <w:tcPr>
            <w:tcW w:w="0" w:type="auto"/>
            <w:hideMark/>
          </w:tcPr>
          <w:p w14:paraId="616809A0"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benzo(a)piren</w:t>
            </w:r>
          </w:p>
        </w:tc>
      </w:tr>
      <w:tr w:rsidR="0094151F" w:rsidRPr="001C58C6" w14:paraId="3B325439" w14:textId="77777777" w:rsidTr="0094151F">
        <w:tc>
          <w:tcPr>
            <w:tcW w:w="0" w:type="auto"/>
            <w:hideMark/>
          </w:tcPr>
          <w:p w14:paraId="72F8A234"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CANU</w:t>
            </w:r>
          </w:p>
        </w:tc>
        <w:tc>
          <w:tcPr>
            <w:tcW w:w="0" w:type="auto"/>
            <w:hideMark/>
          </w:tcPr>
          <w:p w14:paraId="4773A94A"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Crnogorska akademija nauka i umjetnosti</w:t>
            </w:r>
          </w:p>
        </w:tc>
      </w:tr>
      <w:tr w:rsidR="0094151F" w:rsidRPr="001C58C6" w14:paraId="62A62C28" w14:textId="77777777" w:rsidTr="0094151F">
        <w:tc>
          <w:tcPr>
            <w:tcW w:w="0" w:type="auto"/>
            <w:hideMark/>
          </w:tcPr>
          <w:p w14:paraId="14D5EE78"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CEDIS</w:t>
            </w:r>
          </w:p>
        </w:tc>
        <w:tc>
          <w:tcPr>
            <w:tcW w:w="0" w:type="auto"/>
            <w:hideMark/>
          </w:tcPr>
          <w:p w14:paraId="6E2A2A50"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Crnogorski elektrodistributivni sistem</w:t>
            </w:r>
          </w:p>
        </w:tc>
      </w:tr>
      <w:tr w:rsidR="0094151F" w:rsidRPr="001C58C6" w14:paraId="30E1B439" w14:textId="77777777" w:rsidTr="0094151F">
        <w:tc>
          <w:tcPr>
            <w:tcW w:w="0" w:type="auto"/>
            <w:hideMark/>
          </w:tcPr>
          <w:p w14:paraId="1BF8E65B"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CEIP</w:t>
            </w:r>
          </w:p>
        </w:tc>
        <w:tc>
          <w:tcPr>
            <w:tcW w:w="0" w:type="auto"/>
            <w:hideMark/>
          </w:tcPr>
          <w:p w14:paraId="36A9F325"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Centar za inventare i projekcije emisija (Centre on Emission Inventories and Projections)</w:t>
            </w:r>
          </w:p>
        </w:tc>
      </w:tr>
      <w:tr w:rsidR="0094151F" w:rsidRPr="001C58C6" w14:paraId="561F0E80" w14:textId="77777777" w:rsidTr="0094151F">
        <w:tc>
          <w:tcPr>
            <w:tcW w:w="0" w:type="auto"/>
            <w:hideMark/>
          </w:tcPr>
          <w:p w14:paraId="5DCBCA1E"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CETI</w:t>
            </w:r>
          </w:p>
        </w:tc>
        <w:tc>
          <w:tcPr>
            <w:tcW w:w="0" w:type="auto"/>
            <w:hideMark/>
          </w:tcPr>
          <w:p w14:paraId="6E15D1D0"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Centar za ekotoksikološka ispitivanja Crne Gore</w:t>
            </w:r>
          </w:p>
        </w:tc>
      </w:tr>
      <w:tr w:rsidR="0094151F" w:rsidRPr="001C58C6" w14:paraId="0263BF70" w14:textId="77777777" w:rsidTr="0094151F">
        <w:tc>
          <w:tcPr>
            <w:tcW w:w="0" w:type="auto"/>
            <w:hideMark/>
          </w:tcPr>
          <w:p w14:paraId="007C1ABF"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CLRTAP</w:t>
            </w:r>
          </w:p>
        </w:tc>
        <w:tc>
          <w:tcPr>
            <w:tcW w:w="0" w:type="auto"/>
            <w:hideMark/>
          </w:tcPr>
          <w:p w14:paraId="341AC77C"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Konvencija o prekograničnom prenosu zagađujućih materija na velikim udaljenostima</w:t>
            </w:r>
          </w:p>
        </w:tc>
      </w:tr>
      <w:tr w:rsidR="0094151F" w:rsidRPr="001C58C6" w14:paraId="38B9F939" w14:textId="77777777" w:rsidTr="0094151F">
        <w:tc>
          <w:tcPr>
            <w:tcW w:w="0" w:type="auto"/>
            <w:hideMark/>
          </w:tcPr>
          <w:p w14:paraId="47B3CD11"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DRI</w:t>
            </w:r>
          </w:p>
        </w:tc>
        <w:tc>
          <w:tcPr>
            <w:tcW w:w="0" w:type="auto"/>
            <w:hideMark/>
          </w:tcPr>
          <w:p w14:paraId="57CEEF2A"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Državna revizorska institucija</w:t>
            </w:r>
          </w:p>
        </w:tc>
      </w:tr>
      <w:tr w:rsidR="0094151F" w:rsidRPr="001C58C6" w14:paraId="15B64F22" w14:textId="77777777" w:rsidTr="0094151F">
        <w:tc>
          <w:tcPr>
            <w:tcW w:w="0" w:type="auto"/>
            <w:hideMark/>
          </w:tcPr>
          <w:p w14:paraId="519AC6D0"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EE</w:t>
            </w:r>
          </w:p>
        </w:tc>
        <w:tc>
          <w:tcPr>
            <w:tcW w:w="0" w:type="auto"/>
            <w:hideMark/>
          </w:tcPr>
          <w:p w14:paraId="39CA01DD"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energetska efikasnost</w:t>
            </w:r>
          </w:p>
        </w:tc>
      </w:tr>
      <w:tr w:rsidR="0094151F" w:rsidRPr="001C58C6" w14:paraId="56C4D501" w14:textId="77777777" w:rsidTr="0094151F">
        <w:tc>
          <w:tcPr>
            <w:tcW w:w="0" w:type="auto"/>
            <w:hideMark/>
          </w:tcPr>
          <w:p w14:paraId="0E0688A5"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EEA</w:t>
            </w:r>
          </w:p>
        </w:tc>
        <w:tc>
          <w:tcPr>
            <w:tcW w:w="0" w:type="auto"/>
            <w:hideMark/>
          </w:tcPr>
          <w:p w14:paraId="2BB4EBBF"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Evropska agencija za životnu sredinu (European Environment Agency)</w:t>
            </w:r>
          </w:p>
        </w:tc>
      </w:tr>
      <w:tr w:rsidR="0094151F" w:rsidRPr="001C58C6" w14:paraId="32EF4C04" w14:textId="77777777" w:rsidTr="0094151F">
        <w:tc>
          <w:tcPr>
            <w:tcW w:w="0" w:type="auto"/>
            <w:hideMark/>
          </w:tcPr>
          <w:p w14:paraId="582C604D"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EKO FOND</w:t>
            </w:r>
          </w:p>
        </w:tc>
        <w:tc>
          <w:tcPr>
            <w:tcW w:w="0" w:type="auto"/>
            <w:hideMark/>
          </w:tcPr>
          <w:p w14:paraId="39775B1D"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Fond za zaštitu životne sredine Crne Gore</w:t>
            </w:r>
          </w:p>
        </w:tc>
      </w:tr>
      <w:tr w:rsidR="0094151F" w:rsidRPr="001C58C6" w14:paraId="7660FF44" w14:textId="77777777" w:rsidTr="0094151F">
        <w:tc>
          <w:tcPr>
            <w:tcW w:w="0" w:type="auto"/>
            <w:hideMark/>
          </w:tcPr>
          <w:p w14:paraId="2143FF2F"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EMEP</w:t>
            </w:r>
          </w:p>
        </w:tc>
        <w:tc>
          <w:tcPr>
            <w:tcW w:w="0" w:type="auto"/>
            <w:hideMark/>
          </w:tcPr>
          <w:p w14:paraId="48A17DB9"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Program za praćenje i evaluaciju prenosa zagađujućih materija na velikim udaljenostima</w:t>
            </w:r>
          </w:p>
        </w:tc>
      </w:tr>
      <w:tr w:rsidR="0094151F" w:rsidRPr="001C58C6" w14:paraId="46B3E06D" w14:textId="77777777" w:rsidTr="0094151F">
        <w:tc>
          <w:tcPr>
            <w:tcW w:w="0" w:type="auto"/>
            <w:hideMark/>
          </w:tcPr>
          <w:p w14:paraId="022DC479"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EPCG</w:t>
            </w:r>
          </w:p>
        </w:tc>
        <w:tc>
          <w:tcPr>
            <w:tcW w:w="0" w:type="auto"/>
            <w:hideMark/>
          </w:tcPr>
          <w:p w14:paraId="30D717AC"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Elektroprivreda Crne Gore</w:t>
            </w:r>
          </w:p>
        </w:tc>
      </w:tr>
      <w:tr w:rsidR="0094151F" w:rsidRPr="001C58C6" w14:paraId="7BDF7FEF" w14:textId="77777777" w:rsidTr="0094151F">
        <w:tc>
          <w:tcPr>
            <w:tcW w:w="0" w:type="auto"/>
            <w:hideMark/>
          </w:tcPr>
          <w:p w14:paraId="7DB59640"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ETS</w:t>
            </w:r>
          </w:p>
        </w:tc>
        <w:tc>
          <w:tcPr>
            <w:tcW w:w="0" w:type="auto"/>
            <w:hideMark/>
          </w:tcPr>
          <w:p w14:paraId="3A522197"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Sistem trgovanja emisijama</w:t>
            </w:r>
          </w:p>
        </w:tc>
      </w:tr>
      <w:tr w:rsidR="0094151F" w:rsidRPr="001C58C6" w14:paraId="418E1862" w14:textId="77777777" w:rsidTr="0094151F">
        <w:tc>
          <w:tcPr>
            <w:tcW w:w="0" w:type="auto"/>
            <w:hideMark/>
          </w:tcPr>
          <w:p w14:paraId="483BEB1C"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EU</w:t>
            </w:r>
          </w:p>
        </w:tc>
        <w:tc>
          <w:tcPr>
            <w:tcW w:w="0" w:type="auto"/>
            <w:hideMark/>
          </w:tcPr>
          <w:p w14:paraId="3DB7719B"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Evropska unija</w:t>
            </w:r>
          </w:p>
        </w:tc>
      </w:tr>
      <w:tr w:rsidR="0094151F" w:rsidRPr="001C58C6" w14:paraId="404AE99F" w14:textId="77777777" w:rsidTr="0094151F">
        <w:tc>
          <w:tcPr>
            <w:tcW w:w="0" w:type="auto"/>
            <w:hideMark/>
          </w:tcPr>
          <w:p w14:paraId="034A2F9D"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GHG</w:t>
            </w:r>
          </w:p>
        </w:tc>
        <w:tc>
          <w:tcPr>
            <w:tcW w:w="0" w:type="auto"/>
            <w:hideMark/>
          </w:tcPr>
          <w:p w14:paraId="50113C80"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gasovi sa efektom staklene bašte</w:t>
            </w:r>
          </w:p>
        </w:tc>
      </w:tr>
      <w:tr w:rsidR="0094151F" w:rsidRPr="001C58C6" w14:paraId="0C564F52" w14:textId="77777777" w:rsidTr="0094151F">
        <w:tc>
          <w:tcPr>
            <w:tcW w:w="0" w:type="auto"/>
            <w:hideMark/>
          </w:tcPr>
          <w:p w14:paraId="14F1518E"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IJZCG</w:t>
            </w:r>
          </w:p>
        </w:tc>
        <w:tc>
          <w:tcPr>
            <w:tcW w:w="0" w:type="auto"/>
            <w:hideMark/>
          </w:tcPr>
          <w:p w14:paraId="08D2716E"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Institut za javno zdravlje Crne Gore</w:t>
            </w:r>
          </w:p>
        </w:tc>
      </w:tr>
      <w:tr w:rsidR="0094151F" w:rsidRPr="001C58C6" w14:paraId="4282DCE3" w14:textId="77777777" w:rsidTr="0094151F">
        <w:tc>
          <w:tcPr>
            <w:tcW w:w="0" w:type="auto"/>
            <w:hideMark/>
          </w:tcPr>
          <w:p w14:paraId="662DC5C4"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IPPC</w:t>
            </w:r>
          </w:p>
        </w:tc>
        <w:tc>
          <w:tcPr>
            <w:tcW w:w="0" w:type="auto"/>
            <w:hideMark/>
          </w:tcPr>
          <w:p w14:paraId="0508ED43"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integrisana prevencija i kontrola zagađenja</w:t>
            </w:r>
          </w:p>
        </w:tc>
      </w:tr>
      <w:tr w:rsidR="0094151F" w:rsidRPr="001C58C6" w14:paraId="3FF7161B" w14:textId="77777777" w:rsidTr="0094151F">
        <w:tc>
          <w:tcPr>
            <w:tcW w:w="0" w:type="auto"/>
            <w:hideMark/>
          </w:tcPr>
          <w:p w14:paraId="3160B720"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JRC</w:t>
            </w:r>
          </w:p>
        </w:tc>
        <w:tc>
          <w:tcPr>
            <w:tcW w:w="0" w:type="auto"/>
            <w:hideMark/>
          </w:tcPr>
          <w:p w14:paraId="665E051D"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Zajednički istraživački centar Evropske komisije (Joint Research Centre)</w:t>
            </w:r>
          </w:p>
        </w:tc>
      </w:tr>
      <w:tr w:rsidR="0094151F" w:rsidRPr="001C58C6" w14:paraId="11499F2B" w14:textId="77777777" w:rsidTr="0094151F">
        <w:tc>
          <w:tcPr>
            <w:tcW w:w="0" w:type="auto"/>
            <w:hideMark/>
          </w:tcPr>
          <w:p w14:paraId="0517EB38"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LEAP</w:t>
            </w:r>
          </w:p>
        </w:tc>
        <w:tc>
          <w:tcPr>
            <w:tcW w:w="0" w:type="auto"/>
            <w:hideMark/>
          </w:tcPr>
          <w:p w14:paraId="01A77BEB"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Softver za dugoročno energetsko i emisijsko planiranje</w:t>
            </w:r>
          </w:p>
        </w:tc>
      </w:tr>
      <w:tr w:rsidR="0094151F" w:rsidRPr="001C58C6" w14:paraId="128D3F59" w14:textId="77777777" w:rsidTr="0094151F">
        <w:tc>
          <w:tcPr>
            <w:tcW w:w="0" w:type="auto"/>
            <w:hideMark/>
          </w:tcPr>
          <w:p w14:paraId="506C0252"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MEIR</w:t>
            </w:r>
          </w:p>
        </w:tc>
        <w:tc>
          <w:tcPr>
            <w:tcW w:w="0" w:type="auto"/>
            <w:hideMark/>
          </w:tcPr>
          <w:p w14:paraId="5AA1F6FD"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Ministarstvo energetike i rudarstva</w:t>
            </w:r>
          </w:p>
        </w:tc>
      </w:tr>
      <w:tr w:rsidR="0094151F" w:rsidRPr="001C58C6" w14:paraId="5D4CA471" w14:textId="77777777" w:rsidTr="0094151F">
        <w:tc>
          <w:tcPr>
            <w:tcW w:w="0" w:type="auto"/>
            <w:hideMark/>
          </w:tcPr>
          <w:p w14:paraId="4FC40156"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MEP</w:t>
            </w:r>
          </w:p>
        </w:tc>
        <w:tc>
          <w:tcPr>
            <w:tcW w:w="0" w:type="auto"/>
            <w:hideMark/>
          </w:tcPr>
          <w:p w14:paraId="2D742F70"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Ministarstvo evropskih poslova</w:t>
            </w:r>
          </w:p>
        </w:tc>
      </w:tr>
      <w:tr w:rsidR="0094151F" w:rsidRPr="001C58C6" w14:paraId="18CBD102" w14:textId="77777777" w:rsidTr="0094151F">
        <w:tc>
          <w:tcPr>
            <w:tcW w:w="0" w:type="auto"/>
            <w:hideMark/>
          </w:tcPr>
          <w:p w14:paraId="604D6B33"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lastRenderedPageBreak/>
              <w:t>MERS</w:t>
            </w:r>
          </w:p>
        </w:tc>
        <w:tc>
          <w:tcPr>
            <w:tcW w:w="0" w:type="auto"/>
            <w:hideMark/>
          </w:tcPr>
          <w:p w14:paraId="15166FCD"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Ministarstvo ekologije, održivog razvoja i razvoja sjevera</w:t>
            </w:r>
          </w:p>
        </w:tc>
      </w:tr>
      <w:tr w:rsidR="0094151F" w:rsidRPr="001C58C6" w14:paraId="60764F36" w14:textId="77777777" w:rsidTr="0094151F">
        <w:tc>
          <w:tcPr>
            <w:tcW w:w="0" w:type="auto"/>
            <w:hideMark/>
          </w:tcPr>
          <w:p w14:paraId="5E1E02C8"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MF</w:t>
            </w:r>
          </w:p>
        </w:tc>
        <w:tc>
          <w:tcPr>
            <w:tcW w:w="0" w:type="auto"/>
            <w:hideMark/>
          </w:tcPr>
          <w:p w14:paraId="405D9051"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Ministarstvo finansija</w:t>
            </w:r>
          </w:p>
        </w:tc>
      </w:tr>
      <w:tr w:rsidR="0094151F" w:rsidRPr="001C58C6" w14:paraId="59A60333" w14:textId="77777777" w:rsidTr="0094151F">
        <w:tc>
          <w:tcPr>
            <w:tcW w:w="0" w:type="auto"/>
            <w:hideMark/>
          </w:tcPr>
          <w:p w14:paraId="35C9B803"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MONSTAT</w:t>
            </w:r>
          </w:p>
        </w:tc>
        <w:tc>
          <w:tcPr>
            <w:tcW w:w="0" w:type="auto"/>
            <w:hideMark/>
          </w:tcPr>
          <w:p w14:paraId="16A52C6D"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Uprava za statistiku Crne Gore</w:t>
            </w:r>
          </w:p>
        </w:tc>
      </w:tr>
      <w:tr w:rsidR="0094151F" w:rsidRPr="001C58C6" w14:paraId="0A9757E8" w14:textId="77777777" w:rsidTr="0094151F">
        <w:tc>
          <w:tcPr>
            <w:tcW w:w="0" w:type="auto"/>
            <w:hideMark/>
          </w:tcPr>
          <w:p w14:paraId="50D59ECE"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MS</w:t>
            </w:r>
          </w:p>
        </w:tc>
        <w:tc>
          <w:tcPr>
            <w:tcW w:w="0" w:type="auto"/>
            <w:hideMark/>
          </w:tcPr>
          <w:p w14:paraId="2E3A3887"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Ministarstvo saobraćaja</w:t>
            </w:r>
          </w:p>
        </w:tc>
      </w:tr>
      <w:tr w:rsidR="0094151F" w:rsidRPr="001C58C6" w14:paraId="13013351" w14:textId="77777777" w:rsidTr="0094151F">
        <w:tc>
          <w:tcPr>
            <w:tcW w:w="0" w:type="auto"/>
            <w:hideMark/>
          </w:tcPr>
          <w:p w14:paraId="6B140FFB"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MUP</w:t>
            </w:r>
          </w:p>
        </w:tc>
        <w:tc>
          <w:tcPr>
            <w:tcW w:w="0" w:type="auto"/>
            <w:hideMark/>
          </w:tcPr>
          <w:p w14:paraId="7BB612EE"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Ministarstvo unutrašnjih poslova</w:t>
            </w:r>
          </w:p>
        </w:tc>
      </w:tr>
      <w:tr w:rsidR="0094151F" w:rsidRPr="001C58C6" w14:paraId="395ED929" w14:textId="77777777" w:rsidTr="0094151F">
        <w:tc>
          <w:tcPr>
            <w:tcW w:w="0" w:type="auto"/>
            <w:hideMark/>
          </w:tcPr>
          <w:p w14:paraId="301A71D5"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MPŠiV</w:t>
            </w:r>
          </w:p>
        </w:tc>
        <w:tc>
          <w:tcPr>
            <w:tcW w:w="0" w:type="auto"/>
            <w:hideMark/>
          </w:tcPr>
          <w:p w14:paraId="018DD631"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Ministarstvo poljoprivrede, šumarstva i vodoprivrede</w:t>
            </w:r>
          </w:p>
        </w:tc>
      </w:tr>
      <w:tr w:rsidR="0094151F" w:rsidRPr="001C58C6" w14:paraId="78B5D92F" w14:textId="77777777" w:rsidTr="0094151F">
        <w:tc>
          <w:tcPr>
            <w:tcW w:w="0" w:type="auto"/>
            <w:hideMark/>
          </w:tcPr>
          <w:p w14:paraId="06BDDF0D"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NEKP</w:t>
            </w:r>
          </w:p>
        </w:tc>
        <w:tc>
          <w:tcPr>
            <w:tcW w:w="0" w:type="auto"/>
            <w:hideMark/>
          </w:tcPr>
          <w:p w14:paraId="3D22BCE8"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Nacionalni energetski i klimatski plan Crne Gore</w:t>
            </w:r>
          </w:p>
        </w:tc>
      </w:tr>
      <w:tr w:rsidR="0094151F" w:rsidRPr="001C58C6" w14:paraId="52D13874" w14:textId="77777777" w:rsidTr="0094151F">
        <w:tc>
          <w:tcPr>
            <w:tcW w:w="0" w:type="auto"/>
            <w:hideMark/>
          </w:tcPr>
          <w:p w14:paraId="7359D629"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NMVOC</w:t>
            </w:r>
          </w:p>
        </w:tc>
        <w:tc>
          <w:tcPr>
            <w:tcW w:w="0" w:type="auto"/>
            <w:hideMark/>
          </w:tcPr>
          <w:p w14:paraId="5879C6EC"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nemetanska isparljiva organska jedinjenja</w:t>
            </w:r>
          </w:p>
        </w:tc>
      </w:tr>
      <w:tr w:rsidR="0094151F" w:rsidRPr="001C58C6" w14:paraId="74E5C291" w14:textId="77777777" w:rsidTr="0094151F">
        <w:tc>
          <w:tcPr>
            <w:tcW w:w="0" w:type="auto"/>
            <w:hideMark/>
          </w:tcPr>
          <w:p w14:paraId="3F6FA97C"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NOₓ</w:t>
            </w:r>
          </w:p>
        </w:tc>
        <w:tc>
          <w:tcPr>
            <w:tcW w:w="0" w:type="auto"/>
            <w:hideMark/>
          </w:tcPr>
          <w:p w14:paraId="39C5D0BD"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oksidi azota</w:t>
            </w:r>
          </w:p>
        </w:tc>
      </w:tr>
      <w:tr w:rsidR="0094151F" w:rsidRPr="001C58C6" w14:paraId="02962A66" w14:textId="77777777" w:rsidTr="0094151F">
        <w:tc>
          <w:tcPr>
            <w:tcW w:w="0" w:type="auto"/>
            <w:hideMark/>
          </w:tcPr>
          <w:p w14:paraId="2D6621B3"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O₃</w:t>
            </w:r>
          </w:p>
        </w:tc>
        <w:tc>
          <w:tcPr>
            <w:tcW w:w="0" w:type="auto"/>
            <w:hideMark/>
          </w:tcPr>
          <w:p w14:paraId="42278E98"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prizemni ozon</w:t>
            </w:r>
          </w:p>
        </w:tc>
      </w:tr>
      <w:tr w:rsidR="0094151F" w:rsidRPr="001C58C6" w14:paraId="261C2BA1" w14:textId="77777777" w:rsidTr="0094151F">
        <w:tc>
          <w:tcPr>
            <w:tcW w:w="0" w:type="auto"/>
            <w:hideMark/>
          </w:tcPr>
          <w:p w14:paraId="55E541FA"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OIE</w:t>
            </w:r>
          </w:p>
        </w:tc>
        <w:tc>
          <w:tcPr>
            <w:tcW w:w="0" w:type="auto"/>
            <w:hideMark/>
          </w:tcPr>
          <w:p w14:paraId="5720F321"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obnovljivi izvori energije</w:t>
            </w:r>
          </w:p>
        </w:tc>
      </w:tr>
      <w:tr w:rsidR="0094151F" w:rsidRPr="001C58C6" w14:paraId="3BD6ECDB" w14:textId="77777777" w:rsidTr="0094151F">
        <w:tc>
          <w:tcPr>
            <w:tcW w:w="0" w:type="auto"/>
            <w:hideMark/>
          </w:tcPr>
          <w:p w14:paraId="21C295E2"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PAH</w:t>
            </w:r>
          </w:p>
        </w:tc>
        <w:tc>
          <w:tcPr>
            <w:tcW w:w="0" w:type="auto"/>
            <w:hideMark/>
          </w:tcPr>
          <w:p w14:paraId="40FCC323"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policiklični aromatični ugljovodonici</w:t>
            </w:r>
          </w:p>
        </w:tc>
      </w:tr>
      <w:tr w:rsidR="0094151F" w:rsidRPr="001C58C6" w14:paraId="0FD59214" w14:textId="77777777" w:rsidTr="0094151F">
        <w:tc>
          <w:tcPr>
            <w:tcW w:w="0" w:type="auto"/>
            <w:hideMark/>
          </w:tcPr>
          <w:p w14:paraId="3F4970EA"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PM₁₀</w:t>
            </w:r>
          </w:p>
        </w:tc>
        <w:tc>
          <w:tcPr>
            <w:tcW w:w="0" w:type="auto"/>
            <w:hideMark/>
          </w:tcPr>
          <w:p w14:paraId="7F7D954C"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suspendovane čestice aerodinamičkog prečnika manjeg od 10 µm</w:t>
            </w:r>
          </w:p>
        </w:tc>
      </w:tr>
      <w:tr w:rsidR="0094151F" w:rsidRPr="001C58C6" w14:paraId="744EC78D" w14:textId="77777777" w:rsidTr="0094151F">
        <w:tc>
          <w:tcPr>
            <w:tcW w:w="0" w:type="auto"/>
            <w:hideMark/>
          </w:tcPr>
          <w:p w14:paraId="0F51BA59"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PM₂.₅</w:t>
            </w:r>
          </w:p>
        </w:tc>
        <w:tc>
          <w:tcPr>
            <w:tcW w:w="0" w:type="auto"/>
            <w:hideMark/>
          </w:tcPr>
          <w:p w14:paraId="4D669AD5"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suspendovane čestice aerodinamičkog prečnika manjeg od 2,5 µm</w:t>
            </w:r>
          </w:p>
        </w:tc>
      </w:tr>
      <w:tr w:rsidR="0094151F" w:rsidRPr="001C58C6" w14:paraId="0CFEDBE7" w14:textId="77777777" w:rsidTr="0094151F">
        <w:tc>
          <w:tcPr>
            <w:tcW w:w="0" w:type="auto"/>
            <w:hideMark/>
          </w:tcPr>
          <w:p w14:paraId="0D4A54D3"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PRTR</w:t>
            </w:r>
          </w:p>
        </w:tc>
        <w:tc>
          <w:tcPr>
            <w:tcW w:w="0" w:type="auto"/>
            <w:hideMark/>
          </w:tcPr>
          <w:p w14:paraId="77A4EC01"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Registar ispuštanja i prenosa zagađujućih materija</w:t>
            </w:r>
          </w:p>
        </w:tc>
      </w:tr>
      <w:tr w:rsidR="0094151F" w:rsidRPr="001C58C6" w14:paraId="78B0E22A" w14:textId="77777777" w:rsidTr="0094151F">
        <w:tc>
          <w:tcPr>
            <w:tcW w:w="0" w:type="auto"/>
            <w:hideMark/>
          </w:tcPr>
          <w:p w14:paraId="2846D202"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QA/QC</w:t>
            </w:r>
          </w:p>
        </w:tc>
        <w:tc>
          <w:tcPr>
            <w:tcW w:w="0" w:type="auto"/>
            <w:hideMark/>
          </w:tcPr>
          <w:p w14:paraId="3FF36D32"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obezbjeđenje i kontrola kvaliteta podataka</w:t>
            </w:r>
          </w:p>
        </w:tc>
      </w:tr>
      <w:tr w:rsidR="0094151F" w:rsidRPr="001C58C6" w14:paraId="10B7B07A" w14:textId="77777777" w:rsidTr="0094151F">
        <w:tc>
          <w:tcPr>
            <w:tcW w:w="0" w:type="auto"/>
            <w:hideMark/>
          </w:tcPr>
          <w:p w14:paraId="34E15EA5"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SO₂</w:t>
            </w:r>
          </w:p>
        </w:tc>
        <w:tc>
          <w:tcPr>
            <w:tcW w:w="0" w:type="auto"/>
            <w:hideMark/>
          </w:tcPr>
          <w:p w14:paraId="44F89D4F"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sumpor-dioksid</w:t>
            </w:r>
          </w:p>
        </w:tc>
      </w:tr>
      <w:tr w:rsidR="0094151F" w:rsidRPr="001C58C6" w14:paraId="0863C2C4" w14:textId="77777777" w:rsidTr="0094151F">
        <w:tc>
          <w:tcPr>
            <w:tcW w:w="0" w:type="auto"/>
            <w:hideMark/>
          </w:tcPr>
          <w:p w14:paraId="71F9E473"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UNECE</w:t>
            </w:r>
          </w:p>
        </w:tc>
        <w:tc>
          <w:tcPr>
            <w:tcW w:w="0" w:type="auto"/>
            <w:hideMark/>
          </w:tcPr>
          <w:p w14:paraId="1ABE0F75"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Ekonomska komisija Ujedinjenih nacija za Evropu</w:t>
            </w:r>
          </w:p>
        </w:tc>
      </w:tr>
      <w:tr w:rsidR="0094151F" w:rsidRPr="001C58C6" w14:paraId="4467741C" w14:textId="77777777" w:rsidTr="0094151F">
        <w:tc>
          <w:tcPr>
            <w:tcW w:w="0" w:type="auto"/>
            <w:hideMark/>
          </w:tcPr>
          <w:p w14:paraId="763382B6"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UNEP</w:t>
            </w:r>
          </w:p>
        </w:tc>
        <w:tc>
          <w:tcPr>
            <w:tcW w:w="0" w:type="auto"/>
            <w:hideMark/>
          </w:tcPr>
          <w:p w14:paraId="312A7216"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Program Ujedinjenih nacija za životnu sredinu</w:t>
            </w:r>
          </w:p>
        </w:tc>
      </w:tr>
      <w:tr w:rsidR="0094151F" w:rsidRPr="001C58C6" w14:paraId="58D487BC" w14:textId="77777777" w:rsidTr="0094151F">
        <w:tc>
          <w:tcPr>
            <w:tcW w:w="0" w:type="auto"/>
            <w:hideMark/>
          </w:tcPr>
          <w:p w14:paraId="4FDE1FE7"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Vlada CG</w:t>
            </w:r>
          </w:p>
        </w:tc>
        <w:tc>
          <w:tcPr>
            <w:tcW w:w="0" w:type="auto"/>
            <w:hideMark/>
          </w:tcPr>
          <w:p w14:paraId="177AB092"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Vlada Crne Gore</w:t>
            </w:r>
          </w:p>
        </w:tc>
      </w:tr>
      <w:tr w:rsidR="0094151F" w:rsidRPr="001C58C6" w14:paraId="10786AE7" w14:textId="77777777" w:rsidTr="0094151F">
        <w:tc>
          <w:tcPr>
            <w:tcW w:w="0" w:type="auto"/>
            <w:hideMark/>
          </w:tcPr>
          <w:p w14:paraId="6C682810"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WHO</w:t>
            </w:r>
          </w:p>
        </w:tc>
        <w:tc>
          <w:tcPr>
            <w:tcW w:w="0" w:type="auto"/>
            <w:hideMark/>
          </w:tcPr>
          <w:p w14:paraId="72D5D5CF"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Svjetska zdravstvena organizacija</w:t>
            </w:r>
          </w:p>
        </w:tc>
      </w:tr>
      <w:tr w:rsidR="0094151F" w:rsidRPr="001C58C6" w14:paraId="2795E9D2" w14:textId="77777777" w:rsidTr="0094151F">
        <w:tc>
          <w:tcPr>
            <w:tcW w:w="0" w:type="auto"/>
            <w:hideMark/>
          </w:tcPr>
          <w:p w14:paraId="76A9C767"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ZCG</w:t>
            </w:r>
          </w:p>
        </w:tc>
        <w:tc>
          <w:tcPr>
            <w:tcW w:w="0" w:type="auto"/>
            <w:hideMark/>
          </w:tcPr>
          <w:p w14:paraId="6A53B00E"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Zajednica opština Crne Gore</w:t>
            </w:r>
          </w:p>
        </w:tc>
      </w:tr>
      <w:tr w:rsidR="0094151F" w:rsidRPr="001C58C6" w14:paraId="0A27A4E3" w14:textId="77777777" w:rsidTr="0094151F">
        <w:tc>
          <w:tcPr>
            <w:tcW w:w="0" w:type="auto"/>
            <w:hideMark/>
          </w:tcPr>
          <w:p w14:paraId="3D37E3DF" w14:textId="77777777" w:rsidR="0094151F" w:rsidRPr="001C58C6" w:rsidRDefault="0094151F" w:rsidP="0094151F">
            <w:pPr>
              <w:jc w:val="left"/>
              <w:rPr>
                <w:rFonts w:ascii="Calibri" w:hAnsi="Calibri" w:cs="Calibri"/>
                <w:b/>
                <w:color w:val="000000" w:themeColor="text1"/>
                <w:lang w:val="en-GB"/>
              </w:rPr>
            </w:pPr>
            <w:r w:rsidRPr="001C58C6">
              <w:rPr>
                <w:rFonts w:ascii="Calibri" w:hAnsi="Calibri" w:cs="Calibri"/>
                <w:b/>
                <w:color w:val="000000" w:themeColor="text1"/>
                <w:lang w:val="en-GB"/>
              </w:rPr>
              <w:t>ZHMS</w:t>
            </w:r>
          </w:p>
        </w:tc>
        <w:tc>
          <w:tcPr>
            <w:tcW w:w="0" w:type="auto"/>
            <w:hideMark/>
          </w:tcPr>
          <w:p w14:paraId="242DBFE6" w14:textId="77777777" w:rsidR="0094151F" w:rsidRPr="001C58C6" w:rsidRDefault="0094151F" w:rsidP="0094151F">
            <w:pPr>
              <w:jc w:val="left"/>
              <w:rPr>
                <w:rFonts w:ascii="Calibri" w:hAnsi="Calibri" w:cs="Calibri"/>
                <w:color w:val="000000" w:themeColor="text1"/>
                <w:lang w:val="en-GB"/>
              </w:rPr>
            </w:pPr>
            <w:r w:rsidRPr="001C58C6">
              <w:rPr>
                <w:rFonts w:ascii="Calibri" w:hAnsi="Calibri" w:cs="Calibri"/>
                <w:color w:val="000000" w:themeColor="text1"/>
                <w:lang w:val="en-GB"/>
              </w:rPr>
              <w:t>Zavod za hidrometeorologiju i seizmologiju Crne Gore</w:t>
            </w:r>
          </w:p>
        </w:tc>
      </w:tr>
    </w:tbl>
    <w:p w14:paraId="2DED5323" w14:textId="77777777" w:rsidR="0094151F" w:rsidRPr="001C58C6" w:rsidRDefault="0094151F">
      <w:pPr>
        <w:jc w:val="left"/>
        <w:rPr>
          <w:rFonts w:ascii="Calibri" w:hAnsi="Calibri" w:cs="Calibri"/>
          <w:b/>
          <w:color w:val="000000" w:themeColor="text1"/>
          <w:lang w:val="en-GB"/>
        </w:rPr>
      </w:pPr>
    </w:p>
    <w:p w14:paraId="049B21D0" w14:textId="77777777" w:rsidR="0094151F" w:rsidRPr="001C58C6" w:rsidRDefault="0094151F">
      <w:pPr>
        <w:jc w:val="left"/>
        <w:rPr>
          <w:rFonts w:ascii="Calibri" w:hAnsi="Calibri" w:cs="Calibri"/>
          <w:b/>
          <w:color w:val="000000" w:themeColor="text1"/>
        </w:rPr>
      </w:pPr>
    </w:p>
    <w:p w14:paraId="4E6CCF99" w14:textId="77777777" w:rsidR="0094151F" w:rsidRPr="001C58C6" w:rsidRDefault="0094151F">
      <w:pPr>
        <w:jc w:val="left"/>
        <w:rPr>
          <w:rFonts w:ascii="Calibri" w:hAnsi="Calibri" w:cs="Calibri"/>
          <w:b/>
          <w:color w:val="000000" w:themeColor="text1"/>
        </w:rPr>
      </w:pPr>
    </w:p>
    <w:p w14:paraId="3F6512C6" w14:textId="77777777" w:rsidR="0094151F" w:rsidRPr="001C58C6" w:rsidRDefault="0094151F">
      <w:pPr>
        <w:jc w:val="left"/>
        <w:rPr>
          <w:rFonts w:ascii="Calibri" w:hAnsi="Calibri" w:cs="Calibri"/>
          <w:b/>
          <w:color w:val="000000" w:themeColor="text1"/>
        </w:rPr>
      </w:pPr>
    </w:p>
    <w:p w14:paraId="238E08E1" w14:textId="77777777" w:rsidR="0094151F" w:rsidRPr="001C58C6" w:rsidRDefault="0094151F">
      <w:pPr>
        <w:jc w:val="left"/>
        <w:rPr>
          <w:rFonts w:ascii="Calibri" w:hAnsi="Calibri" w:cs="Calibri"/>
          <w:b/>
          <w:color w:val="000000" w:themeColor="text1"/>
        </w:rPr>
      </w:pPr>
    </w:p>
    <w:p w14:paraId="1AF75624" w14:textId="77777777" w:rsidR="0094151F" w:rsidRPr="001C58C6" w:rsidRDefault="0094151F">
      <w:pPr>
        <w:jc w:val="left"/>
        <w:rPr>
          <w:rFonts w:ascii="Calibri" w:hAnsi="Calibri" w:cs="Calibri"/>
          <w:b/>
          <w:color w:val="000000" w:themeColor="text1"/>
        </w:rPr>
      </w:pPr>
    </w:p>
    <w:p w14:paraId="1DB0519C" w14:textId="77777777" w:rsidR="0094151F" w:rsidRPr="001C58C6" w:rsidRDefault="0094151F">
      <w:pPr>
        <w:jc w:val="left"/>
        <w:rPr>
          <w:rFonts w:ascii="Calibri" w:hAnsi="Calibri" w:cs="Calibri"/>
          <w:b/>
          <w:color w:val="000000" w:themeColor="text1"/>
        </w:rPr>
      </w:pPr>
    </w:p>
    <w:p w14:paraId="10379FCC" w14:textId="77777777" w:rsidR="0094151F" w:rsidRPr="001C58C6" w:rsidRDefault="0094151F">
      <w:pPr>
        <w:jc w:val="left"/>
        <w:rPr>
          <w:rFonts w:ascii="Calibri" w:hAnsi="Calibri" w:cs="Calibri"/>
          <w:b/>
          <w:color w:val="000000" w:themeColor="text1"/>
        </w:rPr>
      </w:pPr>
    </w:p>
    <w:p w14:paraId="40FA0B95" w14:textId="77777777" w:rsidR="0094151F" w:rsidRPr="001C58C6" w:rsidRDefault="0094151F">
      <w:pPr>
        <w:jc w:val="left"/>
        <w:rPr>
          <w:rFonts w:ascii="Calibri" w:hAnsi="Calibri" w:cs="Calibri"/>
          <w:b/>
          <w:color w:val="000000" w:themeColor="text1"/>
        </w:rPr>
      </w:pPr>
    </w:p>
    <w:p w14:paraId="539B2EFD" w14:textId="77777777" w:rsidR="0094151F" w:rsidRPr="001C58C6" w:rsidRDefault="0094151F">
      <w:pPr>
        <w:jc w:val="left"/>
        <w:rPr>
          <w:rFonts w:ascii="Calibri" w:hAnsi="Calibri" w:cs="Calibri"/>
          <w:b/>
          <w:color w:val="000000" w:themeColor="text1"/>
        </w:rPr>
      </w:pPr>
    </w:p>
    <w:p w14:paraId="03669447" w14:textId="77777777" w:rsidR="0094151F" w:rsidRPr="001C58C6" w:rsidRDefault="0094151F">
      <w:pPr>
        <w:jc w:val="left"/>
        <w:rPr>
          <w:rFonts w:ascii="Calibri" w:hAnsi="Calibri" w:cs="Calibri"/>
          <w:b/>
          <w:color w:val="000000" w:themeColor="text1"/>
        </w:rPr>
      </w:pPr>
    </w:p>
    <w:p w14:paraId="11531EA5" w14:textId="77777777" w:rsidR="0094151F" w:rsidRPr="001C58C6" w:rsidRDefault="0094151F">
      <w:pPr>
        <w:jc w:val="left"/>
        <w:rPr>
          <w:rFonts w:ascii="Calibri" w:hAnsi="Calibri" w:cs="Calibri"/>
          <w:b/>
          <w:color w:val="000000" w:themeColor="text1"/>
        </w:rPr>
      </w:pPr>
    </w:p>
    <w:p w14:paraId="3CCB51EB" w14:textId="77777777" w:rsidR="0094151F" w:rsidRPr="001C58C6" w:rsidRDefault="0094151F">
      <w:pPr>
        <w:jc w:val="left"/>
        <w:rPr>
          <w:rFonts w:ascii="Calibri" w:hAnsi="Calibri" w:cs="Calibri"/>
          <w:b/>
          <w:color w:val="000000" w:themeColor="text1"/>
        </w:rPr>
      </w:pPr>
    </w:p>
    <w:p w14:paraId="5F128421" w14:textId="77777777" w:rsidR="0094151F" w:rsidRPr="001C58C6" w:rsidRDefault="0094151F">
      <w:pPr>
        <w:jc w:val="left"/>
        <w:rPr>
          <w:rFonts w:ascii="Calibri" w:hAnsi="Calibri" w:cs="Calibri"/>
          <w:b/>
          <w:color w:val="000000" w:themeColor="text1"/>
        </w:rPr>
      </w:pPr>
    </w:p>
    <w:p w14:paraId="6463C512" w14:textId="77777777" w:rsidR="0094151F" w:rsidRPr="001C58C6" w:rsidRDefault="0094151F">
      <w:pPr>
        <w:jc w:val="left"/>
        <w:rPr>
          <w:rFonts w:ascii="Calibri" w:hAnsi="Calibri" w:cs="Calibri"/>
          <w:b/>
          <w:color w:val="000000" w:themeColor="text1"/>
        </w:rPr>
      </w:pPr>
    </w:p>
    <w:p w14:paraId="628C30A2" w14:textId="77777777" w:rsidR="0094151F" w:rsidRPr="001C58C6" w:rsidRDefault="0094151F">
      <w:pPr>
        <w:jc w:val="left"/>
        <w:rPr>
          <w:rFonts w:ascii="Calibri" w:hAnsi="Calibri" w:cs="Calibri"/>
          <w:b/>
          <w:color w:val="000000" w:themeColor="text1"/>
        </w:rPr>
      </w:pPr>
    </w:p>
    <w:p w14:paraId="3732A2AD" w14:textId="77777777" w:rsidR="0094151F" w:rsidRPr="001C58C6" w:rsidRDefault="0094151F">
      <w:pPr>
        <w:jc w:val="left"/>
        <w:rPr>
          <w:rFonts w:ascii="Calibri" w:hAnsi="Calibri" w:cs="Calibri"/>
          <w:b/>
          <w:color w:val="000000" w:themeColor="text1"/>
        </w:rPr>
      </w:pPr>
    </w:p>
    <w:p w14:paraId="2C9788F0" w14:textId="77777777" w:rsidR="00E6082F" w:rsidRPr="001C58C6" w:rsidRDefault="00E6082F">
      <w:pPr>
        <w:jc w:val="left"/>
        <w:rPr>
          <w:rFonts w:ascii="Calibri" w:hAnsi="Calibri" w:cs="Calibri"/>
          <w:b/>
          <w:color w:val="000000" w:themeColor="text1"/>
        </w:rPr>
      </w:pPr>
    </w:p>
    <w:p w14:paraId="4C6D1A9B" w14:textId="77777777" w:rsidR="00E6082F" w:rsidRPr="001C58C6" w:rsidRDefault="00E6082F">
      <w:pPr>
        <w:jc w:val="left"/>
        <w:rPr>
          <w:rFonts w:ascii="Calibri" w:hAnsi="Calibri" w:cs="Calibri"/>
          <w:b/>
          <w:color w:val="000000" w:themeColor="text1"/>
        </w:rPr>
      </w:pPr>
    </w:p>
    <w:p w14:paraId="10A287B9" w14:textId="77777777" w:rsidR="00A0374C" w:rsidRPr="001C58C6" w:rsidRDefault="00A0374C">
      <w:pPr>
        <w:jc w:val="left"/>
        <w:rPr>
          <w:rFonts w:ascii="Calibri" w:hAnsi="Calibri" w:cs="Calibri"/>
          <w:b/>
          <w:color w:val="000000" w:themeColor="text1"/>
        </w:rPr>
      </w:pPr>
    </w:p>
    <w:p w14:paraId="463D8EC3" w14:textId="77777777" w:rsidR="00A0374C" w:rsidRPr="001C58C6" w:rsidRDefault="00A0374C">
      <w:pPr>
        <w:jc w:val="left"/>
        <w:rPr>
          <w:rFonts w:ascii="Calibri" w:hAnsi="Calibri" w:cs="Calibri"/>
          <w:b/>
          <w:color w:val="000000" w:themeColor="text1"/>
        </w:rPr>
      </w:pPr>
    </w:p>
    <w:p w14:paraId="429A9E6A" w14:textId="77777777" w:rsidR="00A0374C" w:rsidRPr="001C58C6" w:rsidRDefault="00A0374C">
      <w:pPr>
        <w:jc w:val="left"/>
        <w:rPr>
          <w:rFonts w:ascii="Calibri" w:hAnsi="Calibri" w:cs="Calibri"/>
          <w:b/>
          <w:color w:val="000000" w:themeColor="text1"/>
        </w:rPr>
      </w:pPr>
    </w:p>
    <w:p w14:paraId="42460C27" w14:textId="77777777" w:rsidR="0094151F" w:rsidRPr="001C58C6" w:rsidRDefault="0094151F">
      <w:pPr>
        <w:jc w:val="left"/>
        <w:rPr>
          <w:rFonts w:ascii="Calibri" w:hAnsi="Calibri" w:cs="Calibri"/>
          <w:b/>
          <w:color w:val="000000" w:themeColor="text1"/>
        </w:rPr>
      </w:pPr>
    </w:p>
    <w:p w14:paraId="6AAF1971" w14:textId="77777777" w:rsidR="000039EA" w:rsidRPr="001C58C6" w:rsidRDefault="000039EA" w:rsidP="000039EA">
      <w:pPr>
        <w:pStyle w:val="Heading1"/>
        <w:rPr>
          <w:rFonts w:ascii="Calibri" w:hAnsi="Calibri" w:cs="Calibri"/>
          <w:color w:val="000000" w:themeColor="text1"/>
        </w:rPr>
      </w:pPr>
      <w:bookmarkStart w:id="0" w:name="_Toc220070408"/>
      <w:bookmarkStart w:id="1" w:name="_Toc233711722"/>
      <w:r w:rsidRPr="001C58C6">
        <w:rPr>
          <w:rFonts w:ascii="Calibri" w:hAnsi="Calibri" w:cs="Calibri"/>
          <w:color w:val="000000" w:themeColor="text1"/>
        </w:rPr>
        <w:lastRenderedPageBreak/>
        <w:t>UVOD</w:t>
      </w:r>
      <w:bookmarkEnd w:id="0"/>
      <w:bookmarkEnd w:id="1"/>
    </w:p>
    <w:p w14:paraId="5A6FE4B5" w14:textId="77777777" w:rsidR="00FC5DCE" w:rsidRPr="001C58C6" w:rsidRDefault="00FC5DCE" w:rsidP="00FC5DCE">
      <w:pPr>
        <w:rPr>
          <w:rFonts w:ascii="Calibri" w:hAnsi="Calibri" w:cs="Calibri"/>
          <w:color w:val="000000" w:themeColor="text1"/>
        </w:rPr>
      </w:pPr>
    </w:p>
    <w:p w14:paraId="11A5D9BC" w14:textId="77777777" w:rsidR="00FC5DCE" w:rsidRPr="001C58C6" w:rsidRDefault="00FC5DCE" w:rsidP="00FC5DCE">
      <w:pPr>
        <w:rPr>
          <w:rFonts w:ascii="Calibri" w:hAnsi="Calibri" w:cs="Calibri"/>
          <w:color w:val="000000" w:themeColor="text1"/>
        </w:rPr>
      </w:pPr>
      <w:r w:rsidRPr="001C58C6">
        <w:rPr>
          <w:rFonts w:ascii="Calibri" w:hAnsi="Calibri" w:cs="Calibri"/>
          <w:color w:val="000000" w:themeColor="text1"/>
        </w:rPr>
        <w:t>Strategija upravljanja kvalitetom vazduha s Akcionim planom za period 2026-2029. godina (u daljem tekstu: Strategija 2026-2029) predstavlja nastavak strateškog planiranja u oblasti kvaliteta vazduha u odnosu na Nacionalnu strategiju upravljanja kvalitetom vazduha iz 2013. godine, koja se do sada sprovodila u skladu sa dva akciona plana - Akcionim planom za period 2013-2016. godina i Akcionim planom za period 2017-2020. godina. Pored kontinuiteta u strateškom planiranju, novi strateški okvir predstavlja odraz sveobuhvatnog pristupa u planiranju politika u ovoj oblasti i u skladu s principom racionalnog planiranja obuhvata sve do sada izrađene planove i programe koji u velikoj mjeri proističu iz procesa usklađivanja sa evropskim zakonodavstvom u ovoj oblasti. Naime, nova Strategija 2026-2029 treba da objedini planove kvaliteta vazduha za tri utvrđene zone kvaliteta vazduha (Sjevernu, Centralnu i Južnu) čime se zamjenjuju planovi koji su bili izrađeni za Opštinu Pljevlja (2013) Opštinu Nikšić (2014) i Glavni grad Podgoricu (2015). Takođe, nova Strategija 2026-2029 treba da obuhvati Plan mjera za kontrolu zagađivanja koji je izrađen u skladu sa zahtjevima relevantnih propisa EU i završnog mjerila za pregovaračko poglavlje 27, imajući u vidu njihovu zajedničku svrhu i ciljeve koji se odnose na poboljšanje kvaliteta vazduha, zaštitu životne sredine i zdravlja ljudi. Nova Strategija 2026-2029 donosi se na period od četiri (4) godine, što je uslovljeno evropskim okvirom Planova za kontrolu zagađivanja vazduha gdje se ciljevi smanjenja emisija zagađujućih materija u vazduh postavljaju do 20</w:t>
      </w:r>
      <w:r w:rsidR="00CD2D16" w:rsidRPr="001C58C6">
        <w:rPr>
          <w:rFonts w:ascii="Calibri" w:hAnsi="Calibri" w:cs="Calibri"/>
          <w:color w:val="000000" w:themeColor="text1"/>
        </w:rPr>
        <w:t>29</w:t>
      </w:r>
      <w:r w:rsidRPr="001C58C6">
        <w:rPr>
          <w:rFonts w:ascii="Calibri" w:hAnsi="Calibri" w:cs="Calibri"/>
          <w:color w:val="000000" w:themeColor="text1"/>
        </w:rPr>
        <w:t>. godine.</w:t>
      </w:r>
    </w:p>
    <w:p w14:paraId="229EBCF1" w14:textId="77777777" w:rsidR="00743A33" w:rsidRPr="001C58C6" w:rsidRDefault="00743A33" w:rsidP="00FC5DCE">
      <w:pPr>
        <w:rPr>
          <w:rFonts w:ascii="Calibri" w:hAnsi="Calibri" w:cs="Calibri"/>
          <w:color w:val="000000" w:themeColor="text1"/>
        </w:rPr>
      </w:pPr>
    </w:p>
    <w:p w14:paraId="3EC33381" w14:textId="77777777" w:rsidR="00FC5DCE" w:rsidRPr="001C58C6" w:rsidRDefault="00FC5DCE" w:rsidP="00FC5DCE">
      <w:pPr>
        <w:rPr>
          <w:rFonts w:ascii="Calibri" w:hAnsi="Calibri" w:cs="Calibri"/>
          <w:color w:val="000000" w:themeColor="text1"/>
        </w:rPr>
      </w:pPr>
      <w:r w:rsidRPr="001C58C6">
        <w:rPr>
          <w:rFonts w:ascii="Calibri" w:hAnsi="Calibri" w:cs="Calibri"/>
          <w:color w:val="000000" w:themeColor="text1"/>
        </w:rPr>
        <w:t>Izrada Strategije 2026-2029, ima za cilj smanjenje emisija gasova sa efektom staklene bašte, kao i obaveze smanjenja emisija zagađujućih materija u vazduh (sumpor-dioksid (SO2), oksidi azota (NOx), amonijak (NH3), suspendovane čestice (PM) i lako isparljiva organska jedinjenja (VOC)), smanjenje emisija iz ključnih izvora na nacionalnom nivou među kojima su sagorijevanje čvrstih goriva u domaćinstvima, saobraćaj i proizvodnja energije, naročito se oslanjajući na tzv. dimenziju dekarbonizacije Nacionalnog energetskog i klimatskog plana. Pored toga, Strategijom 2026-2029 je neophodno precizno utvrditi i obavezna smanjenja polutanata, čiji ključni izvori nijesu u sektoru energetike (npr. emisije amonijaka, emisije isparljivih organskih jedinjenja)</w:t>
      </w:r>
    </w:p>
    <w:p w14:paraId="619BC06A" w14:textId="77777777" w:rsidR="000039EA" w:rsidRPr="001C58C6" w:rsidRDefault="000039EA" w:rsidP="000039EA">
      <w:pPr>
        <w:rPr>
          <w:rFonts w:ascii="Calibri" w:hAnsi="Calibri" w:cs="Calibri"/>
          <w:b/>
          <w:bCs/>
          <w:color w:val="000000" w:themeColor="text1"/>
        </w:rPr>
      </w:pPr>
    </w:p>
    <w:p w14:paraId="2F319992" w14:textId="77777777" w:rsidR="000039EA" w:rsidRPr="001C58C6" w:rsidRDefault="000039EA" w:rsidP="000039EA">
      <w:pPr>
        <w:rPr>
          <w:rFonts w:ascii="Calibri" w:hAnsi="Calibri" w:cs="Calibri"/>
          <w:b/>
          <w:bCs/>
          <w:color w:val="000000" w:themeColor="text1"/>
        </w:rPr>
      </w:pPr>
      <w:r w:rsidRPr="001C58C6">
        <w:rPr>
          <w:rFonts w:ascii="Calibri" w:hAnsi="Calibri" w:cs="Calibri"/>
          <w:b/>
          <w:bCs/>
          <w:color w:val="000000" w:themeColor="text1"/>
        </w:rPr>
        <w:t>Struktura dokumenta</w:t>
      </w:r>
    </w:p>
    <w:p w14:paraId="1CDD4192" w14:textId="77777777" w:rsidR="0094151F" w:rsidRPr="001C58C6" w:rsidRDefault="0094151F" w:rsidP="000039EA">
      <w:pPr>
        <w:rPr>
          <w:rFonts w:ascii="Calibri" w:hAnsi="Calibri" w:cs="Calibri"/>
          <w:b/>
          <w:bCs/>
          <w:color w:val="000000" w:themeColor="text1"/>
        </w:rPr>
      </w:pPr>
    </w:p>
    <w:p w14:paraId="6F29351C" w14:textId="77777777" w:rsidR="000039EA" w:rsidRPr="001C58C6" w:rsidRDefault="000039EA" w:rsidP="000039EA">
      <w:pPr>
        <w:rPr>
          <w:rFonts w:ascii="Calibri" w:hAnsi="Calibri" w:cs="Calibri"/>
          <w:color w:val="000000" w:themeColor="text1"/>
        </w:rPr>
      </w:pPr>
      <w:r w:rsidRPr="001C58C6">
        <w:rPr>
          <w:rFonts w:ascii="Calibri" w:hAnsi="Calibri" w:cs="Calibri"/>
          <w:color w:val="000000" w:themeColor="text1"/>
        </w:rPr>
        <w:t>Ovaj dokument, u skladu s Metodologijom razvijanja politika, izrade i praćenja sprovođenja strateških dokumenata sadrži detaljnu analizu stanja u oblasti zaštite vazduha, strateške i operativne ciljeve sa utvrđenim indikatorima uspjeha, opis ključnih aktivnosti uključujući i aktivnosti organa nadležnih za praćenje sprovođenja strategije, način izvještavanja i evaluacije, kao i Akcioni plan za period 2026-2029. godina.</w:t>
      </w:r>
    </w:p>
    <w:p w14:paraId="1AE7606C" w14:textId="77777777" w:rsidR="00743A33" w:rsidRPr="001C58C6" w:rsidRDefault="00743A33" w:rsidP="000039EA">
      <w:pPr>
        <w:rPr>
          <w:rFonts w:ascii="Calibri" w:hAnsi="Calibri" w:cs="Calibri"/>
          <w:color w:val="000000" w:themeColor="text1"/>
        </w:rPr>
      </w:pPr>
    </w:p>
    <w:p w14:paraId="396ABC6B" w14:textId="77777777" w:rsidR="000039EA" w:rsidRPr="001C58C6" w:rsidRDefault="000039EA" w:rsidP="000039EA">
      <w:pPr>
        <w:rPr>
          <w:rFonts w:ascii="Calibri" w:hAnsi="Calibri" w:cs="Calibri"/>
          <w:color w:val="000000" w:themeColor="text1"/>
        </w:rPr>
      </w:pPr>
      <w:r w:rsidRPr="001C58C6">
        <w:rPr>
          <w:rFonts w:ascii="Calibri" w:hAnsi="Calibri" w:cs="Calibri"/>
          <w:color w:val="000000" w:themeColor="text1"/>
        </w:rPr>
        <w:t xml:space="preserve">Jedno od završnih mjerila za pregovaračko poglavlje 27 – životna sredina i klimatske promjene takođe diktira sadržaj ovog dokumenta. U oblasti kvaliteta vazduha od Crne Gore se traži da se u potpunosti uskladi sa revidiranom Direktivom o smanjenju nacionalnih emisija određenih zagađujućih materija (NEC Direktiva 2016/2284/EU), predstavi analizu ekonomski isplativih strategija kontrole emisija do 2029. i nakon 2030. godine, utvrdi obavezna smanjenja emisija, kao i da redovno godišnje izvještava o svojim emisijama, u skladu sa Direktivom i Konvencijom o prekograničnom zagađenju vazduha na velikim udaljenostima i izradi Nacionalni program kontrole zagađenja vazduha. Dalje, od Crne Gore se očekuje poboljšanje implementacije </w:t>
      </w:r>
      <w:r w:rsidRPr="001C58C6">
        <w:rPr>
          <w:rFonts w:ascii="Calibri" w:hAnsi="Calibri" w:cs="Calibri"/>
          <w:color w:val="000000" w:themeColor="text1"/>
        </w:rPr>
        <w:lastRenderedPageBreak/>
        <w:t xml:space="preserve">pravne tekovine EU u ovoj oblasti, kroz redovno preduzimanje mjera za smanjenje zagađenja vazduha na nacionalnom nivou, a posebno u zonama gdje su prekoračene granične vrijednosti EU za kvalitet vazduha, kao i kroz izradu ili ažuriranje planova kvaliteta vazduha, u skladu s Direktivom o kvalitetu ambijentalnog vazduha i čistijem vazduhu za Evropu, koja je izmjenjena u oktobru 2024. godine. </w:t>
      </w:r>
    </w:p>
    <w:p w14:paraId="4ECB1CA7" w14:textId="77777777" w:rsidR="00743A33" w:rsidRPr="001C58C6" w:rsidRDefault="00743A33" w:rsidP="000039EA">
      <w:pPr>
        <w:rPr>
          <w:rFonts w:ascii="Calibri" w:hAnsi="Calibri" w:cs="Calibri"/>
          <w:color w:val="000000" w:themeColor="text1"/>
        </w:rPr>
      </w:pPr>
    </w:p>
    <w:p w14:paraId="61170CF4" w14:textId="0770F812" w:rsidR="000039EA" w:rsidRPr="001C58C6" w:rsidRDefault="000039EA" w:rsidP="000039EA">
      <w:pPr>
        <w:rPr>
          <w:rFonts w:ascii="Calibri" w:hAnsi="Calibri" w:cs="Calibri"/>
          <w:color w:val="000000" w:themeColor="text1"/>
        </w:rPr>
      </w:pPr>
      <w:r w:rsidRPr="001C58C6">
        <w:rPr>
          <w:rFonts w:ascii="Calibri" w:hAnsi="Calibri" w:cs="Calibri"/>
          <w:color w:val="000000" w:themeColor="text1"/>
        </w:rPr>
        <w:t xml:space="preserve">U skladu sa navedenim, </w:t>
      </w:r>
      <w:r w:rsidR="00FC5DCE" w:rsidRPr="001C58C6">
        <w:rPr>
          <w:rFonts w:ascii="Calibri" w:hAnsi="Calibri" w:cs="Calibri"/>
          <w:color w:val="000000" w:themeColor="text1"/>
        </w:rPr>
        <w:t>S</w:t>
      </w:r>
      <w:r w:rsidRPr="001C58C6">
        <w:rPr>
          <w:rFonts w:ascii="Calibri" w:hAnsi="Calibri" w:cs="Calibri"/>
          <w:color w:val="000000" w:themeColor="text1"/>
        </w:rPr>
        <w:t xml:space="preserve">trategija upravljanja kvalitetom vazduha sadrži planove kvaliteta vazduha za tri utvrđene zone kvaliteta vazduha (Sjevernu, Centralnu i Južnu) izrađene u skladu sa novom direktivom o kvalitetu vazduha (EU 2024/2881) u mjeri u kojoj je to bilo moguće zbog dostupnosti podataka, kao i Plan mjera za kontrolu zagađivanja koji je izrađen u skladu sa zahtjevima Direktive 2016/2284/EU i prateće implementacione odluke (EU) 2018/1522. </w:t>
      </w:r>
    </w:p>
    <w:p w14:paraId="4C58E81F" w14:textId="77777777" w:rsidR="00743A33" w:rsidRPr="001C58C6" w:rsidRDefault="00743A33" w:rsidP="000039EA">
      <w:pPr>
        <w:rPr>
          <w:rFonts w:ascii="Calibri" w:hAnsi="Calibri" w:cs="Calibri"/>
          <w:color w:val="000000" w:themeColor="text1"/>
        </w:rPr>
      </w:pPr>
    </w:p>
    <w:p w14:paraId="09CDD44B" w14:textId="77777777" w:rsidR="000039EA" w:rsidRPr="001C58C6" w:rsidRDefault="000039EA" w:rsidP="000039EA">
      <w:pPr>
        <w:rPr>
          <w:rFonts w:ascii="Calibri" w:hAnsi="Calibri" w:cs="Calibri"/>
          <w:color w:val="000000" w:themeColor="text1"/>
        </w:rPr>
      </w:pPr>
      <w:r w:rsidRPr="001C58C6">
        <w:rPr>
          <w:rFonts w:ascii="Calibri" w:hAnsi="Calibri" w:cs="Calibri"/>
          <w:color w:val="000000" w:themeColor="text1"/>
        </w:rPr>
        <w:t xml:space="preserve">Imajući u vidu potrebu optimizacije broja strateških dokumenata, kao i zajedničke ciljeve navedenih planova i programa, ovaj strateški dokument objedinjava različite obaveze koje proističu iz evropskog zakonodavstva sa namjerom da se postojeći kapaciteti kao i postojeće politike i mjere definisane u relevantnim sektorima, prevashodno kroz Nacionalni klimatski i energetski plan stave u funkciju smanjenja zagađenja vazduha kroz strateški strukturiran pristup. </w:t>
      </w:r>
    </w:p>
    <w:p w14:paraId="3855EB5B" w14:textId="77777777" w:rsidR="00B07044" w:rsidRPr="001C58C6" w:rsidRDefault="00B07044" w:rsidP="00B07044">
      <w:pPr>
        <w:rPr>
          <w:rFonts w:ascii="Calibri" w:hAnsi="Calibri" w:cs="Calibri"/>
          <w:color w:val="000000" w:themeColor="text1"/>
        </w:rPr>
      </w:pPr>
      <w:r w:rsidRPr="001C58C6">
        <w:rPr>
          <w:rFonts w:ascii="Calibri" w:hAnsi="Calibri" w:cs="Calibri"/>
          <w:color w:val="000000" w:themeColor="text1"/>
        </w:rPr>
        <w:t>Dugoročno opredjeljenje Strategije jeste uspostavljanje puta ka nultom zagađenju i životnoj sredini bez toksičnih materija do 2050. godine, uz usklađivanje srednjoročnih ciljeva za period 2026-2029. sa ciljevima EU za 2030. godinu. Na taj način četvorogodišnji period sprovođenja Strategije predstavlja prvu fazu prelaska ka strožim standardima kvaliteta vazduha i obavezama koje će se primjenjivati od 2030. godine.</w:t>
      </w:r>
    </w:p>
    <w:p w14:paraId="5332DF0B" w14:textId="77777777" w:rsidR="00B07044" w:rsidRPr="001C58C6" w:rsidRDefault="00B07044" w:rsidP="00B07044">
      <w:pPr>
        <w:rPr>
          <w:rFonts w:ascii="Calibri" w:hAnsi="Calibri" w:cs="Calibri"/>
          <w:color w:val="000000" w:themeColor="text1"/>
        </w:rPr>
      </w:pPr>
    </w:p>
    <w:p w14:paraId="61A392CB" w14:textId="77777777" w:rsidR="00B07044" w:rsidRPr="001C58C6" w:rsidRDefault="00B07044" w:rsidP="00B07044">
      <w:pPr>
        <w:rPr>
          <w:rFonts w:ascii="Calibri" w:hAnsi="Calibri" w:cs="Calibri"/>
          <w:color w:val="000000" w:themeColor="text1"/>
        </w:rPr>
      </w:pPr>
      <w:r w:rsidRPr="001C58C6">
        <w:rPr>
          <w:rFonts w:ascii="Calibri" w:hAnsi="Calibri" w:cs="Calibri"/>
          <w:color w:val="000000" w:themeColor="text1"/>
        </w:rPr>
        <w:t>U pripremi Strategije uzet je u obzir princip orodnjenosti. S obzirom na to da u Crnoj Gori ne postoje sistematski podaci koji povezuju pol, rod, teritoriju, socio-ekonomski status i izloženost zagađenju vazduha, Strategija prepoznaje obavezu da se tokom sprovođenja prikupljaju i analiziraju podaci razvrstani po polu, starosti, teritoriji, urbano/ruralnom tipu naselja i, gdje je moguće, po statusu energetske ugroženosti. Posebno se uzimaju u obzir žene u energetski siromašnim domaćinstvima, djeca, starije osobe, trudnice, osobe sa invaliditetom, osobe sa hroničnim oboljenjima, Romi/kinje i Egipćani/ke, kao i radnici/e u sektorima sa većom izloženošću zagađenju.</w:t>
      </w:r>
    </w:p>
    <w:p w14:paraId="5B4361DE" w14:textId="77777777" w:rsidR="00B07044" w:rsidRPr="001C58C6" w:rsidRDefault="00B07044" w:rsidP="00B07044">
      <w:pPr>
        <w:rPr>
          <w:rFonts w:ascii="Calibri" w:hAnsi="Calibri" w:cs="Calibri"/>
          <w:color w:val="000000" w:themeColor="text1"/>
        </w:rPr>
      </w:pPr>
    </w:p>
    <w:p w14:paraId="430E5F9C" w14:textId="77777777" w:rsidR="00B07044" w:rsidRPr="001C58C6" w:rsidRDefault="00B07044" w:rsidP="00B07044">
      <w:pPr>
        <w:rPr>
          <w:rFonts w:ascii="Calibri" w:hAnsi="Calibri" w:cs="Calibri"/>
          <w:color w:val="000000" w:themeColor="text1"/>
        </w:rPr>
      </w:pPr>
      <w:r w:rsidRPr="001C58C6">
        <w:rPr>
          <w:rFonts w:ascii="Calibri" w:hAnsi="Calibri" w:cs="Calibri"/>
          <w:color w:val="000000" w:themeColor="text1"/>
        </w:rPr>
        <w:t>Dodatno, Strategija se oslanja na nalaze dokumenta "Rodno osviještene javne politike / Strategija upravljanja kvalitetom vazduha", koji ukazuje da u Crnoj Gori nedostaju sistematska istraživanja o uticaju zagađenja životne sredine i klimatskih promjena na zdravlje žena, osjetljivih i višestruko diskriminisanih grupa. Zbog toga se u praćenju sprovođenja Strategije uvodi obaveza da se, gdje god je metodološki moguće, podaci prikupljaju i analiziraju prema polu, starosti, teritoriji, urbano/ruralnom tipu naselja, socio-ekonomskom statusu i statusu energetske ugroženosti. Posebna pažnja posvećuje se ženama u domaćinstvima koja koriste čvrsta goriva za grijanje i kuvanje, ženama u ruralnim područjima, Romkinjama i Egipćankama, osobama sa invaliditetom, djeci, trudnicama, starijim osobama i osobama sa hroničnim oboljenjima.</w:t>
      </w:r>
      <w:r w:rsidRPr="001C58C6">
        <w:rPr>
          <w:rFonts w:ascii="Calibri" w:hAnsi="Calibri" w:cs="Calibri"/>
          <w:color w:val="000000" w:themeColor="text1"/>
          <w:vertAlign w:val="superscript"/>
        </w:rPr>
        <w:footnoteReference w:id="1"/>
      </w:r>
    </w:p>
    <w:p w14:paraId="1976B4F9" w14:textId="77777777" w:rsidR="00B07044" w:rsidRPr="001C58C6" w:rsidRDefault="00B07044" w:rsidP="00B07044">
      <w:pPr>
        <w:rPr>
          <w:rFonts w:ascii="Calibri" w:hAnsi="Calibri" w:cs="Calibri"/>
          <w:color w:val="000000" w:themeColor="text1"/>
        </w:rPr>
      </w:pPr>
    </w:p>
    <w:p w14:paraId="7A096B00" w14:textId="77777777" w:rsidR="00B07044" w:rsidRPr="001C58C6" w:rsidRDefault="00B07044" w:rsidP="00B07044">
      <w:pPr>
        <w:rPr>
          <w:rFonts w:ascii="Calibri" w:hAnsi="Calibri" w:cs="Calibri"/>
          <w:color w:val="000000" w:themeColor="text1"/>
        </w:rPr>
      </w:pPr>
      <w:r w:rsidRPr="001C58C6">
        <w:rPr>
          <w:rFonts w:ascii="Calibri" w:hAnsi="Calibri" w:cs="Calibri"/>
          <w:color w:val="000000" w:themeColor="text1"/>
        </w:rPr>
        <w:lastRenderedPageBreak/>
        <w:t>U odnosu na stratešku procjenu uticaja na životnu sredinu, za Strategiju je donijeta Odluka o nepreduzimanju izrade strateške procjene uticaja na životnu sredinu za Strategiju upravljanja kvalitetom vazduha za period 2026-2029. godina sa Akcionim planom ("Službeni list Crne Gore", br. 41/26). Odlukom je utvrđeno da se strateška procjena ne preduzima, imajući u vidu da je osnovni cilj Strategije unapređenje kvaliteta vazduha, smanjenje negativnih uticaja zagađenja vazduha na zdravlje ljudi i životnu sredinu, da mjere imaju preventivni i korektivni karakter i da ne predviđaju realizaciju konkretnih infrastrukturnih projekata, već okvir i smjernice za sprovođenje mjera. Potencijalni uticaji pojedinačnih projekata i aktivnosti, ukoliko nastanu, biće predmet posebnih postupaka procjene uticaja na životnu sredinu u skladu sa važećim propisima.</w:t>
      </w:r>
    </w:p>
    <w:p w14:paraId="565AE831" w14:textId="77777777" w:rsidR="00B07044" w:rsidRPr="001C58C6" w:rsidRDefault="00B07044">
      <w:pPr>
        <w:rPr>
          <w:rFonts w:ascii="Calibri" w:hAnsi="Calibri" w:cs="Calibri"/>
          <w:color w:val="000000" w:themeColor="text1"/>
        </w:rPr>
      </w:pPr>
    </w:p>
    <w:p w14:paraId="788A901D" w14:textId="77777777" w:rsidR="00B07044" w:rsidRPr="001C58C6" w:rsidRDefault="00B07044" w:rsidP="00B07044">
      <w:pPr>
        <w:rPr>
          <w:rFonts w:ascii="Calibri" w:hAnsi="Calibri" w:cs="Calibri"/>
          <w:b/>
          <w:color w:val="000000" w:themeColor="text1"/>
        </w:rPr>
      </w:pPr>
      <w:r w:rsidRPr="001C58C6">
        <w:rPr>
          <w:rFonts w:ascii="Calibri" w:hAnsi="Calibri" w:cs="Calibri"/>
          <w:b/>
          <w:color w:val="000000" w:themeColor="text1"/>
        </w:rPr>
        <w:t>Bez daljeg strateškog planiranja u ovoj oblasti, negativni uticaji zagađenja vazduha na zdravlje ljudi i životnu sredinu mogu se multiplicirati, naročito u Sjevernoj i Centralnoj zoni kvaliteta vazduha, u kojima su prekoračenja suspendovanih čestica i benzo(a)pirena uobičajena tokom zimskih mjeseci. Izostanak Strategije značio bi zadržavanje fragmentisanog pristupa, slabiju koordinaciju institucija i lokalnih samouprava, otežano planiranje finansiranja i sporije usklađivanje sa novim, strožim standardima kvaliteta vazduha EU.</w:t>
      </w:r>
    </w:p>
    <w:p w14:paraId="76C7B373" w14:textId="77777777" w:rsidR="00B07044" w:rsidRPr="001C58C6" w:rsidRDefault="00B07044" w:rsidP="00B07044">
      <w:pPr>
        <w:rPr>
          <w:rFonts w:ascii="Calibri" w:hAnsi="Calibri" w:cs="Calibri"/>
          <w:color w:val="000000" w:themeColor="text1"/>
        </w:rPr>
      </w:pPr>
    </w:p>
    <w:p w14:paraId="663C39FC" w14:textId="77777777" w:rsidR="00B07044" w:rsidRPr="001C58C6" w:rsidRDefault="00B07044" w:rsidP="00B07044">
      <w:pPr>
        <w:rPr>
          <w:rFonts w:ascii="Calibri" w:hAnsi="Calibri" w:cs="Calibri"/>
          <w:color w:val="000000" w:themeColor="text1"/>
        </w:rPr>
      </w:pPr>
      <w:r w:rsidRPr="001C58C6">
        <w:rPr>
          <w:rFonts w:ascii="Calibri" w:hAnsi="Calibri" w:cs="Calibri"/>
          <w:color w:val="000000" w:themeColor="text1"/>
        </w:rPr>
        <w:t>Subjekti pogođeni problemom su svi građani i građanke Crne Gore, a posebno djeca, trudnice, starija lica, osobe sa hroničnim oboljenjima i domaćinstva pogođena energetskim siromaštvom. Posljedice se ogledaju u povećanim zdravstvenim rizicima, većim troškovima zdravstvenog sistema, smanjenom kvalitetu života, opterećenju ekosistema i dodatnim troškovima naknadnog usklađivanja javnih politika.</w:t>
      </w:r>
    </w:p>
    <w:p w14:paraId="2F897873" w14:textId="77777777" w:rsidR="00B07044" w:rsidRPr="001C58C6" w:rsidRDefault="00B07044" w:rsidP="00B07044">
      <w:pPr>
        <w:rPr>
          <w:rFonts w:ascii="Calibri" w:hAnsi="Calibri" w:cs="Calibri"/>
          <w:color w:val="000000" w:themeColor="text1"/>
        </w:rPr>
      </w:pPr>
    </w:p>
    <w:p w14:paraId="47DEAFF0" w14:textId="1A2A63F6" w:rsidR="00B07044" w:rsidRPr="001C58C6" w:rsidRDefault="00B07044" w:rsidP="00B07044">
      <w:pPr>
        <w:rPr>
          <w:rFonts w:ascii="Calibri" w:hAnsi="Calibri" w:cs="Calibri"/>
          <w:color w:val="000000" w:themeColor="text1"/>
        </w:rPr>
      </w:pPr>
      <w:r w:rsidRPr="001C58C6">
        <w:rPr>
          <w:rFonts w:ascii="Calibri" w:hAnsi="Calibri" w:cs="Calibri"/>
          <w:b/>
          <w:color w:val="000000" w:themeColor="text1"/>
        </w:rPr>
        <w:t>U pripremi Strategije razmatrane su status quo opcija, neregulatorna opcija i regulatorna opcija. Status quo opcija bi značila nastavak upravljanja kvalitetom vazduha bez novog strateškog okvira, što ne bi omogućilo sistemsko usklađivanje sa novim obavezama iz pravne tekovine EU, posebno u dijelu strožih standarda od 2030. godine i obaveza iz NEC Direktive. Neregulatorna opcija, zasnovana samo na informativnim kampanjama, dobrovoljnim mjerama i jačanju administrativne prakse bez novog strateškog dokumenta, ocijenjena je kao nedovoljna za ostvarivanje ciljeva. Zbog obaveza u procesu pristupanja EU, potrebe usklađivanja sa Direktivom (EU) 2016/2284 i Direktivom (EU) 2024/2881 i identifikovanih problema u kvalitetu vazduha, kao optimalna je odabrana regulatorna opcija, odnosno donošenje Strategije sa Akcionim planom za period 2026-2029. godine.</w:t>
      </w:r>
    </w:p>
    <w:p w14:paraId="45107410" w14:textId="77777777" w:rsidR="00B07044" w:rsidRPr="001C58C6" w:rsidRDefault="00B07044" w:rsidP="00B07044">
      <w:pPr>
        <w:rPr>
          <w:rFonts w:ascii="Calibri" w:hAnsi="Calibri" w:cs="Calibri"/>
          <w:color w:val="000000" w:themeColor="text1"/>
        </w:rPr>
      </w:pPr>
    </w:p>
    <w:p w14:paraId="2341568B" w14:textId="77777777" w:rsidR="00B07044" w:rsidRPr="001C58C6" w:rsidRDefault="00B07044" w:rsidP="00B07044">
      <w:pPr>
        <w:rPr>
          <w:rFonts w:ascii="Calibri" w:hAnsi="Calibri" w:cs="Calibri"/>
          <w:color w:val="000000" w:themeColor="text1"/>
        </w:rPr>
      </w:pPr>
      <w:r w:rsidRPr="001C58C6">
        <w:rPr>
          <w:rFonts w:ascii="Calibri" w:hAnsi="Calibri" w:cs="Calibri"/>
          <w:color w:val="000000" w:themeColor="text1"/>
        </w:rPr>
        <w:t>Koordinaciju izrade dokumenta vodi Ministarstvo ekologije, održivog razvoja i razvoja sjevera. Stručnu osnovu dokumenta pripremio je konsultantski tim naveden na naslovnoj strani, uz korišćenje podataka Agencije za zaštitu životne sredine, relevantnih resornih institucija, lokalnih samouprava i dostupnih sektorskih analiza. Izvještaj sa javne rasprave i pozicija Ministarstva u odnosu na primljene primjedbe i sugestije činiće prateći materijal uz predlog Strategije.</w:t>
      </w:r>
    </w:p>
    <w:p w14:paraId="1CA1C5F9" w14:textId="77777777" w:rsidR="00B07044" w:rsidRDefault="00B07044">
      <w:pPr>
        <w:rPr>
          <w:rFonts w:ascii="Calibri" w:hAnsi="Calibri" w:cs="Calibri"/>
          <w:color w:val="000000" w:themeColor="text1"/>
        </w:rPr>
      </w:pPr>
    </w:p>
    <w:p w14:paraId="61DF0B06" w14:textId="77777777" w:rsidR="006F52AD" w:rsidRPr="001C58C6" w:rsidRDefault="006F52AD">
      <w:pPr>
        <w:rPr>
          <w:rFonts w:ascii="Calibri" w:hAnsi="Calibri" w:cs="Calibri"/>
          <w:color w:val="000000" w:themeColor="text1"/>
        </w:rPr>
      </w:pPr>
    </w:p>
    <w:p w14:paraId="0534B322" w14:textId="77777777" w:rsidR="0067106D" w:rsidRPr="001C58C6" w:rsidRDefault="00A468FF" w:rsidP="00E53052">
      <w:pPr>
        <w:pStyle w:val="Heading1"/>
        <w:numPr>
          <w:ilvl w:val="0"/>
          <w:numId w:val="11"/>
        </w:numPr>
        <w:rPr>
          <w:rFonts w:ascii="Calibri" w:hAnsi="Calibri" w:cs="Calibri"/>
          <w:color w:val="000000" w:themeColor="text1"/>
        </w:rPr>
      </w:pPr>
      <w:bookmarkStart w:id="2" w:name="_Toc220070409"/>
      <w:bookmarkStart w:id="3" w:name="_Toc233711723"/>
      <w:r w:rsidRPr="001C58C6">
        <w:rPr>
          <w:rFonts w:ascii="Calibri" w:hAnsi="Calibri" w:cs="Calibri"/>
          <w:color w:val="000000" w:themeColor="text1"/>
        </w:rPr>
        <w:lastRenderedPageBreak/>
        <w:t>ANALIZA STANJA</w:t>
      </w:r>
      <w:bookmarkEnd w:id="2"/>
      <w:bookmarkEnd w:id="3"/>
    </w:p>
    <w:p w14:paraId="51C8D261" w14:textId="77777777" w:rsidR="0067106D" w:rsidRPr="001C58C6" w:rsidRDefault="0067106D">
      <w:pPr>
        <w:rPr>
          <w:rFonts w:ascii="Calibri" w:hAnsi="Calibri" w:cs="Calibri"/>
          <w:color w:val="000000" w:themeColor="text1"/>
        </w:rPr>
      </w:pPr>
    </w:p>
    <w:p w14:paraId="203BA177" w14:textId="77777777" w:rsidR="0067106D" w:rsidRPr="001C58C6" w:rsidRDefault="00910DCF">
      <w:pPr>
        <w:rPr>
          <w:rFonts w:ascii="Calibri" w:hAnsi="Calibri" w:cs="Calibri"/>
          <w:color w:val="000000" w:themeColor="text1"/>
          <w:szCs w:val="24"/>
        </w:rPr>
      </w:pPr>
      <w:r w:rsidRPr="001C58C6">
        <w:rPr>
          <w:rFonts w:ascii="Calibri" w:hAnsi="Calibri" w:cs="Calibri"/>
          <w:color w:val="000000" w:themeColor="text1"/>
          <w:szCs w:val="24"/>
        </w:rPr>
        <w:t>Ovim poglavljem se identifikuju i analitički obrađuju postojeći problemi u upravljanju kvalitetom vazduha u Crnoj Gori, zajedno sa njihovim uzrocima i potencijalnim izazovima koji bi mogli uticati na efikasnu primjenu strateškog dokumenta.</w:t>
      </w:r>
    </w:p>
    <w:p w14:paraId="2AAE1DFC" w14:textId="77777777" w:rsidR="00743A33" w:rsidRPr="001C58C6" w:rsidRDefault="00743A33">
      <w:pPr>
        <w:rPr>
          <w:rFonts w:ascii="Calibri" w:hAnsi="Calibri" w:cs="Calibri"/>
          <w:color w:val="000000" w:themeColor="text1"/>
          <w:szCs w:val="24"/>
        </w:rPr>
      </w:pPr>
    </w:p>
    <w:p w14:paraId="74C11885" w14:textId="77777777" w:rsidR="0067106D" w:rsidRPr="001C58C6" w:rsidRDefault="00910DCF">
      <w:pPr>
        <w:rPr>
          <w:rFonts w:ascii="Calibri" w:hAnsi="Calibri" w:cs="Calibri"/>
          <w:color w:val="000000" w:themeColor="text1"/>
        </w:rPr>
      </w:pPr>
      <w:r w:rsidRPr="001C58C6">
        <w:rPr>
          <w:rFonts w:ascii="Calibri" w:hAnsi="Calibri" w:cs="Calibri"/>
          <w:color w:val="000000" w:themeColor="text1"/>
        </w:rPr>
        <w:t>Pored analitičkog pregleda trendova kvaliteta vazduha za period 2020–2024, sa posebnim naglaskom na učestalost i obim prekoračenja važećih standarda, ovo poglavlje obuhvata i uporedni osvrt na stanje u regionu, pregled obaveza koje proizilaze iz procesa evropskih integracija i međunarodnih ugovora, kao i strateških opredjeljenja Crne Gore. Dodatno, razmatraju se uticaji zagađenja vazduha i uloge ključnih zainteresovanih strana u sprovođenju mjera za njegovo smanjenje.</w:t>
      </w:r>
    </w:p>
    <w:p w14:paraId="2ED6AD90" w14:textId="77777777" w:rsidR="00743A33" w:rsidRPr="001C58C6" w:rsidRDefault="00743A33">
      <w:pPr>
        <w:rPr>
          <w:rFonts w:ascii="Calibri" w:hAnsi="Calibri" w:cs="Calibri"/>
          <w:color w:val="000000" w:themeColor="text1"/>
        </w:rPr>
      </w:pPr>
    </w:p>
    <w:p w14:paraId="7CCD41E7" w14:textId="77777777" w:rsidR="0067106D" w:rsidRPr="001C58C6" w:rsidRDefault="00910DCF">
      <w:pPr>
        <w:rPr>
          <w:rFonts w:ascii="Calibri" w:hAnsi="Calibri" w:cs="Calibri"/>
          <w:color w:val="000000" w:themeColor="text1"/>
        </w:rPr>
      </w:pPr>
      <w:r w:rsidRPr="001C58C6">
        <w:rPr>
          <w:rFonts w:ascii="Calibri" w:hAnsi="Calibri" w:cs="Calibri"/>
          <w:color w:val="000000" w:themeColor="text1"/>
        </w:rPr>
        <w:t>Time se obezbjeđuje metodološki konzistentan okvir koji logički povezuje identifikovane probleme i njihove uzroke sa postavljanjem strateških ciljeva. Na osnovu tako strukturisanog uvida dalje se razrađuju mjere i intervencije koje na sistematičan i održiv način mogu odgovoriti utvrđenim prioritetima i doprinijeti unapređenju upravljanja kvalitetom vazduha.</w:t>
      </w:r>
    </w:p>
    <w:p w14:paraId="69663DE4" w14:textId="77777777" w:rsidR="00743A33" w:rsidRPr="001C58C6" w:rsidRDefault="00743A33">
      <w:pPr>
        <w:rPr>
          <w:rFonts w:ascii="Calibri" w:hAnsi="Calibri" w:cs="Calibri"/>
          <w:color w:val="000000" w:themeColor="text1"/>
        </w:rPr>
      </w:pPr>
    </w:p>
    <w:p w14:paraId="12614127" w14:textId="77777777" w:rsidR="0067106D" w:rsidRPr="001C58C6" w:rsidRDefault="00910DCF">
      <w:pPr>
        <w:rPr>
          <w:rFonts w:ascii="Calibri" w:hAnsi="Calibri" w:cs="Calibri"/>
          <w:color w:val="000000" w:themeColor="text1"/>
        </w:rPr>
      </w:pPr>
      <w:r w:rsidRPr="001C58C6">
        <w:rPr>
          <w:rFonts w:ascii="Calibri" w:hAnsi="Calibri" w:cs="Calibri"/>
          <w:color w:val="000000" w:themeColor="text1"/>
        </w:rPr>
        <w:t>Analiza obuhvata grafičku i tekstualnu obradu podataka iz državne mreže za praćenje kvaliteta vazduha za period 2020–2024, uz uporednu analizu indikatora koje za više od 30 zemalja objavljuje Evropska agencija za životnu sredinu, uključujući i uticaj zagađenja vazduha na zdravlje ljudi. Analiza inventara emisija omogućava metodološki zasnovanu identifikaciju sektora koji dominantno doprinose zagađenju, uz kvantifikaciju njihovog uticaja, što predstavlja ključnu osnovu za oblikovanje strateških prioriteta i mjera.</w:t>
      </w:r>
    </w:p>
    <w:p w14:paraId="380D292B" w14:textId="77777777" w:rsidR="00743A33" w:rsidRPr="001C58C6" w:rsidRDefault="00743A33">
      <w:pPr>
        <w:rPr>
          <w:rFonts w:ascii="Calibri" w:hAnsi="Calibri" w:cs="Calibri"/>
          <w:color w:val="000000" w:themeColor="text1"/>
        </w:rPr>
      </w:pPr>
    </w:p>
    <w:p w14:paraId="6BF132B5" w14:textId="77777777" w:rsidR="0067106D" w:rsidRPr="001C58C6" w:rsidRDefault="00910DCF">
      <w:pPr>
        <w:rPr>
          <w:rFonts w:ascii="Calibri" w:hAnsi="Calibri" w:cs="Calibri"/>
          <w:color w:val="000000" w:themeColor="text1"/>
        </w:rPr>
      </w:pPr>
      <w:r w:rsidRPr="001C58C6">
        <w:rPr>
          <w:rFonts w:ascii="Calibri" w:hAnsi="Calibri" w:cs="Calibri"/>
          <w:color w:val="000000" w:themeColor="text1"/>
        </w:rPr>
        <w:t>Pregled relevantnih dodatnih studija i istraživanja sprovedenih u posmatranom periodu pruža dopunske empirijske i analitičke nalaze koji doprinose konačnom uobličavanju strateškog promišljanja u ovoj oblasti, čime se omogućava preciznija identifikacija ključnih snaga, slabosti, prilika i prijetnji, odnosno objektivnosti rezultata SWOT analize.</w:t>
      </w:r>
    </w:p>
    <w:p w14:paraId="1F332CA9" w14:textId="77777777" w:rsidR="0067106D" w:rsidRPr="001C58C6" w:rsidRDefault="00910DCF">
      <w:pPr>
        <w:rPr>
          <w:rFonts w:ascii="Calibri" w:hAnsi="Calibri" w:cs="Calibri"/>
          <w:color w:val="000000" w:themeColor="text1"/>
        </w:rPr>
      </w:pPr>
      <w:r w:rsidRPr="001C58C6">
        <w:rPr>
          <w:rFonts w:ascii="Calibri" w:hAnsi="Calibri" w:cs="Calibri"/>
          <w:color w:val="000000" w:themeColor="text1"/>
        </w:rPr>
        <w:t>Lista izvora podataka, analiza i studija korišćenih za izradu ovog poglavlja predstavljena je na kraju dokumenta u pos</w:t>
      </w:r>
      <w:r w:rsidR="00617B8D" w:rsidRPr="001C58C6">
        <w:rPr>
          <w:rFonts w:ascii="Calibri" w:hAnsi="Calibri" w:cs="Calibri"/>
          <w:color w:val="000000" w:themeColor="text1"/>
        </w:rPr>
        <w:t>e</w:t>
      </w:r>
      <w:r w:rsidRPr="001C58C6">
        <w:rPr>
          <w:rFonts w:ascii="Calibri" w:hAnsi="Calibri" w:cs="Calibri"/>
          <w:color w:val="000000" w:themeColor="text1"/>
        </w:rPr>
        <w:t>bnom odjeljku.</w:t>
      </w:r>
    </w:p>
    <w:p w14:paraId="0945203F" w14:textId="77777777" w:rsidR="00B07044" w:rsidRPr="001C58C6" w:rsidRDefault="00B07044" w:rsidP="00B07044">
      <w:pPr>
        <w:pStyle w:val="Heading3"/>
        <w:rPr>
          <w:rFonts w:ascii="Calibri" w:hAnsi="Calibri" w:cs="Calibri"/>
          <w:color w:val="000000" w:themeColor="text1"/>
        </w:rPr>
      </w:pPr>
      <w:bookmarkStart w:id="4" w:name="_Toc220070410"/>
      <w:bookmarkStart w:id="5" w:name="_Toc233711724"/>
      <w:r w:rsidRPr="001C58C6">
        <w:rPr>
          <w:rFonts w:ascii="Calibri" w:hAnsi="Calibri" w:cs="Calibri"/>
          <w:color w:val="000000" w:themeColor="text1"/>
        </w:rPr>
        <w:t>Sistematizacija izazova, uzroka i posljedica</w:t>
      </w:r>
      <w:bookmarkEnd w:id="5"/>
    </w:p>
    <w:p w14:paraId="3BF2C3FD" w14:textId="77777777" w:rsidR="00B07044" w:rsidRPr="001C58C6" w:rsidRDefault="00B07044" w:rsidP="00B07044">
      <w:pPr>
        <w:rPr>
          <w:rFonts w:ascii="Calibri" w:hAnsi="Calibri" w:cs="Calibri"/>
          <w:color w:val="000000" w:themeColor="text1"/>
        </w:rPr>
      </w:pPr>
      <w:r w:rsidRPr="001C58C6">
        <w:rPr>
          <w:rFonts w:ascii="Calibri" w:hAnsi="Calibri" w:cs="Calibri"/>
          <w:b/>
          <w:color w:val="000000" w:themeColor="text1"/>
        </w:rPr>
        <w:t xml:space="preserve">Izazov 1: </w:t>
      </w:r>
      <w:r w:rsidRPr="001C58C6">
        <w:rPr>
          <w:rFonts w:ascii="Calibri" w:hAnsi="Calibri" w:cs="Calibri"/>
          <w:color w:val="000000" w:themeColor="text1"/>
        </w:rPr>
        <w:t>Povišene koncentracije suspendovanih čestica PM10 i PM2.5 i sadržaja benzo(a)pirena u Sjevernoj i Centralnoj zoni. Ključni uzroci su dominantno korišćenje čvrstih goriva za grijanje domaćinstava, energetska neefikasnost objekata, emisije iz energetike, saobraćaja i pojedinih industrijskih aktivnosti, kao i nepovoljne meteorološke prilike u zimskom periodu. Posljedice su povećani zdravstveni rizici, veći troškovi zdravstvenog sistema, smanjen kvalitet života i pritisak na ekosisteme.</w:t>
      </w:r>
    </w:p>
    <w:p w14:paraId="6B55961A" w14:textId="77777777" w:rsidR="00B07044" w:rsidRPr="001C58C6" w:rsidRDefault="00B07044" w:rsidP="00B07044">
      <w:pPr>
        <w:rPr>
          <w:rFonts w:ascii="Calibri" w:hAnsi="Calibri" w:cs="Calibri"/>
          <w:color w:val="000000" w:themeColor="text1"/>
        </w:rPr>
      </w:pPr>
      <w:r w:rsidRPr="001C58C6">
        <w:rPr>
          <w:rFonts w:ascii="Calibri" w:hAnsi="Calibri" w:cs="Calibri"/>
          <w:b/>
          <w:color w:val="000000" w:themeColor="text1"/>
        </w:rPr>
        <w:t>Izazov 2:</w:t>
      </w:r>
      <w:r w:rsidRPr="001C58C6">
        <w:rPr>
          <w:rFonts w:ascii="Calibri" w:hAnsi="Calibri" w:cs="Calibri"/>
          <w:color w:val="000000" w:themeColor="text1"/>
        </w:rPr>
        <w:t xml:space="preserve"> Nedovoljno razvijen sistem podataka, modeliranja i izvještavanja. Uzroci su ograničeni kadrovski i tehnički kapaciteti, potreba za unapređenjem inventara emisija i projekcija, nedovoljna povezanost podataka o kvalitetu vazduha sa podacima o zdravlju, rodu, siromaštvu i teritorijalnim razlikama. Posljedice su slabija ciljnost mjera, otežano praćenje učinaka i ograničena upotreba podataka za evaluaciju javnih politika.</w:t>
      </w:r>
    </w:p>
    <w:p w14:paraId="4D6C5171" w14:textId="77777777" w:rsidR="00B07044" w:rsidRPr="001C58C6" w:rsidRDefault="00B07044" w:rsidP="00B07044">
      <w:pPr>
        <w:rPr>
          <w:rFonts w:ascii="Calibri" w:hAnsi="Calibri" w:cs="Calibri"/>
          <w:color w:val="000000" w:themeColor="text1"/>
        </w:rPr>
      </w:pPr>
      <w:r w:rsidRPr="001C58C6">
        <w:rPr>
          <w:rFonts w:ascii="Calibri" w:hAnsi="Calibri" w:cs="Calibri"/>
          <w:b/>
          <w:color w:val="000000" w:themeColor="text1"/>
        </w:rPr>
        <w:t>Izazov  3:</w:t>
      </w:r>
      <w:r w:rsidRPr="001C58C6">
        <w:rPr>
          <w:rFonts w:ascii="Calibri" w:hAnsi="Calibri" w:cs="Calibri"/>
          <w:color w:val="000000" w:themeColor="text1"/>
        </w:rPr>
        <w:t xml:space="preserve"> Potreba za prelaskom na strože standarde kvaliteta vazduha do 2030. godine. Uzroci su novo zakonodavstvo EU, dugoročan cilj nultog zagađenja, prekogranični i klimatski pritisci, </w:t>
      </w:r>
      <w:r w:rsidRPr="001C58C6">
        <w:rPr>
          <w:rFonts w:ascii="Calibri" w:hAnsi="Calibri" w:cs="Calibri"/>
          <w:color w:val="000000" w:themeColor="text1"/>
        </w:rPr>
        <w:lastRenderedPageBreak/>
        <w:t>kao i činjenica da pojedine mjere zavise od energetskih, saobraćajnih, industrijskih i lokalnih politika. Posljedice nedjelovanja bile bi produžena izloženost stanovništva i ekosistema zagađenju, otežano zatvaranje pregovaračkog poglavlja 27 i veći troškovi naknadnog usklađivanja.</w:t>
      </w:r>
    </w:p>
    <w:p w14:paraId="4F7D2867" w14:textId="77777777" w:rsidR="00B07044" w:rsidRPr="001C58C6" w:rsidRDefault="00B07044" w:rsidP="00B07044">
      <w:pPr>
        <w:rPr>
          <w:rFonts w:ascii="Calibri" w:hAnsi="Calibri" w:cs="Calibri"/>
          <w:color w:val="000000" w:themeColor="text1"/>
        </w:rPr>
      </w:pPr>
    </w:p>
    <w:p w14:paraId="0F83D4C8" w14:textId="77777777" w:rsidR="0067106D" w:rsidRPr="001C58C6" w:rsidRDefault="00517131" w:rsidP="00374C81">
      <w:pPr>
        <w:pStyle w:val="Heading2"/>
        <w:rPr>
          <w:rFonts w:ascii="Calibri" w:hAnsi="Calibri" w:cs="Calibri"/>
          <w:color w:val="000000" w:themeColor="text1"/>
        </w:rPr>
      </w:pPr>
      <w:bookmarkStart w:id="6" w:name="_Toc233711725"/>
      <w:r w:rsidRPr="001C58C6">
        <w:rPr>
          <w:rFonts w:ascii="Calibri" w:hAnsi="Calibri" w:cs="Calibri"/>
          <w:color w:val="000000" w:themeColor="text1"/>
        </w:rPr>
        <w:t>1.1 STANJE KVALITETA VAZDUHA U CRNOJ GORI</w:t>
      </w:r>
      <w:bookmarkEnd w:id="4"/>
      <w:bookmarkEnd w:id="6"/>
    </w:p>
    <w:p w14:paraId="4F86BC92" w14:textId="77777777" w:rsidR="00517131" w:rsidRPr="001C58C6" w:rsidRDefault="00517131">
      <w:pPr>
        <w:rPr>
          <w:rFonts w:ascii="Calibri" w:hAnsi="Calibri" w:cs="Calibri"/>
          <w:color w:val="000000" w:themeColor="text1"/>
        </w:rPr>
      </w:pPr>
    </w:p>
    <w:p w14:paraId="7EFD048D" w14:textId="77777777" w:rsidR="0067106D" w:rsidRPr="001C58C6" w:rsidRDefault="00910DCF">
      <w:pPr>
        <w:rPr>
          <w:rFonts w:ascii="Calibri" w:hAnsi="Calibri" w:cs="Calibri"/>
          <w:color w:val="000000" w:themeColor="text1"/>
        </w:rPr>
      </w:pPr>
      <w:r w:rsidRPr="001C58C6">
        <w:rPr>
          <w:rFonts w:ascii="Calibri" w:hAnsi="Calibri" w:cs="Calibri"/>
          <w:color w:val="000000" w:themeColor="text1"/>
        </w:rPr>
        <w:t>Program monitoringa kvaliteta vazduha obuhvata kontinuirano mjerenje koncentracija zagađujućih materija na devet automatskih stacionarnih stanica u okviru Državne mreže za praćenje kvaliteta vazduha, raspoređenih u tri zone kvaliteta vazduha u skladu sa Uredbom o uspostavljanju mreže mjernih mjesta za praćenje kvaliteta vazduha („Sl. list Crne Gore”, br. 44/10, 13/11, 64/18).</w:t>
      </w:r>
    </w:p>
    <w:p w14:paraId="4BA49B6B" w14:textId="77777777" w:rsidR="00743A33" w:rsidRPr="001C58C6" w:rsidRDefault="00743A33">
      <w:pPr>
        <w:rPr>
          <w:rFonts w:ascii="Calibri" w:hAnsi="Calibri" w:cs="Calibri"/>
          <w:color w:val="000000" w:themeColor="text1"/>
        </w:rPr>
      </w:pPr>
    </w:p>
    <w:p w14:paraId="04EB3E01" w14:textId="77777777" w:rsidR="0067106D" w:rsidRPr="001C58C6" w:rsidRDefault="00910DCF">
      <w:pPr>
        <w:rPr>
          <w:rFonts w:ascii="Calibri" w:hAnsi="Calibri" w:cs="Calibri"/>
          <w:color w:val="000000" w:themeColor="text1"/>
        </w:rPr>
      </w:pPr>
      <w:r w:rsidRPr="001C58C6">
        <w:rPr>
          <w:rFonts w:ascii="Calibri" w:hAnsi="Calibri" w:cs="Calibri"/>
          <w:color w:val="000000" w:themeColor="text1"/>
        </w:rPr>
        <w:t>Analiza obuhvata 13 polutanata za koje su propisane granične i ciljne vrijednosti: sumpor-dioksid, azot-dioksid, ugljen-monoksid, PM10 i PM2.5, ozon, teške metale u frakciji PM10 (Zn, As, Ni, Pb, Cd) i benzo(a)piren kao marker policikličnih aromatičnih ugljovodonika (PAH).Period 2020–2024 odabran je kao reprezentativan, imajući u vidu da je krajem 2019. godine izvršeno preispitivanje zona kvaliteta vazduha i reorganizacija rasporeda mjernih mjesta u državnoj mreži, koja se primjenjuje i u aktuelnom periodu.</w:t>
      </w:r>
    </w:p>
    <w:p w14:paraId="4FB64F94" w14:textId="77777777" w:rsidR="00743A33" w:rsidRPr="001C58C6" w:rsidRDefault="00743A33" w:rsidP="00743A33">
      <w:pPr>
        <w:jc w:val="center"/>
        <w:rPr>
          <w:rFonts w:ascii="Calibri" w:hAnsi="Calibri" w:cs="Calibri"/>
          <w:color w:val="000000" w:themeColor="text1"/>
        </w:rPr>
      </w:pPr>
    </w:p>
    <w:p w14:paraId="2017C8D8" w14:textId="77777777" w:rsidR="00743A33" w:rsidRPr="001C58C6" w:rsidRDefault="00743A33" w:rsidP="00743A33">
      <w:pPr>
        <w:pStyle w:val="Caption"/>
        <w:jc w:val="center"/>
        <w:rPr>
          <w:rFonts w:ascii="Calibri" w:hAnsi="Calibri" w:cs="Calibri"/>
          <w:i/>
          <w:iCs/>
          <w:color w:val="000000" w:themeColor="text1"/>
          <w:sz w:val="20"/>
          <w:szCs w:val="20"/>
        </w:rPr>
      </w:pPr>
      <w:bookmarkStart w:id="7" w:name="_Toc233584693"/>
      <w:r w:rsidRPr="001C58C6">
        <w:rPr>
          <w:rFonts w:ascii="Calibri" w:hAnsi="Calibri" w:cs="Calibri"/>
          <w:i/>
          <w:iCs/>
          <w:color w:val="000000" w:themeColor="text1"/>
          <w:sz w:val="20"/>
          <w:szCs w:val="20"/>
        </w:rPr>
        <w:t xml:space="preserve">Ilustracija </w:t>
      </w:r>
      <w:r w:rsidRPr="001C58C6">
        <w:rPr>
          <w:rFonts w:ascii="Calibri" w:hAnsi="Calibri" w:cs="Calibri"/>
          <w:i/>
          <w:iCs/>
          <w:color w:val="000000" w:themeColor="text1"/>
          <w:sz w:val="20"/>
          <w:szCs w:val="20"/>
        </w:rPr>
        <w:fldChar w:fldCharType="begin"/>
      </w:r>
      <w:r w:rsidRPr="001C58C6">
        <w:rPr>
          <w:rFonts w:ascii="Calibri" w:hAnsi="Calibri" w:cs="Calibri"/>
          <w:i/>
          <w:iCs/>
          <w:color w:val="000000" w:themeColor="text1"/>
          <w:sz w:val="20"/>
          <w:szCs w:val="20"/>
        </w:rPr>
        <w:instrText xml:space="preserve"> SEQ Ilustracija \* ARABIC </w:instrText>
      </w:r>
      <w:r w:rsidRPr="001C58C6">
        <w:rPr>
          <w:rFonts w:ascii="Calibri" w:hAnsi="Calibri" w:cs="Calibri"/>
          <w:i/>
          <w:iCs/>
          <w:color w:val="000000" w:themeColor="text1"/>
          <w:sz w:val="20"/>
          <w:szCs w:val="20"/>
        </w:rPr>
        <w:fldChar w:fldCharType="separate"/>
      </w:r>
      <w:r w:rsidR="00752282" w:rsidRPr="001C58C6">
        <w:rPr>
          <w:rFonts w:ascii="Calibri" w:hAnsi="Calibri" w:cs="Calibri"/>
          <w:i/>
          <w:iCs/>
          <w:color w:val="000000" w:themeColor="text1"/>
          <w:sz w:val="20"/>
          <w:szCs w:val="20"/>
        </w:rPr>
        <w:t>1</w:t>
      </w:r>
      <w:r w:rsidRPr="001C58C6">
        <w:rPr>
          <w:rFonts w:ascii="Calibri" w:hAnsi="Calibri" w:cs="Calibri"/>
          <w:i/>
          <w:iCs/>
          <w:color w:val="000000" w:themeColor="text1"/>
          <w:sz w:val="20"/>
          <w:szCs w:val="20"/>
        </w:rPr>
        <w:fldChar w:fldCharType="end"/>
      </w:r>
      <w:r w:rsidRPr="001C58C6">
        <w:rPr>
          <w:rFonts w:ascii="Calibri" w:hAnsi="Calibri" w:cs="Calibri"/>
          <w:i/>
          <w:iCs/>
          <w:color w:val="000000" w:themeColor="text1"/>
          <w:sz w:val="20"/>
          <w:szCs w:val="20"/>
        </w:rPr>
        <w:t>: Zone kvaliteta vazduha</w:t>
      </w:r>
      <w:bookmarkEnd w:id="7"/>
    </w:p>
    <w:p w14:paraId="4B80C568" w14:textId="77777777" w:rsidR="00743A33" w:rsidRPr="001C58C6" w:rsidRDefault="00743A33" w:rsidP="00743A33">
      <w:pPr>
        <w:jc w:val="center"/>
        <w:rPr>
          <w:rFonts w:ascii="Calibri" w:hAnsi="Calibri" w:cs="Calibri"/>
          <w:color w:val="000000" w:themeColor="text1"/>
        </w:rPr>
      </w:pPr>
    </w:p>
    <w:p w14:paraId="262216CD" w14:textId="77777777" w:rsidR="00743A33" w:rsidRPr="001C58C6" w:rsidRDefault="00743A33" w:rsidP="00743A33">
      <w:pPr>
        <w:jc w:val="center"/>
        <w:rPr>
          <w:rFonts w:ascii="Calibri" w:hAnsi="Calibri" w:cs="Calibri"/>
          <w:color w:val="000000" w:themeColor="text1"/>
        </w:rPr>
      </w:pPr>
      <w:r w:rsidRPr="001C58C6">
        <w:rPr>
          <w:rFonts w:ascii="Calibri" w:hAnsi="Calibri" w:cs="Calibri"/>
          <w:noProof/>
          <w:color w:val="000000" w:themeColor="text1"/>
        </w:rPr>
        <w:drawing>
          <wp:inline distT="0" distB="0" distL="0" distR="0" wp14:anchorId="7FC7C810" wp14:editId="04F6E11E">
            <wp:extent cx="3497580" cy="3594735"/>
            <wp:effectExtent l="0" t="0" r="7620" b="571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noChangeArrowheads="1"/>
                    </pic:cNvPicPr>
                  </pic:nvPicPr>
                  <pic:blipFill>
                    <a:blip r:embed="rId9">
                      <a:extLst>
                        <a:ext uri="{28A0092B-C50C-407E-A947-70E740481C1C}">
                          <a14:useLocalDpi xmlns:a14="http://schemas.microsoft.com/office/drawing/2010/main" val="0"/>
                        </a:ext>
                      </a:extLst>
                    </a:blip>
                    <a:srcRect l="9976" t="1730" r="13301" b="2477"/>
                    <a:stretch>
                      <a:fillRect/>
                    </a:stretch>
                  </pic:blipFill>
                  <pic:spPr>
                    <a:xfrm>
                      <a:off x="0" y="0"/>
                      <a:ext cx="3499796" cy="3597013"/>
                    </a:xfrm>
                    <a:prstGeom prst="rect">
                      <a:avLst/>
                    </a:prstGeom>
                    <a:noFill/>
                  </pic:spPr>
                </pic:pic>
              </a:graphicData>
            </a:graphic>
          </wp:inline>
        </w:drawing>
      </w:r>
    </w:p>
    <w:p w14:paraId="04D17F28" w14:textId="77777777" w:rsidR="008B1DD2" w:rsidRPr="001C58C6" w:rsidRDefault="00743A33" w:rsidP="00B33518">
      <w:pPr>
        <w:pStyle w:val="Caption"/>
        <w:jc w:val="center"/>
        <w:rPr>
          <w:rFonts w:ascii="Calibri" w:hAnsi="Calibri" w:cs="Calibri"/>
          <w:i/>
          <w:iCs/>
          <w:color w:val="000000" w:themeColor="text1"/>
          <w:sz w:val="20"/>
          <w:szCs w:val="20"/>
        </w:rPr>
      </w:pPr>
      <w:bookmarkStart w:id="8" w:name="_Toc217388759"/>
      <w:bookmarkStart w:id="9" w:name="_Toc217388804"/>
      <w:bookmarkStart w:id="10" w:name="_Toc233584676"/>
      <w:r w:rsidRPr="001C58C6">
        <w:rPr>
          <w:rFonts w:ascii="Calibri" w:hAnsi="Calibri" w:cs="Calibri"/>
          <w:i/>
          <w:iCs/>
          <w:color w:val="000000" w:themeColor="text1"/>
          <w:sz w:val="20"/>
          <w:szCs w:val="20"/>
        </w:rPr>
        <w:t xml:space="preserve">Tabela </w:t>
      </w:r>
      <w:r w:rsidRPr="001C58C6">
        <w:rPr>
          <w:rFonts w:ascii="Calibri" w:hAnsi="Calibri" w:cs="Calibri"/>
          <w:i/>
          <w:iCs/>
          <w:color w:val="000000" w:themeColor="text1"/>
          <w:sz w:val="20"/>
          <w:szCs w:val="20"/>
        </w:rPr>
        <w:fldChar w:fldCharType="begin"/>
      </w:r>
      <w:r w:rsidRPr="001C58C6">
        <w:rPr>
          <w:rFonts w:ascii="Calibri" w:hAnsi="Calibri" w:cs="Calibri"/>
          <w:i/>
          <w:iCs/>
          <w:color w:val="000000" w:themeColor="text1"/>
          <w:sz w:val="20"/>
          <w:szCs w:val="20"/>
        </w:rPr>
        <w:instrText xml:space="preserve"> SEQ Tabela \* ARABIC </w:instrText>
      </w:r>
      <w:r w:rsidRPr="001C58C6">
        <w:rPr>
          <w:rFonts w:ascii="Calibri" w:hAnsi="Calibri" w:cs="Calibri"/>
          <w:i/>
          <w:iCs/>
          <w:color w:val="000000" w:themeColor="text1"/>
          <w:sz w:val="20"/>
          <w:szCs w:val="20"/>
        </w:rPr>
        <w:fldChar w:fldCharType="separate"/>
      </w:r>
      <w:r w:rsidR="00752282" w:rsidRPr="001C58C6">
        <w:rPr>
          <w:rFonts w:ascii="Calibri" w:hAnsi="Calibri" w:cs="Calibri"/>
          <w:i/>
          <w:iCs/>
          <w:color w:val="000000" w:themeColor="text1"/>
          <w:sz w:val="20"/>
          <w:szCs w:val="20"/>
        </w:rPr>
        <w:t>1</w:t>
      </w:r>
      <w:r w:rsidRPr="001C58C6">
        <w:rPr>
          <w:rFonts w:ascii="Calibri" w:hAnsi="Calibri" w:cs="Calibri"/>
          <w:i/>
          <w:iCs/>
          <w:color w:val="000000" w:themeColor="text1"/>
          <w:sz w:val="20"/>
          <w:szCs w:val="20"/>
        </w:rPr>
        <w:fldChar w:fldCharType="end"/>
      </w:r>
      <w:r w:rsidR="00517131" w:rsidRPr="001C58C6">
        <w:rPr>
          <w:rFonts w:ascii="Calibri" w:hAnsi="Calibri" w:cs="Calibri"/>
          <w:i/>
          <w:iCs/>
          <w:color w:val="000000" w:themeColor="text1"/>
          <w:sz w:val="20"/>
          <w:szCs w:val="20"/>
        </w:rPr>
        <w:t xml:space="preserve">: </w:t>
      </w:r>
      <w:r w:rsidR="00910DCF" w:rsidRPr="001C58C6">
        <w:rPr>
          <w:rFonts w:ascii="Calibri" w:hAnsi="Calibri" w:cs="Calibri"/>
          <w:i/>
          <w:iCs/>
          <w:color w:val="000000" w:themeColor="text1"/>
          <w:sz w:val="20"/>
          <w:szCs w:val="20"/>
        </w:rPr>
        <w:t>Opštine u sastavu zona kvaliteta vazduha</w:t>
      </w:r>
      <w:bookmarkEnd w:id="8"/>
      <w:bookmarkEnd w:id="9"/>
      <w:r w:rsidR="008A5D57" w:rsidRPr="001C58C6">
        <w:rPr>
          <w:rFonts w:ascii="Calibri" w:hAnsi="Calibri" w:cs="Calibri"/>
          <w:i/>
          <w:iCs/>
          <w:color w:val="000000" w:themeColor="text1"/>
          <w:sz w:val="20"/>
          <w:szCs w:val="20"/>
        </w:rPr>
        <w:footnoteReference w:id="2"/>
      </w:r>
      <w:bookmarkEnd w:id="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0"/>
        <w:gridCol w:w="4836"/>
      </w:tblGrid>
      <w:tr w:rsidR="0067106D" w:rsidRPr="001C58C6" w14:paraId="65AFCEBA" w14:textId="77777777" w:rsidTr="001743DE">
        <w:tc>
          <w:tcPr>
            <w:tcW w:w="2312" w:type="pct"/>
            <w:tcBorders>
              <w:top w:val="single" w:sz="12" w:space="0" w:color="0F9ED5" w:themeColor="accent4"/>
              <w:left w:val="single" w:sz="12" w:space="0" w:color="0F9ED5" w:themeColor="accent4"/>
              <w:bottom w:val="single" w:sz="12" w:space="0" w:color="0F9ED5"/>
              <w:right w:val="single" w:sz="12" w:space="0" w:color="0F9ED5" w:themeColor="accent4"/>
            </w:tcBorders>
            <w:shd w:val="clear" w:color="auto" w:fill="E8E8E8" w:themeFill="background2"/>
          </w:tcPr>
          <w:p w14:paraId="7407DC59" w14:textId="77777777" w:rsidR="0067106D" w:rsidRPr="001C58C6" w:rsidRDefault="00910DCF" w:rsidP="001743DE">
            <w:pPr>
              <w:jc w:val="center"/>
              <w:rPr>
                <w:rFonts w:ascii="Calibri" w:eastAsia="Times New Roman" w:hAnsi="Calibri" w:cs="Calibri"/>
                <w:b/>
                <w:color w:val="000000" w:themeColor="text1"/>
                <w:sz w:val="22"/>
                <w:lang w:eastAsia="en-GB"/>
              </w:rPr>
            </w:pPr>
            <w:r w:rsidRPr="001C58C6">
              <w:rPr>
                <w:rFonts w:ascii="Calibri" w:eastAsia="Times New Roman" w:hAnsi="Calibri" w:cs="Calibri"/>
                <w:b/>
                <w:color w:val="000000" w:themeColor="text1"/>
                <w:sz w:val="22"/>
                <w:lang w:eastAsia="en-GB"/>
              </w:rPr>
              <w:lastRenderedPageBreak/>
              <w:t>Zona kvaliteta vazduha</w:t>
            </w:r>
          </w:p>
        </w:tc>
        <w:tc>
          <w:tcPr>
            <w:tcW w:w="2688" w:type="pct"/>
            <w:tcBorders>
              <w:top w:val="single" w:sz="12" w:space="0" w:color="0F9ED5"/>
              <w:left w:val="single" w:sz="12" w:space="0" w:color="0F9ED5" w:themeColor="accent4"/>
              <w:bottom w:val="single" w:sz="12" w:space="0" w:color="0F9ED5"/>
              <w:right w:val="single" w:sz="12" w:space="0" w:color="0F9ED5" w:themeColor="accent4"/>
            </w:tcBorders>
            <w:shd w:val="clear" w:color="auto" w:fill="E8E8E8" w:themeFill="background2"/>
          </w:tcPr>
          <w:p w14:paraId="6C9D32B9" w14:textId="77777777" w:rsidR="0067106D" w:rsidRPr="001C58C6" w:rsidRDefault="00910DCF" w:rsidP="001743DE">
            <w:pPr>
              <w:jc w:val="center"/>
              <w:rPr>
                <w:rFonts w:ascii="Calibri" w:eastAsia="Times New Roman" w:hAnsi="Calibri" w:cs="Calibri"/>
                <w:b/>
                <w:color w:val="000000" w:themeColor="text1"/>
                <w:sz w:val="22"/>
                <w:lang w:eastAsia="en-GB"/>
              </w:rPr>
            </w:pPr>
            <w:r w:rsidRPr="001C58C6">
              <w:rPr>
                <w:rFonts w:ascii="Calibri" w:eastAsia="Times New Roman" w:hAnsi="Calibri" w:cs="Calibri"/>
                <w:b/>
                <w:color w:val="000000" w:themeColor="text1"/>
                <w:sz w:val="22"/>
                <w:lang w:eastAsia="en-GB"/>
              </w:rPr>
              <w:t>Opštine u sastavu zona</w:t>
            </w:r>
          </w:p>
        </w:tc>
      </w:tr>
      <w:tr w:rsidR="0067106D" w:rsidRPr="001C58C6" w14:paraId="77D1A693" w14:textId="77777777" w:rsidTr="001743DE">
        <w:tc>
          <w:tcPr>
            <w:tcW w:w="2312" w:type="pct"/>
            <w:tcBorders>
              <w:top w:val="single" w:sz="12" w:space="0" w:color="0F9ED5"/>
              <w:left w:val="single" w:sz="12" w:space="0" w:color="0F9ED5" w:themeColor="accent4"/>
              <w:bottom w:val="single" w:sz="12" w:space="0" w:color="0F9ED5" w:themeColor="accent4"/>
              <w:right w:val="single" w:sz="12" w:space="0" w:color="0F9ED5" w:themeColor="accent4"/>
            </w:tcBorders>
            <w:shd w:val="clear" w:color="auto" w:fill="8DD873" w:themeFill="accent6" w:themeFillTint="99"/>
            <w:vAlign w:val="center"/>
          </w:tcPr>
          <w:p w14:paraId="249AA896" w14:textId="77777777" w:rsidR="0067106D" w:rsidRPr="001C58C6" w:rsidRDefault="00910DCF" w:rsidP="001743DE">
            <w:pPr>
              <w:jc w:val="center"/>
              <w:rPr>
                <w:rFonts w:ascii="Calibri" w:eastAsia="Times New Roman" w:hAnsi="Calibri" w:cs="Calibri"/>
                <w:bCs/>
                <w:color w:val="000000" w:themeColor="text1"/>
                <w:sz w:val="22"/>
                <w:lang w:eastAsia="en-GB"/>
              </w:rPr>
            </w:pPr>
            <w:r w:rsidRPr="001C58C6">
              <w:rPr>
                <w:rFonts w:ascii="Calibri" w:eastAsia="Times New Roman" w:hAnsi="Calibri" w:cs="Calibri"/>
                <w:bCs/>
                <w:color w:val="000000" w:themeColor="text1"/>
                <w:sz w:val="22"/>
                <w:lang w:eastAsia="en-GB"/>
              </w:rPr>
              <w:t>Sjeverna zona kvaliteta vazduha</w:t>
            </w:r>
          </w:p>
        </w:tc>
        <w:tc>
          <w:tcPr>
            <w:tcW w:w="2688" w:type="pct"/>
            <w:tcBorders>
              <w:top w:val="single" w:sz="12" w:space="0" w:color="0F9ED5"/>
              <w:left w:val="single" w:sz="12" w:space="0" w:color="0F9ED5" w:themeColor="accent4"/>
              <w:bottom w:val="single" w:sz="12" w:space="0" w:color="0F9ED5" w:themeColor="accent4"/>
              <w:right w:val="single" w:sz="12" w:space="0" w:color="0F9ED5"/>
            </w:tcBorders>
          </w:tcPr>
          <w:p w14:paraId="5C42555D" w14:textId="77777777" w:rsidR="0067106D" w:rsidRPr="001C58C6" w:rsidRDefault="00910DCF" w:rsidP="001743DE">
            <w:pPr>
              <w:jc w:val="center"/>
              <w:rPr>
                <w:rFonts w:ascii="Calibri" w:eastAsia="Times New Roman" w:hAnsi="Calibri" w:cs="Calibri"/>
                <w:color w:val="000000" w:themeColor="text1"/>
                <w:sz w:val="22"/>
                <w:lang w:eastAsia="en-GB"/>
              </w:rPr>
            </w:pPr>
            <w:r w:rsidRPr="001C58C6">
              <w:rPr>
                <w:rFonts w:ascii="Calibri" w:eastAsia="Times New Roman" w:hAnsi="Calibri" w:cs="Calibri"/>
                <w:color w:val="000000" w:themeColor="text1"/>
                <w:sz w:val="22"/>
                <w:lang w:eastAsia="en-GB"/>
              </w:rPr>
              <w:t>Andrijevica, Berane, Bijelo Polje, Gusinje, Pljevlja, Kolašin, Mojkovac, Petnjica, Plav, Plužine, Rožaje, Šavnik i Žabljak</w:t>
            </w:r>
          </w:p>
        </w:tc>
      </w:tr>
      <w:tr w:rsidR="0067106D" w:rsidRPr="001C58C6" w14:paraId="6A59A5C6" w14:textId="77777777" w:rsidTr="001743DE">
        <w:tc>
          <w:tcPr>
            <w:tcW w:w="2312" w:type="pct"/>
            <w:tcBorders>
              <w:top w:val="single" w:sz="12" w:space="0" w:color="0F9ED5" w:themeColor="accent4"/>
              <w:left w:val="single" w:sz="12" w:space="0" w:color="0F9ED5" w:themeColor="accent4"/>
              <w:bottom w:val="single" w:sz="12" w:space="0" w:color="0F9ED5" w:themeColor="accent4"/>
              <w:right w:val="single" w:sz="12" w:space="0" w:color="0F9ED5" w:themeColor="accent4"/>
            </w:tcBorders>
            <w:shd w:val="clear" w:color="auto" w:fill="FF7474"/>
            <w:vAlign w:val="center"/>
          </w:tcPr>
          <w:p w14:paraId="40F054C8" w14:textId="77777777" w:rsidR="0067106D" w:rsidRPr="001C58C6" w:rsidRDefault="00910DCF" w:rsidP="001743DE">
            <w:pPr>
              <w:jc w:val="center"/>
              <w:rPr>
                <w:rFonts w:ascii="Calibri" w:eastAsia="Times New Roman" w:hAnsi="Calibri" w:cs="Calibri"/>
                <w:bCs/>
                <w:color w:val="000000" w:themeColor="text1"/>
                <w:sz w:val="22"/>
                <w:lang w:eastAsia="en-GB"/>
              </w:rPr>
            </w:pPr>
            <w:r w:rsidRPr="001C58C6">
              <w:rPr>
                <w:rFonts w:ascii="Calibri" w:eastAsia="Times New Roman" w:hAnsi="Calibri" w:cs="Calibri"/>
                <w:bCs/>
                <w:color w:val="000000" w:themeColor="text1"/>
                <w:sz w:val="22"/>
                <w:lang w:eastAsia="en-GB"/>
              </w:rPr>
              <w:t>Centralna zona kvaliteta vazduha</w:t>
            </w:r>
          </w:p>
        </w:tc>
        <w:tc>
          <w:tcPr>
            <w:tcW w:w="2688" w:type="pct"/>
            <w:tcBorders>
              <w:top w:val="single" w:sz="12" w:space="0" w:color="0F9ED5" w:themeColor="accent4"/>
              <w:left w:val="single" w:sz="12" w:space="0" w:color="0F9ED5" w:themeColor="accent4"/>
              <w:bottom w:val="single" w:sz="12" w:space="0" w:color="0F9ED5" w:themeColor="accent4"/>
              <w:right w:val="single" w:sz="12" w:space="0" w:color="0F9ED5" w:themeColor="accent4"/>
            </w:tcBorders>
            <w:vAlign w:val="center"/>
          </w:tcPr>
          <w:p w14:paraId="5EF14E67" w14:textId="77777777" w:rsidR="0067106D" w:rsidRPr="001C58C6" w:rsidRDefault="00910DCF" w:rsidP="001743DE">
            <w:pPr>
              <w:jc w:val="center"/>
              <w:rPr>
                <w:rFonts w:ascii="Calibri" w:eastAsia="Times New Roman" w:hAnsi="Calibri" w:cs="Calibri"/>
                <w:color w:val="000000" w:themeColor="text1"/>
                <w:sz w:val="22"/>
                <w:lang w:eastAsia="en-GB"/>
              </w:rPr>
            </w:pPr>
            <w:r w:rsidRPr="001C58C6">
              <w:rPr>
                <w:rFonts w:ascii="Calibri" w:hAnsi="Calibri" w:cs="Calibri"/>
                <w:color w:val="000000" w:themeColor="text1"/>
              </w:rPr>
              <w:t>Podgorica, Tuzi, Zeta, Nikšić, Danilovgrad i Cetinje</w:t>
            </w:r>
          </w:p>
        </w:tc>
      </w:tr>
      <w:tr w:rsidR="0067106D" w:rsidRPr="001C58C6" w14:paraId="68AE2987" w14:textId="77777777" w:rsidTr="001743DE">
        <w:tc>
          <w:tcPr>
            <w:tcW w:w="2312" w:type="pct"/>
            <w:tcBorders>
              <w:top w:val="single" w:sz="12" w:space="0" w:color="0F9ED5" w:themeColor="accent4"/>
              <w:left w:val="single" w:sz="12" w:space="0" w:color="0F9ED5" w:themeColor="accent4"/>
              <w:bottom w:val="single" w:sz="12" w:space="0" w:color="0F9ED5" w:themeColor="accent4"/>
              <w:right w:val="single" w:sz="12" w:space="0" w:color="0F9ED5" w:themeColor="accent4"/>
            </w:tcBorders>
            <w:shd w:val="clear" w:color="auto" w:fill="CAEDFB" w:themeFill="accent4" w:themeFillTint="33"/>
            <w:vAlign w:val="center"/>
          </w:tcPr>
          <w:p w14:paraId="0C398D67" w14:textId="77777777" w:rsidR="0067106D" w:rsidRPr="001C58C6" w:rsidRDefault="00910DCF" w:rsidP="001743DE">
            <w:pPr>
              <w:jc w:val="center"/>
              <w:rPr>
                <w:rFonts w:ascii="Calibri" w:eastAsia="Times New Roman" w:hAnsi="Calibri" w:cs="Calibri"/>
                <w:bCs/>
                <w:color w:val="000000" w:themeColor="text1"/>
                <w:sz w:val="22"/>
                <w:lang w:eastAsia="en-GB"/>
              </w:rPr>
            </w:pPr>
            <w:r w:rsidRPr="001C58C6">
              <w:rPr>
                <w:rFonts w:ascii="Calibri" w:eastAsia="Times New Roman" w:hAnsi="Calibri" w:cs="Calibri"/>
                <w:bCs/>
                <w:color w:val="000000" w:themeColor="text1"/>
                <w:sz w:val="22"/>
                <w:lang w:eastAsia="en-GB"/>
              </w:rPr>
              <w:t>Južna zona kvaliteta vazduha</w:t>
            </w:r>
          </w:p>
        </w:tc>
        <w:tc>
          <w:tcPr>
            <w:tcW w:w="2688" w:type="pct"/>
            <w:tcBorders>
              <w:top w:val="single" w:sz="12" w:space="0" w:color="0F9ED5" w:themeColor="accent4"/>
              <w:left w:val="single" w:sz="12" w:space="0" w:color="0F9ED5" w:themeColor="accent4"/>
              <w:bottom w:val="single" w:sz="12" w:space="0" w:color="0F9ED5" w:themeColor="accent4"/>
              <w:right w:val="single" w:sz="12" w:space="0" w:color="0F9ED5" w:themeColor="accent4"/>
            </w:tcBorders>
            <w:vAlign w:val="center"/>
          </w:tcPr>
          <w:p w14:paraId="16F24E2F" w14:textId="77777777" w:rsidR="0067106D" w:rsidRPr="001C58C6" w:rsidRDefault="00910DCF" w:rsidP="001743DE">
            <w:pPr>
              <w:jc w:val="center"/>
              <w:rPr>
                <w:rFonts w:ascii="Calibri" w:eastAsia="Times New Roman" w:hAnsi="Calibri" w:cs="Calibri"/>
                <w:color w:val="000000" w:themeColor="text1"/>
                <w:sz w:val="22"/>
                <w:lang w:eastAsia="en-GB"/>
              </w:rPr>
            </w:pPr>
            <w:r w:rsidRPr="001C58C6">
              <w:rPr>
                <w:rFonts w:ascii="Calibri" w:eastAsia="Times New Roman" w:hAnsi="Calibri" w:cs="Calibri"/>
                <w:color w:val="000000" w:themeColor="text1"/>
                <w:sz w:val="22"/>
                <w:lang w:eastAsia="en-GB"/>
              </w:rPr>
              <w:t>Bar, Budva, Kotor, Tivat, Ulcinj i Herceg Novi</w:t>
            </w:r>
          </w:p>
        </w:tc>
      </w:tr>
    </w:tbl>
    <w:p w14:paraId="7C7C12AE" w14:textId="77777777" w:rsidR="0067106D" w:rsidRPr="001C58C6" w:rsidRDefault="0067106D">
      <w:pPr>
        <w:rPr>
          <w:rFonts w:ascii="Calibri" w:hAnsi="Calibri" w:cs="Calibri"/>
          <w:color w:val="000000" w:themeColor="text1"/>
        </w:rPr>
      </w:pPr>
    </w:p>
    <w:p w14:paraId="3EE599F8" w14:textId="77777777" w:rsidR="0067106D" w:rsidRPr="001C58C6" w:rsidRDefault="00910DCF">
      <w:pPr>
        <w:rPr>
          <w:rFonts w:ascii="Calibri" w:hAnsi="Calibri" w:cs="Calibri"/>
          <w:color w:val="000000" w:themeColor="text1"/>
        </w:rPr>
      </w:pPr>
      <w:r w:rsidRPr="001C58C6">
        <w:rPr>
          <w:rFonts w:ascii="Calibri" w:hAnsi="Calibri" w:cs="Calibri"/>
          <w:color w:val="000000" w:themeColor="text1"/>
        </w:rPr>
        <w:t>Na grafik</w:t>
      </w:r>
      <w:r w:rsidR="008B1DD2" w:rsidRPr="001C58C6">
        <w:rPr>
          <w:rFonts w:ascii="Calibri" w:hAnsi="Calibri" w:cs="Calibri"/>
          <w:color w:val="000000" w:themeColor="text1"/>
        </w:rPr>
        <w:t xml:space="preserve">u broj 1 </w:t>
      </w:r>
      <w:r w:rsidRPr="001C58C6">
        <w:rPr>
          <w:rFonts w:ascii="Calibri" w:hAnsi="Calibri" w:cs="Calibri"/>
          <w:color w:val="000000" w:themeColor="text1"/>
        </w:rPr>
        <w:t xml:space="preserve">predstavljene su srednje godišnje koncentracije zagađujućih materija u odnosu na važeće granične i nove granične vrijednosti koje će se u skladu sa novim zakonodavstvom EU primjenjivati od 1. januara 2030. godine. </w:t>
      </w:r>
    </w:p>
    <w:p w14:paraId="09508335" w14:textId="77777777" w:rsidR="00743A33" w:rsidRPr="001C58C6" w:rsidRDefault="00743A33">
      <w:pPr>
        <w:rPr>
          <w:rFonts w:ascii="Calibri" w:hAnsi="Calibri" w:cs="Calibri"/>
          <w:color w:val="000000" w:themeColor="text1"/>
        </w:rPr>
      </w:pPr>
    </w:p>
    <w:p w14:paraId="70C63FFF" w14:textId="77777777" w:rsidR="00743A33" w:rsidRPr="001C58C6" w:rsidRDefault="00743A33">
      <w:pPr>
        <w:rPr>
          <w:rFonts w:ascii="Calibri" w:hAnsi="Calibri" w:cs="Calibri"/>
          <w:color w:val="000000" w:themeColor="text1"/>
        </w:rPr>
      </w:pPr>
    </w:p>
    <w:p w14:paraId="00921F3D" w14:textId="77777777" w:rsidR="0067106D" w:rsidRPr="001C58C6" w:rsidRDefault="00743A33" w:rsidP="00B33518">
      <w:pPr>
        <w:pStyle w:val="Caption"/>
        <w:jc w:val="center"/>
        <w:rPr>
          <w:rFonts w:ascii="Calibri" w:hAnsi="Calibri" w:cs="Calibri"/>
          <w:i/>
          <w:iCs/>
          <w:color w:val="000000" w:themeColor="text1"/>
          <w:sz w:val="20"/>
          <w:szCs w:val="20"/>
        </w:rPr>
      </w:pPr>
      <w:bookmarkStart w:id="11" w:name="_Toc233584662"/>
      <w:r w:rsidRPr="001C58C6">
        <w:rPr>
          <w:rFonts w:ascii="Calibri" w:hAnsi="Calibri" w:cs="Calibri"/>
          <w:i/>
          <w:iCs/>
          <w:color w:val="000000" w:themeColor="text1"/>
          <w:sz w:val="20"/>
          <w:szCs w:val="20"/>
        </w:rPr>
        <w:t xml:space="preserve">Grafik </w:t>
      </w:r>
      <w:r w:rsidRPr="001C58C6">
        <w:rPr>
          <w:rFonts w:ascii="Calibri" w:hAnsi="Calibri" w:cs="Calibri"/>
          <w:i/>
          <w:iCs/>
          <w:color w:val="000000" w:themeColor="text1"/>
          <w:sz w:val="20"/>
          <w:szCs w:val="20"/>
        </w:rPr>
        <w:fldChar w:fldCharType="begin"/>
      </w:r>
      <w:r w:rsidRPr="001C58C6">
        <w:rPr>
          <w:rFonts w:ascii="Calibri" w:hAnsi="Calibri" w:cs="Calibri"/>
          <w:i/>
          <w:iCs/>
          <w:color w:val="000000" w:themeColor="text1"/>
          <w:sz w:val="20"/>
          <w:szCs w:val="20"/>
        </w:rPr>
        <w:instrText xml:space="preserve"> SEQ Grafik \* ARABIC </w:instrText>
      </w:r>
      <w:r w:rsidRPr="001C58C6">
        <w:rPr>
          <w:rFonts w:ascii="Calibri" w:hAnsi="Calibri" w:cs="Calibri"/>
          <w:i/>
          <w:iCs/>
          <w:color w:val="000000" w:themeColor="text1"/>
          <w:sz w:val="20"/>
          <w:szCs w:val="20"/>
        </w:rPr>
        <w:fldChar w:fldCharType="separate"/>
      </w:r>
      <w:r w:rsidR="00752282" w:rsidRPr="001C58C6">
        <w:rPr>
          <w:rFonts w:ascii="Calibri" w:hAnsi="Calibri" w:cs="Calibri"/>
          <w:i/>
          <w:iCs/>
          <w:color w:val="000000" w:themeColor="text1"/>
          <w:sz w:val="20"/>
          <w:szCs w:val="20"/>
        </w:rPr>
        <w:t>1</w:t>
      </w:r>
      <w:r w:rsidRPr="001C58C6">
        <w:rPr>
          <w:rFonts w:ascii="Calibri" w:hAnsi="Calibri" w:cs="Calibri"/>
          <w:i/>
          <w:iCs/>
          <w:color w:val="000000" w:themeColor="text1"/>
          <w:sz w:val="20"/>
          <w:szCs w:val="20"/>
        </w:rPr>
        <w:fldChar w:fldCharType="end"/>
      </w:r>
      <w:r w:rsidR="008B1DD2" w:rsidRPr="001C58C6">
        <w:rPr>
          <w:rFonts w:ascii="Calibri" w:hAnsi="Calibri" w:cs="Calibri"/>
          <w:i/>
          <w:iCs/>
          <w:color w:val="000000" w:themeColor="text1"/>
          <w:sz w:val="20"/>
          <w:szCs w:val="20"/>
        </w:rPr>
        <w:t>:</w:t>
      </w:r>
      <w:r w:rsidR="00910DCF" w:rsidRPr="001C58C6">
        <w:rPr>
          <w:rFonts w:ascii="Calibri" w:hAnsi="Calibri" w:cs="Calibri"/>
          <w:i/>
          <w:iCs/>
          <w:color w:val="000000" w:themeColor="text1"/>
          <w:sz w:val="20"/>
          <w:szCs w:val="20"/>
        </w:rPr>
        <w:t xml:space="preserve"> </w:t>
      </w:r>
      <w:r w:rsidR="008B1DD2" w:rsidRPr="001C58C6">
        <w:rPr>
          <w:rFonts w:ascii="Calibri" w:hAnsi="Calibri" w:cs="Calibri"/>
          <w:i/>
          <w:iCs/>
          <w:color w:val="000000" w:themeColor="text1"/>
          <w:sz w:val="20"/>
          <w:szCs w:val="20"/>
        </w:rPr>
        <w:t>S</w:t>
      </w:r>
      <w:r w:rsidR="00910DCF" w:rsidRPr="001C58C6">
        <w:rPr>
          <w:rFonts w:ascii="Calibri" w:hAnsi="Calibri" w:cs="Calibri"/>
          <w:i/>
          <w:iCs/>
          <w:color w:val="000000" w:themeColor="text1"/>
          <w:sz w:val="20"/>
          <w:szCs w:val="20"/>
        </w:rPr>
        <w:t>rednje godišnje koncentracije azot-dioksida (2020-2024)</w:t>
      </w:r>
      <w:bookmarkEnd w:id="11"/>
    </w:p>
    <w:p w14:paraId="00C5158C" w14:textId="77777777" w:rsidR="008B1DD2" w:rsidRPr="001C58C6" w:rsidRDefault="008B1DD2" w:rsidP="00374C81">
      <w:pPr>
        <w:jc w:val="center"/>
        <w:rPr>
          <w:rFonts w:ascii="Calibri" w:hAnsi="Calibri" w:cs="Calibri"/>
          <w:color w:val="000000" w:themeColor="text1"/>
        </w:rPr>
      </w:pPr>
      <w:r w:rsidRPr="001C58C6">
        <w:rPr>
          <w:rFonts w:ascii="Calibri" w:hAnsi="Calibri" w:cs="Calibri"/>
          <w:noProof/>
          <w:color w:val="000000" w:themeColor="text1"/>
          <w:sz w:val="18"/>
          <w:szCs w:val="18"/>
        </w:rPr>
        <w:drawing>
          <wp:inline distT="0" distB="0" distL="0" distR="0" wp14:anchorId="7CDD6778" wp14:editId="1947F9B0">
            <wp:extent cx="4162425" cy="2286000"/>
            <wp:effectExtent l="0" t="0" r="9525" b="0"/>
            <wp:docPr id="175451833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3D839AF" w14:textId="77777777" w:rsidR="0067106D" w:rsidRPr="001C58C6" w:rsidRDefault="00910DCF" w:rsidP="008B1DD2">
      <w:pPr>
        <w:jc w:val="center"/>
        <w:rPr>
          <w:rFonts w:ascii="Calibri" w:hAnsi="Calibri" w:cs="Calibri"/>
          <w:i/>
          <w:iCs/>
          <w:color w:val="000000" w:themeColor="text1"/>
          <w:sz w:val="18"/>
          <w:szCs w:val="18"/>
        </w:rPr>
      </w:pPr>
      <w:r w:rsidRPr="001C58C6">
        <w:rPr>
          <w:rFonts w:ascii="Calibri" w:hAnsi="Calibri" w:cs="Calibri"/>
          <w:i/>
          <w:iCs/>
          <w:color w:val="000000" w:themeColor="text1"/>
          <w:sz w:val="18"/>
          <w:szCs w:val="18"/>
        </w:rPr>
        <w:t>Izvor podataka: Godišnji izvještaji o realizaciji programa monitoringa vazduha</w:t>
      </w:r>
      <w:r w:rsidRPr="001C58C6">
        <w:rPr>
          <w:rStyle w:val="FootnoteReference"/>
          <w:rFonts w:ascii="Calibri" w:hAnsi="Calibri" w:cs="Calibri"/>
          <w:i/>
          <w:iCs/>
          <w:color w:val="000000" w:themeColor="text1"/>
          <w:sz w:val="18"/>
          <w:szCs w:val="18"/>
        </w:rPr>
        <w:footnoteReference w:id="3"/>
      </w:r>
      <w:r w:rsidR="008B1DD2" w:rsidRPr="001C58C6">
        <w:rPr>
          <w:rFonts w:ascii="Calibri" w:hAnsi="Calibri" w:cs="Calibri"/>
          <w:i/>
          <w:iCs/>
          <w:color w:val="000000" w:themeColor="text1"/>
          <w:sz w:val="18"/>
          <w:szCs w:val="18"/>
        </w:rPr>
        <w:t xml:space="preserve"> </w:t>
      </w:r>
      <w:r w:rsidRPr="001C58C6">
        <w:rPr>
          <w:rFonts w:ascii="Calibri" w:hAnsi="Calibri" w:cs="Calibri"/>
          <w:i/>
          <w:iCs/>
          <w:color w:val="000000" w:themeColor="text1"/>
          <w:sz w:val="18"/>
          <w:szCs w:val="18"/>
        </w:rPr>
        <w:t>(CETI, 2020-2024)</w:t>
      </w:r>
    </w:p>
    <w:p w14:paraId="3929B8CA" w14:textId="77777777" w:rsidR="00743A33" w:rsidRPr="001C58C6" w:rsidRDefault="00743A33">
      <w:pPr>
        <w:rPr>
          <w:rFonts w:ascii="Calibri" w:hAnsi="Calibri" w:cs="Calibri"/>
          <w:color w:val="000000" w:themeColor="text1"/>
        </w:rPr>
      </w:pPr>
    </w:p>
    <w:p w14:paraId="10A2F025" w14:textId="77777777" w:rsidR="0067106D" w:rsidRPr="001C58C6" w:rsidRDefault="00910DCF">
      <w:pPr>
        <w:rPr>
          <w:rFonts w:ascii="Calibri" w:hAnsi="Calibri" w:cs="Calibri"/>
          <w:color w:val="000000" w:themeColor="text1"/>
        </w:rPr>
      </w:pPr>
      <w:r w:rsidRPr="001C58C6">
        <w:rPr>
          <w:rFonts w:ascii="Calibri" w:hAnsi="Calibri" w:cs="Calibri"/>
          <w:color w:val="000000" w:themeColor="text1"/>
        </w:rPr>
        <w:t xml:space="preserve">Tokom posmatranog perioda, srednje godišnje vrijednosti koncentracije azot-dioksida u svim zonama i na svim mjernim mjestima bile su ispod važeće granične vrijednosti od 40µg/m3. Najviša srednja godišnja vrijednost od 19.4 µg/m3 zabilježena je tokom 2021. godine u centralnoj zoni kvaliteta vazduha. Iako je i ova vrijednost ispod nove granične vrijednosti (20µg/m3) koja će se u državama članicama EU primjenjivati od 2030. godine, u narednom periodu je potrebno obratiti pažnju na koncentracije azot-dioksida u centralnoj zoni. </w:t>
      </w:r>
    </w:p>
    <w:p w14:paraId="55E373A3" w14:textId="77777777" w:rsidR="00743A33" w:rsidRPr="001C58C6" w:rsidRDefault="00743A33">
      <w:pPr>
        <w:rPr>
          <w:rFonts w:ascii="Calibri" w:hAnsi="Calibri" w:cs="Calibri"/>
          <w:color w:val="000000" w:themeColor="text1"/>
        </w:rPr>
      </w:pPr>
    </w:p>
    <w:p w14:paraId="11D816E6" w14:textId="77777777" w:rsidR="00743A33" w:rsidRPr="001C58C6" w:rsidRDefault="00743A33">
      <w:pPr>
        <w:rPr>
          <w:rFonts w:ascii="Calibri" w:hAnsi="Calibri" w:cs="Calibri"/>
          <w:color w:val="000000" w:themeColor="text1"/>
        </w:rPr>
      </w:pPr>
    </w:p>
    <w:p w14:paraId="29F33180" w14:textId="77777777" w:rsidR="00743A33" w:rsidRPr="001C58C6" w:rsidRDefault="00743A33">
      <w:pPr>
        <w:rPr>
          <w:rFonts w:ascii="Calibri" w:hAnsi="Calibri" w:cs="Calibri"/>
          <w:color w:val="000000" w:themeColor="text1"/>
        </w:rPr>
      </w:pPr>
    </w:p>
    <w:p w14:paraId="71BEBAF6" w14:textId="77777777" w:rsidR="00B33518" w:rsidRPr="001C58C6" w:rsidRDefault="00B33518">
      <w:pPr>
        <w:rPr>
          <w:rFonts w:ascii="Calibri" w:hAnsi="Calibri" w:cs="Calibri"/>
          <w:color w:val="000000" w:themeColor="text1"/>
        </w:rPr>
      </w:pPr>
    </w:p>
    <w:p w14:paraId="3D1769CD" w14:textId="77777777" w:rsidR="0094151F" w:rsidRPr="001C58C6" w:rsidRDefault="0094151F">
      <w:pPr>
        <w:rPr>
          <w:rFonts w:ascii="Calibri" w:hAnsi="Calibri" w:cs="Calibri"/>
          <w:color w:val="000000" w:themeColor="text1"/>
        </w:rPr>
      </w:pPr>
    </w:p>
    <w:p w14:paraId="4642AFD2" w14:textId="77777777" w:rsidR="00743A33" w:rsidRDefault="00743A33">
      <w:pPr>
        <w:rPr>
          <w:rFonts w:ascii="Calibri" w:hAnsi="Calibri" w:cs="Calibri"/>
          <w:color w:val="000000" w:themeColor="text1"/>
        </w:rPr>
      </w:pPr>
    </w:p>
    <w:p w14:paraId="1958A57F" w14:textId="77777777" w:rsidR="006F52AD" w:rsidRDefault="006F52AD">
      <w:pPr>
        <w:rPr>
          <w:rFonts w:ascii="Calibri" w:hAnsi="Calibri" w:cs="Calibri"/>
          <w:color w:val="000000" w:themeColor="text1"/>
        </w:rPr>
      </w:pPr>
    </w:p>
    <w:p w14:paraId="6B653831" w14:textId="77777777" w:rsidR="006F52AD" w:rsidRPr="001C58C6" w:rsidRDefault="006F52AD">
      <w:pPr>
        <w:rPr>
          <w:rFonts w:ascii="Calibri" w:hAnsi="Calibri" w:cs="Calibri"/>
          <w:color w:val="000000" w:themeColor="text1"/>
        </w:rPr>
      </w:pPr>
    </w:p>
    <w:p w14:paraId="075FD6AC" w14:textId="77777777" w:rsidR="00743A33" w:rsidRPr="001C58C6" w:rsidRDefault="00743A33">
      <w:pPr>
        <w:rPr>
          <w:rFonts w:ascii="Calibri" w:hAnsi="Calibri" w:cs="Calibri"/>
          <w:color w:val="000000" w:themeColor="text1"/>
        </w:rPr>
      </w:pPr>
    </w:p>
    <w:p w14:paraId="02BB2DA0" w14:textId="77777777" w:rsidR="0067106D" w:rsidRPr="001C58C6" w:rsidRDefault="00DD313F" w:rsidP="00B33518">
      <w:pPr>
        <w:pStyle w:val="Caption"/>
        <w:jc w:val="center"/>
        <w:rPr>
          <w:rFonts w:ascii="Calibri" w:hAnsi="Calibri" w:cs="Calibri"/>
          <w:i/>
          <w:iCs/>
          <w:color w:val="000000" w:themeColor="text1"/>
          <w:sz w:val="20"/>
          <w:szCs w:val="20"/>
        </w:rPr>
      </w:pPr>
      <w:bookmarkStart w:id="12" w:name="_Toc233584663"/>
      <w:r w:rsidRPr="001C58C6">
        <w:rPr>
          <w:rFonts w:ascii="Calibri" w:hAnsi="Calibri" w:cs="Calibri"/>
          <w:i/>
          <w:iCs/>
          <w:color w:val="000000" w:themeColor="text1"/>
          <w:sz w:val="20"/>
          <w:szCs w:val="20"/>
        </w:rPr>
        <w:t xml:space="preserve">Grafik </w:t>
      </w:r>
      <w:r w:rsidRPr="001C58C6">
        <w:rPr>
          <w:rFonts w:ascii="Calibri" w:hAnsi="Calibri" w:cs="Calibri"/>
          <w:i/>
          <w:iCs/>
          <w:color w:val="000000" w:themeColor="text1"/>
          <w:sz w:val="20"/>
          <w:szCs w:val="20"/>
        </w:rPr>
        <w:fldChar w:fldCharType="begin"/>
      </w:r>
      <w:r w:rsidRPr="001C58C6">
        <w:rPr>
          <w:rFonts w:ascii="Calibri" w:hAnsi="Calibri" w:cs="Calibri"/>
          <w:i/>
          <w:iCs/>
          <w:color w:val="000000" w:themeColor="text1"/>
          <w:sz w:val="20"/>
          <w:szCs w:val="20"/>
        </w:rPr>
        <w:instrText xml:space="preserve"> SEQ Grafik \* ARABIC </w:instrText>
      </w:r>
      <w:r w:rsidRPr="001C58C6">
        <w:rPr>
          <w:rFonts w:ascii="Calibri" w:hAnsi="Calibri" w:cs="Calibri"/>
          <w:i/>
          <w:iCs/>
          <w:color w:val="000000" w:themeColor="text1"/>
          <w:sz w:val="20"/>
          <w:szCs w:val="20"/>
        </w:rPr>
        <w:fldChar w:fldCharType="separate"/>
      </w:r>
      <w:r w:rsidR="00752282" w:rsidRPr="001C58C6">
        <w:rPr>
          <w:rFonts w:ascii="Calibri" w:hAnsi="Calibri" w:cs="Calibri"/>
          <w:i/>
          <w:iCs/>
          <w:color w:val="000000" w:themeColor="text1"/>
          <w:sz w:val="20"/>
          <w:szCs w:val="20"/>
        </w:rPr>
        <w:t>2</w:t>
      </w:r>
      <w:r w:rsidRPr="001C58C6">
        <w:rPr>
          <w:rFonts w:ascii="Calibri" w:hAnsi="Calibri" w:cs="Calibri"/>
          <w:i/>
          <w:iCs/>
          <w:color w:val="000000" w:themeColor="text1"/>
          <w:sz w:val="20"/>
          <w:szCs w:val="20"/>
        </w:rPr>
        <w:fldChar w:fldCharType="end"/>
      </w:r>
      <w:r w:rsidR="008B1DD2" w:rsidRPr="001C58C6">
        <w:rPr>
          <w:rFonts w:ascii="Calibri" w:hAnsi="Calibri" w:cs="Calibri"/>
          <w:i/>
          <w:iCs/>
          <w:color w:val="000000" w:themeColor="text1"/>
          <w:sz w:val="20"/>
          <w:szCs w:val="20"/>
        </w:rPr>
        <w:t>:</w:t>
      </w:r>
      <w:r w:rsidR="00910DCF" w:rsidRPr="001C58C6">
        <w:rPr>
          <w:rFonts w:ascii="Calibri" w:hAnsi="Calibri" w:cs="Calibri"/>
          <w:i/>
          <w:iCs/>
          <w:color w:val="000000" w:themeColor="text1"/>
          <w:sz w:val="20"/>
          <w:szCs w:val="20"/>
        </w:rPr>
        <w:t xml:space="preserve"> </w:t>
      </w:r>
      <w:r w:rsidR="008B1DD2" w:rsidRPr="001C58C6">
        <w:rPr>
          <w:rFonts w:ascii="Calibri" w:hAnsi="Calibri" w:cs="Calibri"/>
          <w:i/>
          <w:iCs/>
          <w:color w:val="000000" w:themeColor="text1"/>
          <w:sz w:val="20"/>
          <w:szCs w:val="20"/>
        </w:rPr>
        <w:t>Srednje godišnje koncentracije sumpor-dioksida (2020-2024)</w:t>
      </w:r>
      <w:bookmarkEnd w:id="12"/>
    </w:p>
    <w:p w14:paraId="61D1FBE2" w14:textId="77777777" w:rsidR="0067106D" w:rsidRPr="001C58C6" w:rsidRDefault="00910DCF" w:rsidP="00374C81">
      <w:pPr>
        <w:jc w:val="center"/>
        <w:rPr>
          <w:rFonts w:ascii="Calibri" w:hAnsi="Calibri" w:cs="Calibri"/>
          <w:color w:val="000000" w:themeColor="text1"/>
        </w:rPr>
      </w:pPr>
      <w:r w:rsidRPr="001C58C6">
        <w:rPr>
          <w:rFonts w:ascii="Calibri" w:hAnsi="Calibri" w:cs="Calibri"/>
          <w:noProof/>
          <w:color w:val="000000" w:themeColor="text1"/>
        </w:rPr>
        <w:lastRenderedPageBreak/>
        <w:drawing>
          <wp:inline distT="0" distB="0" distL="0" distR="0" wp14:anchorId="71ABEC48" wp14:editId="71ABEC49">
            <wp:extent cx="4206240" cy="2369820"/>
            <wp:effectExtent l="0" t="0" r="3810" b="11430"/>
            <wp:docPr id="101834516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FB9061D" w14:textId="77777777" w:rsidR="0067106D" w:rsidRPr="001C58C6" w:rsidRDefault="00910DCF">
      <w:pPr>
        <w:pStyle w:val="FootnoteText"/>
        <w:jc w:val="center"/>
        <w:rPr>
          <w:rFonts w:ascii="Calibri" w:hAnsi="Calibri" w:cs="Calibri"/>
          <w:i/>
          <w:iCs/>
          <w:color w:val="000000" w:themeColor="text1"/>
          <w:sz w:val="18"/>
          <w:szCs w:val="18"/>
        </w:rPr>
      </w:pPr>
      <w:r w:rsidRPr="001C58C6">
        <w:rPr>
          <w:rFonts w:ascii="Calibri" w:hAnsi="Calibri" w:cs="Calibri"/>
          <w:i/>
          <w:iCs/>
          <w:color w:val="000000" w:themeColor="text1"/>
          <w:sz w:val="18"/>
          <w:szCs w:val="18"/>
        </w:rPr>
        <w:t>Izvor podataka: Godišnji izvještaj o realizaciji programa monitoringa vazduha</w:t>
      </w:r>
      <w:r w:rsidR="008B1DD2" w:rsidRPr="001C58C6">
        <w:rPr>
          <w:rStyle w:val="FootnoteReference"/>
          <w:rFonts w:ascii="Calibri" w:hAnsi="Calibri" w:cs="Calibri"/>
          <w:i/>
          <w:iCs/>
          <w:color w:val="000000" w:themeColor="text1"/>
          <w:sz w:val="18"/>
          <w:szCs w:val="18"/>
        </w:rPr>
        <w:footnoteReference w:id="4"/>
      </w:r>
      <w:r w:rsidRPr="001C58C6">
        <w:rPr>
          <w:rFonts w:ascii="Calibri" w:hAnsi="Calibri" w:cs="Calibri"/>
          <w:i/>
          <w:iCs/>
          <w:color w:val="000000" w:themeColor="text1"/>
          <w:sz w:val="18"/>
          <w:szCs w:val="18"/>
        </w:rPr>
        <w:t>(CETI 2022.-2024.)</w:t>
      </w:r>
    </w:p>
    <w:p w14:paraId="082C5E6E" w14:textId="77777777" w:rsidR="008B1DD2" w:rsidRPr="001C58C6" w:rsidRDefault="008B1DD2">
      <w:pPr>
        <w:pStyle w:val="FootnoteText"/>
        <w:jc w:val="center"/>
        <w:rPr>
          <w:rFonts w:ascii="Calibri" w:hAnsi="Calibri" w:cs="Calibri"/>
          <w:i/>
          <w:color w:val="000000" w:themeColor="text1"/>
        </w:rPr>
      </w:pPr>
    </w:p>
    <w:p w14:paraId="292F57E9" w14:textId="77777777" w:rsidR="0067106D" w:rsidRPr="001C58C6" w:rsidRDefault="00910DCF">
      <w:pPr>
        <w:rPr>
          <w:rFonts w:ascii="Calibri" w:hAnsi="Calibri" w:cs="Calibri"/>
          <w:color w:val="000000" w:themeColor="text1"/>
        </w:rPr>
      </w:pPr>
      <w:r w:rsidRPr="001C58C6">
        <w:rPr>
          <w:rFonts w:ascii="Calibri" w:hAnsi="Calibri" w:cs="Calibri"/>
          <w:color w:val="000000" w:themeColor="text1"/>
        </w:rPr>
        <w:t xml:space="preserve">Prema važećoj domaćoj i evropskoj regulativi do sada nije bila utvrđena granična vrijednost za koncentracije sumpor-dioksida na godišnjem nivou. Umjesto toga praćena je dnevna srednja vrijednost od 125 μg/m3 koja se ne smije prekoračiti više od 3 puta godišnje. U svim zonama tokom posmatranog perioda, srednje dnevne vrijednosti koncentracije sumpor-dioksida bile su ispod granične vrijednosti, osim na mjernoj stanici u Pljevljima (Gagovića imanje) gdje je tokom 2020. godine zabilježeno 14 dana s prekoračenjima srednje dnevne vrijednosti. Tokom 2024. godine, na istom mjernom mjestu 2 srednje dnevne vrijednosti su bile iznad granične vrijednosti, što ne predstavlja prekoračenje. Na </w:t>
      </w:r>
      <w:r w:rsidR="00374C81" w:rsidRPr="001C58C6">
        <w:rPr>
          <w:rFonts w:ascii="Calibri" w:hAnsi="Calibri" w:cs="Calibri"/>
          <w:color w:val="000000" w:themeColor="text1"/>
        </w:rPr>
        <w:t>Grafik</w:t>
      </w:r>
      <w:r w:rsidRPr="001C58C6">
        <w:rPr>
          <w:rFonts w:ascii="Calibri" w:hAnsi="Calibri" w:cs="Calibri"/>
          <w:color w:val="000000" w:themeColor="text1"/>
        </w:rPr>
        <w:t xml:space="preserve">u 2 prikazane su uporedne srednje godišnje vrijednosti koncentracija sumpor-dioksida u sjevernoj zoni kvaliteta vazduha i na mjernom mjestu u Pljevljima u odnosu na novopropisanu srednju godišnju vrijednost od 20µ/m3 koja će se primjenjivati od 2030. godine. Na </w:t>
      </w:r>
      <w:r w:rsidR="00374C81" w:rsidRPr="001C58C6">
        <w:rPr>
          <w:rFonts w:ascii="Calibri" w:hAnsi="Calibri" w:cs="Calibri"/>
          <w:color w:val="000000" w:themeColor="text1"/>
        </w:rPr>
        <w:t>Grafik</w:t>
      </w:r>
      <w:r w:rsidRPr="001C58C6">
        <w:rPr>
          <w:rFonts w:ascii="Calibri" w:hAnsi="Calibri" w:cs="Calibri"/>
          <w:color w:val="000000" w:themeColor="text1"/>
        </w:rPr>
        <w:t xml:space="preserve">u se vidi da su prosječne srednje godišnje vrijednosti koncentracija za Sjevernu zonu kvaliteta vazduha ispod propisane granične vrijednosti ali da se na mjernom mjestu u Pljevljima mogu očekivati prekoračenja ukoliko se ne preduzmu odgovarajuće mjere. </w:t>
      </w:r>
    </w:p>
    <w:p w14:paraId="184C5718" w14:textId="77777777" w:rsidR="00743A33" w:rsidRPr="001C58C6" w:rsidRDefault="00743A33">
      <w:pPr>
        <w:rPr>
          <w:rFonts w:ascii="Calibri" w:hAnsi="Calibri" w:cs="Calibri"/>
          <w:color w:val="000000" w:themeColor="text1"/>
        </w:rPr>
      </w:pPr>
    </w:p>
    <w:p w14:paraId="43B5F834" w14:textId="77777777" w:rsidR="0058783B" w:rsidRPr="001C58C6" w:rsidRDefault="000417AC">
      <w:pPr>
        <w:rPr>
          <w:rFonts w:ascii="Calibri" w:hAnsi="Calibri" w:cs="Calibri"/>
          <w:color w:val="000000" w:themeColor="text1"/>
        </w:rPr>
      </w:pPr>
      <w:r w:rsidRPr="001C58C6">
        <w:rPr>
          <w:rFonts w:ascii="Calibri" w:hAnsi="Calibri" w:cs="Calibri"/>
          <w:color w:val="000000" w:themeColor="text1"/>
        </w:rPr>
        <w:t xml:space="preserve">Prema podacima iz inventara emisija, ključni izvor emisija sumpor-dioksida u Crnoj Gori koji ukupnim emisijama doprinosi 99% je proizvodnja električne energije, odnosno TE Pljevlja. </w:t>
      </w:r>
      <w:r w:rsidR="004C1BEA" w:rsidRPr="001C58C6">
        <w:rPr>
          <w:rFonts w:ascii="Calibri" w:hAnsi="Calibri" w:cs="Calibri"/>
          <w:color w:val="000000" w:themeColor="text1"/>
        </w:rPr>
        <w:t>O</w:t>
      </w:r>
      <w:r w:rsidR="001D1A52" w:rsidRPr="001C58C6">
        <w:rPr>
          <w:rFonts w:ascii="Calibri" w:hAnsi="Calibri" w:cs="Calibri"/>
          <w:color w:val="000000" w:themeColor="text1"/>
        </w:rPr>
        <w:t xml:space="preserve">vaj događaj je pokazao da TE ne smije raditi bez ispravnog funkcionisanja sistema za odsumporavanje i sistema za automatsko praćenje emisija iz postrojenja </w:t>
      </w:r>
      <w:r w:rsidR="00483BB1" w:rsidRPr="001C58C6">
        <w:rPr>
          <w:rFonts w:ascii="Calibri" w:hAnsi="Calibri" w:cs="Calibri"/>
          <w:color w:val="000000" w:themeColor="text1"/>
        </w:rPr>
        <w:t>jer to može dovesti do uticaja na zdravlje stanovništva</w:t>
      </w:r>
      <w:r w:rsidR="00083249" w:rsidRPr="001C58C6">
        <w:rPr>
          <w:rFonts w:ascii="Calibri" w:hAnsi="Calibri" w:cs="Calibri"/>
          <w:color w:val="000000" w:themeColor="text1"/>
        </w:rPr>
        <w:t xml:space="preserve">, nepoštovanje uspostavljenih graničnih vrijednosti emisija </w:t>
      </w:r>
      <w:r w:rsidR="00355D38" w:rsidRPr="001C58C6">
        <w:rPr>
          <w:rFonts w:ascii="Calibri" w:hAnsi="Calibri" w:cs="Calibri"/>
          <w:color w:val="000000" w:themeColor="text1"/>
        </w:rPr>
        <w:t xml:space="preserve">i u krajnjem zatvaranjem postrojenja prije planiranog roka. </w:t>
      </w:r>
      <w:r w:rsidR="005F1F0D" w:rsidRPr="001C58C6">
        <w:rPr>
          <w:rFonts w:ascii="Calibri" w:hAnsi="Calibri" w:cs="Calibri"/>
          <w:color w:val="000000" w:themeColor="text1"/>
        </w:rPr>
        <w:t>U skladu sa navedenim, o</w:t>
      </w:r>
      <w:r w:rsidR="001162FB" w:rsidRPr="001C58C6">
        <w:rPr>
          <w:rFonts w:ascii="Calibri" w:hAnsi="Calibri" w:cs="Calibri"/>
          <w:color w:val="000000" w:themeColor="text1"/>
        </w:rPr>
        <w:t xml:space="preserve">vom strategijom nisu predviđene dodatne mjere </w:t>
      </w:r>
      <w:r w:rsidR="00D23669" w:rsidRPr="001C58C6">
        <w:rPr>
          <w:rFonts w:ascii="Calibri" w:hAnsi="Calibri" w:cs="Calibri"/>
          <w:color w:val="000000" w:themeColor="text1"/>
        </w:rPr>
        <w:t>smanjenja emisija sumpor-dioksida jer se one</w:t>
      </w:r>
      <w:r w:rsidR="005F1F0D" w:rsidRPr="001C58C6">
        <w:rPr>
          <w:rFonts w:ascii="Calibri" w:hAnsi="Calibri" w:cs="Calibri"/>
          <w:color w:val="000000" w:themeColor="text1"/>
        </w:rPr>
        <w:t xml:space="preserve">, imajući u vidu doprinos TE ukupnim emisijama, </w:t>
      </w:r>
      <w:r w:rsidR="00374295" w:rsidRPr="001C58C6">
        <w:rPr>
          <w:rFonts w:ascii="Calibri" w:hAnsi="Calibri" w:cs="Calibri"/>
          <w:color w:val="000000" w:themeColor="text1"/>
        </w:rPr>
        <w:t>i</w:t>
      </w:r>
      <w:r w:rsidR="00D23669" w:rsidRPr="001C58C6">
        <w:rPr>
          <w:rFonts w:ascii="Calibri" w:hAnsi="Calibri" w:cs="Calibri"/>
          <w:color w:val="000000" w:themeColor="text1"/>
        </w:rPr>
        <w:t xml:space="preserve">sključivo mogu smanjiti kroz ispravno funkcionisanje sistema za odsumporavanje ili prestanak rada postrojenja. </w:t>
      </w:r>
    </w:p>
    <w:p w14:paraId="36FFBD7B" w14:textId="77777777" w:rsidR="00743A33" w:rsidRPr="001C58C6" w:rsidRDefault="00743A33">
      <w:pPr>
        <w:rPr>
          <w:rFonts w:ascii="Calibri" w:hAnsi="Calibri" w:cs="Calibri"/>
          <w:color w:val="000000" w:themeColor="text1"/>
        </w:rPr>
      </w:pPr>
    </w:p>
    <w:p w14:paraId="0C14E251" w14:textId="77777777" w:rsidR="00743A33" w:rsidRDefault="00743A33">
      <w:pPr>
        <w:rPr>
          <w:rFonts w:ascii="Calibri" w:hAnsi="Calibri" w:cs="Calibri"/>
          <w:color w:val="000000" w:themeColor="text1"/>
        </w:rPr>
      </w:pPr>
    </w:p>
    <w:p w14:paraId="18F93642" w14:textId="77777777" w:rsidR="006F52AD" w:rsidRDefault="006F52AD">
      <w:pPr>
        <w:rPr>
          <w:rFonts w:ascii="Calibri" w:hAnsi="Calibri" w:cs="Calibri"/>
          <w:color w:val="000000" w:themeColor="text1"/>
        </w:rPr>
      </w:pPr>
    </w:p>
    <w:p w14:paraId="69744BA0" w14:textId="77777777" w:rsidR="006F52AD" w:rsidRPr="001C58C6" w:rsidRDefault="006F52AD">
      <w:pPr>
        <w:rPr>
          <w:rFonts w:ascii="Calibri" w:hAnsi="Calibri" w:cs="Calibri"/>
          <w:color w:val="000000" w:themeColor="text1"/>
        </w:rPr>
      </w:pPr>
    </w:p>
    <w:p w14:paraId="183AED9C" w14:textId="77777777" w:rsidR="00743A33" w:rsidRPr="001C58C6" w:rsidRDefault="00743A33">
      <w:pPr>
        <w:rPr>
          <w:rFonts w:ascii="Calibri" w:hAnsi="Calibri" w:cs="Calibri"/>
          <w:color w:val="000000" w:themeColor="text1"/>
        </w:rPr>
      </w:pPr>
    </w:p>
    <w:p w14:paraId="27BA2548" w14:textId="77777777" w:rsidR="00E73B8B" w:rsidRDefault="00E73B8B">
      <w:pPr>
        <w:rPr>
          <w:rFonts w:ascii="Calibri" w:hAnsi="Calibri" w:cs="Calibri"/>
          <w:b/>
          <w:color w:val="000000" w:themeColor="text1"/>
        </w:rPr>
      </w:pPr>
      <w:r w:rsidRPr="001C58C6">
        <w:rPr>
          <w:rFonts w:ascii="Calibri" w:hAnsi="Calibri" w:cs="Calibri"/>
          <w:b/>
          <w:color w:val="000000" w:themeColor="text1"/>
        </w:rPr>
        <w:t>Prekoračenja koncentracija sumpor-dioksida zabilježena u decembru 2025. godine</w:t>
      </w:r>
    </w:p>
    <w:p w14:paraId="71AC895B" w14:textId="77777777" w:rsidR="006F52AD" w:rsidRPr="001C58C6" w:rsidRDefault="006F52AD">
      <w:pPr>
        <w:rPr>
          <w:rFonts w:ascii="Calibri" w:hAnsi="Calibri" w:cs="Calibri"/>
          <w:b/>
          <w:color w:val="000000" w:themeColor="text1"/>
        </w:rPr>
      </w:pPr>
    </w:p>
    <w:p w14:paraId="2B350A0F" w14:textId="01785BF4" w:rsidR="003B4835" w:rsidRPr="001C58C6" w:rsidRDefault="003B4835" w:rsidP="003B4835">
      <w:pPr>
        <w:rPr>
          <w:rFonts w:ascii="Calibri" w:hAnsi="Calibri" w:cs="Calibri"/>
          <w:color w:val="000000" w:themeColor="text1"/>
        </w:rPr>
      </w:pPr>
      <w:r w:rsidRPr="001C58C6">
        <w:rPr>
          <w:rFonts w:ascii="Calibri" w:hAnsi="Calibri" w:cs="Calibri"/>
          <w:color w:val="000000" w:themeColor="text1"/>
        </w:rPr>
        <w:t>U decembru 2025. godine, nakon probnog puštanja u rad TE Pljevlja, nakon izvršene ekološke rekonst</w:t>
      </w:r>
      <w:r w:rsidR="00830F5E">
        <w:rPr>
          <w:rFonts w:ascii="Calibri" w:hAnsi="Calibri" w:cs="Calibri"/>
          <w:color w:val="000000" w:themeColor="text1"/>
        </w:rPr>
        <w:t>r</w:t>
      </w:r>
      <w:r w:rsidRPr="001C58C6">
        <w:rPr>
          <w:rFonts w:ascii="Calibri" w:hAnsi="Calibri" w:cs="Calibri"/>
          <w:color w:val="000000" w:themeColor="text1"/>
        </w:rPr>
        <w:t>ukcije došlo je do prekor</w:t>
      </w:r>
      <w:r w:rsidR="00830F5E">
        <w:rPr>
          <w:rFonts w:ascii="Calibri" w:hAnsi="Calibri" w:cs="Calibri"/>
          <w:color w:val="000000" w:themeColor="text1"/>
        </w:rPr>
        <w:t>a</w:t>
      </w:r>
      <w:r w:rsidRPr="001C58C6">
        <w:rPr>
          <w:rFonts w:ascii="Calibri" w:hAnsi="Calibri" w:cs="Calibri"/>
          <w:color w:val="000000" w:themeColor="text1"/>
        </w:rPr>
        <w:t>čenja praga upozoravanja za sumpor-dioksid i primjene kratkoročnog plana koji je potrebno primjeniti u ovakvim situacijama, a koji je za opštinu Pljevlja izrađen 201</w:t>
      </w:r>
      <w:r w:rsidR="00A8183C" w:rsidRPr="001C58C6">
        <w:rPr>
          <w:rFonts w:ascii="Calibri" w:hAnsi="Calibri" w:cs="Calibri"/>
          <w:color w:val="000000" w:themeColor="text1"/>
        </w:rPr>
        <w:t>7</w:t>
      </w:r>
      <w:r w:rsidRPr="001C58C6">
        <w:rPr>
          <w:rFonts w:ascii="Calibri" w:hAnsi="Calibri" w:cs="Calibri"/>
          <w:color w:val="000000" w:themeColor="text1"/>
        </w:rPr>
        <w:t xml:space="preserve">. godine. </w:t>
      </w:r>
    </w:p>
    <w:p w14:paraId="2CCF9F31" w14:textId="77777777" w:rsidR="00743A33" w:rsidRPr="001C58C6" w:rsidRDefault="00743A33" w:rsidP="003B4835">
      <w:pPr>
        <w:rPr>
          <w:rFonts w:ascii="Calibri" w:hAnsi="Calibri" w:cs="Calibri"/>
          <w:color w:val="000000" w:themeColor="text1"/>
        </w:rPr>
      </w:pPr>
    </w:p>
    <w:p w14:paraId="341AE80E" w14:textId="77777777" w:rsidR="00743A33" w:rsidRPr="001C58C6" w:rsidRDefault="003B4835" w:rsidP="003B4835">
      <w:pPr>
        <w:rPr>
          <w:rFonts w:ascii="Calibri" w:hAnsi="Calibri" w:cs="Calibri"/>
          <w:color w:val="000000" w:themeColor="text1"/>
        </w:rPr>
      </w:pPr>
      <w:r w:rsidRPr="001C58C6">
        <w:rPr>
          <w:rFonts w:ascii="Calibri" w:hAnsi="Calibri" w:cs="Calibri"/>
          <w:color w:val="000000" w:themeColor="text1"/>
        </w:rPr>
        <w:t xml:space="preserve">U decembru 2025. godine deset dnevnih srednjih vrijednosti koncentracija sumpor dioksida i četrdeset sedam jednočasovnih srednjih vrijednosti bilo je iznad propisanih graničnih vrijednosti.  </w:t>
      </w:r>
      <w:r w:rsidR="00A8183C" w:rsidRPr="001C58C6">
        <w:rPr>
          <w:rFonts w:ascii="Calibri" w:hAnsi="Calibri" w:cs="Calibri"/>
          <w:color w:val="000000" w:themeColor="text1"/>
        </w:rPr>
        <w:t>U posmatranom periodu zabilježeni su i izuzetno nepovoljni meteorološki uslovi, uključujući visok vazdušni pritisak, temperaturnu inverziju i pojavu magle. U takvim uslovima dolazi do formiranja stabilnog sloja vazduha koji ograničava vertikalno miješanje i razmjenu vazdušnih masa, što dovodi do zadržavanja zagađujućih materija u nižim slojevima atmosfere. Zbog temperaturne inverzije dim iz dimnjaka nije mogao da se podigne iznad inverzionog sloja i rasprši, već je ostajao u prizemnim slojevima vazduha. Ovakvi meteorološki uslovi dodatno su doprinijeli povećanim koncentracijama sumpor-dioksida u urbanom području Pljevalja, dok su koncentracije u ruralnim područjima, poput mjernog mjesta Gradina, ostale značajno niže, što ukazuje na dominantno lokalni karakter zagađenja.</w:t>
      </w:r>
    </w:p>
    <w:p w14:paraId="07451EFB" w14:textId="77777777" w:rsidR="00743A33" w:rsidRPr="001C58C6" w:rsidRDefault="00743A33" w:rsidP="003B4835">
      <w:pPr>
        <w:rPr>
          <w:rFonts w:ascii="Calibri" w:hAnsi="Calibri" w:cs="Calibri"/>
          <w:color w:val="000000" w:themeColor="text1"/>
        </w:rPr>
      </w:pPr>
    </w:p>
    <w:p w14:paraId="01C23803" w14:textId="77777777" w:rsidR="003B4835" w:rsidRPr="001C58C6" w:rsidRDefault="00DD313F" w:rsidP="00B33518">
      <w:pPr>
        <w:pStyle w:val="Caption"/>
        <w:jc w:val="center"/>
        <w:rPr>
          <w:rFonts w:ascii="Calibri" w:hAnsi="Calibri" w:cs="Calibri"/>
          <w:i/>
          <w:iCs/>
          <w:color w:val="000000" w:themeColor="text1"/>
          <w:sz w:val="20"/>
          <w:szCs w:val="20"/>
        </w:rPr>
      </w:pPr>
      <w:bookmarkStart w:id="13" w:name="_Toc233584664"/>
      <w:r w:rsidRPr="001C58C6">
        <w:rPr>
          <w:rFonts w:ascii="Calibri" w:hAnsi="Calibri" w:cs="Calibri"/>
          <w:i/>
          <w:iCs/>
          <w:color w:val="000000" w:themeColor="text1"/>
          <w:sz w:val="20"/>
          <w:szCs w:val="20"/>
        </w:rPr>
        <w:t xml:space="preserve">Grafik </w:t>
      </w:r>
      <w:r w:rsidRPr="001C58C6">
        <w:rPr>
          <w:rFonts w:ascii="Calibri" w:hAnsi="Calibri" w:cs="Calibri"/>
          <w:i/>
          <w:iCs/>
          <w:color w:val="000000" w:themeColor="text1"/>
          <w:sz w:val="20"/>
          <w:szCs w:val="20"/>
        </w:rPr>
        <w:fldChar w:fldCharType="begin"/>
      </w:r>
      <w:r w:rsidRPr="001C58C6">
        <w:rPr>
          <w:rFonts w:ascii="Calibri" w:hAnsi="Calibri" w:cs="Calibri"/>
          <w:i/>
          <w:iCs/>
          <w:color w:val="000000" w:themeColor="text1"/>
          <w:sz w:val="20"/>
          <w:szCs w:val="20"/>
        </w:rPr>
        <w:instrText xml:space="preserve"> SEQ Grafik \* ARABIC </w:instrText>
      </w:r>
      <w:r w:rsidRPr="001C58C6">
        <w:rPr>
          <w:rFonts w:ascii="Calibri" w:hAnsi="Calibri" w:cs="Calibri"/>
          <w:i/>
          <w:iCs/>
          <w:color w:val="000000" w:themeColor="text1"/>
          <w:sz w:val="20"/>
          <w:szCs w:val="20"/>
        </w:rPr>
        <w:fldChar w:fldCharType="separate"/>
      </w:r>
      <w:r w:rsidR="00752282" w:rsidRPr="001C58C6">
        <w:rPr>
          <w:rFonts w:ascii="Calibri" w:hAnsi="Calibri" w:cs="Calibri"/>
          <w:i/>
          <w:iCs/>
          <w:color w:val="000000" w:themeColor="text1"/>
          <w:sz w:val="20"/>
          <w:szCs w:val="20"/>
        </w:rPr>
        <w:t>3</w:t>
      </w:r>
      <w:r w:rsidRPr="001C58C6">
        <w:rPr>
          <w:rFonts w:ascii="Calibri" w:hAnsi="Calibri" w:cs="Calibri"/>
          <w:i/>
          <w:iCs/>
          <w:color w:val="000000" w:themeColor="text1"/>
          <w:sz w:val="20"/>
          <w:szCs w:val="20"/>
        </w:rPr>
        <w:fldChar w:fldCharType="end"/>
      </w:r>
      <w:r w:rsidR="003B4835" w:rsidRPr="001C58C6">
        <w:rPr>
          <w:rFonts w:ascii="Calibri" w:hAnsi="Calibri" w:cs="Calibri"/>
          <w:i/>
          <w:iCs/>
          <w:color w:val="000000" w:themeColor="text1"/>
          <w:sz w:val="20"/>
          <w:szCs w:val="20"/>
        </w:rPr>
        <w:t xml:space="preserve">  – Koncentracije sumpor – dioksida, decembar 2025, Pljevlja, Gradina, Sjeverna zona kvaliteta vazduha</w:t>
      </w:r>
      <w:bookmarkEnd w:id="13"/>
    </w:p>
    <w:p w14:paraId="12EB80BE" w14:textId="77777777" w:rsidR="003B4835" w:rsidRPr="001C58C6" w:rsidRDefault="003B4835" w:rsidP="003B4835">
      <w:pPr>
        <w:jc w:val="center"/>
        <w:rPr>
          <w:rFonts w:ascii="Calibri" w:hAnsi="Calibri" w:cs="Calibri"/>
          <w:color w:val="000000" w:themeColor="text1"/>
        </w:rPr>
      </w:pPr>
      <w:r w:rsidRPr="001C58C6">
        <w:rPr>
          <w:rFonts w:ascii="Calibri" w:hAnsi="Calibri" w:cs="Calibri"/>
          <w:noProof/>
          <w:color w:val="000000" w:themeColor="text1"/>
        </w:rPr>
        <w:drawing>
          <wp:inline distT="0" distB="0" distL="0" distR="0" wp14:anchorId="2111F738" wp14:editId="4945D298">
            <wp:extent cx="4572000" cy="2743200"/>
            <wp:effectExtent l="0" t="0" r="0" b="0"/>
            <wp:docPr id="764025111" name="Chart 1">
              <a:extLst xmlns:a="http://schemas.openxmlformats.org/drawingml/2006/main">
                <a:ext uri="{FF2B5EF4-FFF2-40B4-BE49-F238E27FC236}">
                  <a16:creationId xmlns:a16="http://schemas.microsoft.com/office/drawing/2014/main" id="{51AF756B-BE51-5F91-999B-4D3BED2A90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FB6AE99" w14:textId="77777777" w:rsidR="00E90BDB" w:rsidRPr="001C58C6" w:rsidRDefault="003B4835" w:rsidP="00E90BDB">
      <w:pPr>
        <w:jc w:val="center"/>
        <w:rPr>
          <w:rFonts w:ascii="Calibri" w:hAnsi="Calibri" w:cs="Calibri"/>
          <w:color w:val="000000" w:themeColor="text1"/>
          <w:sz w:val="20"/>
          <w:szCs w:val="20"/>
        </w:rPr>
      </w:pPr>
      <w:r w:rsidRPr="001C58C6">
        <w:rPr>
          <w:rFonts w:ascii="Calibri" w:hAnsi="Calibri" w:cs="Calibri"/>
          <w:color w:val="000000" w:themeColor="text1"/>
          <w:sz w:val="20"/>
          <w:szCs w:val="20"/>
        </w:rPr>
        <w:t xml:space="preserve">Izvor: Mjesečni izvještaj o kvalitetu vazduha, decembar 2025 </w:t>
      </w:r>
    </w:p>
    <w:p w14:paraId="4E550F8E" w14:textId="77777777" w:rsidR="00177EE1" w:rsidRPr="001C58C6" w:rsidRDefault="00E90BDB" w:rsidP="00177EE1">
      <w:pPr>
        <w:jc w:val="center"/>
        <w:rPr>
          <w:rFonts w:ascii="Calibri" w:hAnsi="Calibri" w:cs="Calibri"/>
          <w:color w:val="000000" w:themeColor="text1"/>
          <w:sz w:val="20"/>
          <w:szCs w:val="20"/>
        </w:rPr>
      </w:pPr>
      <w:r w:rsidRPr="001C58C6">
        <w:rPr>
          <w:rFonts w:ascii="Calibri" w:hAnsi="Calibri" w:cs="Calibri"/>
          <w:color w:val="000000" w:themeColor="text1"/>
          <w:sz w:val="20"/>
          <w:szCs w:val="20"/>
        </w:rPr>
        <w:t>https://epa.org.me/mjesecni-izvjestaji-o-kvalitetu-vazduha/</w:t>
      </w:r>
    </w:p>
    <w:p w14:paraId="30428AB0" w14:textId="77777777" w:rsidR="00177EE1" w:rsidRPr="001C58C6" w:rsidRDefault="00177EE1" w:rsidP="00177EE1">
      <w:pPr>
        <w:rPr>
          <w:rFonts w:ascii="Calibri" w:hAnsi="Calibri" w:cs="Calibri"/>
          <w:color w:val="000000" w:themeColor="text1"/>
        </w:rPr>
      </w:pPr>
    </w:p>
    <w:p w14:paraId="03CF3C16" w14:textId="5ABCD743" w:rsidR="003B4835" w:rsidRPr="001C58C6" w:rsidRDefault="0042603E" w:rsidP="00177EE1">
      <w:pPr>
        <w:rPr>
          <w:rFonts w:ascii="Calibri" w:hAnsi="Calibri" w:cs="Calibri"/>
          <w:color w:val="000000" w:themeColor="text1"/>
        </w:rPr>
      </w:pPr>
      <w:r w:rsidRPr="001C58C6">
        <w:rPr>
          <w:rFonts w:ascii="Calibri" w:hAnsi="Calibri" w:cs="Calibri"/>
          <w:color w:val="000000" w:themeColor="text1"/>
        </w:rPr>
        <w:t xml:space="preserve">Na </w:t>
      </w:r>
      <w:r w:rsidR="006C3736" w:rsidRPr="001C58C6">
        <w:rPr>
          <w:rFonts w:ascii="Calibri" w:hAnsi="Calibri" w:cs="Calibri"/>
          <w:color w:val="000000" w:themeColor="text1"/>
        </w:rPr>
        <w:t xml:space="preserve">prethodnom </w:t>
      </w:r>
      <w:r w:rsidRPr="001C58C6">
        <w:rPr>
          <w:rFonts w:ascii="Calibri" w:hAnsi="Calibri" w:cs="Calibri"/>
          <w:color w:val="000000" w:themeColor="text1"/>
        </w:rPr>
        <w:t xml:space="preserve">grafiku </w:t>
      </w:r>
      <w:r w:rsidR="00177EE1" w:rsidRPr="001C58C6">
        <w:rPr>
          <w:rFonts w:ascii="Calibri" w:hAnsi="Calibri" w:cs="Calibri"/>
          <w:color w:val="000000" w:themeColor="text1"/>
        </w:rPr>
        <w:t xml:space="preserve">predstavljene su </w:t>
      </w:r>
      <w:r w:rsidR="00BA4E35" w:rsidRPr="001C58C6">
        <w:rPr>
          <w:rFonts w:ascii="Calibri" w:hAnsi="Calibri" w:cs="Calibri"/>
          <w:color w:val="000000" w:themeColor="text1"/>
        </w:rPr>
        <w:t xml:space="preserve">srednje dnevne </w:t>
      </w:r>
      <w:r w:rsidR="00177EE1" w:rsidRPr="001C58C6">
        <w:rPr>
          <w:rFonts w:ascii="Calibri" w:hAnsi="Calibri" w:cs="Calibri"/>
          <w:color w:val="000000" w:themeColor="text1"/>
        </w:rPr>
        <w:t xml:space="preserve">koncentracije sumpor-dioksida </w:t>
      </w:r>
      <w:r w:rsidR="00434417" w:rsidRPr="001C58C6">
        <w:rPr>
          <w:rFonts w:ascii="Calibri" w:hAnsi="Calibri" w:cs="Calibri"/>
          <w:color w:val="000000" w:themeColor="text1"/>
        </w:rPr>
        <w:t xml:space="preserve">na mjernim </w:t>
      </w:r>
      <w:r w:rsidR="00321510" w:rsidRPr="001C58C6">
        <w:rPr>
          <w:rFonts w:ascii="Calibri" w:hAnsi="Calibri" w:cs="Calibri"/>
          <w:color w:val="000000" w:themeColor="text1"/>
        </w:rPr>
        <w:t>mjestim</w:t>
      </w:r>
      <w:r w:rsidR="00434417" w:rsidRPr="001C58C6">
        <w:rPr>
          <w:rFonts w:ascii="Calibri" w:hAnsi="Calibri" w:cs="Calibri"/>
          <w:color w:val="000000" w:themeColor="text1"/>
        </w:rPr>
        <w:t xml:space="preserve">a u Sjevernoj zoni kvaliteta vazduha (Pljevlja, Gradina) </w:t>
      </w:r>
      <w:r w:rsidR="00BA4E35" w:rsidRPr="001C58C6">
        <w:rPr>
          <w:rFonts w:ascii="Calibri" w:hAnsi="Calibri" w:cs="Calibri"/>
          <w:color w:val="000000" w:themeColor="text1"/>
        </w:rPr>
        <w:t>u odnosu na aktuelnu (125 µg/m3) i buduću graničnu vrijednost (50</w:t>
      </w:r>
      <w:r w:rsidR="00321510" w:rsidRPr="001C58C6">
        <w:rPr>
          <w:rFonts w:ascii="Calibri" w:hAnsi="Calibri" w:cs="Calibri"/>
          <w:color w:val="000000" w:themeColor="text1"/>
        </w:rPr>
        <w:t xml:space="preserve"> µg/m3)</w:t>
      </w:r>
      <w:r w:rsidR="00BA4E35" w:rsidRPr="001C58C6">
        <w:rPr>
          <w:rFonts w:ascii="Calibri" w:hAnsi="Calibri" w:cs="Calibri"/>
          <w:color w:val="000000" w:themeColor="text1"/>
        </w:rPr>
        <w:t xml:space="preserve"> gdje su vidna značajna preko</w:t>
      </w:r>
      <w:r w:rsidR="00321510" w:rsidRPr="001C58C6">
        <w:rPr>
          <w:rFonts w:ascii="Calibri" w:hAnsi="Calibri" w:cs="Calibri"/>
          <w:color w:val="000000" w:themeColor="text1"/>
        </w:rPr>
        <w:t xml:space="preserve">račenja zabilježena na mjernom mjestu u Pljevljima (Gagovića imanje) dok su koncentracije </w:t>
      </w:r>
      <w:r w:rsidR="00B20F2C" w:rsidRPr="001C58C6">
        <w:rPr>
          <w:rFonts w:ascii="Calibri" w:hAnsi="Calibri" w:cs="Calibri"/>
          <w:color w:val="000000" w:themeColor="text1"/>
        </w:rPr>
        <w:t>u ruralnom području (Gradina) ispod aktuelne ali i ispod st</w:t>
      </w:r>
      <w:r w:rsidR="00830F5E">
        <w:rPr>
          <w:rFonts w:ascii="Calibri" w:hAnsi="Calibri" w:cs="Calibri"/>
          <w:color w:val="000000" w:themeColor="text1"/>
        </w:rPr>
        <w:t>r</w:t>
      </w:r>
      <w:r w:rsidR="00B20F2C" w:rsidRPr="001C58C6">
        <w:rPr>
          <w:rFonts w:ascii="Calibri" w:hAnsi="Calibri" w:cs="Calibri"/>
          <w:color w:val="000000" w:themeColor="text1"/>
        </w:rPr>
        <w:t>ože granične vrijednosti od 50 µg/m3</w:t>
      </w:r>
      <w:r w:rsidR="003905E9" w:rsidRPr="001C58C6">
        <w:rPr>
          <w:rFonts w:ascii="Calibri" w:hAnsi="Calibri" w:cs="Calibri"/>
          <w:color w:val="000000" w:themeColor="text1"/>
        </w:rPr>
        <w:t xml:space="preserve"> koja će se u EU primjenjivati od 2030. godine. </w:t>
      </w:r>
    </w:p>
    <w:p w14:paraId="4040C9AC" w14:textId="77777777" w:rsidR="00147859" w:rsidRPr="001C58C6" w:rsidRDefault="00147859" w:rsidP="00177EE1">
      <w:pPr>
        <w:rPr>
          <w:rFonts w:ascii="Calibri" w:hAnsi="Calibri" w:cs="Calibri"/>
          <w:color w:val="000000" w:themeColor="text1"/>
        </w:rPr>
      </w:pPr>
    </w:p>
    <w:p w14:paraId="10858F5F" w14:textId="77777777" w:rsidR="00147859" w:rsidRPr="001C58C6" w:rsidRDefault="00147859" w:rsidP="00177EE1">
      <w:pPr>
        <w:rPr>
          <w:rFonts w:ascii="Calibri" w:hAnsi="Calibri" w:cs="Calibri"/>
          <w:color w:val="000000" w:themeColor="text1"/>
        </w:rPr>
      </w:pPr>
      <w:r w:rsidRPr="001C58C6">
        <w:rPr>
          <w:rFonts w:ascii="Calibri" w:hAnsi="Calibri" w:cs="Calibri"/>
          <w:color w:val="000000" w:themeColor="text1"/>
        </w:rPr>
        <w:t xml:space="preserve">Emisijska mjerenja koja su 17. decembra izvršena </w:t>
      </w:r>
      <w:r w:rsidR="00064543" w:rsidRPr="001C58C6">
        <w:rPr>
          <w:rFonts w:ascii="Calibri" w:hAnsi="Calibri" w:cs="Calibri"/>
          <w:color w:val="000000" w:themeColor="text1"/>
        </w:rPr>
        <w:t xml:space="preserve">na parnom kotlu TE Pljevlja nedvosmisleno ukazuju na izvor povećanih </w:t>
      </w:r>
      <w:r w:rsidR="00AF7D98" w:rsidRPr="001C58C6">
        <w:rPr>
          <w:rFonts w:ascii="Calibri" w:hAnsi="Calibri" w:cs="Calibri"/>
          <w:color w:val="000000" w:themeColor="text1"/>
        </w:rPr>
        <w:t>emisija</w:t>
      </w:r>
      <w:r w:rsidR="00064543" w:rsidRPr="001C58C6">
        <w:rPr>
          <w:rFonts w:ascii="Calibri" w:hAnsi="Calibri" w:cs="Calibri"/>
          <w:color w:val="000000" w:themeColor="text1"/>
        </w:rPr>
        <w:t xml:space="preserve"> sumpor-dioksida. </w:t>
      </w:r>
      <w:r w:rsidR="00DE1DC7" w:rsidRPr="001C58C6">
        <w:rPr>
          <w:rFonts w:ascii="Calibri" w:hAnsi="Calibri" w:cs="Calibri"/>
          <w:color w:val="000000" w:themeColor="text1"/>
        </w:rPr>
        <w:t xml:space="preserve">Automatski mjerni sistem TE Pljevlja u </w:t>
      </w:r>
      <w:r w:rsidR="00DE1DC7" w:rsidRPr="001C58C6">
        <w:rPr>
          <w:rFonts w:ascii="Calibri" w:hAnsi="Calibri" w:cs="Calibri"/>
          <w:color w:val="000000" w:themeColor="text1"/>
        </w:rPr>
        <w:lastRenderedPageBreak/>
        <w:t xml:space="preserve">tom periodu nije bio u funkciji. </w:t>
      </w:r>
      <w:r w:rsidR="00AF7D98" w:rsidRPr="001C58C6">
        <w:rPr>
          <w:rFonts w:ascii="Calibri" w:hAnsi="Calibri" w:cs="Calibri"/>
          <w:color w:val="000000" w:themeColor="text1"/>
        </w:rPr>
        <w:t xml:space="preserve">Mjerenje </w:t>
      </w:r>
      <w:r w:rsidR="00B57F71" w:rsidRPr="001C58C6">
        <w:rPr>
          <w:rFonts w:ascii="Calibri" w:hAnsi="Calibri" w:cs="Calibri"/>
          <w:color w:val="000000" w:themeColor="text1"/>
        </w:rPr>
        <w:t>akreditovane laboratorije</w:t>
      </w:r>
      <w:r w:rsidR="00B57F71" w:rsidRPr="001C58C6">
        <w:rPr>
          <w:rStyle w:val="FootnoteReference"/>
          <w:rFonts w:ascii="Calibri" w:hAnsi="Calibri" w:cs="Calibri"/>
          <w:color w:val="000000" w:themeColor="text1"/>
        </w:rPr>
        <w:footnoteReference w:id="5"/>
      </w:r>
      <w:r w:rsidR="00DB47A3" w:rsidRPr="001C58C6">
        <w:rPr>
          <w:rFonts w:ascii="Calibri" w:hAnsi="Calibri" w:cs="Calibri"/>
          <w:color w:val="000000" w:themeColor="text1"/>
        </w:rPr>
        <w:t xml:space="preserve"> pokazalo je da je srednja polusatna vrijednost sumpor dioksida od 3</w:t>
      </w:r>
      <w:r w:rsidR="000F2E37" w:rsidRPr="001C58C6">
        <w:rPr>
          <w:rFonts w:ascii="Calibri" w:hAnsi="Calibri" w:cs="Calibri"/>
          <w:color w:val="000000" w:themeColor="text1"/>
        </w:rPr>
        <w:t>249,0 mg/m3 iznad propisane granične vrijednosti od 200</w:t>
      </w:r>
      <w:r w:rsidR="001A616D" w:rsidRPr="001C58C6">
        <w:rPr>
          <w:rFonts w:ascii="Calibri" w:hAnsi="Calibri" w:cs="Calibri"/>
          <w:color w:val="000000" w:themeColor="text1"/>
        </w:rPr>
        <w:t xml:space="preserve"> mg/m3. </w:t>
      </w:r>
    </w:p>
    <w:p w14:paraId="6ED9F8B7" w14:textId="77777777" w:rsidR="001A616D" w:rsidRPr="001C58C6" w:rsidRDefault="001A616D" w:rsidP="00177EE1">
      <w:pPr>
        <w:rPr>
          <w:rFonts w:ascii="Calibri" w:hAnsi="Calibri" w:cs="Calibri"/>
          <w:color w:val="000000" w:themeColor="text1"/>
        </w:rPr>
      </w:pPr>
    </w:p>
    <w:p w14:paraId="3B277014" w14:textId="77777777" w:rsidR="001A616D" w:rsidRPr="001C58C6" w:rsidRDefault="00425766" w:rsidP="00177EE1">
      <w:pPr>
        <w:rPr>
          <w:rFonts w:ascii="Calibri" w:hAnsi="Calibri" w:cs="Calibri"/>
          <w:color w:val="000000" w:themeColor="text1"/>
        </w:rPr>
      </w:pPr>
      <w:r w:rsidRPr="001C58C6">
        <w:rPr>
          <w:rFonts w:ascii="Calibri" w:hAnsi="Calibri" w:cs="Calibri"/>
          <w:color w:val="000000" w:themeColor="text1"/>
        </w:rPr>
        <w:t xml:space="preserve">Ekološki inspektor je </w:t>
      </w:r>
      <w:r w:rsidR="00AE4F89" w:rsidRPr="001C58C6">
        <w:rPr>
          <w:rFonts w:ascii="Calibri" w:hAnsi="Calibri" w:cs="Calibri"/>
          <w:color w:val="000000" w:themeColor="text1"/>
        </w:rPr>
        <w:t xml:space="preserve">u skladu sa </w:t>
      </w:r>
      <w:r w:rsidR="009E4CE6" w:rsidRPr="001C58C6">
        <w:rPr>
          <w:rFonts w:ascii="Calibri" w:hAnsi="Calibri" w:cs="Calibri"/>
          <w:color w:val="000000" w:themeColor="text1"/>
        </w:rPr>
        <w:t xml:space="preserve">zabilježenim prekoračenjima i činjenicom da automatski mjerni sistem TE Pljevlja u tom periodu nije bio u funkciji propisao odgovarajuće mjere u skladu sa </w:t>
      </w:r>
      <w:r w:rsidR="00FE7AA8" w:rsidRPr="001C58C6">
        <w:rPr>
          <w:rFonts w:ascii="Calibri" w:hAnsi="Calibri" w:cs="Calibri"/>
          <w:color w:val="000000" w:themeColor="text1"/>
        </w:rPr>
        <w:t xml:space="preserve">Zakonom o industrijskim emisijama (čl. 38 i 39). </w:t>
      </w:r>
    </w:p>
    <w:p w14:paraId="730382CF" w14:textId="77777777" w:rsidR="00FE7AA8" w:rsidRPr="001C58C6" w:rsidRDefault="00FE7AA8" w:rsidP="00177EE1">
      <w:pPr>
        <w:rPr>
          <w:rFonts w:ascii="Calibri" w:hAnsi="Calibri" w:cs="Calibri"/>
          <w:color w:val="000000" w:themeColor="text1"/>
        </w:rPr>
      </w:pPr>
    </w:p>
    <w:p w14:paraId="68BE2D57" w14:textId="77777777" w:rsidR="0067106D" w:rsidRPr="001C58C6" w:rsidRDefault="00DD313F" w:rsidP="00B33518">
      <w:pPr>
        <w:pStyle w:val="Caption"/>
        <w:jc w:val="center"/>
        <w:rPr>
          <w:rFonts w:ascii="Calibri" w:hAnsi="Calibri" w:cs="Calibri"/>
          <w:i/>
          <w:iCs/>
          <w:color w:val="000000" w:themeColor="text1"/>
          <w:sz w:val="20"/>
          <w:szCs w:val="20"/>
        </w:rPr>
      </w:pPr>
      <w:bookmarkStart w:id="14" w:name="_Toc233584665"/>
      <w:r w:rsidRPr="001C58C6">
        <w:rPr>
          <w:rFonts w:ascii="Calibri" w:hAnsi="Calibri" w:cs="Calibri"/>
          <w:i/>
          <w:iCs/>
          <w:color w:val="000000" w:themeColor="text1"/>
          <w:sz w:val="20"/>
          <w:szCs w:val="20"/>
        </w:rPr>
        <w:t xml:space="preserve">Grafik </w:t>
      </w:r>
      <w:r w:rsidRPr="001C58C6">
        <w:rPr>
          <w:rFonts w:ascii="Calibri" w:hAnsi="Calibri" w:cs="Calibri"/>
          <w:i/>
          <w:iCs/>
          <w:color w:val="000000" w:themeColor="text1"/>
          <w:sz w:val="20"/>
          <w:szCs w:val="20"/>
        </w:rPr>
        <w:fldChar w:fldCharType="begin"/>
      </w:r>
      <w:r w:rsidRPr="001C58C6">
        <w:rPr>
          <w:rFonts w:ascii="Calibri" w:hAnsi="Calibri" w:cs="Calibri"/>
          <w:i/>
          <w:iCs/>
          <w:color w:val="000000" w:themeColor="text1"/>
          <w:sz w:val="20"/>
          <w:szCs w:val="20"/>
        </w:rPr>
        <w:instrText xml:space="preserve"> SEQ Grafik \* ARABIC </w:instrText>
      </w:r>
      <w:r w:rsidRPr="001C58C6">
        <w:rPr>
          <w:rFonts w:ascii="Calibri" w:hAnsi="Calibri" w:cs="Calibri"/>
          <w:i/>
          <w:iCs/>
          <w:color w:val="000000" w:themeColor="text1"/>
          <w:sz w:val="20"/>
          <w:szCs w:val="20"/>
        </w:rPr>
        <w:fldChar w:fldCharType="separate"/>
      </w:r>
      <w:r w:rsidR="00752282" w:rsidRPr="001C58C6">
        <w:rPr>
          <w:rFonts w:ascii="Calibri" w:hAnsi="Calibri" w:cs="Calibri"/>
          <w:i/>
          <w:iCs/>
          <w:color w:val="000000" w:themeColor="text1"/>
          <w:sz w:val="20"/>
          <w:szCs w:val="20"/>
        </w:rPr>
        <w:t>4</w:t>
      </w:r>
      <w:r w:rsidRPr="001C58C6">
        <w:rPr>
          <w:rFonts w:ascii="Calibri" w:hAnsi="Calibri" w:cs="Calibri"/>
          <w:i/>
          <w:iCs/>
          <w:color w:val="000000" w:themeColor="text1"/>
          <w:sz w:val="20"/>
          <w:szCs w:val="20"/>
        </w:rPr>
        <w:fldChar w:fldCharType="end"/>
      </w:r>
      <w:r w:rsidR="00C65835" w:rsidRPr="001C58C6">
        <w:rPr>
          <w:rFonts w:ascii="Calibri" w:hAnsi="Calibri" w:cs="Calibri"/>
          <w:i/>
          <w:iCs/>
          <w:color w:val="000000" w:themeColor="text1"/>
          <w:sz w:val="20"/>
          <w:szCs w:val="20"/>
        </w:rPr>
        <w:t>: S</w:t>
      </w:r>
      <w:r w:rsidR="00910DCF" w:rsidRPr="001C58C6">
        <w:rPr>
          <w:rFonts w:ascii="Calibri" w:hAnsi="Calibri" w:cs="Calibri"/>
          <w:i/>
          <w:iCs/>
          <w:color w:val="000000" w:themeColor="text1"/>
          <w:sz w:val="20"/>
          <w:szCs w:val="20"/>
        </w:rPr>
        <w:t>rednje godišnje koncentracije suspendovanih čestica PM10 (2020-2024)</w:t>
      </w:r>
      <w:bookmarkEnd w:id="14"/>
    </w:p>
    <w:p w14:paraId="62DE6368" w14:textId="77777777" w:rsidR="0067106D" w:rsidRPr="001C58C6" w:rsidRDefault="00910DCF" w:rsidP="00374C81">
      <w:pPr>
        <w:jc w:val="center"/>
        <w:rPr>
          <w:rFonts w:ascii="Calibri" w:hAnsi="Calibri" w:cs="Calibri"/>
          <w:color w:val="000000" w:themeColor="text1"/>
        </w:rPr>
      </w:pPr>
      <w:r w:rsidRPr="001C58C6">
        <w:rPr>
          <w:rFonts w:ascii="Calibri" w:hAnsi="Calibri" w:cs="Calibri"/>
          <w:noProof/>
          <w:color w:val="000000" w:themeColor="text1"/>
        </w:rPr>
        <w:drawing>
          <wp:inline distT="0" distB="0" distL="0" distR="0" wp14:anchorId="71ABEC4A" wp14:editId="7B9C14A0">
            <wp:extent cx="5181600" cy="2887980"/>
            <wp:effectExtent l="0" t="0" r="0" b="7620"/>
            <wp:docPr id="5492312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8986FD7" w14:textId="77777777" w:rsidR="0067106D" w:rsidRPr="001C58C6" w:rsidRDefault="00910DCF" w:rsidP="00C65835">
      <w:pPr>
        <w:pStyle w:val="FootnoteText"/>
        <w:jc w:val="center"/>
        <w:rPr>
          <w:rFonts w:ascii="Calibri" w:hAnsi="Calibri" w:cs="Calibri"/>
          <w:i/>
          <w:iCs/>
          <w:color w:val="000000" w:themeColor="text1"/>
          <w:sz w:val="18"/>
          <w:szCs w:val="18"/>
        </w:rPr>
      </w:pPr>
      <w:r w:rsidRPr="001C58C6">
        <w:rPr>
          <w:rFonts w:ascii="Calibri" w:hAnsi="Calibri" w:cs="Calibri"/>
          <w:i/>
          <w:iCs/>
          <w:color w:val="000000" w:themeColor="text1"/>
          <w:sz w:val="18"/>
          <w:szCs w:val="18"/>
        </w:rPr>
        <w:t>Izvor podataka: Godišnji izvještaj</w:t>
      </w:r>
      <w:r w:rsidR="00CD2D16" w:rsidRPr="001C58C6">
        <w:rPr>
          <w:rFonts w:ascii="Calibri" w:hAnsi="Calibri" w:cs="Calibri"/>
          <w:i/>
          <w:iCs/>
          <w:color w:val="000000" w:themeColor="text1"/>
          <w:sz w:val="18"/>
          <w:szCs w:val="18"/>
        </w:rPr>
        <w:t>i</w:t>
      </w:r>
      <w:r w:rsidRPr="001C58C6">
        <w:rPr>
          <w:rFonts w:ascii="Calibri" w:hAnsi="Calibri" w:cs="Calibri"/>
          <w:i/>
          <w:iCs/>
          <w:color w:val="000000" w:themeColor="text1"/>
          <w:sz w:val="18"/>
          <w:szCs w:val="18"/>
        </w:rPr>
        <w:t xml:space="preserve"> o realizaciji programa monitoringa vazduha</w:t>
      </w:r>
      <w:r w:rsidR="00C65835" w:rsidRPr="001C58C6">
        <w:rPr>
          <w:rStyle w:val="FootnoteReference"/>
          <w:rFonts w:ascii="Calibri" w:hAnsi="Calibri" w:cs="Calibri"/>
          <w:i/>
          <w:iCs/>
          <w:color w:val="000000" w:themeColor="text1"/>
          <w:sz w:val="18"/>
          <w:szCs w:val="18"/>
        </w:rPr>
        <w:footnoteReference w:id="6"/>
      </w:r>
      <w:r w:rsidRPr="001C58C6">
        <w:rPr>
          <w:rFonts w:ascii="Calibri" w:hAnsi="Calibri" w:cs="Calibri"/>
          <w:i/>
          <w:iCs/>
          <w:color w:val="000000" w:themeColor="text1"/>
          <w:sz w:val="18"/>
          <w:szCs w:val="18"/>
        </w:rPr>
        <w:t xml:space="preserve"> (CETI 202</w:t>
      </w:r>
      <w:r w:rsidR="00CD2D16" w:rsidRPr="001C58C6">
        <w:rPr>
          <w:rFonts w:ascii="Calibri" w:hAnsi="Calibri" w:cs="Calibri"/>
          <w:i/>
          <w:iCs/>
          <w:color w:val="000000" w:themeColor="text1"/>
          <w:sz w:val="18"/>
          <w:szCs w:val="18"/>
        </w:rPr>
        <w:t>0</w:t>
      </w:r>
      <w:r w:rsidRPr="001C58C6">
        <w:rPr>
          <w:rFonts w:ascii="Calibri" w:hAnsi="Calibri" w:cs="Calibri"/>
          <w:i/>
          <w:iCs/>
          <w:color w:val="000000" w:themeColor="text1"/>
          <w:sz w:val="18"/>
          <w:szCs w:val="18"/>
        </w:rPr>
        <w:t>.-2024.)</w:t>
      </w:r>
    </w:p>
    <w:p w14:paraId="5B074386" w14:textId="77777777" w:rsidR="0067106D" w:rsidRPr="001C58C6" w:rsidRDefault="0067106D" w:rsidP="00C65835">
      <w:pPr>
        <w:pStyle w:val="FootnoteText"/>
        <w:jc w:val="center"/>
        <w:rPr>
          <w:rFonts w:ascii="Calibri" w:hAnsi="Calibri" w:cs="Calibri"/>
          <w:i/>
          <w:iCs/>
          <w:color w:val="000000" w:themeColor="text1"/>
          <w:sz w:val="18"/>
          <w:szCs w:val="18"/>
        </w:rPr>
      </w:pPr>
    </w:p>
    <w:p w14:paraId="40B66344" w14:textId="77777777" w:rsidR="00C65835" w:rsidRPr="001C58C6" w:rsidRDefault="00C65835" w:rsidP="00C65835">
      <w:pPr>
        <w:pStyle w:val="FootnoteText"/>
        <w:jc w:val="center"/>
        <w:rPr>
          <w:rFonts w:ascii="Calibri" w:hAnsi="Calibri" w:cs="Calibri"/>
          <w:i/>
          <w:iCs/>
          <w:color w:val="000000" w:themeColor="text1"/>
          <w:sz w:val="18"/>
          <w:szCs w:val="18"/>
        </w:rPr>
      </w:pPr>
    </w:p>
    <w:p w14:paraId="300AFDA6" w14:textId="77777777" w:rsidR="0067106D" w:rsidRPr="001C58C6" w:rsidRDefault="00910DCF">
      <w:pPr>
        <w:pStyle w:val="FootnoteText"/>
        <w:rPr>
          <w:rFonts w:ascii="Calibri" w:hAnsi="Calibri" w:cs="Calibri"/>
          <w:color w:val="000000" w:themeColor="text1"/>
          <w:sz w:val="24"/>
          <w:szCs w:val="22"/>
        </w:rPr>
      </w:pPr>
      <w:r w:rsidRPr="001C58C6">
        <w:rPr>
          <w:rFonts w:ascii="Calibri" w:hAnsi="Calibri" w:cs="Calibri"/>
          <w:color w:val="000000" w:themeColor="text1"/>
          <w:sz w:val="24"/>
          <w:szCs w:val="22"/>
        </w:rPr>
        <w:t>Koncentracije suspendovanih čestica PM10 prekoračene su u Sjevernoj zoni tokom cijelog posmatranog perioda</w:t>
      </w:r>
      <w:r w:rsidR="00CD2D16" w:rsidRPr="001C58C6">
        <w:rPr>
          <w:rFonts w:ascii="Calibri" w:hAnsi="Calibri" w:cs="Calibri"/>
          <w:color w:val="000000" w:themeColor="text1"/>
          <w:sz w:val="24"/>
          <w:szCs w:val="22"/>
        </w:rPr>
        <w:t xml:space="preserve"> (2020 – 2024)</w:t>
      </w:r>
      <w:r w:rsidRPr="001C58C6">
        <w:rPr>
          <w:rFonts w:ascii="Calibri" w:hAnsi="Calibri" w:cs="Calibri"/>
          <w:color w:val="000000" w:themeColor="text1"/>
          <w:sz w:val="24"/>
          <w:szCs w:val="22"/>
        </w:rPr>
        <w:t xml:space="preserve">. Najniže srednje godišnje koncentracije zabilježene su tokom 2023. i 2024. godine – 40.13µg/m3 odnosno 41.6 µg/m3, što je vrlo blizu granične vrijednosti od 40µg/m3. </w:t>
      </w:r>
    </w:p>
    <w:p w14:paraId="30B189E5" w14:textId="77777777" w:rsidR="0067106D" w:rsidRPr="001C58C6" w:rsidRDefault="0067106D">
      <w:pPr>
        <w:pStyle w:val="FootnoteText"/>
        <w:rPr>
          <w:rFonts w:ascii="Calibri" w:hAnsi="Calibri" w:cs="Calibri"/>
          <w:color w:val="000000" w:themeColor="text1"/>
          <w:sz w:val="24"/>
          <w:szCs w:val="22"/>
        </w:rPr>
      </w:pPr>
    </w:p>
    <w:p w14:paraId="2603DFB3" w14:textId="77777777" w:rsidR="0067106D" w:rsidRPr="001C58C6" w:rsidRDefault="00910DCF">
      <w:pPr>
        <w:pStyle w:val="FootnoteText"/>
        <w:rPr>
          <w:rFonts w:ascii="Calibri" w:hAnsi="Calibri" w:cs="Calibri"/>
          <w:color w:val="000000" w:themeColor="text1"/>
          <w:sz w:val="24"/>
          <w:szCs w:val="22"/>
        </w:rPr>
      </w:pPr>
      <w:r w:rsidRPr="001C58C6">
        <w:rPr>
          <w:rFonts w:ascii="Calibri" w:hAnsi="Calibri" w:cs="Calibri"/>
          <w:color w:val="000000" w:themeColor="text1"/>
          <w:sz w:val="24"/>
          <w:szCs w:val="22"/>
        </w:rPr>
        <w:t xml:space="preserve">Na </w:t>
      </w:r>
      <w:r w:rsidR="00374C81" w:rsidRPr="001C58C6">
        <w:rPr>
          <w:rFonts w:ascii="Calibri" w:hAnsi="Calibri" w:cs="Calibri"/>
          <w:color w:val="000000" w:themeColor="text1"/>
          <w:sz w:val="24"/>
          <w:szCs w:val="22"/>
        </w:rPr>
        <w:t>Grafik</w:t>
      </w:r>
      <w:r w:rsidRPr="001C58C6">
        <w:rPr>
          <w:rFonts w:ascii="Calibri" w:hAnsi="Calibri" w:cs="Calibri"/>
          <w:color w:val="000000" w:themeColor="text1"/>
          <w:sz w:val="24"/>
          <w:szCs w:val="22"/>
        </w:rPr>
        <w:t xml:space="preserve">u 3 data je i nova granična vrijednost od 20µg/m3 koju će biti teško postići do 2030. godine u Sjevernoj zoni, ali i u Centralnoj zoni kvaliteta vazduha gdje su se srednje godišnje koncentracije u proteklom petogodišnjem periodu kretale između 30 i 38 mikrograma po kubnom metru. U Južnoj zoni kvaliteta vazduha koncentracije suspendovanih čestica PM10 već su ispod novih graničnih vrijednosti i takvim ih je neophodno održavati. </w:t>
      </w:r>
    </w:p>
    <w:p w14:paraId="7DA990C5" w14:textId="77777777" w:rsidR="0067106D" w:rsidRPr="001C58C6" w:rsidRDefault="0067106D">
      <w:pPr>
        <w:rPr>
          <w:rFonts w:ascii="Calibri" w:hAnsi="Calibri" w:cs="Calibri"/>
          <w:color w:val="000000" w:themeColor="text1"/>
        </w:rPr>
      </w:pPr>
    </w:p>
    <w:p w14:paraId="6D23BEFD" w14:textId="77777777" w:rsidR="00743A33" w:rsidRPr="001C58C6" w:rsidRDefault="00743A33">
      <w:pPr>
        <w:rPr>
          <w:rFonts w:ascii="Calibri" w:hAnsi="Calibri" w:cs="Calibri"/>
          <w:color w:val="000000" w:themeColor="text1"/>
        </w:rPr>
      </w:pPr>
    </w:p>
    <w:p w14:paraId="0F62DFA2" w14:textId="77777777" w:rsidR="00743A33" w:rsidRPr="001C58C6" w:rsidRDefault="00743A33">
      <w:pPr>
        <w:rPr>
          <w:rFonts w:ascii="Calibri" w:hAnsi="Calibri" w:cs="Calibri"/>
          <w:color w:val="000000" w:themeColor="text1"/>
        </w:rPr>
      </w:pPr>
    </w:p>
    <w:p w14:paraId="5F29F6BB" w14:textId="77777777" w:rsidR="00743A33" w:rsidRPr="001C58C6" w:rsidRDefault="00743A33">
      <w:pPr>
        <w:rPr>
          <w:rFonts w:ascii="Calibri" w:hAnsi="Calibri" w:cs="Calibri"/>
          <w:color w:val="000000" w:themeColor="text1"/>
        </w:rPr>
      </w:pPr>
    </w:p>
    <w:p w14:paraId="67EB5C91" w14:textId="77777777" w:rsidR="00743A33" w:rsidRDefault="00743A33">
      <w:pPr>
        <w:rPr>
          <w:rFonts w:ascii="Calibri" w:hAnsi="Calibri" w:cs="Calibri"/>
          <w:color w:val="000000" w:themeColor="text1"/>
        </w:rPr>
      </w:pPr>
    </w:p>
    <w:p w14:paraId="5D01C6C5" w14:textId="77777777" w:rsidR="006F52AD" w:rsidRPr="001C58C6" w:rsidRDefault="006F52AD">
      <w:pPr>
        <w:rPr>
          <w:rFonts w:ascii="Calibri" w:hAnsi="Calibri" w:cs="Calibri"/>
          <w:color w:val="000000" w:themeColor="text1"/>
        </w:rPr>
      </w:pPr>
    </w:p>
    <w:p w14:paraId="4B4B1173" w14:textId="77777777" w:rsidR="0067106D" w:rsidRPr="001C58C6" w:rsidRDefault="00DD313F" w:rsidP="00B33518">
      <w:pPr>
        <w:pStyle w:val="Caption"/>
        <w:jc w:val="center"/>
        <w:rPr>
          <w:rFonts w:ascii="Calibri" w:hAnsi="Calibri" w:cs="Calibri"/>
          <w:color w:val="000000" w:themeColor="text1"/>
        </w:rPr>
      </w:pPr>
      <w:bookmarkStart w:id="15" w:name="_Toc233584666"/>
      <w:r w:rsidRPr="001C58C6">
        <w:rPr>
          <w:rFonts w:ascii="Calibri" w:hAnsi="Calibri" w:cs="Calibri"/>
          <w:i/>
          <w:iCs/>
          <w:color w:val="000000" w:themeColor="text1"/>
          <w:sz w:val="20"/>
          <w:szCs w:val="20"/>
        </w:rPr>
        <w:lastRenderedPageBreak/>
        <w:t xml:space="preserve">Grafik </w:t>
      </w:r>
      <w:r w:rsidRPr="001C58C6">
        <w:rPr>
          <w:rFonts w:ascii="Calibri" w:hAnsi="Calibri" w:cs="Calibri"/>
          <w:i/>
          <w:iCs/>
          <w:color w:val="000000" w:themeColor="text1"/>
          <w:sz w:val="20"/>
          <w:szCs w:val="20"/>
        </w:rPr>
        <w:fldChar w:fldCharType="begin"/>
      </w:r>
      <w:r w:rsidRPr="001C58C6">
        <w:rPr>
          <w:rFonts w:ascii="Calibri" w:hAnsi="Calibri" w:cs="Calibri"/>
          <w:i/>
          <w:iCs/>
          <w:color w:val="000000" w:themeColor="text1"/>
          <w:sz w:val="20"/>
          <w:szCs w:val="20"/>
        </w:rPr>
        <w:instrText xml:space="preserve"> SEQ Grafik \* ARABIC </w:instrText>
      </w:r>
      <w:r w:rsidRPr="001C58C6">
        <w:rPr>
          <w:rFonts w:ascii="Calibri" w:hAnsi="Calibri" w:cs="Calibri"/>
          <w:i/>
          <w:iCs/>
          <w:color w:val="000000" w:themeColor="text1"/>
          <w:sz w:val="20"/>
          <w:szCs w:val="20"/>
        </w:rPr>
        <w:fldChar w:fldCharType="separate"/>
      </w:r>
      <w:r w:rsidR="00752282" w:rsidRPr="001C58C6">
        <w:rPr>
          <w:rFonts w:ascii="Calibri" w:hAnsi="Calibri" w:cs="Calibri"/>
          <w:i/>
          <w:iCs/>
          <w:color w:val="000000" w:themeColor="text1"/>
          <w:sz w:val="20"/>
          <w:szCs w:val="20"/>
        </w:rPr>
        <w:t>5</w:t>
      </w:r>
      <w:r w:rsidRPr="001C58C6">
        <w:rPr>
          <w:rFonts w:ascii="Calibri" w:hAnsi="Calibri" w:cs="Calibri"/>
          <w:i/>
          <w:iCs/>
          <w:color w:val="000000" w:themeColor="text1"/>
          <w:sz w:val="20"/>
          <w:szCs w:val="20"/>
        </w:rPr>
        <w:fldChar w:fldCharType="end"/>
      </w:r>
      <w:r w:rsidR="00C65835" w:rsidRPr="001C58C6">
        <w:rPr>
          <w:rFonts w:ascii="Calibri" w:hAnsi="Calibri" w:cs="Calibri"/>
          <w:i/>
          <w:iCs/>
          <w:color w:val="000000" w:themeColor="text1"/>
          <w:sz w:val="20"/>
          <w:szCs w:val="20"/>
        </w:rPr>
        <w:t>:</w:t>
      </w:r>
      <w:r w:rsidRPr="001C58C6">
        <w:rPr>
          <w:rFonts w:ascii="Calibri" w:hAnsi="Calibri" w:cs="Calibri"/>
          <w:i/>
          <w:iCs/>
          <w:color w:val="000000" w:themeColor="text1"/>
          <w:sz w:val="20"/>
          <w:szCs w:val="20"/>
        </w:rPr>
        <w:t xml:space="preserve"> </w:t>
      </w:r>
      <w:r w:rsidR="00C65835" w:rsidRPr="001C58C6">
        <w:rPr>
          <w:rFonts w:ascii="Calibri" w:hAnsi="Calibri" w:cs="Calibri"/>
          <w:i/>
          <w:iCs/>
          <w:color w:val="000000" w:themeColor="text1"/>
          <w:sz w:val="20"/>
          <w:szCs w:val="20"/>
        </w:rPr>
        <w:t>Srednje godišnje koncentracije suspendovanih čestica pm2.5 (2020-2024)</w:t>
      </w:r>
      <w:bookmarkEnd w:id="15"/>
    </w:p>
    <w:p w14:paraId="19E93C66" w14:textId="77777777" w:rsidR="0067106D" w:rsidRPr="001C58C6" w:rsidRDefault="00910DCF" w:rsidP="00374C81">
      <w:pPr>
        <w:jc w:val="center"/>
        <w:rPr>
          <w:rFonts w:ascii="Calibri" w:hAnsi="Calibri" w:cs="Calibri"/>
          <w:color w:val="000000" w:themeColor="text1"/>
        </w:rPr>
      </w:pPr>
      <w:r w:rsidRPr="001C58C6">
        <w:rPr>
          <w:rFonts w:ascii="Calibri" w:hAnsi="Calibri" w:cs="Calibri"/>
          <w:noProof/>
          <w:color w:val="000000" w:themeColor="text1"/>
        </w:rPr>
        <w:drawing>
          <wp:inline distT="0" distB="0" distL="0" distR="0" wp14:anchorId="71ABEC4C" wp14:editId="71ABEC4D">
            <wp:extent cx="5120640" cy="2628900"/>
            <wp:effectExtent l="0" t="0" r="3810" b="0"/>
            <wp:docPr id="104395145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3BEE3CE" w14:textId="77777777" w:rsidR="0067106D" w:rsidRPr="001C58C6" w:rsidRDefault="00910DCF" w:rsidP="00374C81">
      <w:pPr>
        <w:pStyle w:val="FootnoteText"/>
        <w:jc w:val="center"/>
        <w:rPr>
          <w:rFonts w:ascii="Calibri" w:hAnsi="Calibri" w:cs="Calibri"/>
          <w:i/>
          <w:iCs/>
          <w:color w:val="000000" w:themeColor="text1"/>
          <w:sz w:val="18"/>
          <w:szCs w:val="18"/>
        </w:rPr>
      </w:pPr>
      <w:r w:rsidRPr="001C58C6">
        <w:rPr>
          <w:rFonts w:ascii="Calibri" w:hAnsi="Calibri" w:cs="Calibri"/>
          <w:i/>
          <w:iCs/>
          <w:color w:val="000000" w:themeColor="text1"/>
          <w:sz w:val="18"/>
          <w:szCs w:val="18"/>
        </w:rPr>
        <w:t>Izvor podataka: Godišnji izvještaj o realizaciji programa monitoringa vazduha, (CETI 202</w:t>
      </w:r>
      <w:r w:rsidR="00CD2D16" w:rsidRPr="001C58C6">
        <w:rPr>
          <w:rFonts w:ascii="Calibri" w:hAnsi="Calibri" w:cs="Calibri"/>
          <w:i/>
          <w:iCs/>
          <w:color w:val="000000" w:themeColor="text1"/>
          <w:sz w:val="18"/>
          <w:szCs w:val="18"/>
        </w:rPr>
        <w:t>0</w:t>
      </w:r>
      <w:r w:rsidRPr="001C58C6">
        <w:rPr>
          <w:rFonts w:ascii="Calibri" w:hAnsi="Calibri" w:cs="Calibri"/>
          <w:i/>
          <w:iCs/>
          <w:color w:val="000000" w:themeColor="text1"/>
          <w:sz w:val="18"/>
          <w:szCs w:val="18"/>
        </w:rPr>
        <w:t>.-2024.)</w:t>
      </w:r>
    </w:p>
    <w:p w14:paraId="6D362C00" w14:textId="77777777" w:rsidR="0067106D" w:rsidRPr="001C58C6" w:rsidRDefault="0067106D">
      <w:pPr>
        <w:rPr>
          <w:rFonts w:ascii="Calibri" w:hAnsi="Calibri" w:cs="Calibri"/>
          <w:color w:val="000000" w:themeColor="text1"/>
        </w:rPr>
      </w:pPr>
    </w:p>
    <w:p w14:paraId="5242F7DB" w14:textId="77777777" w:rsidR="0067106D" w:rsidRPr="001C58C6" w:rsidRDefault="00910DCF">
      <w:pPr>
        <w:rPr>
          <w:rFonts w:ascii="Calibri" w:hAnsi="Calibri" w:cs="Calibri"/>
          <w:color w:val="000000" w:themeColor="text1"/>
        </w:rPr>
      </w:pPr>
      <w:r w:rsidRPr="001C58C6">
        <w:rPr>
          <w:rFonts w:ascii="Calibri" w:hAnsi="Calibri" w:cs="Calibri"/>
          <w:color w:val="000000" w:themeColor="text1"/>
        </w:rPr>
        <w:t>Kada su u pitanju suspendovane čestice manjeg promjera (PM2.5), situacija je vrlo slična sa podacima o koncentracijama PM10. Prekoračenja važeće srednje godišnje vrijednosti od 20µg/m3 bilježe se u Sjevernoj zoni tokom cijelog posmatranog perioda, dok su u Centralnoj zoni tokom 2022. i 2024. koncentracije bile ispod granične vrijednosti a tokom 2021. i 2023. zabilježena su minimalna prekoraćenja (21.95, odnosno 20.73µg/m3). S obzirom da su u skladu sa novim evropskim zakonodavstvom u oblasti kvaliteta vazduha</w:t>
      </w:r>
      <w:r w:rsidRPr="001C58C6">
        <w:rPr>
          <w:rStyle w:val="FootnoteReference"/>
          <w:rFonts w:ascii="Calibri" w:hAnsi="Calibri" w:cs="Calibri"/>
          <w:color w:val="000000" w:themeColor="text1"/>
        </w:rPr>
        <w:footnoteReference w:id="7"/>
      </w:r>
      <w:r w:rsidRPr="001C58C6">
        <w:rPr>
          <w:rFonts w:ascii="Calibri" w:hAnsi="Calibri" w:cs="Calibri"/>
          <w:color w:val="000000" w:themeColor="text1"/>
        </w:rPr>
        <w:t xml:space="preserve"> granične vrijednosti za suspendovane čestice prepolovljene, neophodno je planirati odgovarajuće mjere za postizanje strožih standarda, kako u Sjevernoj, tako i u ostalim zonama, iako je koncentracija suspendovanih čestica PM2.5 u 2024. godini u Južnoj zoni ispod 10 µg/m3. </w:t>
      </w:r>
    </w:p>
    <w:p w14:paraId="6E2B7023" w14:textId="77777777" w:rsidR="00743A33" w:rsidRPr="001C58C6" w:rsidRDefault="00743A33">
      <w:pPr>
        <w:rPr>
          <w:rFonts w:ascii="Calibri" w:hAnsi="Calibri" w:cs="Calibri"/>
          <w:color w:val="000000" w:themeColor="text1"/>
        </w:rPr>
      </w:pPr>
    </w:p>
    <w:p w14:paraId="1379D7EB" w14:textId="77777777" w:rsidR="0067106D" w:rsidRPr="001C58C6" w:rsidRDefault="00910DCF">
      <w:pPr>
        <w:rPr>
          <w:rFonts w:ascii="Calibri" w:hAnsi="Calibri" w:cs="Calibri"/>
          <w:color w:val="000000" w:themeColor="text1"/>
        </w:rPr>
      </w:pPr>
      <w:r w:rsidRPr="001C58C6">
        <w:rPr>
          <w:rFonts w:ascii="Calibri" w:hAnsi="Calibri" w:cs="Calibri"/>
          <w:color w:val="000000" w:themeColor="text1"/>
        </w:rPr>
        <w:t xml:space="preserve">Koncentracije ugljen – monoksida su tokom čitavog posmatranog perioda u svim zonama i na svim mjernim mjestima znatno ispod važećih graničnih vrijednosti od 10 mg/m3. Nove granične vrijednosti koje će se primjenjivati od 2030. godine ne sadrže srednju godišnju vrijednost, već srednju dnevnu vrijednost od 4mg/m3 koja ne smije biti prekoračena više od 18 puta u toku godine. </w:t>
      </w:r>
    </w:p>
    <w:p w14:paraId="445D06BF" w14:textId="77777777" w:rsidR="00743A33" w:rsidRPr="001C58C6" w:rsidRDefault="00743A33">
      <w:pPr>
        <w:rPr>
          <w:rFonts w:ascii="Calibri" w:hAnsi="Calibri" w:cs="Calibri"/>
          <w:color w:val="000000" w:themeColor="text1"/>
        </w:rPr>
      </w:pPr>
    </w:p>
    <w:p w14:paraId="3FD8A5F4" w14:textId="77777777" w:rsidR="00C65835" w:rsidRDefault="00910DCF">
      <w:pPr>
        <w:rPr>
          <w:rFonts w:ascii="Calibri" w:hAnsi="Calibri" w:cs="Calibri"/>
          <w:color w:val="000000" w:themeColor="text1"/>
        </w:rPr>
      </w:pPr>
      <w:r w:rsidRPr="001C58C6">
        <w:rPr>
          <w:rFonts w:ascii="Calibri" w:hAnsi="Calibri" w:cs="Calibri"/>
          <w:color w:val="000000" w:themeColor="text1"/>
        </w:rPr>
        <w:t xml:space="preserve">Ozon (O₃) u prizemnom sloju troposfere predstavlja sekundarni polutant, jer se ne emituje direktno iz izvora zagađenja, već nastaje hemijskim reakcijama prekursora – azotnih oksida (NOₓ) i isparljivih organskih jedinjenja (NMVOC) – pod dejstvom sunčeve svjetlosti i povišenih temperatura. Proces njegovog nastanka poznat je kao fotooksidacija i posebno je izražen tokom toplih, stabilnih, anticiklonalnih perioda. Iako nastaje kao posljedica urbanih emisija iz saobraćaja i industrije, najviše koncentracije javljaju se u prigradskim i ruralnim područjima, nekoliko kilometara od izvora emisija. Kako je vrlo nestabilan, ozon se u atmosferi zadržava od nekoliko sati do najviše par dana tokom ljetnjeg perioda. </w:t>
      </w:r>
    </w:p>
    <w:p w14:paraId="0DAED807" w14:textId="77777777" w:rsidR="006F52AD" w:rsidRPr="001C58C6" w:rsidRDefault="006F52AD">
      <w:pPr>
        <w:rPr>
          <w:rFonts w:ascii="Calibri" w:hAnsi="Calibri" w:cs="Calibri"/>
          <w:color w:val="000000" w:themeColor="text1"/>
        </w:rPr>
      </w:pPr>
    </w:p>
    <w:p w14:paraId="75634FF0" w14:textId="77777777" w:rsidR="0067106D" w:rsidRPr="001C58C6" w:rsidRDefault="00910DCF">
      <w:pPr>
        <w:rPr>
          <w:rFonts w:ascii="Calibri" w:hAnsi="Calibri" w:cs="Calibri"/>
          <w:color w:val="000000" w:themeColor="text1"/>
        </w:rPr>
      </w:pPr>
      <w:r w:rsidRPr="001C58C6">
        <w:rPr>
          <w:rFonts w:ascii="Calibri" w:hAnsi="Calibri" w:cs="Calibri"/>
          <w:color w:val="000000" w:themeColor="text1"/>
        </w:rPr>
        <w:t xml:space="preserve">Iz tog razloga se posmatraju rotacione maksimalne osmočasovne koncentracije čija je granična vrijednost 120µg/m3 koja se ne smije prekoračiti više od 25 puta u toku godine, pri čemu se uzima prosjek od tri godine. Prekoračenja ovog standarda kvaliteta vazduha nijesu </w:t>
      </w:r>
      <w:r w:rsidRPr="001C58C6">
        <w:rPr>
          <w:rFonts w:ascii="Calibri" w:hAnsi="Calibri" w:cs="Calibri"/>
          <w:color w:val="000000" w:themeColor="text1"/>
        </w:rPr>
        <w:lastRenderedPageBreak/>
        <w:t xml:space="preserve">zabilježena na osnovu podataka iz prethodne tri godine (2022. – 2024.) na stanicama Gradina, Gornje Mrke, Nikšić i Bar.  </w:t>
      </w:r>
    </w:p>
    <w:p w14:paraId="7DFEA345" w14:textId="77777777" w:rsidR="00743A33" w:rsidRPr="001C58C6" w:rsidRDefault="00743A33">
      <w:pPr>
        <w:rPr>
          <w:rFonts w:ascii="Calibri" w:hAnsi="Calibri" w:cs="Calibri"/>
          <w:color w:val="000000" w:themeColor="text1"/>
        </w:rPr>
      </w:pPr>
    </w:p>
    <w:p w14:paraId="2CCA7C4A" w14:textId="77777777" w:rsidR="0067106D" w:rsidRPr="001C58C6" w:rsidRDefault="00910DCF">
      <w:pPr>
        <w:rPr>
          <w:rFonts w:ascii="Calibri" w:hAnsi="Calibri" w:cs="Calibri"/>
          <w:color w:val="000000" w:themeColor="text1"/>
        </w:rPr>
      </w:pPr>
      <w:r w:rsidRPr="001C58C6">
        <w:rPr>
          <w:rFonts w:ascii="Calibri" w:hAnsi="Calibri" w:cs="Calibri"/>
          <w:color w:val="000000" w:themeColor="text1"/>
        </w:rPr>
        <w:t xml:space="preserve">Srednje godišnje koncentracije benzena, koje se prate na stanicama za praćenje uticaja saobraćaja (Podgorica, Kotor) bile su u obije zone, na oba mjerna mjesta ispod granične vrijednosti od 5 µg/m3, osim 2020. godine, kada je prag prekoračen na mjernom mjestu u Podgorici (kružni tok, raskrsnica bulevar Georgija Žukova i Zetskih vladara). </w:t>
      </w:r>
    </w:p>
    <w:p w14:paraId="6F0EDDD9" w14:textId="77777777" w:rsidR="00743A33" w:rsidRPr="001C58C6" w:rsidRDefault="00743A33">
      <w:pPr>
        <w:rPr>
          <w:rFonts w:ascii="Calibri" w:hAnsi="Calibri" w:cs="Calibri"/>
          <w:color w:val="000000" w:themeColor="text1"/>
        </w:rPr>
      </w:pPr>
    </w:p>
    <w:p w14:paraId="2861CC2A" w14:textId="016C5106" w:rsidR="0067106D" w:rsidRPr="001C58C6" w:rsidRDefault="00910DCF">
      <w:pPr>
        <w:rPr>
          <w:rFonts w:ascii="Calibri" w:hAnsi="Calibri" w:cs="Calibri"/>
          <w:color w:val="000000" w:themeColor="text1"/>
        </w:rPr>
      </w:pPr>
      <w:r w:rsidRPr="001C58C6">
        <w:rPr>
          <w:rFonts w:ascii="Calibri" w:hAnsi="Calibri" w:cs="Calibri"/>
          <w:color w:val="000000" w:themeColor="text1"/>
        </w:rPr>
        <w:t xml:space="preserve">Pored polutanata čije se koncentracije mjere u vazduhu i za koje su podaci dostupni u realnom vremenu na internet stranici Agencije za zaštitu životne sredine, sadržaj teških metala i benzo(a)pirena u suspendovanim česticama utvrđuje se </w:t>
      </w:r>
      <w:r w:rsidR="00830F5E">
        <w:rPr>
          <w:rFonts w:ascii="Calibri" w:hAnsi="Calibri" w:cs="Calibri"/>
          <w:color w:val="000000" w:themeColor="text1"/>
        </w:rPr>
        <w:t>referentnim</w:t>
      </w:r>
      <w:r w:rsidRPr="001C58C6">
        <w:rPr>
          <w:rFonts w:ascii="Calibri" w:hAnsi="Calibri" w:cs="Calibri"/>
          <w:color w:val="000000" w:themeColor="text1"/>
        </w:rPr>
        <w:t xml:space="preserve"> analitičkim metodama. </w:t>
      </w:r>
    </w:p>
    <w:p w14:paraId="4AE22453" w14:textId="77777777" w:rsidR="0067106D" w:rsidRPr="001C58C6" w:rsidRDefault="00743A33" w:rsidP="00B33518">
      <w:pPr>
        <w:pStyle w:val="Caption"/>
        <w:jc w:val="center"/>
        <w:rPr>
          <w:rFonts w:ascii="Calibri" w:hAnsi="Calibri" w:cs="Calibri"/>
          <w:i/>
          <w:iCs/>
          <w:color w:val="000000" w:themeColor="text1"/>
          <w:sz w:val="20"/>
          <w:szCs w:val="20"/>
        </w:rPr>
      </w:pPr>
      <w:bookmarkStart w:id="16" w:name="_Toc217388661"/>
      <w:bookmarkStart w:id="17" w:name="_Toc233584694"/>
      <w:r w:rsidRPr="001C58C6">
        <w:rPr>
          <w:rFonts w:ascii="Calibri" w:hAnsi="Calibri" w:cs="Calibri"/>
          <w:i/>
          <w:iCs/>
          <w:color w:val="000000" w:themeColor="text1"/>
          <w:sz w:val="20"/>
          <w:szCs w:val="20"/>
        </w:rPr>
        <w:t xml:space="preserve">Ilustracija </w:t>
      </w:r>
      <w:r w:rsidRPr="001C58C6">
        <w:rPr>
          <w:rFonts w:ascii="Calibri" w:hAnsi="Calibri" w:cs="Calibri"/>
          <w:i/>
          <w:iCs/>
          <w:color w:val="000000" w:themeColor="text1"/>
          <w:sz w:val="20"/>
          <w:szCs w:val="20"/>
        </w:rPr>
        <w:fldChar w:fldCharType="begin"/>
      </w:r>
      <w:r w:rsidRPr="001C58C6">
        <w:rPr>
          <w:rFonts w:ascii="Calibri" w:hAnsi="Calibri" w:cs="Calibri"/>
          <w:i/>
          <w:iCs/>
          <w:color w:val="000000" w:themeColor="text1"/>
          <w:sz w:val="20"/>
          <w:szCs w:val="20"/>
        </w:rPr>
        <w:instrText xml:space="preserve"> SEQ Ilustracija \* ARABIC </w:instrText>
      </w:r>
      <w:r w:rsidRPr="001C58C6">
        <w:rPr>
          <w:rFonts w:ascii="Calibri" w:hAnsi="Calibri" w:cs="Calibri"/>
          <w:i/>
          <w:iCs/>
          <w:color w:val="000000" w:themeColor="text1"/>
          <w:sz w:val="20"/>
          <w:szCs w:val="20"/>
        </w:rPr>
        <w:fldChar w:fldCharType="separate"/>
      </w:r>
      <w:r w:rsidR="00752282" w:rsidRPr="001C58C6">
        <w:rPr>
          <w:rFonts w:ascii="Calibri" w:hAnsi="Calibri" w:cs="Calibri"/>
          <w:i/>
          <w:iCs/>
          <w:color w:val="000000" w:themeColor="text1"/>
          <w:sz w:val="20"/>
          <w:szCs w:val="20"/>
        </w:rPr>
        <w:t>2</w:t>
      </w:r>
      <w:r w:rsidRPr="001C58C6">
        <w:rPr>
          <w:rFonts w:ascii="Calibri" w:hAnsi="Calibri" w:cs="Calibri"/>
          <w:i/>
          <w:iCs/>
          <w:color w:val="000000" w:themeColor="text1"/>
          <w:sz w:val="20"/>
          <w:szCs w:val="20"/>
        </w:rPr>
        <w:fldChar w:fldCharType="end"/>
      </w:r>
      <w:r w:rsidRPr="001C58C6">
        <w:rPr>
          <w:rFonts w:ascii="Calibri" w:hAnsi="Calibri" w:cs="Calibri"/>
          <w:i/>
          <w:iCs/>
          <w:color w:val="000000" w:themeColor="text1"/>
          <w:sz w:val="20"/>
          <w:szCs w:val="20"/>
        </w:rPr>
        <w:t xml:space="preserve">: </w:t>
      </w:r>
      <w:r w:rsidR="00C65835" w:rsidRPr="001C58C6">
        <w:rPr>
          <w:rFonts w:ascii="Calibri" w:hAnsi="Calibri" w:cs="Calibri"/>
          <w:i/>
          <w:iCs/>
          <w:color w:val="000000" w:themeColor="text1"/>
          <w:sz w:val="20"/>
          <w:szCs w:val="20"/>
        </w:rPr>
        <w:t>I</w:t>
      </w:r>
      <w:r w:rsidR="00910DCF" w:rsidRPr="001C58C6">
        <w:rPr>
          <w:rFonts w:ascii="Calibri" w:hAnsi="Calibri" w:cs="Calibri"/>
          <w:i/>
          <w:iCs/>
          <w:color w:val="000000" w:themeColor="text1"/>
          <w:sz w:val="20"/>
          <w:szCs w:val="20"/>
        </w:rPr>
        <w:t>nternet stranica agencije za zaštitu životne sredine – monitoring kvaliteta vazduha</w:t>
      </w:r>
      <w:bookmarkEnd w:id="16"/>
      <w:bookmarkEnd w:id="17"/>
    </w:p>
    <w:p w14:paraId="60985F6A" w14:textId="77777777" w:rsidR="0067106D" w:rsidRPr="001C58C6" w:rsidRDefault="00910DCF">
      <w:pPr>
        <w:pStyle w:val="FootnoteText"/>
        <w:jc w:val="center"/>
        <w:rPr>
          <w:rFonts w:ascii="Calibri" w:hAnsi="Calibri" w:cs="Calibri"/>
          <w:color w:val="000000" w:themeColor="text1"/>
        </w:rPr>
      </w:pPr>
      <w:r w:rsidRPr="001C58C6">
        <w:rPr>
          <w:rFonts w:ascii="Calibri" w:hAnsi="Calibri" w:cs="Calibri"/>
          <w:noProof/>
          <w:color w:val="000000" w:themeColor="text1"/>
        </w:rPr>
        <w:drawing>
          <wp:inline distT="0" distB="0" distL="0" distR="0" wp14:anchorId="71ABEC4E" wp14:editId="71ABEC4F">
            <wp:extent cx="5030470" cy="4046220"/>
            <wp:effectExtent l="0" t="0" r="0" b="0"/>
            <wp:docPr id="1343796307" name="Picture 1" descr="A map with green cub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96307" name="Picture 1" descr="A map with green cubes&#10;&#10;AI-generated content may be incorrect."/>
                    <pic:cNvPicPr>
                      <a:picLocks noChangeAspect="1"/>
                    </pic:cNvPicPr>
                  </pic:nvPicPr>
                  <pic:blipFill>
                    <a:blip r:embed="rId15"/>
                    <a:stretch>
                      <a:fillRect/>
                    </a:stretch>
                  </pic:blipFill>
                  <pic:spPr>
                    <a:xfrm>
                      <a:off x="0" y="0"/>
                      <a:ext cx="5035228" cy="4050609"/>
                    </a:xfrm>
                    <a:prstGeom prst="rect">
                      <a:avLst/>
                    </a:prstGeom>
                  </pic:spPr>
                </pic:pic>
              </a:graphicData>
            </a:graphic>
          </wp:inline>
        </w:drawing>
      </w:r>
    </w:p>
    <w:p w14:paraId="5091487D" w14:textId="77777777" w:rsidR="0067106D" w:rsidRPr="001C58C6" w:rsidRDefault="00910DCF">
      <w:pPr>
        <w:pStyle w:val="FootnoteText"/>
        <w:jc w:val="center"/>
        <w:rPr>
          <w:rFonts w:ascii="Calibri" w:hAnsi="Calibri" w:cs="Calibri"/>
          <w:i/>
          <w:iCs/>
          <w:color w:val="000000" w:themeColor="text1"/>
          <w:sz w:val="18"/>
          <w:szCs w:val="18"/>
        </w:rPr>
      </w:pPr>
      <w:r w:rsidRPr="001C58C6">
        <w:rPr>
          <w:rFonts w:ascii="Calibri" w:hAnsi="Calibri" w:cs="Calibri"/>
          <w:i/>
          <w:iCs/>
          <w:color w:val="000000" w:themeColor="text1"/>
          <w:sz w:val="18"/>
          <w:szCs w:val="18"/>
        </w:rPr>
        <w:t xml:space="preserve">Izvor podataka: </w:t>
      </w:r>
      <w:hyperlink r:id="rId16" w:history="1">
        <w:r w:rsidR="0067106D" w:rsidRPr="001C58C6">
          <w:rPr>
            <w:rStyle w:val="Hyperlink"/>
            <w:rFonts w:ascii="Calibri" w:hAnsi="Calibri" w:cs="Calibri"/>
            <w:i/>
            <w:iCs/>
            <w:color w:val="000000" w:themeColor="text1"/>
            <w:sz w:val="18"/>
            <w:szCs w:val="18"/>
          </w:rPr>
          <w:t>https://www.epa.org.me/vazduh/</w:t>
        </w:r>
      </w:hyperlink>
      <w:r w:rsidRPr="001C58C6">
        <w:rPr>
          <w:rFonts w:ascii="Calibri" w:hAnsi="Calibri" w:cs="Calibri"/>
          <w:i/>
          <w:iCs/>
          <w:color w:val="000000" w:themeColor="text1"/>
          <w:sz w:val="18"/>
          <w:szCs w:val="18"/>
        </w:rPr>
        <w:t xml:space="preserve"> 21. Novembar 2025. </w:t>
      </w:r>
    </w:p>
    <w:p w14:paraId="7096BB39" w14:textId="77777777" w:rsidR="0067106D" w:rsidRPr="001C58C6" w:rsidRDefault="0067106D">
      <w:pPr>
        <w:pStyle w:val="FootnoteText"/>
        <w:jc w:val="center"/>
        <w:rPr>
          <w:rFonts w:ascii="Calibri" w:hAnsi="Calibri" w:cs="Calibri"/>
          <w:color w:val="000000" w:themeColor="text1"/>
        </w:rPr>
      </w:pPr>
    </w:p>
    <w:p w14:paraId="61997569" w14:textId="77777777" w:rsidR="0067106D" w:rsidRPr="001C58C6" w:rsidRDefault="00910DCF">
      <w:pPr>
        <w:pStyle w:val="FootnoteText"/>
        <w:rPr>
          <w:rFonts w:ascii="Calibri" w:hAnsi="Calibri" w:cs="Calibri"/>
          <w:color w:val="000000" w:themeColor="text1"/>
          <w:sz w:val="24"/>
          <w:szCs w:val="22"/>
        </w:rPr>
      </w:pPr>
      <w:r w:rsidRPr="001C58C6">
        <w:rPr>
          <w:rFonts w:ascii="Calibri" w:hAnsi="Calibri" w:cs="Calibri"/>
          <w:color w:val="000000" w:themeColor="text1"/>
          <w:sz w:val="24"/>
          <w:szCs w:val="22"/>
        </w:rPr>
        <w:t xml:space="preserve">Dok se za sadržaj teških metala (Pb, As, Cd, Ni) tokom dužeg perioda od posmatranog nijesu dešavala prekoračenja, ciljni sadržaj benzo(a)pirena prekoračen je u Sjevernoj i Centralnoj zoni na svim mjernim mjestima tokom svih pet posmatranih godina. </w:t>
      </w:r>
    </w:p>
    <w:p w14:paraId="2A1E192C" w14:textId="77777777" w:rsidR="006F52AD" w:rsidRDefault="006F52AD" w:rsidP="00B33518">
      <w:pPr>
        <w:pStyle w:val="Caption"/>
        <w:jc w:val="center"/>
        <w:rPr>
          <w:rFonts w:ascii="Calibri" w:hAnsi="Calibri" w:cs="Calibri"/>
          <w:i/>
          <w:iCs/>
          <w:color w:val="000000" w:themeColor="text1"/>
          <w:sz w:val="20"/>
          <w:szCs w:val="20"/>
        </w:rPr>
      </w:pPr>
    </w:p>
    <w:p w14:paraId="4943B305" w14:textId="77777777" w:rsidR="006F52AD" w:rsidRDefault="006F52AD" w:rsidP="00B33518">
      <w:pPr>
        <w:pStyle w:val="Caption"/>
        <w:jc w:val="center"/>
        <w:rPr>
          <w:rFonts w:ascii="Calibri" w:hAnsi="Calibri" w:cs="Calibri"/>
          <w:i/>
          <w:iCs/>
          <w:color w:val="000000" w:themeColor="text1"/>
          <w:sz w:val="20"/>
          <w:szCs w:val="20"/>
        </w:rPr>
      </w:pPr>
    </w:p>
    <w:p w14:paraId="0A498374" w14:textId="77777777" w:rsidR="006F52AD" w:rsidRDefault="006F52AD" w:rsidP="00B33518">
      <w:pPr>
        <w:pStyle w:val="Caption"/>
        <w:jc w:val="center"/>
        <w:rPr>
          <w:rFonts w:ascii="Calibri" w:hAnsi="Calibri" w:cs="Calibri"/>
          <w:i/>
          <w:iCs/>
          <w:color w:val="000000" w:themeColor="text1"/>
          <w:sz w:val="20"/>
          <w:szCs w:val="20"/>
        </w:rPr>
      </w:pPr>
    </w:p>
    <w:p w14:paraId="290823FF" w14:textId="77777777" w:rsidR="006F52AD" w:rsidRDefault="006F52AD" w:rsidP="00B33518">
      <w:pPr>
        <w:pStyle w:val="Caption"/>
        <w:jc w:val="center"/>
        <w:rPr>
          <w:rFonts w:ascii="Calibri" w:hAnsi="Calibri" w:cs="Calibri"/>
          <w:i/>
          <w:iCs/>
          <w:color w:val="000000" w:themeColor="text1"/>
          <w:sz w:val="20"/>
          <w:szCs w:val="20"/>
        </w:rPr>
      </w:pPr>
    </w:p>
    <w:p w14:paraId="1686CA7D" w14:textId="77777777" w:rsidR="006F52AD" w:rsidRDefault="006F52AD" w:rsidP="00B33518">
      <w:pPr>
        <w:pStyle w:val="Caption"/>
        <w:jc w:val="center"/>
        <w:rPr>
          <w:rFonts w:ascii="Calibri" w:hAnsi="Calibri" w:cs="Calibri"/>
          <w:i/>
          <w:iCs/>
          <w:color w:val="000000" w:themeColor="text1"/>
          <w:sz w:val="20"/>
          <w:szCs w:val="20"/>
        </w:rPr>
      </w:pPr>
    </w:p>
    <w:p w14:paraId="7DDFDA7C" w14:textId="77777777" w:rsidR="006F52AD" w:rsidRDefault="006F52AD" w:rsidP="00B33518">
      <w:pPr>
        <w:pStyle w:val="Caption"/>
        <w:jc w:val="center"/>
        <w:rPr>
          <w:rFonts w:ascii="Calibri" w:hAnsi="Calibri" w:cs="Calibri"/>
          <w:i/>
          <w:iCs/>
          <w:color w:val="000000" w:themeColor="text1"/>
          <w:sz w:val="20"/>
          <w:szCs w:val="20"/>
        </w:rPr>
      </w:pPr>
    </w:p>
    <w:p w14:paraId="7D0B44E1" w14:textId="77777777" w:rsidR="006F52AD" w:rsidRDefault="006F52AD" w:rsidP="00B33518">
      <w:pPr>
        <w:pStyle w:val="Caption"/>
        <w:jc w:val="center"/>
        <w:rPr>
          <w:rFonts w:ascii="Calibri" w:hAnsi="Calibri" w:cs="Calibri"/>
          <w:i/>
          <w:iCs/>
          <w:color w:val="000000" w:themeColor="text1"/>
          <w:sz w:val="20"/>
          <w:szCs w:val="20"/>
        </w:rPr>
      </w:pPr>
    </w:p>
    <w:p w14:paraId="3D613818" w14:textId="77777777" w:rsidR="006F52AD" w:rsidRDefault="006F52AD" w:rsidP="00B33518">
      <w:pPr>
        <w:pStyle w:val="Caption"/>
        <w:jc w:val="center"/>
        <w:rPr>
          <w:rFonts w:ascii="Calibri" w:hAnsi="Calibri" w:cs="Calibri"/>
          <w:i/>
          <w:iCs/>
          <w:color w:val="000000" w:themeColor="text1"/>
          <w:sz w:val="20"/>
          <w:szCs w:val="20"/>
        </w:rPr>
      </w:pPr>
    </w:p>
    <w:p w14:paraId="725218C8" w14:textId="77777777" w:rsidR="006F52AD" w:rsidRDefault="006F52AD" w:rsidP="00B33518">
      <w:pPr>
        <w:pStyle w:val="Caption"/>
        <w:jc w:val="center"/>
        <w:rPr>
          <w:rFonts w:ascii="Calibri" w:hAnsi="Calibri" w:cs="Calibri"/>
          <w:i/>
          <w:iCs/>
          <w:color w:val="000000" w:themeColor="text1"/>
          <w:sz w:val="20"/>
          <w:szCs w:val="20"/>
        </w:rPr>
      </w:pPr>
    </w:p>
    <w:p w14:paraId="5FC8C917" w14:textId="77777777" w:rsidR="006F52AD" w:rsidRDefault="006F52AD" w:rsidP="00B33518">
      <w:pPr>
        <w:pStyle w:val="Caption"/>
        <w:jc w:val="center"/>
        <w:rPr>
          <w:rFonts w:ascii="Calibri" w:hAnsi="Calibri" w:cs="Calibri"/>
          <w:i/>
          <w:iCs/>
          <w:color w:val="000000" w:themeColor="text1"/>
          <w:sz w:val="20"/>
          <w:szCs w:val="20"/>
        </w:rPr>
      </w:pPr>
    </w:p>
    <w:p w14:paraId="3EA28BCA" w14:textId="77777777" w:rsidR="006F52AD" w:rsidRDefault="006F52AD" w:rsidP="00B33518">
      <w:pPr>
        <w:pStyle w:val="Caption"/>
        <w:jc w:val="center"/>
        <w:rPr>
          <w:rFonts w:ascii="Calibri" w:hAnsi="Calibri" w:cs="Calibri"/>
          <w:i/>
          <w:iCs/>
          <w:color w:val="000000" w:themeColor="text1"/>
          <w:sz w:val="20"/>
          <w:szCs w:val="20"/>
        </w:rPr>
      </w:pPr>
    </w:p>
    <w:p w14:paraId="573A3926" w14:textId="6A89AC44" w:rsidR="00C97E85" w:rsidRPr="001C58C6" w:rsidRDefault="00743A33" w:rsidP="00B33518">
      <w:pPr>
        <w:pStyle w:val="Caption"/>
        <w:jc w:val="center"/>
        <w:rPr>
          <w:rFonts w:ascii="Calibri" w:hAnsi="Calibri" w:cs="Calibri"/>
          <w:i/>
          <w:iCs/>
          <w:color w:val="000000" w:themeColor="text1"/>
          <w:sz w:val="20"/>
          <w:szCs w:val="20"/>
        </w:rPr>
      </w:pPr>
      <w:bookmarkStart w:id="18" w:name="_Toc233584667"/>
      <w:r w:rsidRPr="001C58C6">
        <w:rPr>
          <w:rFonts w:ascii="Calibri" w:hAnsi="Calibri" w:cs="Calibri"/>
          <w:i/>
          <w:iCs/>
          <w:color w:val="000000" w:themeColor="text1"/>
          <w:sz w:val="20"/>
          <w:szCs w:val="20"/>
        </w:rPr>
        <w:lastRenderedPageBreak/>
        <w:t xml:space="preserve">Grafik </w:t>
      </w:r>
      <w:r w:rsidRPr="001C58C6">
        <w:rPr>
          <w:rFonts w:ascii="Calibri" w:hAnsi="Calibri" w:cs="Calibri"/>
          <w:i/>
          <w:iCs/>
          <w:color w:val="000000" w:themeColor="text1"/>
          <w:sz w:val="20"/>
          <w:szCs w:val="20"/>
        </w:rPr>
        <w:fldChar w:fldCharType="begin"/>
      </w:r>
      <w:r w:rsidRPr="001C58C6">
        <w:rPr>
          <w:rFonts w:ascii="Calibri" w:hAnsi="Calibri" w:cs="Calibri"/>
          <w:i/>
          <w:iCs/>
          <w:color w:val="000000" w:themeColor="text1"/>
          <w:sz w:val="20"/>
          <w:szCs w:val="20"/>
        </w:rPr>
        <w:instrText xml:space="preserve"> SEQ Grafik \* ARABIC </w:instrText>
      </w:r>
      <w:r w:rsidRPr="001C58C6">
        <w:rPr>
          <w:rFonts w:ascii="Calibri" w:hAnsi="Calibri" w:cs="Calibri"/>
          <w:i/>
          <w:iCs/>
          <w:color w:val="000000" w:themeColor="text1"/>
          <w:sz w:val="20"/>
          <w:szCs w:val="20"/>
        </w:rPr>
        <w:fldChar w:fldCharType="separate"/>
      </w:r>
      <w:r w:rsidR="00752282" w:rsidRPr="001C58C6">
        <w:rPr>
          <w:rFonts w:ascii="Calibri" w:hAnsi="Calibri" w:cs="Calibri"/>
          <w:i/>
          <w:iCs/>
          <w:color w:val="000000" w:themeColor="text1"/>
          <w:sz w:val="20"/>
          <w:szCs w:val="20"/>
        </w:rPr>
        <w:t>6</w:t>
      </w:r>
      <w:r w:rsidRPr="001C58C6">
        <w:rPr>
          <w:rFonts w:ascii="Calibri" w:hAnsi="Calibri" w:cs="Calibri"/>
          <w:i/>
          <w:iCs/>
          <w:color w:val="000000" w:themeColor="text1"/>
          <w:sz w:val="20"/>
          <w:szCs w:val="20"/>
        </w:rPr>
        <w:fldChar w:fldCharType="end"/>
      </w:r>
      <w:r w:rsidR="00C65835" w:rsidRPr="001C58C6">
        <w:rPr>
          <w:rFonts w:ascii="Calibri" w:hAnsi="Calibri" w:cs="Calibri"/>
          <w:i/>
          <w:iCs/>
          <w:color w:val="000000" w:themeColor="text1"/>
          <w:sz w:val="20"/>
          <w:szCs w:val="20"/>
        </w:rPr>
        <w:t>:</w:t>
      </w:r>
      <w:r w:rsidR="00374C81" w:rsidRPr="001C58C6">
        <w:rPr>
          <w:rFonts w:ascii="Calibri" w:hAnsi="Calibri" w:cs="Calibri"/>
          <w:i/>
          <w:iCs/>
          <w:color w:val="000000" w:themeColor="text1"/>
          <w:sz w:val="20"/>
          <w:szCs w:val="20"/>
        </w:rPr>
        <w:t xml:space="preserve"> </w:t>
      </w:r>
      <w:r w:rsidR="00910DCF" w:rsidRPr="001C58C6">
        <w:rPr>
          <w:rFonts w:ascii="Calibri" w:hAnsi="Calibri" w:cs="Calibri"/>
          <w:i/>
          <w:iCs/>
          <w:color w:val="000000" w:themeColor="text1"/>
          <w:sz w:val="20"/>
          <w:szCs w:val="20"/>
        </w:rPr>
        <w:t>Srednje godišnje vrijednosti sadržaja benzo(a)pirena u suspendovanim česticama</w:t>
      </w:r>
      <w:bookmarkEnd w:id="18"/>
      <w:r w:rsidR="00910DCF" w:rsidRPr="001C58C6">
        <w:rPr>
          <w:rFonts w:ascii="Calibri" w:hAnsi="Calibri" w:cs="Calibri"/>
          <w:i/>
          <w:iCs/>
          <w:color w:val="000000" w:themeColor="text1"/>
          <w:sz w:val="20"/>
          <w:szCs w:val="20"/>
        </w:rPr>
        <w:t xml:space="preserve"> </w:t>
      </w:r>
    </w:p>
    <w:p w14:paraId="6FAF583E" w14:textId="77777777" w:rsidR="0067106D" w:rsidRPr="001C58C6" w:rsidRDefault="00910DCF">
      <w:pPr>
        <w:pStyle w:val="FootnoteText"/>
        <w:jc w:val="center"/>
        <w:rPr>
          <w:rFonts w:ascii="Calibri" w:hAnsi="Calibri" w:cs="Calibri"/>
          <w:color w:val="000000" w:themeColor="text1"/>
          <w:sz w:val="24"/>
          <w:szCs w:val="22"/>
        </w:rPr>
      </w:pPr>
      <w:r w:rsidRPr="001C58C6">
        <w:rPr>
          <w:rFonts w:ascii="Calibri" w:hAnsi="Calibri" w:cs="Calibri"/>
          <w:noProof/>
          <w:color w:val="000000" w:themeColor="text1"/>
        </w:rPr>
        <w:drawing>
          <wp:inline distT="0" distB="0" distL="0" distR="0" wp14:anchorId="71ABEC50" wp14:editId="71ABEC51">
            <wp:extent cx="4175760" cy="2004060"/>
            <wp:effectExtent l="0" t="0" r="15240" b="15240"/>
            <wp:docPr id="61202734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4D942E0" w14:textId="77777777" w:rsidR="0067106D" w:rsidRPr="001C58C6" w:rsidRDefault="00910DCF">
      <w:pPr>
        <w:pStyle w:val="FootnoteText"/>
        <w:jc w:val="center"/>
        <w:rPr>
          <w:rFonts w:ascii="Calibri" w:hAnsi="Calibri" w:cs="Calibri"/>
          <w:i/>
          <w:iCs/>
          <w:color w:val="000000" w:themeColor="text1"/>
          <w:sz w:val="18"/>
          <w:szCs w:val="18"/>
        </w:rPr>
      </w:pPr>
      <w:r w:rsidRPr="001C58C6">
        <w:rPr>
          <w:rFonts w:ascii="Calibri" w:hAnsi="Calibri" w:cs="Calibri"/>
          <w:i/>
          <w:iCs/>
          <w:color w:val="000000" w:themeColor="text1"/>
          <w:sz w:val="18"/>
          <w:szCs w:val="18"/>
        </w:rPr>
        <w:t>Izvor podataka: Godišnji izvještaj o realizaciji programa monitoringa vazduha, (CETI 202</w:t>
      </w:r>
      <w:r w:rsidR="00C97E85" w:rsidRPr="001C58C6">
        <w:rPr>
          <w:rFonts w:ascii="Calibri" w:hAnsi="Calibri" w:cs="Calibri"/>
          <w:i/>
          <w:iCs/>
          <w:color w:val="000000" w:themeColor="text1"/>
          <w:sz w:val="18"/>
          <w:szCs w:val="18"/>
        </w:rPr>
        <w:t>0</w:t>
      </w:r>
      <w:r w:rsidRPr="001C58C6">
        <w:rPr>
          <w:rFonts w:ascii="Calibri" w:hAnsi="Calibri" w:cs="Calibri"/>
          <w:i/>
          <w:iCs/>
          <w:color w:val="000000" w:themeColor="text1"/>
          <w:sz w:val="18"/>
          <w:szCs w:val="18"/>
        </w:rPr>
        <w:t>.-2024.)</w:t>
      </w:r>
    </w:p>
    <w:p w14:paraId="0DE76B10" w14:textId="77777777" w:rsidR="0067106D" w:rsidRPr="001C58C6" w:rsidRDefault="0067106D">
      <w:pPr>
        <w:pStyle w:val="FootnoteText"/>
        <w:rPr>
          <w:rFonts w:ascii="Calibri" w:hAnsi="Calibri" w:cs="Calibri"/>
          <w:i/>
          <w:iCs/>
          <w:color w:val="000000" w:themeColor="text1"/>
          <w:sz w:val="18"/>
          <w:szCs w:val="18"/>
        </w:rPr>
      </w:pPr>
    </w:p>
    <w:p w14:paraId="0202F692" w14:textId="77777777" w:rsidR="0067106D" w:rsidRPr="001C58C6" w:rsidRDefault="00910DCF">
      <w:pPr>
        <w:pStyle w:val="FootnoteText"/>
        <w:rPr>
          <w:rFonts w:ascii="Calibri" w:hAnsi="Calibri" w:cs="Calibri"/>
          <w:color w:val="000000" w:themeColor="text1"/>
          <w:sz w:val="24"/>
          <w:szCs w:val="24"/>
        </w:rPr>
      </w:pPr>
      <w:r w:rsidRPr="001C58C6">
        <w:rPr>
          <w:rFonts w:ascii="Calibri" w:hAnsi="Calibri" w:cs="Calibri"/>
          <w:color w:val="000000" w:themeColor="text1"/>
          <w:sz w:val="24"/>
          <w:szCs w:val="24"/>
        </w:rPr>
        <w:t xml:space="preserve">Iz izložene analize mogu se izvući sljedeći zaključci: </w:t>
      </w:r>
    </w:p>
    <w:p w14:paraId="46B9E387" w14:textId="77777777" w:rsidR="0067106D" w:rsidRPr="001C58C6" w:rsidRDefault="0067106D">
      <w:pPr>
        <w:pStyle w:val="FootnoteText"/>
        <w:rPr>
          <w:rFonts w:ascii="Calibri" w:hAnsi="Calibri" w:cs="Calibri"/>
          <w:color w:val="000000" w:themeColor="text1"/>
          <w:sz w:val="24"/>
          <w:szCs w:val="24"/>
        </w:rPr>
      </w:pPr>
    </w:p>
    <w:p w14:paraId="645A9D7E" w14:textId="77777777" w:rsidR="0067106D" w:rsidRPr="001C58C6" w:rsidRDefault="00910DCF">
      <w:pPr>
        <w:pStyle w:val="FootnoteText"/>
        <w:rPr>
          <w:rFonts w:ascii="Calibri" w:hAnsi="Calibri" w:cs="Calibri"/>
          <w:color w:val="000000" w:themeColor="text1"/>
          <w:sz w:val="24"/>
          <w:szCs w:val="24"/>
        </w:rPr>
      </w:pPr>
      <w:r w:rsidRPr="001C58C6">
        <w:rPr>
          <w:rFonts w:ascii="Calibri" w:hAnsi="Calibri" w:cs="Calibri"/>
          <w:color w:val="000000" w:themeColor="text1"/>
          <w:sz w:val="24"/>
          <w:szCs w:val="24"/>
        </w:rPr>
        <w:t xml:space="preserve">Aktuelne granične i ciljne vrijednosti prekoračene su: </w:t>
      </w:r>
    </w:p>
    <w:p w14:paraId="0358C764" w14:textId="77777777" w:rsidR="005F1F0D" w:rsidRPr="001C58C6" w:rsidRDefault="005F1F0D">
      <w:pPr>
        <w:pStyle w:val="FootnoteText"/>
        <w:rPr>
          <w:rFonts w:ascii="Calibri" w:hAnsi="Calibri" w:cs="Calibri"/>
          <w:color w:val="000000" w:themeColor="text1"/>
          <w:sz w:val="24"/>
          <w:szCs w:val="24"/>
        </w:rPr>
      </w:pPr>
    </w:p>
    <w:p w14:paraId="7FE5E7EB" w14:textId="77777777" w:rsidR="0067106D" w:rsidRPr="001C58C6" w:rsidRDefault="00910DCF">
      <w:pPr>
        <w:pStyle w:val="FootnoteText"/>
        <w:numPr>
          <w:ilvl w:val="0"/>
          <w:numId w:val="1"/>
        </w:numPr>
        <w:rPr>
          <w:rFonts w:ascii="Calibri" w:hAnsi="Calibri" w:cs="Calibri"/>
          <w:color w:val="000000" w:themeColor="text1"/>
          <w:sz w:val="24"/>
          <w:szCs w:val="24"/>
        </w:rPr>
      </w:pPr>
      <w:r w:rsidRPr="001C58C6">
        <w:rPr>
          <w:rFonts w:ascii="Calibri" w:hAnsi="Calibri" w:cs="Calibri"/>
          <w:color w:val="000000" w:themeColor="text1"/>
          <w:sz w:val="24"/>
          <w:szCs w:val="24"/>
        </w:rPr>
        <w:t xml:space="preserve">u Sjevernoj zoni kvaliteta vazduha za sljedeće polutante: suspendovane čestice PM10 i PM2.5 i benzo(a)piren; </w:t>
      </w:r>
    </w:p>
    <w:p w14:paraId="31FF2319" w14:textId="77777777" w:rsidR="0067106D" w:rsidRPr="001C58C6" w:rsidRDefault="00910DCF">
      <w:pPr>
        <w:pStyle w:val="FootnoteText"/>
        <w:numPr>
          <w:ilvl w:val="0"/>
          <w:numId w:val="1"/>
        </w:numPr>
        <w:rPr>
          <w:rFonts w:ascii="Calibri" w:hAnsi="Calibri" w:cs="Calibri"/>
          <w:color w:val="000000" w:themeColor="text1"/>
          <w:sz w:val="24"/>
          <w:szCs w:val="24"/>
        </w:rPr>
      </w:pPr>
      <w:r w:rsidRPr="001C58C6">
        <w:rPr>
          <w:rFonts w:ascii="Calibri" w:hAnsi="Calibri" w:cs="Calibri"/>
          <w:color w:val="000000" w:themeColor="text1"/>
          <w:sz w:val="24"/>
          <w:szCs w:val="24"/>
        </w:rPr>
        <w:t xml:space="preserve">u Centralnoj zoni kvaliteta vazduha za benzo(a)piren, dok su granične vrijednosti za suspendovane čestice PM2.5 dostignute u 2024. godini; </w:t>
      </w:r>
    </w:p>
    <w:p w14:paraId="23F25252" w14:textId="77777777" w:rsidR="005F1F0D" w:rsidRPr="001C58C6" w:rsidRDefault="005F1F0D">
      <w:pPr>
        <w:pStyle w:val="FootnoteText"/>
        <w:rPr>
          <w:rFonts w:ascii="Calibri" w:hAnsi="Calibri" w:cs="Calibri"/>
          <w:color w:val="000000" w:themeColor="text1"/>
          <w:sz w:val="24"/>
          <w:szCs w:val="24"/>
        </w:rPr>
      </w:pPr>
    </w:p>
    <w:p w14:paraId="224CDE45" w14:textId="77777777" w:rsidR="0067106D" w:rsidRPr="001C58C6" w:rsidRDefault="00910DCF">
      <w:pPr>
        <w:pStyle w:val="FootnoteText"/>
        <w:rPr>
          <w:rFonts w:ascii="Calibri" w:hAnsi="Calibri" w:cs="Calibri"/>
          <w:color w:val="000000" w:themeColor="text1"/>
          <w:sz w:val="24"/>
          <w:szCs w:val="24"/>
        </w:rPr>
      </w:pPr>
      <w:r w:rsidRPr="001C58C6">
        <w:rPr>
          <w:rFonts w:ascii="Calibri" w:hAnsi="Calibri" w:cs="Calibri"/>
          <w:color w:val="000000" w:themeColor="text1"/>
          <w:sz w:val="24"/>
          <w:szCs w:val="24"/>
        </w:rPr>
        <w:t xml:space="preserve">U Južnoj zoni nijesu zabilježena prekoračenja graničnih vrijednosti dok su vrijednosti sadržaja benzo(a)pirena ispod ciljnih vrijednosti za cijeli posmatrani petogodišnji period.  </w:t>
      </w:r>
    </w:p>
    <w:p w14:paraId="79F7C5AB" w14:textId="77777777" w:rsidR="0067106D" w:rsidRPr="001C58C6" w:rsidRDefault="0067106D">
      <w:pPr>
        <w:pStyle w:val="FootnoteText"/>
        <w:rPr>
          <w:rFonts w:ascii="Calibri" w:hAnsi="Calibri" w:cs="Calibri"/>
          <w:color w:val="000000" w:themeColor="text1"/>
          <w:sz w:val="24"/>
          <w:szCs w:val="24"/>
        </w:rPr>
      </w:pPr>
    </w:p>
    <w:p w14:paraId="316731B3" w14:textId="77777777" w:rsidR="0067106D" w:rsidRPr="001C58C6" w:rsidRDefault="00910DCF">
      <w:pPr>
        <w:pStyle w:val="FootnoteText"/>
        <w:rPr>
          <w:rFonts w:ascii="Calibri" w:hAnsi="Calibri" w:cs="Calibri"/>
          <w:color w:val="000000" w:themeColor="text1"/>
          <w:sz w:val="24"/>
          <w:szCs w:val="24"/>
        </w:rPr>
      </w:pPr>
      <w:r w:rsidRPr="001C58C6">
        <w:rPr>
          <w:rFonts w:ascii="Calibri" w:hAnsi="Calibri" w:cs="Calibri"/>
          <w:color w:val="000000" w:themeColor="text1"/>
          <w:sz w:val="24"/>
          <w:szCs w:val="24"/>
        </w:rPr>
        <w:t xml:space="preserve">Postizanje standarda za prekoračenja dozvoljenih koncentracija navedenih polutanata apsolutni je prioritet u pogledu planova kvaliteta vazduha koji su sastavni dio ove strategije. </w:t>
      </w:r>
    </w:p>
    <w:p w14:paraId="5EEA6E2D" w14:textId="77777777" w:rsidR="0067106D" w:rsidRPr="001C58C6" w:rsidRDefault="0067106D">
      <w:pPr>
        <w:pStyle w:val="FootnoteText"/>
        <w:rPr>
          <w:rFonts w:ascii="Calibri" w:hAnsi="Calibri" w:cs="Calibri"/>
          <w:color w:val="000000" w:themeColor="text1"/>
          <w:sz w:val="24"/>
          <w:szCs w:val="24"/>
        </w:rPr>
      </w:pPr>
    </w:p>
    <w:p w14:paraId="62919F7E" w14:textId="77777777" w:rsidR="0067106D" w:rsidRPr="001C58C6" w:rsidRDefault="00910DCF">
      <w:pPr>
        <w:pStyle w:val="FootnoteText"/>
        <w:rPr>
          <w:rFonts w:ascii="Calibri" w:hAnsi="Calibri" w:cs="Calibri"/>
          <w:color w:val="000000" w:themeColor="text1"/>
          <w:sz w:val="24"/>
          <w:szCs w:val="24"/>
        </w:rPr>
      </w:pPr>
      <w:r w:rsidRPr="001C58C6">
        <w:rPr>
          <w:rFonts w:ascii="Calibri" w:hAnsi="Calibri" w:cs="Calibri"/>
          <w:color w:val="000000" w:themeColor="text1"/>
          <w:sz w:val="24"/>
          <w:szCs w:val="24"/>
        </w:rPr>
        <w:t xml:space="preserve">Imajući u vidu uvođenje novih, strožih standarda kvaliteta vazduha čija će primjena početi nakon perioda važenja ovog strateškog dokumenta, neophodno je obratiti pažnju na polutante čije su koncentracije iznad ili su bliske graničnim vrijednostima iz Direktive 2881/2024, koje stupaju na snagu 1. </w:t>
      </w:r>
      <w:r w:rsidR="00C97E85" w:rsidRPr="001C58C6">
        <w:rPr>
          <w:rFonts w:ascii="Calibri" w:hAnsi="Calibri" w:cs="Calibri"/>
          <w:color w:val="000000" w:themeColor="text1"/>
          <w:sz w:val="24"/>
          <w:szCs w:val="24"/>
        </w:rPr>
        <w:t>j</w:t>
      </w:r>
      <w:r w:rsidRPr="001C58C6">
        <w:rPr>
          <w:rFonts w:ascii="Calibri" w:hAnsi="Calibri" w:cs="Calibri"/>
          <w:color w:val="000000" w:themeColor="text1"/>
          <w:sz w:val="24"/>
          <w:szCs w:val="24"/>
        </w:rPr>
        <w:t xml:space="preserve">anuara 2030. godine: </w:t>
      </w:r>
    </w:p>
    <w:p w14:paraId="6586E160" w14:textId="77777777" w:rsidR="0067106D" w:rsidRPr="001C58C6" w:rsidRDefault="0067106D">
      <w:pPr>
        <w:pStyle w:val="FootnoteText"/>
        <w:rPr>
          <w:rFonts w:ascii="Calibri" w:hAnsi="Calibri" w:cs="Calibri"/>
          <w:color w:val="000000" w:themeColor="text1"/>
          <w:sz w:val="24"/>
          <w:szCs w:val="24"/>
        </w:rPr>
      </w:pPr>
    </w:p>
    <w:p w14:paraId="02810A21" w14:textId="77777777" w:rsidR="0067106D" w:rsidRPr="001C58C6" w:rsidRDefault="00806123" w:rsidP="00B33518">
      <w:pPr>
        <w:pStyle w:val="Caption"/>
        <w:jc w:val="center"/>
        <w:rPr>
          <w:rFonts w:ascii="Calibri" w:hAnsi="Calibri" w:cs="Calibri"/>
          <w:i/>
          <w:iCs/>
          <w:color w:val="000000" w:themeColor="text1"/>
          <w:sz w:val="20"/>
          <w:szCs w:val="20"/>
        </w:rPr>
      </w:pPr>
      <w:bookmarkStart w:id="19" w:name="_Toc217388662"/>
      <w:bookmarkStart w:id="20" w:name="_Toc233584677"/>
      <w:r w:rsidRPr="001C58C6">
        <w:rPr>
          <w:rFonts w:ascii="Calibri" w:hAnsi="Calibri" w:cs="Calibri"/>
          <w:i/>
          <w:iCs/>
          <w:color w:val="000000" w:themeColor="text1"/>
          <w:sz w:val="20"/>
          <w:szCs w:val="20"/>
        </w:rPr>
        <w:t xml:space="preserve">Tabela </w:t>
      </w:r>
      <w:r w:rsidRPr="001C58C6">
        <w:rPr>
          <w:rFonts w:ascii="Calibri" w:hAnsi="Calibri" w:cs="Calibri"/>
          <w:i/>
          <w:iCs/>
          <w:color w:val="000000" w:themeColor="text1"/>
          <w:sz w:val="20"/>
          <w:szCs w:val="20"/>
        </w:rPr>
        <w:fldChar w:fldCharType="begin"/>
      </w:r>
      <w:r w:rsidRPr="001C58C6">
        <w:rPr>
          <w:rFonts w:ascii="Calibri" w:hAnsi="Calibri" w:cs="Calibri"/>
          <w:i/>
          <w:iCs/>
          <w:color w:val="000000" w:themeColor="text1"/>
          <w:sz w:val="20"/>
          <w:szCs w:val="20"/>
        </w:rPr>
        <w:instrText xml:space="preserve"> SEQ Tabela \* ARABIC </w:instrText>
      </w:r>
      <w:r w:rsidRPr="001C58C6">
        <w:rPr>
          <w:rFonts w:ascii="Calibri" w:hAnsi="Calibri" w:cs="Calibri"/>
          <w:i/>
          <w:iCs/>
          <w:color w:val="000000" w:themeColor="text1"/>
          <w:sz w:val="20"/>
          <w:szCs w:val="20"/>
        </w:rPr>
        <w:fldChar w:fldCharType="separate"/>
      </w:r>
      <w:r w:rsidR="00752282" w:rsidRPr="001C58C6">
        <w:rPr>
          <w:rFonts w:ascii="Calibri" w:hAnsi="Calibri" w:cs="Calibri"/>
          <w:i/>
          <w:iCs/>
          <w:color w:val="000000" w:themeColor="text1"/>
          <w:sz w:val="20"/>
          <w:szCs w:val="20"/>
        </w:rPr>
        <w:t>2</w:t>
      </w:r>
      <w:r w:rsidRPr="001C58C6">
        <w:rPr>
          <w:rFonts w:ascii="Calibri" w:hAnsi="Calibri" w:cs="Calibri"/>
          <w:i/>
          <w:iCs/>
          <w:color w:val="000000" w:themeColor="text1"/>
          <w:sz w:val="20"/>
          <w:szCs w:val="20"/>
        </w:rPr>
        <w:fldChar w:fldCharType="end"/>
      </w:r>
      <w:r w:rsidR="00C65835" w:rsidRPr="001C58C6">
        <w:rPr>
          <w:rFonts w:ascii="Calibri" w:hAnsi="Calibri" w:cs="Calibri"/>
          <w:i/>
          <w:iCs/>
          <w:color w:val="000000" w:themeColor="text1"/>
          <w:sz w:val="20"/>
          <w:szCs w:val="20"/>
        </w:rPr>
        <w:t>:</w:t>
      </w:r>
      <w:r w:rsidR="00DD313F" w:rsidRPr="001C58C6">
        <w:rPr>
          <w:rFonts w:ascii="Calibri" w:hAnsi="Calibri" w:cs="Calibri"/>
          <w:i/>
          <w:iCs/>
          <w:color w:val="000000" w:themeColor="text1"/>
          <w:sz w:val="20"/>
          <w:szCs w:val="20"/>
        </w:rPr>
        <w:t xml:space="preserve"> </w:t>
      </w:r>
      <w:r w:rsidR="00C65835" w:rsidRPr="001C58C6">
        <w:rPr>
          <w:rFonts w:ascii="Calibri" w:hAnsi="Calibri" w:cs="Calibri"/>
          <w:i/>
          <w:iCs/>
          <w:color w:val="000000" w:themeColor="text1"/>
          <w:sz w:val="20"/>
          <w:szCs w:val="20"/>
        </w:rPr>
        <w:t>S</w:t>
      </w:r>
      <w:r w:rsidR="00910DCF" w:rsidRPr="001C58C6">
        <w:rPr>
          <w:rFonts w:ascii="Calibri" w:hAnsi="Calibri" w:cs="Calibri"/>
          <w:i/>
          <w:iCs/>
          <w:color w:val="000000" w:themeColor="text1"/>
          <w:sz w:val="20"/>
          <w:szCs w:val="20"/>
        </w:rPr>
        <w:t>rednje godišnje koncentracije zagađujućih materija (2024)</w:t>
      </w:r>
      <w:bookmarkEnd w:id="19"/>
      <w:bookmarkEnd w:id="20"/>
    </w:p>
    <w:tbl>
      <w:tblPr>
        <w:tblStyle w:val="GridTable1Light-Accent1"/>
        <w:tblW w:w="5000" w:type="pct"/>
        <w:tblLook w:val="04A0" w:firstRow="1" w:lastRow="0" w:firstColumn="1" w:lastColumn="0" w:noHBand="0" w:noVBand="1"/>
      </w:tblPr>
      <w:tblGrid>
        <w:gridCol w:w="1948"/>
        <w:gridCol w:w="1406"/>
        <w:gridCol w:w="1408"/>
        <w:gridCol w:w="1423"/>
        <w:gridCol w:w="1430"/>
        <w:gridCol w:w="1401"/>
      </w:tblGrid>
      <w:tr w:rsidR="0067106D" w:rsidRPr="001C58C6" w14:paraId="2F5F56DC" w14:textId="77777777" w:rsidTr="001743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pct"/>
            <w:shd w:val="clear" w:color="auto" w:fill="E8E8E8" w:themeFill="background2"/>
            <w:vAlign w:val="center"/>
          </w:tcPr>
          <w:p w14:paraId="2B6E36D5" w14:textId="77777777" w:rsidR="0067106D" w:rsidRPr="001C58C6" w:rsidRDefault="00910DCF">
            <w:pPr>
              <w:pStyle w:val="FootnoteText"/>
              <w:rPr>
                <w:rFonts w:ascii="Calibri" w:hAnsi="Calibri" w:cs="Calibri"/>
                <w:color w:val="000000" w:themeColor="text1"/>
                <w:sz w:val="22"/>
                <w:szCs w:val="22"/>
              </w:rPr>
            </w:pPr>
            <w:r w:rsidRPr="001C58C6">
              <w:rPr>
                <w:rFonts w:ascii="Calibri" w:hAnsi="Calibri" w:cs="Calibri"/>
                <w:color w:val="000000" w:themeColor="text1"/>
                <w:sz w:val="22"/>
                <w:szCs w:val="22"/>
              </w:rPr>
              <w:t>Zona/polutant</w:t>
            </w:r>
          </w:p>
        </w:tc>
        <w:tc>
          <w:tcPr>
            <w:tcW w:w="779" w:type="pct"/>
            <w:shd w:val="clear" w:color="auto" w:fill="E8E8E8" w:themeFill="background2"/>
            <w:vAlign w:val="center"/>
          </w:tcPr>
          <w:p w14:paraId="3E3A4E9E" w14:textId="77777777" w:rsidR="0067106D" w:rsidRPr="001C58C6" w:rsidRDefault="00910DCF" w:rsidP="00C65835">
            <w:pPr>
              <w:pStyle w:val="FootnoteText"/>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SO2</w:t>
            </w:r>
          </w:p>
        </w:tc>
        <w:tc>
          <w:tcPr>
            <w:tcW w:w="781" w:type="pct"/>
            <w:shd w:val="clear" w:color="auto" w:fill="E8E8E8" w:themeFill="background2"/>
            <w:vAlign w:val="center"/>
          </w:tcPr>
          <w:p w14:paraId="5DE6C795" w14:textId="77777777" w:rsidR="0067106D" w:rsidRPr="001C58C6" w:rsidRDefault="00910DCF" w:rsidP="00C65835">
            <w:pPr>
              <w:pStyle w:val="FootnoteText"/>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NO2</w:t>
            </w:r>
          </w:p>
        </w:tc>
        <w:tc>
          <w:tcPr>
            <w:tcW w:w="789" w:type="pct"/>
            <w:shd w:val="clear" w:color="auto" w:fill="E8E8E8" w:themeFill="background2"/>
            <w:vAlign w:val="center"/>
          </w:tcPr>
          <w:p w14:paraId="79838434" w14:textId="77777777" w:rsidR="0067106D" w:rsidRPr="001C58C6" w:rsidRDefault="00910DCF" w:rsidP="00C65835">
            <w:pPr>
              <w:pStyle w:val="FootnoteText"/>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PM10</w:t>
            </w:r>
          </w:p>
        </w:tc>
        <w:tc>
          <w:tcPr>
            <w:tcW w:w="793" w:type="pct"/>
            <w:shd w:val="clear" w:color="auto" w:fill="E8E8E8" w:themeFill="background2"/>
            <w:vAlign w:val="center"/>
          </w:tcPr>
          <w:p w14:paraId="4573C05E" w14:textId="77777777" w:rsidR="0067106D" w:rsidRPr="001C58C6" w:rsidRDefault="00910DCF" w:rsidP="00C65835">
            <w:pPr>
              <w:pStyle w:val="FootnoteText"/>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PM2.5</w:t>
            </w:r>
          </w:p>
        </w:tc>
        <w:tc>
          <w:tcPr>
            <w:tcW w:w="777" w:type="pct"/>
            <w:shd w:val="clear" w:color="auto" w:fill="E8E8E8" w:themeFill="background2"/>
            <w:vAlign w:val="center"/>
          </w:tcPr>
          <w:p w14:paraId="04A7AB32" w14:textId="77777777" w:rsidR="0067106D" w:rsidRPr="001C58C6" w:rsidRDefault="00910DCF" w:rsidP="00C65835">
            <w:pPr>
              <w:pStyle w:val="FootnoteText"/>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BaP</w:t>
            </w:r>
          </w:p>
        </w:tc>
      </w:tr>
      <w:tr w:rsidR="0067106D" w:rsidRPr="001C58C6" w14:paraId="6F464B41" w14:textId="77777777" w:rsidTr="001743DE">
        <w:tc>
          <w:tcPr>
            <w:cnfStyle w:val="001000000000" w:firstRow="0" w:lastRow="0" w:firstColumn="1" w:lastColumn="0" w:oddVBand="0" w:evenVBand="0" w:oddHBand="0" w:evenHBand="0" w:firstRowFirstColumn="0" w:firstRowLastColumn="0" w:lastRowFirstColumn="0" w:lastRowLastColumn="0"/>
            <w:tcW w:w="1080" w:type="pct"/>
            <w:vAlign w:val="center"/>
          </w:tcPr>
          <w:p w14:paraId="77940A83" w14:textId="77777777" w:rsidR="0067106D" w:rsidRPr="001C58C6" w:rsidRDefault="00910DCF">
            <w:pPr>
              <w:pStyle w:val="FootnoteText"/>
              <w:rPr>
                <w:rFonts w:ascii="Calibri" w:hAnsi="Calibri" w:cs="Calibri"/>
                <w:color w:val="000000" w:themeColor="text1"/>
                <w:sz w:val="22"/>
                <w:szCs w:val="22"/>
              </w:rPr>
            </w:pPr>
            <w:r w:rsidRPr="001C58C6">
              <w:rPr>
                <w:rFonts w:ascii="Calibri" w:hAnsi="Calibri" w:cs="Calibri"/>
                <w:color w:val="000000" w:themeColor="text1"/>
                <w:sz w:val="22"/>
                <w:szCs w:val="22"/>
              </w:rPr>
              <w:t>Sjeverna</w:t>
            </w:r>
          </w:p>
        </w:tc>
        <w:tc>
          <w:tcPr>
            <w:tcW w:w="779" w:type="pct"/>
            <w:vAlign w:val="center"/>
          </w:tcPr>
          <w:p w14:paraId="05644692" w14:textId="77777777" w:rsidR="0067106D" w:rsidRPr="001C58C6" w:rsidRDefault="00910DCF" w:rsidP="00C65835">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13.6</w:t>
            </w:r>
          </w:p>
        </w:tc>
        <w:tc>
          <w:tcPr>
            <w:tcW w:w="781" w:type="pct"/>
            <w:vAlign w:val="center"/>
          </w:tcPr>
          <w:p w14:paraId="72F3EFA1" w14:textId="77777777" w:rsidR="0067106D" w:rsidRPr="001C58C6" w:rsidRDefault="00910DCF" w:rsidP="00C65835">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15.97</w:t>
            </w:r>
          </w:p>
        </w:tc>
        <w:tc>
          <w:tcPr>
            <w:tcW w:w="789" w:type="pct"/>
            <w:vAlign w:val="center"/>
          </w:tcPr>
          <w:p w14:paraId="133CF438" w14:textId="77777777" w:rsidR="0067106D" w:rsidRPr="001C58C6" w:rsidRDefault="00910DCF" w:rsidP="00C65835">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41.6</w:t>
            </w:r>
          </w:p>
        </w:tc>
        <w:tc>
          <w:tcPr>
            <w:tcW w:w="793" w:type="pct"/>
            <w:vAlign w:val="center"/>
          </w:tcPr>
          <w:p w14:paraId="2471BE38" w14:textId="77777777" w:rsidR="0067106D" w:rsidRPr="001C58C6" w:rsidRDefault="00910DCF" w:rsidP="00C65835">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31.77</w:t>
            </w:r>
          </w:p>
        </w:tc>
        <w:tc>
          <w:tcPr>
            <w:tcW w:w="777" w:type="pct"/>
            <w:vAlign w:val="center"/>
          </w:tcPr>
          <w:p w14:paraId="3A9B34D3" w14:textId="77777777" w:rsidR="0067106D" w:rsidRPr="001C58C6" w:rsidRDefault="00910DCF" w:rsidP="00C65835">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5.08</w:t>
            </w:r>
          </w:p>
        </w:tc>
      </w:tr>
      <w:tr w:rsidR="0067106D" w:rsidRPr="001C58C6" w14:paraId="34CF00AB" w14:textId="77777777" w:rsidTr="001743DE">
        <w:tc>
          <w:tcPr>
            <w:cnfStyle w:val="001000000000" w:firstRow="0" w:lastRow="0" w:firstColumn="1" w:lastColumn="0" w:oddVBand="0" w:evenVBand="0" w:oddHBand="0" w:evenHBand="0" w:firstRowFirstColumn="0" w:firstRowLastColumn="0" w:lastRowFirstColumn="0" w:lastRowLastColumn="0"/>
            <w:tcW w:w="1080" w:type="pct"/>
            <w:vAlign w:val="center"/>
          </w:tcPr>
          <w:p w14:paraId="76C1FD30" w14:textId="77777777" w:rsidR="0067106D" w:rsidRPr="001C58C6" w:rsidRDefault="00910DCF">
            <w:pPr>
              <w:pStyle w:val="FootnoteText"/>
              <w:rPr>
                <w:rFonts w:ascii="Calibri" w:hAnsi="Calibri" w:cs="Calibri"/>
                <w:color w:val="000000" w:themeColor="text1"/>
                <w:sz w:val="22"/>
                <w:szCs w:val="22"/>
              </w:rPr>
            </w:pPr>
            <w:r w:rsidRPr="001C58C6">
              <w:rPr>
                <w:rFonts w:ascii="Calibri" w:hAnsi="Calibri" w:cs="Calibri"/>
                <w:color w:val="000000" w:themeColor="text1"/>
                <w:sz w:val="22"/>
                <w:szCs w:val="22"/>
              </w:rPr>
              <w:t>Centralna</w:t>
            </w:r>
          </w:p>
        </w:tc>
        <w:tc>
          <w:tcPr>
            <w:tcW w:w="779" w:type="pct"/>
            <w:vAlign w:val="center"/>
          </w:tcPr>
          <w:p w14:paraId="0B1B0EF4" w14:textId="77777777" w:rsidR="0067106D" w:rsidRPr="001C58C6" w:rsidRDefault="00910DCF" w:rsidP="00C65835">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3.49</w:t>
            </w:r>
          </w:p>
        </w:tc>
        <w:tc>
          <w:tcPr>
            <w:tcW w:w="781" w:type="pct"/>
            <w:vAlign w:val="center"/>
          </w:tcPr>
          <w:p w14:paraId="28196B80" w14:textId="77777777" w:rsidR="0067106D" w:rsidRPr="001C58C6" w:rsidRDefault="00910DCF" w:rsidP="00C65835">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11.25</w:t>
            </w:r>
          </w:p>
        </w:tc>
        <w:tc>
          <w:tcPr>
            <w:tcW w:w="789" w:type="pct"/>
            <w:vAlign w:val="center"/>
          </w:tcPr>
          <w:p w14:paraId="723DE490" w14:textId="77777777" w:rsidR="0067106D" w:rsidRPr="001C58C6" w:rsidRDefault="00910DCF" w:rsidP="00C65835">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30.94</w:t>
            </w:r>
          </w:p>
        </w:tc>
        <w:tc>
          <w:tcPr>
            <w:tcW w:w="793" w:type="pct"/>
            <w:vAlign w:val="center"/>
          </w:tcPr>
          <w:p w14:paraId="4B766B10" w14:textId="77777777" w:rsidR="0067106D" w:rsidRPr="001C58C6" w:rsidRDefault="00910DCF" w:rsidP="00C65835">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19.5</w:t>
            </w:r>
          </w:p>
        </w:tc>
        <w:tc>
          <w:tcPr>
            <w:tcW w:w="777" w:type="pct"/>
            <w:vAlign w:val="center"/>
          </w:tcPr>
          <w:p w14:paraId="18F61D4E" w14:textId="77777777" w:rsidR="0067106D" w:rsidRPr="001C58C6" w:rsidRDefault="00910DCF" w:rsidP="00C65835">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2.58</w:t>
            </w:r>
          </w:p>
        </w:tc>
      </w:tr>
      <w:tr w:rsidR="0067106D" w:rsidRPr="001C58C6" w14:paraId="78841B5E" w14:textId="77777777" w:rsidTr="001743DE">
        <w:tc>
          <w:tcPr>
            <w:cnfStyle w:val="001000000000" w:firstRow="0" w:lastRow="0" w:firstColumn="1" w:lastColumn="0" w:oddVBand="0" w:evenVBand="0" w:oddHBand="0" w:evenHBand="0" w:firstRowFirstColumn="0" w:firstRowLastColumn="0" w:lastRowFirstColumn="0" w:lastRowLastColumn="0"/>
            <w:tcW w:w="1080" w:type="pct"/>
            <w:vAlign w:val="center"/>
          </w:tcPr>
          <w:p w14:paraId="045976F8" w14:textId="77777777" w:rsidR="0067106D" w:rsidRPr="001C58C6" w:rsidRDefault="00910DCF">
            <w:pPr>
              <w:pStyle w:val="FootnoteText"/>
              <w:rPr>
                <w:rFonts w:ascii="Calibri" w:hAnsi="Calibri" w:cs="Calibri"/>
                <w:color w:val="000000" w:themeColor="text1"/>
                <w:sz w:val="22"/>
                <w:szCs w:val="22"/>
              </w:rPr>
            </w:pPr>
            <w:r w:rsidRPr="001C58C6">
              <w:rPr>
                <w:rFonts w:ascii="Calibri" w:hAnsi="Calibri" w:cs="Calibri"/>
                <w:color w:val="000000" w:themeColor="text1"/>
                <w:sz w:val="22"/>
                <w:szCs w:val="22"/>
              </w:rPr>
              <w:t>Južna</w:t>
            </w:r>
          </w:p>
        </w:tc>
        <w:tc>
          <w:tcPr>
            <w:tcW w:w="779" w:type="pct"/>
            <w:vAlign w:val="center"/>
          </w:tcPr>
          <w:p w14:paraId="7735A936" w14:textId="77777777" w:rsidR="0067106D" w:rsidRPr="001C58C6" w:rsidRDefault="00910DCF" w:rsidP="00C65835">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2.59</w:t>
            </w:r>
          </w:p>
        </w:tc>
        <w:tc>
          <w:tcPr>
            <w:tcW w:w="781" w:type="pct"/>
            <w:vAlign w:val="center"/>
          </w:tcPr>
          <w:p w14:paraId="60A96165" w14:textId="77777777" w:rsidR="0067106D" w:rsidRPr="001C58C6" w:rsidRDefault="00910DCF" w:rsidP="00C65835">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14.87</w:t>
            </w:r>
          </w:p>
        </w:tc>
        <w:tc>
          <w:tcPr>
            <w:tcW w:w="789" w:type="pct"/>
            <w:vAlign w:val="center"/>
          </w:tcPr>
          <w:p w14:paraId="5D0A455E" w14:textId="77777777" w:rsidR="0067106D" w:rsidRPr="001C58C6" w:rsidRDefault="00910DCF" w:rsidP="00C65835">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18.97</w:t>
            </w:r>
          </w:p>
        </w:tc>
        <w:tc>
          <w:tcPr>
            <w:tcW w:w="793" w:type="pct"/>
            <w:vAlign w:val="center"/>
          </w:tcPr>
          <w:p w14:paraId="6E1413A4" w14:textId="77777777" w:rsidR="0067106D" w:rsidRPr="001C58C6" w:rsidRDefault="00910DCF" w:rsidP="00C65835">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9.46</w:t>
            </w:r>
          </w:p>
        </w:tc>
        <w:tc>
          <w:tcPr>
            <w:tcW w:w="777" w:type="pct"/>
            <w:vAlign w:val="center"/>
          </w:tcPr>
          <w:p w14:paraId="13427B62" w14:textId="77777777" w:rsidR="0067106D" w:rsidRPr="001C58C6" w:rsidRDefault="00910DCF" w:rsidP="00C65835">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0.29</w:t>
            </w:r>
          </w:p>
        </w:tc>
      </w:tr>
      <w:tr w:rsidR="0067106D" w:rsidRPr="001C58C6" w14:paraId="2F5EF4B2" w14:textId="77777777" w:rsidTr="001743DE">
        <w:tc>
          <w:tcPr>
            <w:cnfStyle w:val="001000000000" w:firstRow="0" w:lastRow="0" w:firstColumn="1" w:lastColumn="0" w:oddVBand="0" w:evenVBand="0" w:oddHBand="0" w:evenHBand="0" w:firstRowFirstColumn="0" w:firstRowLastColumn="0" w:lastRowFirstColumn="0" w:lastRowLastColumn="0"/>
            <w:tcW w:w="1080" w:type="pct"/>
            <w:vAlign w:val="center"/>
          </w:tcPr>
          <w:p w14:paraId="7F1ACAE6" w14:textId="77777777" w:rsidR="0067106D" w:rsidRPr="001C58C6" w:rsidRDefault="00910DCF">
            <w:pPr>
              <w:pStyle w:val="FootnoteText"/>
              <w:rPr>
                <w:rFonts w:ascii="Calibri" w:hAnsi="Calibri" w:cs="Calibri"/>
                <w:b w:val="0"/>
                <w:bCs w:val="0"/>
                <w:color w:val="000000" w:themeColor="text1"/>
                <w:sz w:val="22"/>
                <w:szCs w:val="22"/>
              </w:rPr>
            </w:pPr>
            <w:r w:rsidRPr="001C58C6">
              <w:rPr>
                <w:rFonts w:ascii="Calibri" w:hAnsi="Calibri" w:cs="Calibri"/>
                <w:color w:val="000000" w:themeColor="text1"/>
                <w:sz w:val="22"/>
                <w:szCs w:val="22"/>
              </w:rPr>
              <w:t>Granična vrijednost *</w:t>
            </w:r>
          </w:p>
        </w:tc>
        <w:tc>
          <w:tcPr>
            <w:tcW w:w="779" w:type="pct"/>
            <w:vAlign w:val="center"/>
          </w:tcPr>
          <w:p w14:paraId="41E6CD2B" w14:textId="77777777" w:rsidR="0067106D" w:rsidRPr="001C58C6" w:rsidRDefault="00910DCF" w:rsidP="00C65835">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2"/>
                <w:szCs w:val="22"/>
              </w:rPr>
            </w:pPr>
            <w:r w:rsidRPr="001C58C6">
              <w:rPr>
                <w:rFonts w:ascii="Calibri" w:hAnsi="Calibri" w:cs="Calibri"/>
                <w:b/>
                <w:bCs/>
                <w:color w:val="000000" w:themeColor="text1"/>
                <w:sz w:val="22"/>
                <w:szCs w:val="22"/>
              </w:rPr>
              <w:t>20 µg/m3</w:t>
            </w:r>
          </w:p>
        </w:tc>
        <w:tc>
          <w:tcPr>
            <w:tcW w:w="781" w:type="pct"/>
            <w:vAlign w:val="center"/>
          </w:tcPr>
          <w:p w14:paraId="4E59CEF3" w14:textId="77777777" w:rsidR="0067106D" w:rsidRPr="001C58C6" w:rsidRDefault="00910DCF" w:rsidP="00C65835">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2"/>
                <w:szCs w:val="22"/>
              </w:rPr>
            </w:pPr>
            <w:r w:rsidRPr="001C58C6">
              <w:rPr>
                <w:rFonts w:ascii="Calibri" w:hAnsi="Calibri" w:cs="Calibri"/>
                <w:b/>
                <w:bCs/>
                <w:color w:val="000000" w:themeColor="text1"/>
                <w:sz w:val="22"/>
                <w:szCs w:val="22"/>
              </w:rPr>
              <w:t>20 µg/m3</w:t>
            </w:r>
          </w:p>
        </w:tc>
        <w:tc>
          <w:tcPr>
            <w:tcW w:w="789" w:type="pct"/>
            <w:vAlign w:val="center"/>
          </w:tcPr>
          <w:p w14:paraId="6665226E" w14:textId="77777777" w:rsidR="0067106D" w:rsidRPr="001C58C6" w:rsidRDefault="00910DCF" w:rsidP="00C65835">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2"/>
                <w:szCs w:val="22"/>
              </w:rPr>
            </w:pPr>
            <w:r w:rsidRPr="001C58C6">
              <w:rPr>
                <w:rFonts w:ascii="Calibri" w:hAnsi="Calibri" w:cs="Calibri"/>
                <w:b/>
                <w:bCs/>
                <w:color w:val="000000" w:themeColor="text1"/>
                <w:sz w:val="22"/>
                <w:szCs w:val="22"/>
              </w:rPr>
              <w:t>20 µg/m3</w:t>
            </w:r>
          </w:p>
        </w:tc>
        <w:tc>
          <w:tcPr>
            <w:tcW w:w="793" w:type="pct"/>
            <w:vAlign w:val="center"/>
          </w:tcPr>
          <w:p w14:paraId="50E6D437" w14:textId="77777777" w:rsidR="0067106D" w:rsidRPr="001C58C6" w:rsidRDefault="00910DCF" w:rsidP="00C65835">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2"/>
                <w:szCs w:val="22"/>
              </w:rPr>
            </w:pPr>
            <w:r w:rsidRPr="001C58C6">
              <w:rPr>
                <w:rFonts w:ascii="Calibri" w:hAnsi="Calibri" w:cs="Calibri"/>
                <w:b/>
                <w:bCs/>
                <w:color w:val="000000" w:themeColor="text1"/>
                <w:sz w:val="22"/>
                <w:szCs w:val="22"/>
              </w:rPr>
              <w:t>10 µg/m3</w:t>
            </w:r>
          </w:p>
        </w:tc>
        <w:tc>
          <w:tcPr>
            <w:tcW w:w="777" w:type="pct"/>
            <w:vAlign w:val="center"/>
          </w:tcPr>
          <w:p w14:paraId="42681E4B" w14:textId="77777777" w:rsidR="0067106D" w:rsidRPr="001C58C6" w:rsidRDefault="00910DCF" w:rsidP="00C65835">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2"/>
                <w:szCs w:val="22"/>
              </w:rPr>
            </w:pPr>
            <w:r w:rsidRPr="001C58C6">
              <w:rPr>
                <w:rFonts w:ascii="Calibri" w:hAnsi="Calibri" w:cs="Calibri"/>
                <w:b/>
                <w:bCs/>
                <w:color w:val="000000" w:themeColor="text1"/>
                <w:sz w:val="22"/>
                <w:szCs w:val="22"/>
              </w:rPr>
              <w:t>1 ng/m3</w:t>
            </w:r>
          </w:p>
        </w:tc>
      </w:tr>
    </w:tbl>
    <w:p w14:paraId="68DE1525" w14:textId="4922B4F5" w:rsidR="0067106D" w:rsidRPr="001C58C6" w:rsidRDefault="00910DCF">
      <w:pPr>
        <w:pStyle w:val="FootnoteText"/>
        <w:jc w:val="center"/>
        <w:rPr>
          <w:rFonts w:ascii="Calibri" w:hAnsi="Calibri" w:cs="Calibri"/>
          <w:i/>
          <w:iCs/>
          <w:color w:val="000000" w:themeColor="text1"/>
          <w:sz w:val="18"/>
          <w:szCs w:val="18"/>
        </w:rPr>
      </w:pPr>
      <w:r w:rsidRPr="001C58C6">
        <w:rPr>
          <w:rFonts w:ascii="Calibri" w:hAnsi="Calibri" w:cs="Calibri"/>
          <w:i/>
          <w:iCs/>
          <w:color w:val="000000" w:themeColor="text1"/>
          <w:sz w:val="18"/>
          <w:szCs w:val="18"/>
        </w:rPr>
        <w:t>*Granična vrijednost data u tabeli je iz Direktive 2024/2881 i primjenjivaće se od 2030. Godine</w:t>
      </w:r>
    </w:p>
    <w:p w14:paraId="2ADE2D65" w14:textId="77777777" w:rsidR="0067106D" w:rsidRPr="001C58C6" w:rsidRDefault="0067106D">
      <w:pPr>
        <w:pStyle w:val="FootnoteText"/>
        <w:jc w:val="center"/>
        <w:rPr>
          <w:rFonts w:ascii="Calibri" w:hAnsi="Calibri" w:cs="Calibri"/>
          <w:i/>
          <w:iCs/>
          <w:color w:val="000000" w:themeColor="text1"/>
          <w:sz w:val="18"/>
          <w:szCs w:val="18"/>
        </w:rPr>
      </w:pPr>
    </w:p>
    <w:p w14:paraId="28804652" w14:textId="77777777" w:rsidR="0067106D" w:rsidRPr="001C58C6" w:rsidRDefault="0067106D">
      <w:pPr>
        <w:pStyle w:val="FootnoteText"/>
        <w:jc w:val="center"/>
        <w:rPr>
          <w:rFonts w:ascii="Calibri" w:hAnsi="Calibri" w:cs="Calibri"/>
          <w:color w:val="000000" w:themeColor="text1"/>
        </w:rPr>
      </w:pPr>
    </w:p>
    <w:p w14:paraId="5C168E54" w14:textId="77777777" w:rsidR="00A0374C" w:rsidRPr="001C58C6" w:rsidRDefault="00A0374C">
      <w:pPr>
        <w:pStyle w:val="FootnoteText"/>
        <w:jc w:val="center"/>
        <w:rPr>
          <w:rFonts w:ascii="Calibri" w:hAnsi="Calibri" w:cs="Calibri"/>
          <w:color w:val="000000" w:themeColor="text1"/>
        </w:rPr>
      </w:pPr>
    </w:p>
    <w:p w14:paraId="685F24D9" w14:textId="77777777" w:rsidR="00A0374C" w:rsidRDefault="00A0374C">
      <w:pPr>
        <w:pStyle w:val="FootnoteText"/>
        <w:jc w:val="center"/>
        <w:rPr>
          <w:rFonts w:ascii="Calibri" w:hAnsi="Calibri" w:cs="Calibri"/>
          <w:color w:val="000000" w:themeColor="text1"/>
        </w:rPr>
      </w:pPr>
    </w:p>
    <w:p w14:paraId="66034A31" w14:textId="77777777" w:rsidR="006F52AD" w:rsidRPr="001C58C6" w:rsidRDefault="006F52AD">
      <w:pPr>
        <w:pStyle w:val="FootnoteText"/>
        <w:jc w:val="center"/>
        <w:rPr>
          <w:rFonts w:ascii="Calibri" w:hAnsi="Calibri" w:cs="Calibri"/>
          <w:color w:val="000000" w:themeColor="text1"/>
        </w:rPr>
      </w:pPr>
    </w:p>
    <w:p w14:paraId="25158E19" w14:textId="77777777" w:rsidR="0067106D" w:rsidRPr="001C58C6" w:rsidRDefault="00374C81" w:rsidP="00374C81">
      <w:pPr>
        <w:pStyle w:val="Heading2"/>
        <w:rPr>
          <w:rFonts w:ascii="Calibri" w:hAnsi="Calibri" w:cs="Calibri"/>
          <w:color w:val="000000" w:themeColor="text1"/>
        </w:rPr>
      </w:pPr>
      <w:bookmarkStart w:id="21" w:name="_Toc220070411"/>
      <w:bookmarkStart w:id="22" w:name="_Toc233711726"/>
      <w:r w:rsidRPr="001C58C6">
        <w:rPr>
          <w:rFonts w:ascii="Calibri" w:hAnsi="Calibri" w:cs="Calibri"/>
          <w:color w:val="000000" w:themeColor="text1"/>
        </w:rPr>
        <w:lastRenderedPageBreak/>
        <w:t>1.2 POREĐENJE AKTUELNOG STANJA KVALITETA VAZDUHA SA PRETHODNIM PERIODOM (2009.-2018. GODINA)</w:t>
      </w:r>
      <w:bookmarkEnd w:id="21"/>
      <w:bookmarkEnd w:id="22"/>
    </w:p>
    <w:p w14:paraId="46F912D3" w14:textId="77777777" w:rsidR="0067106D" w:rsidRPr="001C58C6" w:rsidRDefault="0067106D">
      <w:pPr>
        <w:pStyle w:val="FootnoteText"/>
        <w:rPr>
          <w:rFonts w:ascii="Calibri" w:hAnsi="Calibri" w:cs="Calibri"/>
          <w:color w:val="000000" w:themeColor="text1"/>
          <w:sz w:val="24"/>
          <w:szCs w:val="24"/>
        </w:rPr>
      </w:pPr>
    </w:p>
    <w:p w14:paraId="5C53F5E7" w14:textId="77777777" w:rsidR="0067106D" w:rsidRPr="001C58C6" w:rsidRDefault="00910DCF">
      <w:pPr>
        <w:pStyle w:val="FootnoteText"/>
        <w:rPr>
          <w:rFonts w:ascii="Calibri" w:hAnsi="Calibri" w:cs="Calibri"/>
          <w:color w:val="000000" w:themeColor="text1"/>
          <w:sz w:val="24"/>
          <w:szCs w:val="24"/>
        </w:rPr>
      </w:pPr>
      <w:r w:rsidRPr="001C58C6">
        <w:rPr>
          <w:rFonts w:ascii="Calibri" w:hAnsi="Calibri" w:cs="Calibri"/>
          <w:color w:val="000000" w:themeColor="text1"/>
          <w:sz w:val="24"/>
          <w:szCs w:val="24"/>
        </w:rPr>
        <w:t>Najkritičniji polutanti u Crnoj Gori i dalje su suspendovane čestice PM10 i PM2.5 i benzo(a) piren koji su prepoznati i u analizi koja je prethodila izradi ovog dokumenta i obuhvatila period 2009.-2018. godin</w:t>
      </w:r>
      <w:r w:rsidR="00374C81" w:rsidRPr="001C58C6">
        <w:rPr>
          <w:rFonts w:ascii="Calibri" w:hAnsi="Calibri" w:cs="Calibri"/>
          <w:color w:val="000000" w:themeColor="text1"/>
          <w:sz w:val="24"/>
          <w:szCs w:val="24"/>
        </w:rPr>
        <w:t>e</w:t>
      </w:r>
      <w:r w:rsidRPr="001C58C6">
        <w:rPr>
          <w:rFonts w:ascii="Calibri" w:hAnsi="Calibri" w:cs="Calibri"/>
          <w:color w:val="000000" w:themeColor="text1"/>
          <w:sz w:val="24"/>
          <w:szCs w:val="24"/>
        </w:rPr>
        <w:t xml:space="preserve">, kao što je predstavljeno na </w:t>
      </w:r>
      <w:r w:rsidR="00374C81" w:rsidRPr="001C58C6">
        <w:rPr>
          <w:rFonts w:ascii="Calibri" w:hAnsi="Calibri" w:cs="Calibri"/>
          <w:color w:val="000000" w:themeColor="text1"/>
          <w:sz w:val="24"/>
          <w:szCs w:val="24"/>
        </w:rPr>
        <w:t>Grafik</w:t>
      </w:r>
      <w:r w:rsidRPr="001C58C6">
        <w:rPr>
          <w:rFonts w:ascii="Calibri" w:hAnsi="Calibri" w:cs="Calibri"/>
          <w:color w:val="000000" w:themeColor="text1"/>
          <w:sz w:val="24"/>
          <w:szCs w:val="24"/>
        </w:rPr>
        <w:t xml:space="preserve">u 6 i interpretirano u pratećem tekstu. </w:t>
      </w:r>
    </w:p>
    <w:p w14:paraId="1C0D832D" w14:textId="77777777" w:rsidR="0067106D" w:rsidRPr="001C58C6" w:rsidRDefault="0067106D">
      <w:pPr>
        <w:pStyle w:val="FootnoteText"/>
        <w:rPr>
          <w:rFonts w:ascii="Calibri" w:hAnsi="Calibri" w:cs="Calibri"/>
          <w:color w:val="000000" w:themeColor="text1"/>
          <w:sz w:val="24"/>
          <w:szCs w:val="24"/>
        </w:rPr>
      </w:pPr>
    </w:p>
    <w:p w14:paraId="4D6E0A2C" w14:textId="77777777" w:rsidR="0067106D" w:rsidRPr="001C58C6" w:rsidRDefault="00806123" w:rsidP="00B33518">
      <w:pPr>
        <w:pStyle w:val="Caption"/>
        <w:jc w:val="center"/>
        <w:rPr>
          <w:rFonts w:ascii="Calibri" w:hAnsi="Calibri" w:cs="Calibri"/>
          <w:i/>
          <w:iCs/>
          <w:color w:val="000000" w:themeColor="text1"/>
          <w:sz w:val="20"/>
          <w:szCs w:val="20"/>
        </w:rPr>
      </w:pPr>
      <w:bookmarkStart w:id="23" w:name="_Toc233584668"/>
      <w:r w:rsidRPr="001C58C6">
        <w:rPr>
          <w:rFonts w:ascii="Calibri" w:hAnsi="Calibri" w:cs="Calibri"/>
          <w:i/>
          <w:iCs/>
          <w:color w:val="000000" w:themeColor="text1"/>
          <w:sz w:val="20"/>
          <w:szCs w:val="20"/>
        </w:rPr>
        <w:t xml:space="preserve">Grafik </w:t>
      </w:r>
      <w:r w:rsidRPr="001C58C6">
        <w:rPr>
          <w:rFonts w:ascii="Calibri" w:hAnsi="Calibri" w:cs="Calibri"/>
          <w:i/>
          <w:iCs/>
          <w:color w:val="000000" w:themeColor="text1"/>
          <w:sz w:val="20"/>
          <w:szCs w:val="20"/>
        </w:rPr>
        <w:fldChar w:fldCharType="begin"/>
      </w:r>
      <w:r w:rsidRPr="001C58C6">
        <w:rPr>
          <w:rFonts w:ascii="Calibri" w:hAnsi="Calibri" w:cs="Calibri"/>
          <w:i/>
          <w:iCs/>
          <w:color w:val="000000" w:themeColor="text1"/>
          <w:sz w:val="20"/>
          <w:szCs w:val="20"/>
        </w:rPr>
        <w:instrText xml:space="preserve"> SEQ Grafik \* ARABIC </w:instrText>
      </w:r>
      <w:r w:rsidRPr="001C58C6">
        <w:rPr>
          <w:rFonts w:ascii="Calibri" w:hAnsi="Calibri" w:cs="Calibri"/>
          <w:i/>
          <w:iCs/>
          <w:color w:val="000000" w:themeColor="text1"/>
          <w:sz w:val="20"/>
          <w:szCs w:val="20"/>
        </w:rPr>
        <w:fldChar w:fldCharType="separate"/>
      </w:r>
      <w:r w:rsidR="00752282" w:rsidRPr="001C58C6">
        <w:rPr>
          <w:rFonts w:ascii="Calibri" w:hAnsi="Calibri" w:cs="Calibri"/>
          <w:i/>
          <w:iCs/>
          <w:color w:val="000000" w:themeColor="text1"/>
          <w:sz w:val="20"/>
          <w:szCs w:val="20"/>
        </w:rPr>
        <w:t>7</w:t>
      </w:r>
      <w:r w:rsidRPr="001C58C6">
        <w:rPr>
          <w:rFonts w:ascii="Calibri" w:hAnsi="Calibri" w:cs="Calibri"/>
          <w:i/>
          <w:iCs/>
          <w:color w:val="000000" w:themeColor="text1"/>
          <w:sz w:val="20"/>
          <w:szCs w:val="20"/>
        </w:rPr>
        <w:fldChar w:fldCharType="end"/>
      </w:r>
      <w:r w:rsidR="00374C81" w:rsidRPr="001C58C6">
        <w:rPr>
          <w:rFonts w:ascii="Calibri" w:hAnsi="Calibri" w:cs="Calibri"/>
          <w:i/>
          <w:iCs/>
          <w:color w:val="000000" w:themeColor="text1"/>
          <w:sz w:val="20"/>
          <w:szCs w:val="20"/>
        </w:rPr>
        <w:t>– Srednje godišnje koncentracije suspendovanih čestica PM10 (2009 – 2018)</w:t>
      </w:r>
      <w:bookmarkEnd w:id="23"/>
    </w:p>
    <w:p w14:paraId="11891600" w14:textId="77777777" w:rsidR="0067106D" w:rsidRPr="001C58C6" w:rsidRDefault="00910DCF">
      <w:pPr>
        <w:pStyle w:val="FootnoteText"/>
        <w:jc w:val="center"/>
        <w:rPr>
          <w:rFonts w:ascii="Calibri" w:hAnsi="Calibri" w:cs="Calibri"/>
          <w:color w:val="000000" w:themeColor="text1"/>
          <w:sz w:val="24"/>
          <w:szCs w:val="24"/>
        </w:rPr>
      </w:pPr>
      <w:r w:rsidRPr="001C58C6">
        <w:rPr>
          <w:rFonts w:ascii="Calibri" w:hAnsi="Calibri" w:cs="Calibri"/>
          <w:noProof/>
          <w:color w:val="000000" w:themeColor="text1"/>
          <w:sz w:val="24"/>
          <w:szCs w:val="24"/>
        </w:rPr>
        <w:drawing>
          <wp:inline distT="0" distB="0" distL="0" distR="0" wp14:anchorId="71ABEC52" wp14:editId="71ABEC53">
            <wp:extent cx="5486400" cy="2300605"/>
            <wp:effectExtent l="0" t="0" r="0" b="4445"/>
            <wp:docPr id="89997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9712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96375" cy="2305140"/>
                    </a:xfrm>
                    <a:prstGeom prst="rect">
                      <a:avLst/>
                    </a:prstGeom>
                    <a:noFill/>
                  </pic:spPr>
                </pic:pic>
              </a:graphicData>
            </a:graphic>
          </wp:inline>
        </w:drawing>
      </w:r>
    </w:p>
    <w:p w14:paraId="531DB393" w14:textId="77777777" w:rsidR="0067106D" w:rsidRPr="001C58C6" w:rsidRDefault="00910DCF">
      <w:pPr>
        <w:pStyle w:val="FootnoteText"/>
        <w:jc w:val="center"/>
        <w:rPr>
          <w:rFonts w:ascii="Calibri" w:hAnsi="Calibri" w:cs="Calibri"/>
          <w:i/>
          <w:iCs/>
          <w:color w:val="000000" w:themeColor="text1"/>
          <w:sz w:val="18"/>
          <w:szCs w:val="18"/>
        </w:rPr>
      </w:pPr>
      <w:r w:rsidRPr="001C58C6">
        <w:rPr>
          <w:rFonts w:ascii="Calibri" w:hAnsi="Calibri" w:cs="Calibri"/>
          <w:i/>
          <w:iCs/>
          <w:color w:val="000000" w:themeColor="text1"/>
          <w:sz w:val="18"/>
          <w:szCs w:val="18"/>
        </w:rPr>
        <w:t>Izvor podataka: Nacrt strategije upravljanja kvalitetom vazduha 2021- 2029</w:t>
      </w:r>
    </w:p>
    <w:p w14:paraId="357EE35F" w14:textId="77777777" w:rsidR="0067106D" w:rsidRPr="001C58C6" w:rsidRDefault="0067106D">
      <w:pPr>
        <w:pStyle w:val="FootnoteText"/>
        <w:rPr>
          <w:rFonts w:ascii="Calibri" w:hAnsi="Calibri" w:cs="Calibri"/>
          <w:color w:val="000000" w:themeColor="text1"/>
          <w:sz w:val="24"/>
          <w:szCs w:val="24"/>
        </w:rPr>
      </w:pPr>
    </w:p>
    <w:p w14:paraId="5FE58C9A" w14:textId="77777777" w:rsidR="0067106D" w:rsidRPr="001C58C6" w:rsidRDefault="00910DCF" w:rsidP="00374C81">
      <w:pPr>
        <w:pStyle w:val="FootnoteText"/>
        <w:numPr>
          <w:ilvl w:val="0"/>
          <w:numId w:val="2"/>
        </w:numPr>
        <w:ind w:left="360"/>
        <w:rPr>
          <w:rFonts w:ascii="Calibri" w:hAnsi="Calibri" w:cs="Calibri"/>
          <w:color w:val="000000" w:themeColor="text1"/>
          <w:sz w:val="24"/>
          <w:szCs w:val="24"/>
        </w:rPr>
      </w:pPr>
      <w:r w:rsidRPr="001C58C6">
        <w:rPr>
          <w:rFonts w:ascii="Calibri" w:hAnsi="Calibri" w:cs="Calibri"/>
          <w:color w:val="000000" w:themeColor="text1"/>
          <w:sz w:val="24"/>
          <w:szCs w:val="24"/>
        </w:rPr>
        <w:t xml:space="preserve">Uprkos primjetnom opadajućem trendu, u desetogodišnjem periodu 2009.-2018. godina, srednja godišnja granična vrijednost koncentracije suspendovanih čestica PM10 (40 µ/m3) je tokom svih deset godina bila prekoračena u Pljevljima (Sjeverna zona) i Nikšiću (Centralna zona). U Podgorici (Centralna zona) je srednja godišnja granična vrijednost bila neznatno prekoračena 2015. godine (41,91 µ/m3) i 2018. godine (40,3 µ/m3), dok u Baru nije bilo prekoračenja. </w:t>
      </w:r>
    </w:p>
    <w:p w14:paraId="044FC8AA" w14:textId="77777777" w:rsidR="0067106D" w:rsidRPr="001C58C6" w:rsidRDefault="00910DCF" w:rsidP="00374C81">
      <w:pPr>
        <w:pStyle w:val="FootnoteText"/>
        <w:numPr>
          <w:ilvl w:val="0"/>
          <w:numId w:val="2"/>
        </w:numPr>
        <w:ind w:left="360"/>
        <w:rPr>
          <w:rFonts w:ascii="Calibri" w:hAnsi="Calibri" w:cs="Calibri"/>
          <w:color w:val="000000" w:themeColor="text1"/>
        </w:rPr>
      </w:pPr>
      <w:r w:rsidRPr="001C58C6">
        <w:rPr>
          <w:rFonts w:ascii="Calibri" w:hAnsi="Calibri" w:cs="Calibri"/>
          <w:color w:val="000000" w:themeColor="text1"/>
          <w:sz w:val="24"/>
          <w:szCs w:val="24"/>
        </w:rPr>
        <w:t>Tokom perioda 2009-2018. godina srednja godišnja granična vrijednost koncentracija suspendovanih čestica PM2.5 prekoračena je u dvije zone kvaliteta vazduha (Sjevernoj i Centralnoj) dok u Južnoj zoni nisu zabilježena prekoračenja.</w:t>
      </w:r>
      <w:r w:rsidRPr="001C58C6">
        <w:rPr>
          <w:rFonts w:ascii="Calibri" w:hAnsi="Calibri" w:cs="Calibri"/>
          <w:color w:val="000000" w:themeColor="text1"/>
        </w:rPr>
        <w:t xml:space="preserve"> </w:t>
      </w:r>
    </w:p>
    <w:p w14:paraId="03D1D7A3" w14:textId="77777777" w:rsidR="0067106D" w:rsidRPr="001C58C6" w:rsidRDefault="00910DCF" w:rsidP="00374C81">
      <w:pPr>
        <w:pStyle w:val="FootnoteText"/>
        <w:numPr>
          <w:ilvl w:val="0"/>
          <w:numId w:val="2"/>
        </w:numPr>
        <w:ind w:left="360"/>
        <w:rPr>
          <w:rFonts w:ascii="Calibri" w:hAnsi="Calibri" w:cs="Calibri"/>
          <w:color w:val="000000" w:themeColor="text1"/>
          <w:sz w:val="24"/>
          <w:szCs w:val="24"/>
        </w:rPr>
      </w:pPr>
      <w:r w:rsidRPr="001C58C6">
        <w:rPr>
          <w:rFonts w:ascii="Calibri" w:hAnsi="Calibri" w:cs="Calibri"/>
          <w:color w:val="000000" w:themeColor="text1"/>
          <w:sz w:val="24"/>
          <w:szCs w:val="24"/>
        </w:rPr>
        <w:t xml:space="preserve">Srednja godišnja koncentracija benzo(a)pirena od 1ng/m3 bila je iznad propisane ciljne vrijednosti na svim mjernim mjestima u Sjevernoj i Centralnoj zoni kvaliteta vazduha tokom cijelog perioda mjerenja, dok je u Južnoj zoni prekoračena tokom 2010., 2015., 2016., i 2019. godine i iznosila je oko 2 ng/m3. </w:t>
      </w:r>
    </w:p>
    <w:p w14:paraId="244A2C55" w14:textId="77777777" w:rsidR="0067106D" w:rsidRPr="001C58C6" w:rsidRDefault="00910DCF" w:rsidP="00374C81">
      <w:pPr>
        <w:pStyle w:val="FootnoteText"/>
        <w:numPr>
          <w:ilvl w:val="0"/>
          <w:numId w:val="2"/>
        </w:numPr>
        <w:ind w:left="360"/>
        <w:rPr>
          <w:rFonts w:ascii="Calibri" w:hAnsi="Calibri" w:cs="Calibri"/>
          <w:color w:val="000000" w:themeColor="text1"/>
          <w:sz w:val="24"/>
          <w:szCs w:val="24"/>
        </w:rPr>
      </w:pPr>
      <w:r w:rsidRPr="001C58C6">
        <w:rPr>
          <w:rFonts w:ascii="Calibri" w:hAnsi="Calibri" w:cs="Calibri"/>
          <w:color w:val="000000" w:themeColor="text1"/>
          <w:sz w:val="24"/>
          <w:szCs w:val="24"/>
        </w:rPr>
        <w:t>Pored navedenog, koncentracije sumpor-dioksida bile su na godišnjem nivou prekoračene u Sjevernoj zoni kvaliteta vazduha tokom 2015., 2016., 2017. i 2019. godine, na mjernom mjestu u Pljevljima</w:t>
      </w:r>
      <w:r w:rsidR="002F4864" w:rsidRPr="001C58C6">
        <w:rPr>
          <w:rStyle w:val="FootnoteReference"/>
          <w:rFonts w:ascii="Calibri" w:hAnsi="Calibri" w:cs="Calibri"/>
          <w:color w:val="000000" w:themeColor="text1"/>
          <w:sz w:val="24"/>
          <w:szCs w:val="24"/>
        </w:rPr>
        <w:footnoteReference w:id="8"/>
      </w:r>
      <w:r w:rsidRPr="001C58C6">
        <w:rPr>
          <w:rFonts w:ascii="Calibri" w:hAnsi="Calibri" w:cs="Calibri"/>
          <w:color w:val="000000" w:themeColor="text1"/>
          <w:sz w:val="24"/>
          <w:szCs w:val="24"/>
        </w:rPr>
        <w:t>.</w:t>
      </w:r>
      <w:r w:rsidR="005F1F0D" w:rsidRPr="001C58C6">
        <w:rPr>
          <w:rFonts w:ascii="Calibri" w:hAnsi="Calibri" w:cs="Calibri"/>
          <w:color w:val="000000" w:themeColor="text1"/>
          <w:sz w:val="24"/>
          <w:szCs w:val="24"/>
        </w:rPr>
        <w:t xml:space="preserve"> </w:t>
      </w:r>
    </w:p>
    <w:p w14:paraId="4C93817C" w14:textId="77777777" w:rsidR="0067106D" w:rsidRPr="001C58C6" w:rsidRDefault="0067106D" w:rsidP="00374C81">
      <w:pPr>
        <w:pStyle w:val="FootnoteText"/>
        <w:rPr>
          <w:rFonts w:ascii="Calibri" w:hAnsi="Calibri" w:cs="Calibri"/>
          <w:color w:val="000000" w:themeColor="text1"/>
          <w:sz w:val="24"/>
          <w:szCs w:val="24"/>
        </w:rPr>
      </w:pPr>
    </w:p>
    <w:p w14:paraId="51DB4C43" w14:textId="77777777" w:rsidR="0067106D" w:rsidRPr="001C58C6" w:rsidRDefault="00910DCF">
      <w:pPr>
        <w:pStyle w:val="FootnoteText"/>
        <w:rPr>
          <w:rFonts w:ascii="Calibri" w:hAnsi="Calibri" w:cs="Calibri"/>
          <w:color w:val="000000" w:themeColor="text1"/>
          <w:sz w:val="24"/>
          <w:szCs w:val="24"/>
        </w:rPr>
      </w:pPr>
      <w:r w:rsidRPr="001C58C6">
        <w:rPr>
          <w:rFonts w:ascii="Calibri" w:hAnsi="Calibri" w:cs="Calibri"/>
          <w:color w:val="000000" w:themeColor="text1"/>
          <w:sz w:val="24"/>
          <w:szCs w:val="24"/>
        </w:rPr>
        <w:t>Poređenjem podataka za period 2020-2025. godina sa podacima iz perioda 2009 – 2018. godina</w:t>
      </w:r>
      <w:r w:rsidRPr="001C58C6">
        <w:rPr>
          <w:rStyle w:val="FootnoteReference"/>
          <w:rFonts w:ascii="Calibri" w:hAnsi="Calibri" w:cs="Calibri"/>
          <w:color w:val="000000" w:themeColor="text1"/>
          <w:sz w:val="24"/>
          <w:szCs w:val="24"/>
        </w:rPr>
        <w:footnoteReference w:id="9"/>
      </w:r>
      <w:r w:rsidRPr="001C58C6">
        <w:rPr>
          <w:rFonts w:ascii="Calibri" w:hAnsi="Calibri" w:cs="Calibri"/>
          <w:color w:val="000000" w:themeColor="text1"/>
          <w:sz w:val="24"/>
          <w:szCs w:val="24"/>
        </w:rPr>
        <w:t xml:space="preserve"> uočava se znatno poboljšanje kvaliteta vazduha: </w:t>
      </w:r>
    </w:p>
    <w:p w14:paraId="6509747D" w14:textId="77777777" w:rsidR="0067106D" w:rsidRPr="001C58C6" w:rsidRDefault="00910DCF" w:rsidP="00E53052">
      <w:pPr>
        <w:pStyle w:val="FootnoteText"/>
        <w:numPr>
          <w:ilvl w:val="0"/>
          <w:numId w:val="12"/>
        </w:numPr>
        <w:rPr>
          <w:rFonts w:ascii="Calibri" w:hAnsi="Calibri" w:cs="Calibri"/>
          <w:color w:val="000000" w:themeColor="text1"/>
          <w:sz w:val="24"/>
          <w:szCs w:val="24"/>
        </w:rPr>
      </w:pPr>
      <w:r w:rsidRPr="001C58C6">
        <w:rPr>
          <w:rFonts w:ascii="Calibri" w:hAnsi="Calibri" w:cs="Calibri"/>
          <w:color w:val="000000" w:themeColor="text1"/>
          <w:sz w:val="24"/>
          <w:szCs w:val="24"/>
        </w:rPr>
        <w:lastRenderedPageBreak/>
        <w:t>U p</w:t>
      </w:r>
      <w:r w:rsidR="00E918B6" w:rsidRPr="001C58C6">
        <w:rPr>
          <w:rFonts w:ascii="Calibri" w:hAnsi="Calibri" w:cs="Calibri"/>
          <w:color w:val="000000" w:themeColor="text1"/>
          <w:sz w:val="24"/>
          <w:szCs w:val="24"/>
        </w:rPr>
        <w:t xml:space="preserve">eriodu 2020-2024 </w:t>
      </w:r>
      <w:r w:rsidRPr="001C58C6">
        <w:rPr>
          <w:rFonts w:ascii="Calibri" w:hAnsi="Calibri" w:cs="Calibri"/>
          <w:color w:val="000000" w:themeColor="text1"/>
          <w:sz w:val="24"/>
          <w:szCs w:val="24"/>
        </w:rPr>
        <w:t>n</w:t>
      </w:r>
      <w:r w:rsidR="00E918B6" w:rsidRPr="001C58C6">
        <w:rPr>
          <w:rFonts w:ascii="Calibri" w:hAnsi="Calibri" w:cs="Calibri"/>
          <w:color w:val="000000" w:themeColor="text1"/>
          <w:sz w:val="24"/>
          <w:szCs w:val="24"/>
        </w:rPr>
        <w:t>ije bilo</w:t>
      </w:r>
      <w:r w:rsidRPr="001C58C6">
        <w:rPr>
          <w:rFonts w:ascii="Calibri" w:hAnsi="Calibri" w:cs="Calibri"/>
          <w:color w:val="000000" w:themeColor="text1"/>
          <w:sz w:val="24"/>
          <w:szCs w:val="24"/>
        </w:rPr>
        <w:t xml:space="preserve"> prekoračenja koncentracija sumpor-dioksida u Pljevljima koje je bilježeno u prethodnom periodu</w:t>
      </w:r>
      <w:r w:rsidR="00E918B6" w:rsidRPr="001C58C6">
        <w:rPr>
          <w:rFonts w:ascii="Calibri" w:hAnsi="Calibri" w:cs="Calibri"/>
          <w:color w:val="000000" w:themeColor="text1"/>
          <w:sz w:val="24"/>
          <w:szCs w:val="24"/>
        </w:rPr>
        <w:t xml:space="preserve">, međutim </w:t>
      </w:r>
      <w:r w:rsidR="00FF3F50" w:rsidRPr="001C58C6">
        <w:rPr>
          <w:rFonts w:ascii="Calibri" w:hAnsi="Calibri" w:cs="Calibri"/>
          <w:color w:val="000000" w:themeColor="text1"/>
          <w:sz w:val="24"/>
          <w:szCs w:val="24"/>
        </w:rPr>
        <w:t xml:space="preserve">krajem 2025. godine, sa puštanjem postrojenja u rad </w:t>
      </w:r>
      <w:r w:rsidR="000F636F" w:rsidRPr="001C58C6">
        <w:rPr>
          <w:rFonts w:ascii="Calibri" w:hAnsi="Calibri" w:cs="Calibri"/>
          <w:color w:val="000000" w:themeColor="text1"/>
          <w:sz w:val="24"/>
          <w:szCs w:val="24"/>
        </w:rPr>
        <w:t xml:space="preserve">nakon izvršene ekološke rekonstrukcije došlo je do značajnih prekoračenja koncentracija. Postrojenje je probno pušteno u rad bez obezbjeđenja funkcionisanja sistema za </w:t>
      </w:r>
      <w:r w:rsidR="0013224F" w:rsidRPr="001C58C6">
        <w:rPr>
          <w:rFonts w:ascii="Calibri" w:hAnsi="Calibri" w:cs="Calibri"/>
          <w:color w:val="000000" w:themeColor="text1"/>
          <w:sz w:val="24"/>
          <w:szCs w:val="24"/>
        </w:rPr>
        <w:t>odusumporavanje otpadnih gasova</w:t>
      </w:r>
      <w:r w:rsidRPr="001C58C6">
        <w:rPr>
          <w:rFonts w:ascii="Calibri" w:hAnsi="Calibri" w:cs="Calibri"/>
          <w:color w:val="000000" w:themeColor="text1"/>
          <w:sz w:val="24"/>
          <w:szCs w:val="24"/>
        </w:rPr>
        <w:t xml:space="preserve">; </w:t>
      </w:r>
    </w:p>
    <w:p w14:paraId="36C6CA8F" w14:textId="77777777" w:rsidR="0067106D" w:rsidRPr="001C58C6" w:rsidRDefault="00910DCF" w:rsidP="00E53052">
      <w:pPr>
        <w:pStyle w:val="FootnoteText"/>
        <w:numPr>
          <w:ilvl w:val="0"/>
          <w:numId w:val="12"/>
        </w:numPr>
        <w:rPr>
          <w:rFonts w:ascii="Calibri" w:hAnsi="Calibri" w:cs="Calibri"/>
          <w:color w:val="000000" w:themeColor="text1"/>
          <w:sz w:val="24"/>
          <w:szCs w:val="24"/>
        </w:rPr>
      </w:pPr>
      <w:r w:rsidRPr="001C58C6">
        <w:rPr>
          <w:rFonts w:ascii="Calibri" w:hAnsi="Calibri" w:cs="Calibri"/>
          <w:color w:val="000000" w:themeColor="text1"/>
          <w:sz w:val="24"/>
          <w:szCs w:val="24"/>
        </w:rPr>
        <w:t>Koncentracije suspendovanih čestica PM10 u Sjevernoj zoni kvaliteta vazduha znatno su se približile graničnoj vrijednosti od 40µg/m3 i 2024. godine su iznosile su 42.74µg/m3 u Pljevljima i 40.49µg/m3 u Bijelom Polju, što je ogromno poboljšanje u odnosu na 2009. godinu kada je u Pljevljima srednja godišnja vrijednost bila skoro 50% veća (82</w:t>
      </w:r>
      <w:r w:rsidRPr="001C58C6">
        <w:rPr>
          <w:rFonts w:ascii="Calibri" w:hAnsi="Calibri" w:cs="Calibri"/>
          <w:color w:val="000000" w:themeColor="text1"/>
        </w:rPr>
        <w:t xml:space="preserve"> </w:t>
      </w:r>
      <w:r w:rsidRPr="001C58C6">
        <w:rPr>
          <w:rFonts w:ascii="Calibri" w:hAnsi="Calibri" w:cs="Calibri"/>
          <w:color w:val="000000" w:themeColor="text1"/>
          <w:sz w:val="24"/>
          <w:szCs w:val="24"/>
        </w:rPr>
        <w:t xml:space="preserve">µg/m3) a tokom 2011. i 2015. godine dostigla je 96 µg/m3 odnosno 100 µg/m3. (U periodu 2009. -2018. godina nijesu vršena mjerenja u Bijelom Polju); </w:t>
      </w:r>
    </w:p>
    <w:p w14:paraId="0355A00D" w14:textId="77777777" w:rsidR="0067106D" w:rsidRPr="001C58C6" w:rsidRDefault="00910DCF" w:rsidP="00E53052">
      <w:pPr>
        <w:pStyle w:val="FootnoteText"/>
        <w:numPr>
          <w:ilvl w:val="0"/>
          <w:numId w:val="12"/>
        </w:numPr>
        <w:rPr>
          <w:rFonts w:ascii="Calibri" w:hAnsi="Calibri" w:cs="Calibri"/>
          <w:b/>
          <w:bCs/>
          <w:color w:val="000000" w:themeColor="text1"/>
          <w:sz w:val="24"/>
          <w:szCs w:val="24"/>
        </w:rPr>
      </w:pPr>
      <w:r w:rsidRPr="001C58C6">
        <w:rPr>
          <w:rFonts w:ascii="Calibri" w:hAnsi="Calibri" w:cs="Calibri"/>
          <w:color w:val="000000" w:themeColor="text1"/>
          <w:sz w:val="24"/>
          <w:szCs w:val="24"/>
        </w:rPr>
        <w:t xml:space="preserve">U Centralnoj zoni kvaliteta vazduha više </w:t>
      </w:r>
      <w:r w:rsidRPr="001C58C6">
        <w:rPr>
          <w:rFonts w:ascii="Calibri" w:hAnsi="Calibri" w:cs="Calibri"/>
          <w:b/>
          <w:bCs/>
          <w:color w:val="000000" w:themeColor="text1"/>
          <w:sz w:val="24"/>
          <w:szCs w:val="24"/>
        </w:rPr>
        <w:t xml:space="preserve">nema prekoračenja srednje godišnje vrijednosti suspendovanih čestica PM10 i PM2.5; </w:t>
      </w:r>
    </w:p>
    <w:p w14:paraId="06E9CCDF" w14:textId="77777777" w:rsidR="0067106D" w:rsidRPr="001C58C6" w:rsidRDefault="00910DCF" w:rsidP="00E53052">
      <w:pPr>
        <w:pStyle w:val="FootnoteText"/>
        <w:numPr>
          <w:ilvl w:val="0"/>
          <w:numId w:val="12"/>
        </w:numPr>
        <w:rPr>
          <w:rFonts w:ascii="Calibri" w:hAnsi="Calibri" w:cs="Calibri"/>
          <w:color w:val="000000" w:themeColor="text1"/>
          <w:sz w:val="24"/>
          <w:szCs w:val="24"/>
        </w:rPr>
      </w:pPr>
      <w:r w:rsidRPr="001C58C6">
        <w:rPr>
          <w:rFonts w:ascii="Calibri" w:hAnsi="Calibri" w:cs="Calibri"/>
          <w:color w:val="000000" w:themeColor="text1"/>
          <w:sz w:val="24"/>
          <w:szCs w:val="24"/>
        </w:rPr>
        <w:t xml:space="preserve">U južnoj zoni kvaliteta vazduha više </w:t>
      </w:r>
      <w:r w:rsidRPr="001C58C6">
        <w:rPr>
          <w:rFonts w:ascii="Calibri" w:hAnsi="Calibri" w:cs="Calibri"/>
          <w:b/>
          <w:bCs/>
          <w:color w:val="000000" w:themeColor="text1"/>
          <w:sz w:val="24"/>
          <w:szCs w:val="24"/>
        </w:rPr>
        <w:t>nema prekoračenja sadržaja benzo(a)pirena</w:t>
      </w:r>
      <w:r w:rsidRPr="001C58C6">
        <w:rPr>
          <w:rFonts w:ascii="Calibri" w:hAnsi="Calibri" w:cs="Calibri"/>
          <w:color w:val="000000" w:themeColor="text1"/>
          <w:sz w:val="24"/>
          <w:szCs w:val="24"/>
        </w:rPr>
        <w:t xml:space="preserve"> u suspendovanim česticama; </w:t>
      </w:r>
    </w:p>
    <w:p w14:paraId="526538B0" w14:textId="77777777" w:rsidR="0067106D" w:rsidRPr="001C58C6" w:rsidRDefault="0067106D">
      <w:pPr>
        <w:rPr>
          <w:rFonts w:ascii="Calibri" w:hAnsi="Calibri" w:cs="Calibri"/>
          <w:color w:val="000000" w:themeColor="text1"/>
        </w:rPr>
      </w:pPr>
    </w:p>
    <w:p w14:paraId="103CA230" w14:textId="77777777" w:rsidR="0067106D" w:rsidRPr="001C58C6" w:rsidRDefault="00374C81" w:rsidP="00374C81">
      <w:pPr>
        <w:pStyle w:val="Heading2"/>
        <w:rPr>
          <w:rFonts w:ascii="Calibri" w:hAnsi="Calibri" w:cs="Calibri"/>
          <w:color w:val="000000" w:themeColor="text1"/>
        </w:rPr>
      </w:pPr>
      <w:bookmarkStart w:id="24" w:name="_Toc220070412"/>
      <w:bookmarkStart w:id="25" w:name="_Toc233711727"/>
      <w:r w:rsidRPr="001C58C6">
        <w:rPr>
          <w:rFonts w:ascii="Calibri" w:hAnsi="Calibri" w:cs="Calibri"/>
          <w:color w:val="000000" w:themeColor="text1"/>
        </w:rPr>
        <w:t>1.3 KRATAK PREGLED PODATAKA IZ INVENTARA O EMISIJAMA ZAGAĐUJUĆIH MATERIJA U VAZDUH</w:t>
      </w:r>
      <w:bookmarkEnd w:id="24"/>
      <w:bookmarkEnd w:id="25"/>
    </w:p>
    <w:p w14:paraId="0126D4A6" w14:textId="77777777" w:rsidR="0067106D" w:rsidRPr="001C58C6" w:rsidRDefault="0067106D">
      <w:pPr>
        <w:pStyle w:val="FootnoteText"/>
        <w:rPr>
          <w:rFonts w:ascii="Calibri" w:hAnsi="Calibri" w:cs="Calibri"/>
          <w:color w:val="000000" w:themeColor="text1"/>
          <w:sz w:val="24"/>
          <w:szCs w:val="24"/>
        </w:rPr>
      </w:pPr>
    </w:p>
    <w:p w14:paraId="49B8832D" w14:textId="77777777" w:rsidR="0067106D" w:rsidRPr="001C58C6" w:rsidRDefault="00910DCF">
      <w:pPr>
        <w:pStyle w:val="FootnoteText"/>
        <w:rPr>
          <w:rFonts w:ascii="Calibri" w:hAnsi="Calibri" w:cs="Calibri"/>
          <w:color w:val="000000" w:themeColor="text1"/>
          <w:sz w:val="24"/>
          <w:szCs w:val="24"/>
        </w:rPr>
      </w:pPr>
      <w:r w:rsidRPr="001C58C6">
        <w:rPr>
          <w:rFonts w:ascii="Calibri" w:hAnsi="Calibri" w:cs="Calibri"/>
          <w:color w:val="000000" w:themeColor="text1"/>
          <w:sz w:val="24"/>
          <w:szCs w:val="24"/>
        </w:rPr>
        <w:t>Podaci iz inventara emisija zagađujućih materija posebno su značajni jer omogućavaju da se izmjerene koncentracije u vazduhu povežu sa konkretnim izvorima emisija. Na osnovu takvog povezivanja jasno se identifikuju sektori na koje je potrebno usmjeriti mjere za smanjenje zagađenja.</w:t>
      </w:r>
    </w:p>
    <w:p w14:paraId="468D28E5" w14:textId="77777777" w:rsidR="0067106D" w:rsidRPr="001C58C6" w:rsidRDefault="0067106D">
      <w:pPr>
        <w:pStyle w:val="FootnoteText"/>
        <w:rPr>
          <w:rFonts w:ascii="Calibri" w:hAnsi="Calibri" w:cs="Calibri"/>
          <w:color w:val="000000" w:themeColor="text1"/>
          <w:sz w:val="24"/>
          <w:szCs w:val="24"/>
        </w:rPr>
      </w:pPr>
    </w:p>
    <w:p w14:paraId="3066AC70" w14:textId="77777777" w:rsidR="0067106D" w:rsidRPr="001C58C6" w:rsidRDefault="00910DCF">
      <w:pPr>
        <w:pStyle w:val="FootnoteText"/>
        <w:rPr>
          <w:rFonts w:ascii="Calibri" w:hAnsi="Calibri" w:cs="Calibri"/>
          <w:color w:val="000000" w:themeColor="text1"/>
          <w:sz w:val="24"/>
          <w:szCs w:val="24"/>
        </w:rPr>
      </w:pPr>
      <w:r w:rsidRPr="001C58C6">
        <w:rPr>
          <w:rFonts w:ascii="Calibri" w:hAnsi="Calibri" w:cs="Calibri"/>
          <w:color w:val="000000" w:themeColor="text1"/>
          <w:sz w:val="24"/>
          <w:szCs w:val="24"/>
        </w:rPr>
        <w:t>Ukupne procjenjene emisije određenih polutanata, kao i emisije iz ključnih sektora date su u Tabeli 3</w:t>
      </w:r>
      <w:r w:rsidR="00806123" w:rsidRPr="001C58C6">
        <w:rPr>
          <w:rFonts w:ascii="Calibri" w:hAnsi="Calibri" w:cs="Calibri"/>
          <w:color w:val="000000" w:themeColor="text1"/>
          <w:sz w:val="24"/>
          <w:szCs w:val="24"/>
        </w:rPr>
        <w:t>.</w:t>
      </w:r>
    </w:p>
    <w:p w14:paraId="6DF216F5" w14:textId="77777777" w:rsidR="0067106D" w:rsidRPr="001C58C6" w:rsidRDefault="0067106D" w:rsidP="00374C81">
      <w:pPr>
        <w:pStyle w:val="FootnoteText"/>
        <w:rPr>
          <w:rFonts w:ascii="Calibri" w:hAnsi="Calibri" w:cs="Calibri"/>
          <w:color w:val="000000" w:themeColor="text1"/>
          <w:sz w:val="24"/>
          <w:szCs w:val="24"/>
        </w:rPr>
      </w:pPr>
    </w:p>
    <w:p w14:paraId="7B679FC6" w14:textId="77777777" w:rsidR="0067106D" w:rsidRPr="001C58C6" w:rsidRDefault="00806123" w:rsidP="00B33518">
      <w:pPr>
        <w:pStyle w:val="Caption"/>
        <w:jc w:val="center"/>
        <w:rPr>
          <w:rFonts w:ascii="Calibri" w:hAnsi="Calibri" w:cs="Calibri"/>
          <w:i/>
          <w:iCs/>
          <w:color w:val="000000" w:themeColor="text1"/>
          <w:sz w:val="20"/>
          <w:szCs w:val="20"/>
        </w:rPr>
      </w:pPr>
      <w:bookmarkStart w:id="26" w:name="_Toc217388760"/>
      <w:bookmarkStart w:id="27" w:name="_Toc217388805"/>
      <w:bookmarkStart w:id="28" w:name="_Toc233584678"/>
      <w:r w:rsidRPr="001C58C6">
        <w:rPr>
          <w:rFonts w:ascii="Calibri" w:hAnsi="Calibri" w:cs="Calibri"/>
          <w:i/>
          <w:iCs/>
          <w:color w:val="000000" w:themeColor="text1"/>
          <w:sz w:val="20"/>
          <w:szCs w:val="20"/>
        </w:rPr>
        <w:t xml:space="preserve">Tabela </w:t>
      </w:r>
      <w:r w:rsidRPr="001C58C6">
        <w:rPr>
          <w:rFonts w:ascii="Calibri" w:hAnsi="Calibri" w:cs="Calibri"/>
          <w:i/>
          <w:iCs/>
          <w:color w:val="000000" w:themeColor="text1"/>
          <w:sz w:val="20"/>
          <w:szCs w:val="20"/>
        </w:rPr>
        <w:fldChar w:fldCharType="begin"/>
      </w:r>
      <w:r w:rsidRPr="001C58C6">
        <w:rPr>
          <w:rFonts w:ascii="Calibri" w:hAnsi="Calibri" w:cs="Calibri"/>
          <w:i/>
          <w:iCs/>
          <w:color w:val="000000" w:themeColor="text1"/>
          <w:sz w:val="20"/>
          <w:szCs w:val="20"/>
        </w:rPr>
        <w:instrText xml:space="preserve"> SEQ Tabela \* ARABIC </w:instrText>
      </w:r>
      <w:r w:rsidRPr="001C58C6">
        <w:rPr>
          <w:rFonts w:ascii="Calibri" w:hAnsi="Calibri" w:cs="Calibri"/>
          <w:i/>
          <w:iCs/>
          <w:color w:val="000000" w:themeColor="text1"/>
          <w:sz w:val="20"/>
          <w:szCs w:val="20"/>
        </w:rPr>
        <w:fldChar w:fldCharType="separate"/>
      </w:r>
      <w:r w:rsidR="00752282" w:rsidRPr="001C58C6">
        <w:rPr>
          <w:rFonts w:ascii="Calibri" w:hAnsi="Calibri" w:cs="Calibri"/>
          <w:i/>
          <w:iCs/>
          <w:color w:val="000000" w:themeColor="text1"/>
          <w:sz w:val="20"/>
          <w:szCs w:val="20"/>
        </w:rPr>
        <w:t>3</w:t>
      </w:r>
      <w:r w:rsidRPr="001C58C6">
        <w:rPr>
          <w:rFonts w:ascii="Calibri" w:hAnsi="Calibri" w:cs="Calibri"/>
          <w:i/>
          <w:iCs/>
          <w:color w:val="000000" w:themeColor="text1"/>
          <w:sz w:val="20"/>
          <w:szCs w:val="20"/>
        </w:rPr>
        <w:fldChar w:fldCharType="end"/>
      </w:r>
      <w:r w:rsidR="0055253B" w:rsidRPr="001C58C6">
        <w:rPr>
          <w:rFonts w:ascii="Calibri" w:hAnsi="Calibri" w:cs="Calibri"/>
          <w:i/>
          <w:iCs/>
          <w:color w:val="000000" w:themeColor="text1"/>
          <w:sz w:val="20"/>
          <w:szCs w:val="20"/>
        </w:rPr>
        <w:t>: E</w:t>
      </w:r>
      <w:r w:rsidR="00910DCF" w:rsidRPr="001C58C6">
        <w:rPr>
          <w:rFonts w:ascii="Calibri" w:hAnsi="Calibri" w:cs="Calibri"/>
          <w:i/>
          <w:iCs/>
          <w:color w:val="000000" w:themeColor="text1"/>
          <w:sz w:val="20"/>
          <w:szCs w:val="20"/>
        </w:rPr>
        <w:t>misije polutanata iz ključnih sektora (2023)</w:t>
      </w:r>
      <w:bookmarkEnd w:id="26"/>
      <w:bookmarkEnd w:id="27"/>
      <w:bookmarkEnd w:id="28"/>
    </w:p>
    <w:tbl>
      <w:tblPr>
        <w:tblStyle w:val="GridTable1Light-Accent1"/>
        <w:tblW w:w="5000" w:type="pct"/>
        <w:tblLook w:val="04A0" w:firstRow="1" w:lastRow="0" w:firstColumn="1" w:lastColumn="0" w:noHBand="0" w:noVBand="1"/>
      </w:tblPr>
      <w:tblGrid>
        <w:gridCol w:w="3859"/>
        <w:gridCol w:w="986"/>
        <w:gridCol w:w="968"/>
        <w:gridCol w:w="1149"/>
        <w:gridCol w:w="1077"/>
        <w:gridCol w:w="977"/>
      </w:tblGrid>
      <w:tr w:rsidR="0067106D" w:rsidRPr="001C58C6" w14:paraId="03F125A9" w14:textId="77777777" w:rsidTr="001743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0" w:type="pct"/>
            <w:shd w:val="clear" w:color="auto" w:fill="E8E8E8" w:themeFill="background2"/>
            <w:vAlign w:val="center"/>
          </w:tcPr>
          <w:p w14:paraId="516968FD" w14:textId="77777777" w:rsidR="0067106D" w:rsidRPr="001C58C6" w:rsidRDefault="00910DCF">
            <w:pPr>
              <w:pStyle w:val="FootnoteText"/>
              <w:rPr>
                <w:rFonts w:ascii="Calibri" w:hAnsi="Calibri" w:cs="Calibri"/>
                <w:color w:val="000000" w:themeColor="text1"/>
                <w:sz w:val="22"/>
              </w:rPr>
            </w:pPr>
            <w:r w:rsidRPr="001C58C6">
              <w:rPr>
                <w:rFonts w:ascii="Calibri" w:hAnsi="Calibri" w:cs="Calibri"/>
                <w:color w:val="000000" w:themeColor="text1"/>
                <w:sz w:val="22"/>
                <w:szCs w:val="22"/>
              </w:rPr>
              <w:t>Klju</w:t>
            </w:r>
            <w:r w:rsidRPr="001C58C6">
              <w:rPr>
                <w:rFonts w:ascii="Calibri" w:hAnsi="Calibri" w:cs="Calibri"/>
                <w:color w:val="000000" w:themeColor="text1"/>
                <w:sz w:val="22"/>
              </w:rPr>
              <w:t>čni sektori/polutanti</w:t>
            </w:r>
          </w:p>
        </w:tc>
        <w:tc>
          <w:tcPr>
            <w:tcW w:w="547" w:type="pct"/>
            <w:shd w:val="clear" w:color="auto" w:fill="E8E8E8" w:themeFill="background2"/>
            <w:vAlign w:val="center"/>
          </w:tcPr>
          <w:p w14:paraId="53ED87B4" w14:textId="77777777" w:rsidR="0067106D" w:rsidRPr="001C58C6" w:rsidRDefault="00910DCF" w:rsidP="00374C81">
            <w:pPr>
              <w:pStyle w:val="FootnoteText"/>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NOx (kt)</w:t>
            </w:r>
          </w:p>
        </w:tc>
        <w:tc>
          <w:tcPr>
            <w:tcW w:w="537" w:type="pct"/>
            <w:shd w:val="clear" w:color="auto" w:fill="E8E8E8" w:themeFill="background2"/>
            <w:vAlign w:val="center"/>
          </w:tcPr>
          <w:p w14:paraId="5A7BDD67" w14:textId="77777777" w:rsidR="0067106D" w:rsidRPr="001C58C6" w:rsidRDefault="00910DCF" w:rsidP="00374C81">
            <w:pPr>
              <w:pStyle w:val="FootnoteText"/>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SOx (kt)</w:t>
            </w:r>
          </w:p>
        </w:tc>
        <w:tc>
          <w:tcPr>
            <w:tcW w:w="637" w:type="pct"/>
            <w:shd w:val="clear" w:color="auto" w:fill="E8E8E8" w:themeFill="background2"/>
            <w:vAlign w:val="center"/>
          </w:tcPr>
          <w:p w14:paraId="5CE9B087" w14:textId="77777777" w:rsidR="0067106D" w:rsidRPr="001C58C6" w:rsidRDefault="00910DCF" w:rsidP="00374C81">
            <w:pPr>
              <w:pStyle w:val="FootnoteText"/>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PM2.5 (kt)</w:t>
            </w:r>
          </w:p>
        </w:tc>
        <w:tc>
          <w:tcPr>
            <w:tcW w:w="597" w:type="pct"/>
            <w:shd w:val="clear" w:color="auto" w:fill="E8E8E8" w:themeFill="background2"/>
            <w:vAlign w:val="center"/>
          </w:tcPr>
          <w:p w14:paraId="0C260B67" w14:textId="77777777" w:rsidR="0067106D" w:rsidRPr="001C58C6" w:rsidRDefault="00910DCF" w:rsidP="00374C81">
            <w:pPr>
              <w:pStyle w:val="FootnoteText"/>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PM10 (kt)</w:t>
            </w:r>
          </w:p>
        </w:tc>
        <w:tc>
          <w:tcPr>
            <w:tcW w:w="543" w:type="pct"/>
            <w:shd w:val="clear" w:color="auto" w:fill="E8E8E8" w:themeFill="background2"/>
            <w:vAlign w:val="center"/>
          </w:tcPr>
          <w:p w14:paraId="2A903886" w14:textId="77777777" w:rsidR="0067106D" w:rsidRPr="001C58C6" w:rsidRDefault="00910DCF" w:rsidP="00374C81">
            <w:pPr>
              <w:pStyle w:val="FootnoteText"/>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BaP</w:t>
            </w:r>
          </w:p>
          <w:p w14:paraId="79D538CE" w14:textId="77777777" w:rsidR="0067106D" w:rsidRPr="001C58C6" w:rsidRDefault="00910DCF" w:rsidP="00374C81">
            <w:pPr>
              <w:pStyle w:val="FootnoteText"/>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g/I TEQ*</w:t>
            </w:r>
          </w:p>
        </w:tc>
      </w:tr>
      <w:tr w:rsidR="00374C81" w:rsidRPr="001C58C6" w14:paraId="3095D139" w14:textId="77777777" w:rsidTr="001743DE">
        <w:tc>
          <w:tcPr>
            <w:cnfStyle w:val="001000000000" w:firstRow="0" w:lastRow="0" w:firstColumn="1" w:lastColumn="0" w:oddVBand="0" w:evenVBand="0" w:oddHBand="0" w:evenHBand="0" w:firstRowFirstColumn="0" w:firstRowLastColumn="0" w:lastRowFirstColumn="0" w:lastRowLastColumn="0"/>
            <w:tcW w:w="2140" w:type="pct"/>
            <w:vMerge w:val="restart"/>
            <w:vAlign w:val="center"/>
          </w:tcPr>
          <w:p w14:paraId="553E6A62" w14:textId="77777777" w:rsidR="00374C81" w:rsidRPr="001C58C6" w:rsidRDefault="00374C81">
            <w:pPr>
              <w:pStyle w:val="FootnoteText"/>
              <w:rPr>
                <w:rFonts w:ascii="Calibri" w:hAnsi="Calibri" w:cs="Calibri"/>
                <w:color w:val="000000" w:themeColor="text1"/>
                <w:sz w:val="22"/>
                <w:szCs w:val="22"/>
              </w:rPr>
            </w:pPr>
            <w:r w:rsidRPr="001C58C6">
              <w:rPr>
                <w:rFonts w:ascii="Calibri" w:hAnsi="Calibri" w:cs="Calibri"/>
                <w:color w:val="000000" w:themeColor="text1"/>
                <w:sz w:val="22"/>
                <w:szCs w:val="22"/>
              </w:rPr>
              <w:t>Proizvodnja električne energije</w:t>
            </w:r>
          </w:p>
        </w:tc>
        <w:tc>
          <w:tcPr>
            <w:tcW w:w="547" w:type="pct"/>
            <w:vAlign w:val="center"/>
          </w:tcPr>
          <w:p w14:paraId="56840EF6" w14:textId="77777777" w:rsidR="00374C81" w:rsidRPr="001C58C6" w:rsidRDefault="00374C81" w:rsidP="00374C81">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8.24</w:t>
            </w:r>
          </w:p>
        </w:tc>
        <w:tc>
          <w:tcPr>
            <w:tcW w:w="537" w:type="pct"/>
            <w:vAlign w:val="center"/>
          </w:tcPr>
          <w:p w14:paraId="233ED9A5" w14:textId="77777777" w:rsidR="00374C81" w:rsidRPr="001C58C6" w:rsidRDefault="00374C81" w:rsidP="00374C81">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68.3</w:t>
            </w:r>
          </w:p>
        </w:tc>
        <w:tc>
          <w:tcPr>
            <w:tcW w:w="637" w:type="pct"/>
            <w:vAlign w:val="center"/>
          </w:tcPr>
          <w:p w14:paraId="3D306675" w14:textId="77777777" w:rsidR="00374C81" w:rsidRPr="001C58C6" w:rsidRDefault="00374C81" w:rsidP="00374C81">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6.08</w:t>
            </w:r>
          </w:p>
        </w:tc>
        <w:tc>
          <w:tcPr>
            <w:tcW w:w="597" w:type="pct"/>
            <w:vAlign w:val="center"/>
          </w:tcPr>
          <w:p w14:paraId="04D77657" w14:textId="77777777" w:rsidR="00374C81" w:rsidRPr="001C58C6" w:rsidRDefault="00374C81" w:rsidP="00374C81">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6.58</w:t>
            </w:r>
          </w:p>
        </w:tc>
        <w:tc>
          <w:tcPr>
            <w:tcW w:w="543" w:type="pct"/>
            <w:vAlign w:val="center"/>
          </w:tcPr>
          <w:p w14:paraId="58E3A74B" w14:textId="77777777" w:rsidR="00374C81" w:rsidRPr="001C58C6" w:rsidRDefault="00374C81" w:rsidP="00374C81">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w:t>
            </w:r>
          </w:p>
        </w:tc>
      </w:tr>
      <w:tr w:rsidR="00374C81" w:rsidRPr="001C58C6" w14:paraId="5F1D2D0B" w14:textId="77777777" w:rsidTr="001743DE">
        <w:tc>
          <w:tcPr>
            <w:cnfStyle w:val="001000000000" w:firstRow="0" w:lastRow="0" w:firstColumn="1" w:lastColumn="0" w:oddVBand="0" w:evenVBand="0" w:oddHBand="0" w:evenHBand="0" w:firstRowFirstColumn="0" w:firstRowLastColumn="0" w:lastRowFirstColumn="0" w:lastRowLastColumn="0"/>
            <w:tcW w:w="2140" w:type="pct"/>
            <w:vMerge/>
            <w:vAlign w:val="center"/>
          </w:tcPr>
          <w:p w14:paraId="7E883D89" w14:textId="77777777" w:rsidR="00374C81" w:rsidRPr="001C58C6" w:rsidRDefault="00374C81">
            <w:pPr>
              <w:pStyle w:val="FootnoteText"/>
              <w:rPr>
                <w:rFonts w:ascii="Calibri" w:hAnsi="Calibri" w:cs="Calibri"/>
                <w:color w:val="000000" w:themeColor="text1"/>
                <w:sz w:val="22"/>
                <w:szCs w:val="22"/>
              </w:rPr>
            </w:pPr>
          </w:p>
        </w:tc>
        <w:tc>
          <w:tcPr>
            <w:tcW w:w="547" w:type="pct"/>
            <w:vAlign w:val="center"/>
          </w:tcPr>
          <w:p w14:paraId="4BADBC10" w14:textId="77777777" w:rsidR="00374C81" w:rsidRPr="001C58C6" w:rsidRDefault="00374C81" w:rsidP="00374C81">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47%</w:t>
            </w:r>
          </w:p>
        </w:tc>
        <w:tc>
          <w:tcPr>
            <w:tcW w:w="537" w:type="pct"/>
            <w:vAlign w:val="center"/>
          </w:tcPr>
          <w:p w14:paraId="63147F10" w14:textId="77777777" w:rsidR="00374C81" w:rsidRPr="001C58C6" w:rsidRDefault="00374C81" w:rsidP="00374C81">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99%</w:t>
            </w:r>
          </w:p>
        </w:tc>
        <w:tc>
          <w:tcPr>
            <w:tcW w:w="637" w:type="pct"/>
            <w:vAlign w:val="center"/>
          </w:tcPr>
          <w:p w14:paraId="245B6D12" w14:textId="77777777" w:rsidR="00374C81" w:rsidRPr="001C58C6" w:rsidRDefault="00374C81" w:rsidP="00374C81">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3%</w:t>
            </w:r>
          </w:p>
        </w:tc>
        <w:tc>
          <w:tcPr>
            <w:tcW w:w="597" w:type="pct"/>
            <w:vAlign w:val="center"/>
          </w:tcPr>
          <w:p w14:paraId="6274005D" w14:textId="77777777" w:rsidR="00374C81" w:rsidRPr="001C58C6" w:rsidRDefault="00374C81" w:rsidP="00374C81">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4%</w:t>
            </w:r>
          </w:p>
        </w:tc>
        <w:tc>
          <w:tcPr>
            <w:tcW w:w="543" w:type="pct"/>
            <w:vAlign w:val="center"/>
          </w:tcPr>
          <w:p w14:paraId="173ECBCD" w14:textId="77777777" w:rsidR="00374C81" w:rsidRPr="001C58C6" w:rsidRDefault="00374C81" w:rsidP="00374C81">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w:t>
            </w:r>
          </w:p>
        </w:tc>
      </w:tr>
      <w:tr w:rsidR="00374C81" w:rsidRPr="001C58C6" w14:paraId="486D718E" w14:textId="77777777" w:rsidTr="001743DE">
        <w:tc>
          <w:tcPr>
            <w:cnfStyle w:val="001000000000" w:firstRow="0" w:lastRow="0" w:firstColumn="1" w:lastColumn="0" w:oddVBand="0" w:evenVBand="0" w:oddHBand="0" w:evenHBand="0" w:firstRowFirstColumn="0" w:firstRowLastColumn="0" w:lastRowFirstColumn="0" w:lastRowLastColumn="0"/>
            <w:tcW w:w="2140" w:type="pct"/>
            <w:vMerge w:val="restart"/>
            <w:vAlign w:val="center"/>
          </w:tcPr>
          <w:p w14:paraId="7D55FA53" w14:textId="77777777" w:rsidR="00374C81" w:rsidRPr="001C58C6" w:rsidRDefault="00374C81">
            <w:pPr>
              <w:pStyle w:val="FootnoteText"/>
              <w:rPr>
                <w:rFonts w:ascii="Calibri" w:hAnsi="Calibri" w:cs="Calibri"/>
                <w:color w:val="000000" w:themeColor="text1"/>
                <w:sz w:val="22"/>
                <w:szCs w:val="22"/>
              </w:rPr>
            </w:pPr>
            <w:r w:rsidRPr="001C58C6">
              <w:rPr>
                <w:rFonts w:ascii="Calibri" w:hAnsi="Calibri" w:cs="Calibri"/>
                <w:color w:val="000000" w:themeColor="text1"/>
                <w:sz w:val="22"/>
                <w:szCs w:val="22"/>
              </w:rPr>
              <w:t>Drumski saobraćaj – teretna vozila i autobusi</w:t>
            </w:r>
          </w:p>
        </w:tc>
        <w:tc>
          <w:tcPr>
            <w:tcW w:w="547" w:type="pct"/>
            <w:vAlign w:val="center"/>
          </w:tcPr>
          <w:p w14:paraId="6671419A" w14:textId="77777777" w:rsidR="00374C81" w:rsidRPr="001C58C6" w:rsidRDefault="00374C81" w:rsidP="00374C81">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6.83</w:t>
            </w:r>
          </w:p>
        </w:tc>
        <w:tc>
          <w:tcPr>
            <w:tcW w:w="537" w:type="pct"/>
            <w:vAlign w:val="center"/>
          </w:tcPr>
          <w:p w14:paraId="21EEB01A" w14:textId="77777777" w:rsidR="00374C81" w:rsidRPr="001C58C6" w:rsidRDefault="00374C81" w:rsidP="00374C81">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p>
        </w:tc>
        <w:tc>
          <w:tcPr>
            <w:tcW w:w="637" w:type="pct"/>
            <w:vAlign w:val="center"/>
          </w:tcPr>
          <w:p w14:paraId="5CE69249" w14:textId="77777777" w:rsidR="00374C81" w:rsidRPr="001C58C6" w:rsidRDefault="00374C81" w:rsidP="00374C81">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0.19</w:t>
            </w:r>
          </w:p>
        </w:tc>
        <w:tc>
          <w:tcPr>
            <w:tcW w:w="597" w:type="pct"/>
            <w:vAlign w:val="center"/>
          </w:tcPr>
          <w:p w14:paraId="1486E73E" w14:textId="77777777" w:rsidR="00374C81" w:rsidRPr="001C58C6" w:rsidRDefault="00374C81" w:rsidP="00374C81">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0.19</w:t>
            </w:r>
          </w:p>
        </w:tc>
        <w:tc>
          <w:tcPr>
            <w:tcW w:w="543" w:type="pct"/>
            <w:vAlign w:val="center"/>
          </w:tcPr>
          <w:p w14:paraId="1661FE82" w14:textId="77777777" w:rsidR="00374C81" w:rsidRPr="001C58C6" w:rsidRDefault="00374C81" w:rsidP="00374C81">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w:t>
            </w:r>
          </w:p>
        </w:tc>
      </w:tr>
      <w:tr w:rsidR="00374C81" w:rsidRPr="001C58C6" w14:paraId="2DCCE9FC" w14:textId="77777777" w:rsidTr="001743DE">
        <w:tc>
          <w:tcPr>
            <w:cnfStyle w:val="001000000000" w:firstRow="0" w:lastRow="0" w:firstColumn="1" w:lastColumn="0" w:oddVBand="0" w:evenVBand="0" w:oddHBand="0" w:evenHBand="0" w:firstRowFirstColumn="0" w:firstRowLastColumn="0" w:lastRowFirstColumn="0" w:lastRowLastColumn="0"/>
            <w:tcW w:w="2140" w:type="pct"/>
            <w:vMerge/>
            <w:vAlign w:val="center"/>
          </w:tcPr>
          <w:p w14:paraId="29AA347F" w14:textId="77777777" w:rsidR="00374C81" w:rsidRPr="001C58C6" w:rsidRDefault="00374C81">
            <w:pPr>
              <w:pStyle w:val="FootnoteText"/>
              <w:rPr>
                <w:rFonts w:ascii="Calibri" w:hAnsi="Calibri" w:cs="Calibri"/>
                <w:color w:val="000000" w:themeColor="text1"/>
                <w:sz w:val="22"/>
                <w:szCs w:val="22"/>
              </w:rPr>
            </w:pPr>
          </w:p>
        </w:tc>
        <w:tc>
          <w:tcPr>
            <w:tcW w:w="547" w:type="pct"/>
            <w:vAlign w:val="center"/>
          </w:tcPr>
          <w:p w14:paraId="01ACB2CC" w14:textId="77777777" w:rsidR="00374C81" w:rsidRPr="001C58C6" w:rsidRDefault="00374C81" w:rsidP="00374C81">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39%</w:t>
            </w:r>
          </w:p>
        </w:tc>
        <w:tc>
          <w:tcPr>
            <w:tcW w:w="537" w:type="pct"/>
            <w:vAlign w:val="center"/>
          </w:tcPr>
          <w:p w14:paraId="5953FA99" w14:textId="77777777" w:rsidR="00374C81" w:rsidRPr="001C58C6" w:rsidRDefault="00374C81" w:rsidP="00374C81">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p>
        </w:tc>
        <w:tc>
          <w:tcPr>
            <w:tcW w:w="637" w:type="pct"/>
            <w:vAlign w:val="center"/>
          </w:tcPr>
          <w:p w14:paraId="05C1AC29" w14:textId="77777777" w:rsidR="00374C81" w:rsidRPr="001C58C6" w:rsidRDefault="00374C81" w:rsidP="00374C81">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3%</w:t>
            </w:r>
          </w:p>
        </w:tc>
        <w:tc>
          <w:tcPr>
            <w:tcW w:w="597" w:type="pct"/>
            <w:vAlign w:val="center"/>
          </w:tcPr>
          <w:p w14:paraId="71F64C93" w14:textId="77777777" w:rsidR="00374C81" w:rsidRPr="001C58C6" w:rsidRDefault="00374C81" w:rsidP="00374C81">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3%</w:t>
            </w:r>
          </w:p>
        </w:tc>
        <w:tc>
          <w:tcPr>
            <w:tcW w:w="543" w:type="pct"/>
            <w:vAlign w:val="center"/>
          </w:tcPr>
          <w:p w14:paraId="10E49FA3" w14:textId="77777777" w:rsidR="00374C81" w:rsidRPr="001C58C6" w:rsidRDefault="00374C81" w:rsidP="00374C81">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w:t>
            </w:r>
          </w:p>
        </w:tc>
      </w:tr>
      <w:tr w:rsidR="00374C81" w:rsidRPr="001C58C6" w14:paraId="28A73778" w14:textId="77777777" w:rsidTr="001743DE">
        <w:tc>
          <w:tcPr>
            <w:cnfStyle w:val="001000000000" w:firstRow="0" w:lastRow="0" w:firstColumn="1" w:lastColumn="0" w:oddVBand="0" w:evenVBand="0" w:oddHBand="0" w:evenHBand="0" w:firstRowFirstColumn="0" w:firstRowLastColumn="0" w:lastRowFirstColumn="0" w:lastRowLastColumn="0"/>
            <w:tcW w:w="2140" w:type="pct"/>
            <w:vMerge w:val="restart"/>
            <w:vAlign w:val="center"/>
          </w:tcPr>
          <w:p w14:paraId="2939441C" w14:textId="77777777" w:rsidR="00374C81" w:rsidRPr="001C58C6" w:rsidRDefault="00374C81">
            <w:pPr>
              <w:pStyle w:val="FootnoteText"/>
              <w:rPr>
                <w:rFonts w:ascii="Calibri" w:hAnsi="Calibri" w:cs="Calibri"/>
                <w:color w:val="000000" w:themeColor="text1"/>
                <w:sz w:val="22"/>
                <w:szCs w:val="22"/>
              </w:rPr>
            </w:pPr>
            <w:r w:rsidRPr="001C58C6">
              <w:rPr>
                <w:rFonts w:ascii="Calibri" w:hAnsi="Calibri" w:cs="Calibri"/>
                <w:color w:val="000000" w:themeColor="text1"/>
                <w:sz w:val="22"/>
                <w:szCs w:val="22"/>
              </w:rPr>
              <w:t>Grijanje domaćinstava</w:t>
            </w:r>
          </w:p>
        </w:tc>
        <w:tc>
          <w:tcPr>
            <w:tcW w:w="547" w:type="pct"/>
            <w:vAlign w:val="center"/>
          </w:tcPr>
          <w:p w14:paraId="14F6BEAA" w14:textId="77777777" w:rsidR="00374C81" w:rsidRPr="001C58C6" w:rsidRDefault="00374C81" w:rsidP="00374C81">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w:t>
            </w:r>
          </w:p>
        </w:tc>
        <w:tc>
          <w:tcPr>
            <w:tcW w:w="537" w:type="pct"/>
            <w:vAlign w:val="center"/>
          </w:tcPr>
          <w:p w14:paraId="58FD4717" w14:textId="77777777" w:rsidR="00374C81" w:rsidRPr="001C58C6" w:rsidRDefault="00374C81" w:rsidP="00374C81">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0.19</w:t>
            </w:r>
          </w:p>
        </w:tc>
        <w:tc>
          <w:tcPr>
            <w:tcW w:w="637" w:type="pct"/>
            <w:vAlign w:val="center"/>
          </w:tcPr>
          <w:p w14:paraId="079D1433" w14:textId="77777777" w:rsidR="00374C81" w:rsidRPr="001C58C6" w:rsidRDefault="00374C81" w:rsidP="00374C81">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5.08</w:t>
            </w:r>
          </w:p>
        </w:tc>
        <w:tc>
          <w:tcPr>
            <w:tcW w:w="597" w:type="pct"/>
            <w:vAlign w:val="center"/>
          </w:tcPr>
          <w:p w14:paraId="301CB003" w14:textId="77777777" w:rsidR="00374C81" w:rsidRPr="001C58C6" w:rsidRDefault="00374C81" w:rsidP="00374C81">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5.22</w:t>
            </w:r>
          </w:p>
        </w:tc>
        <w:tc>
          <w:tcPr>
            <w:tcW w:w="543" w:type="pct"/>
            <w:vAlign w:val="center"/>
          </w:tcPr>
          <w:p w14:paraId="57992181" w14:textId="77777777" w:rsidR="00374C81" w:rsidRPr="001C58C6" w:rsidRDefault="00374C81" w:rsidP="00374C81">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0.83</w:t>
            </w:r>
          </w:p>
        </w:tc>
      </w:tr>
      <w:tr w:rsidR="00374C81" w:rsidRPr="001C58C6" w14:paraId="000CAC4E" w14:textId="77777777" w:rsidTr="001743DE">
        <w:tc>
          <w:tcPr>
            <w:cnfStyle w:val="001000000000" w:firstRow="0" w:lastRow="0" w:firstColumn="1" w:lastColumn="0" w:oddVBand="0" w:evenVBand="0" w:oddHBand="0" w:evenHBand="0" w:firstRowFirstColumn="0" w:firstRowLastColumn="0" w:lastRowFirstColumn="0" w:lastRowLastColumn="0"/>
            <w:tcW w:w="2140" w:type="pct"/>
            <w:vMerge/>
            <w:vAlign w:val="center"/>
          </w:tcPr>
          <w:p w14:paraId="3207B5C2" w14:textId="77777777" w:rsidR="00374C81" w:rsidRPr="001C58C6" w:rsidRDefault="00374C81">
            <w:pPr>
              <w:pStyle w:val="FootnoteText"/>
              <w:rPr>
                <w:rFonts w:ascii="Calibri" w:hAnsi="Calibri" w:cs="Calibri"/>
                <w:color w:val="000000" w:themeColor="text1"/>
                <w:sz w:val="22"/>
                <w:szCs w:val="22"/>
              </w:rPr>
            </w:pPr>
          </w:p>
        </w:tc>
        <w:tc>
          <w:tcPr>
            <w:tcW w:w="547" w:type="pct"/>
            <w:vAlign w:val="center"/>
          </w:tcPr>
          <w:p w14:paraId="6CD4B209" w14:textId="77777777" w:rsidR="00374C81" w:rsidRPr="001C58C6" w:rsidRDefault="00374C81" w:rsidP="00374C81">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w:t>
            </w:r>
          </w:p>
        </w:tc>
        <w:tc>
          <w:tcPr>
            <w:tcW w:w="537" w:type="pct"/>
            <w:vAlign w:val="center"/>
          </w:tcPr>
          <w:p w14:paraId="36BEE5F3" w14:textId="77777777" w:rsidR="00374C81" w:rsidRPr="001C58C6" w:rsidRDefault="00374C81" w:rsidP="00374C81">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0%</w:t>
            </w:r>
          </w:p>
        </w:tc>
        <w:tc>
          <w:tcPr>
            <w:tcW w:w="637" w:type="pct"/>
            <w:vAlign w:val="center"/>
          </w:tcPr>
          <w:p w14:paraId="54887DA8" w14:textId="77777777" w:rsidR="00374C81" w:rsidRPr="001C58C6" w:rsidRDefault="00374C81" w:rsidP="00374C81">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84%</w:t>
            </w:r>
          </w:p>
        </w:tc>
        <w:tc>
          <w:tcPr>
            <w:tcW w:w="597" w:type="pct"/>
            <w:vAlign w:val="center"/>
          </w:tcPr>
          <w:p w14:paraId="134982D5" w14:textId="77777777" w:rsidR="00374C81" w:rsidRPr="001C58C6" w:rsidRDefault="00374C81" w:rsidP="00374C81">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79%</w:t>
            </w:r>
          </w:p>
        </w:tc>
        <w:tc>
          <w:tcPr>
            <w:tcW w:w="543" w:type="pct"/>
            <w:vAlign w:val="center"/>
          </w:tcPr>
          <w:p w14:paraId="062CCEF8" w14:textId="77777777" w:rsidR="00374C81" w:rsidRPr="001C58C6" w:rsidRDefault="00374C81" w:rsidP="00374C81">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99%</w:t>
            </w:r>
          </w:p>
        </w:tc>
      </w:tr>
      <w:tr w:rsidR="0067106D" w:rsidRPr="001C58C6" w14:paraId="5F06C0C4" w14:textId="77777777" w:rsidTr="001743DE">
        <w:tc>
          <w:tcPr>
            <w:cnfStyle w:val="001000000000" w:firstRow="0" w:lastRow="0" w:firstColumn="1" w:lastColumn="0" w:oddVBand="0" w:evenVBand="0" w:oddHBand="0" w:evenHBand="0" w:firstRowFirstColumn="0" w:firstRowLastColumn="0" w:lastRowFirstColumn="0" w:lastRowLastColumn="0"/>
            <w:tcW w:w="2140" w:type="pct"/>
            <w:vAlign w:val="center"/>
          </w:tcPr>
          <w:p w14:paraId="013AE642" w14:textId="77777777" w:rsidR="0067106D" w:rsidRPr="001C58C6" w:rsidRDefault="00910DCF">
            <w:pPr>
              <w:pStyle w:val="FootnoteText"/>
              <w:rPr>
                <w:rFonts w:ascii="Calibri" w:hAnsi="Calibri" w:cs="Calibri"/>
                <w:color w:val="000000" w:themeColor="text1"/>
                <w:sz w:val="22"/>
                <w:szCs w:val="22"/>
              </w:rPr>
            </w:pPr>
            <w:r w:rsidRPr="001C58C6">
              <w:rPr>
                <w:rFonts w:ascii="Calibri" w:hAnsi="Calibri" w:cs="Calibri"/>
                <w:color w:val="000000" w:themeColor="text1"/>
                <w:sz w:val="22"/>
                <w:szCs w:val="22"/>
              </w:rPr>
              <w:t>Ukupno</w:t>
            </w:r>
          </w:p>
        </w:tc>
        <w:tc>
          <w:tcPr>
            <w:tcW w:w="547" w:type="pct"/>
            <w:vAlign w:val="center"/>
          </w:tcPr>
          <w:p w14:paraId="4BA0351D" w14:textId="77777777" w:rsidR="0067106D" w:rsidRPr="001C58C6" w:rsidRDefault="00910DCF" w:rsidP="00374C81">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17.89</w:t>
            </w:r>
          </w:p>
        </w:tc>
        <w:tc>
          <w:tcPr>
            <w:tcW w:w="537" w:type="pct"/>
            <w:vAlign w:val="center"/>
          </w:tcPr>
          <w:p w14:paraId="5C227770" w14:textId="77777777" w:rsidR="0067106D" w:rsidRPr="001C58C6" w:rsidRDefault="00910DCF" w:rsidP="00374C81">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68.8</w:t>
            </w:r>
          </w:p>
        </w:tc>
        <w:tc>
          <w:tcPr>
            <w:tcW w:w="637" w:type="pct"/>
            <w:vAlign w:val="center"/>
          </w:tcPr>
          <w:p w14:paraId="314CE10D" w14:textId="77777777" w:rsidR="0067106D" w:rsidRPr="001C58C6" w:rsidRDefault="00910DCF" w:rsidP="00374C81">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6.08</w:t>
            </w:r>
          </w:p>
        </w:tc>
        <w:tc>
          <w:tcPr>
            <w:tcW w:w="597" w:type="pct"/>
            <w:vAlign w:val="center"/>
          </w:tcPr>
          <w:p w14:paraId="6D626FA2" w14:textId="77777777" w:rsidR="0067106D" w:rsidRPr="001C58C6" w:rsidRDefault="00910DCF" w:rsidP="00374C81">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6.58</w:t>
            </w:r>
          </w:p>
        </w:tc>
        <w:tc>
          <w:tcPr>
            <w:tcW w:w="543" w:type="pct"/>
            <w:vAlign w:val="center"/>
          </w:tcPr>
          <w:p w14:paraId="746197BA" w14:textId="77777777" w:rsidR="0067106D" w:rsidRPr="001C58C6" w:rsidRDefault="00910DCF" w:rsidP="00374C81">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C58C6">
              <w:rPr>
                <w:rFonts w:ascii="Calibri" w:hAnsi="Calibri" w:cs="Calibri"/>
                <w:color w:val="000000" w:themeColor="text1"/>
                <w:sz w:val="22"/>
                <w:szCs w:val="22"/>
              </w:rPr>
              <w:t>0.84</w:t>
            </w:r>
          </w:p>
        </w:tc>
      </w:tr>
      <w:tr w:rsidR="0067106D" w:rsidRPr="001C58C6" w14:paraId="421B63A7" w14:textId="77777777" w:rsidTr="001743DE">
        <w:tc>
          <w:tcPr>
            <w:cnfStyle w:val="001000000000" w:firstRow="0" w:lastRow="0" w:firstColumn="1" w:lastColumn="0" w:oddVBand="0" w:evenVBand="0" w:oddHBand="0" w:evenHBand="0" w:firstRowFirstColumn="0" w:firstRowLastColumn="0" w:lastRowFirstColumn="0" w:lastRowLastColumn="0"/>
            <w:tcW w:w="2140" w:type="pct"/>
            <w:vAlign w:val="center"/>
          </w:tcPr>
          <w:p w14:paraId="211E0555" w14:textId="77777777" w:rsidR="0067106D" w:rsidRPr="001C58C6" w:rsidRDefault="00910DCF">
            <w:pPr>
              <w:pStyle w:val="FootnoteText"/>
              <w:rPr>
                <w:rFonts w:ascii="Calibri" w:hAnsi="Calibri" w:cs="Calibri"/>
                <w:color w:val="000000" w:themeColor="text1"/>
                <w:sz w:val="22"/>
                <w:szCs w:val="22"/>
              </w:rPr>
            </w:pPr>
            <w:r w:rsidRPr="001C58C6">
              <w:rPr>
                <w:rFonts w:ascii="Calibri" w:hAnsi="Calibri" w:cs="Calibri"/>
                <w:color w:val="000000" w:themeColor="text1"/>
                <w:sz w:val="22"/>
                <w:szCs w:val="22"/>
              </w:rPr>
              <w:t>Udio ključnih sektora u ukupnim emisijama</w:t>
            </w:r>
          </w:p>
        </w:tc>
        <w:tc>
          <w:tcPr>
            <w:tcW w:w="547" w:type="pct"/>
            <w:vAlign w:val="center"/>
          </w:tcPr>
          <w:p w14:paraId="17BF5776" w14:textId="77777777" w:rsidR="0067106D" w:rsidRPr="001C58C6" w:rsidRDefault="00910DCF" w:rsidP="00374C81">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2"/>
                <w:szCs w:val="22"/>
              </w:rPr>
            </w:pPr>
            <w:r w:rsidRPr="001C58C6">
              <w:rPr>
                <w:rFonts w:ascii="Calibri" w:hAnsi="Calibri" w:cs="Calibri"/>
                <w:b/>
                <w:bCs/>
                <w:color w:val="000000" w:themeColor="text1"/>
                <w:sz w:val="22"/>
                <w:szCs w:val="22"/>
              </w:rPr>
              <w:t>85%</w:t>
            </w:r>
          </w:p>
        </w:tc>
        <w:tc>
          <w:tcPr>
            <w:tcW w:w="537" w:type="pct"/>
            <w:vAlign w:val="center"/>
          </w:tcPr>
          <w:p w14:paraId="228B0B95" w14:textId="77777777" w:rsidR="0067106D" w:rsidRPr="001C58C6" w:rsidRDefault="00910DCF" w:rsidP="00374C81">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2"/>
                <w:szCs w:val="22"/>
              </w:rPr>
            </w:pPr>
            <w:r w:rsidRPr="001C58C6">
              <w:rPr>
                <w:rFonts w:ascii="Calibri" w:hAnsi="Calibri" w:cs="Calibri"/>
                <w:b/>
                <w:bCs/>
                <w:color w:val="000000" w:themeColor="text1"/>
                <w:sz w:val="22"/>
                <w:szCs w:val="22"/>
              </w:rPr>
              <w:t>100%</w:t>
            </w:r>
          </w:p>
        </w:tc>
        <w:tc>
          <w:tcPr>
            <w:tcW w:w="637" w:type="pct"/>
            <w:vAlign w:val="center"/>
          </w:tcPr>
          <w:p w14:paraId="4B481211" w14:textId="77777777" w:rsidR="0067106D" w:rsidRPr="001C58C6" w:rsidRDefault="00910DCF" w:rsidP="00374C81">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2"/>
                <w:szCs w:val="22"/>
              </w:rPr>
            </w:pPr>
            <w:r w:rsidRPr="001C58C6">
              <w:rPr>
                <w:rFonts w:ascii="Calibri" w:hAnsi="Calibri" w:cs="Calibri"/>
                <w:b/>
                <w:bCs/>
                <w:color w:val="000000" w:themeColor="text1"/>
                <w:sz w:val="22"/>
                <w:szCs w:val="22"/>
              </w:rPr>
              <w:t>90%</w:t>
            </w:r>
          </w:p>
        </w:tc>
        <w:tc>
          <w:tcPr>
            <w:tcW w:w="597" w:type="pct"/>
            <w:vAlign w:val="center"/>
          </w:tcPr>
          <w:p w14:paraId="26EA0632" w14:textId="77777777" w:rsidR="0067106D" w:rsidRPr="001C58C6" w:rsidRDefault="00910DCF" w:rsidP="00374C81">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2"/>
                <w:szCs w:val="22"/>
              </w:rPr>
            </w:pPr>
            <w:r w:rsidRPr="001C58C6">
              <w:rPr>
                <w:rFonts w:ascii="Calibri" w:hAnsi="Calibri" w:cs="Calibri"/>
                <w:b/>
                <w:bCs/>
                <w:color w:val="000000" w:themeColor="text1"/>
                <w:sz w:val="22"/>
                <w:szCs w:val="22"/>
              </w:rPr>
              <w:t>96%</w:t>
            </w:r>
          </w:p>
        </w:tc>
        <w:tc>
          <w:tcPr>
            <w:tcW w:w="543" w:type="pct"/>
            <w:vAlign w:val="center"/>
          </w:tcPr>
          <w:p w14:paraId="7AFC74D7" w14:textId="77777777" w:rsidR="0067106D" w:rsidRPr="001C58C6" w:rsidRDefault="00910DCF" w:rsidP="00374C81">
            <w:pPr>
              <w:pStyle w:val="FootnoteText"/>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2"/>
                <w:szCs w:val="22"/>
              </w:rPr>
            </w:pPr>
            <w:r w:rsidRPr="001C58C6">
              <w:rPr>
                <w:rFonts w:ascii="Calibri" w:hAnsi="Calibri" w:cs="Calibri"/>
                <w:b/>
                <w:bCs/>
                <w:color w:val="000000" w:themeColor="text1"/>
                <w:sz w:val="22"/>
                <w:szCs w:val="22"/>
              </w:rPr>
              <w:t>99%</w:t>
            </w:r>
          </w:p>
        </w:tc>
      </w:tr>
    </w:tbl>
    <w:p w14:paraId="2FCAC7C6" w14:textId="77777777" w:rsidR="0067106D" w:rsidRPr="001C58C6" w:rsidRDefault="00910DCF" w:rsidP="00374C81">
      <w:pPr>
        <w:pStyle w:val="FootnoteText"/>
        <w:jc w:val="center"/>
        <w:rPr>
          <w:rFonts w:ascii="Calibri" w:hAnsi="Calibri" w:cs="Calibri"/>
          <w:i/>
          <w:iCs/>
          <w:color w:val="000000" w:themeColor="text1"/>
          <w:sz w:val="18"/>
          <w:szCs w:val="18"/>
        </w:rPr>
      </w:pPr>
      <w:r w:rsidRPr="001C58C6">
        <w:rPr>
          <w:rFonts w:ascii="Calibri" w:hAnsi="Calibri" w:cs="Calibri"/>
          <w:i/>
          <w:iCs/>
          <w:color w:val="000000" w:themeColor="text1"/>
        </w:rPr>
        <w:t>*</w:t>
      </w:r>
      <w:r w:rsidRPr="001C58C6">
        <w:rPr>
          <w:rFonts w:ascii="Calibri" w:hAnsi="Calibri" w:cs="Calibri"/>
          <w:i/>
          <w:iCs/>
          <w:color w:val="000000" w:themeColor="text1"/>
          <w:sz w:val="18"/>
          <w:szCs w:val="18"/>
        </w:rPr>
        <w:t>za razliku od ostalih polutanata čije su emisije izražene u kilotonama, benzo(a)piren (BaP) izražen je u gramima toksičnih ekvivalenata ( I TEQ – International Toxic Equivalent).</w:t>
      </w:r>
    </w:p>
    <w:p w14:paraId="115EC30F" w14:textId="77777777" w:rsidR="0067106D" w:rsidRPr="001C58C6" w:rsidRDefault="00910DCF" w:rsidP="00374C81">
      <w:pPr>
        <w:pStyle w:val="FootnoteText"/>
        <w:jc w:val="center"/>
        <w:rPr>
          <w:rFonts w:ascii="Calibri" w:hAnsi="Calibri" w:cs="Calibri"/>
          <w:i/>
          <w:iCs/>
          <w:color w:val="000000" w:themeColor="text1"/>
          <w:sz w:val="18"/>
          <w:szCs w:val="18"/>
        </w:rPr>
      </w:pPr>
      <w:r w:rsidRPr="001C58C6">
        <w:rPr>
          <w:rFonts w:ascii="Calibri" w:hAnsi="Calibri" w:cs="Calibri"/>
          <w:i/>
          <w:iCs/>
          <w:color w:val="000000" w:themeColor="text1"/>
          <w:sz w:val="18"/>
          <w:szCs w:val="18"/>
        </w:rPr>
        <w:t>Izvor podataka: NFR tabele Inventar emisija zagađujućih materija u vazduh, Crna Gora 2025 (podaci za 2023, godinu)</w:t>
      </w:r>
    </w:p>
    <w:p w14:paraId="7B6DDEE7" w14:textId="77777777" w:rsidR="0067106D" w:rsidRPr="001C58C6" w:rsidRDefault="0067106D">
      <w:pPr>
        <w:pStyle w:val="FootnoteText"/>
        <w:rPr>
          <w:rFonts w:ascii="Calibri" w:hAnsi="Calibri" w:cs="Calibri"/>
          <w:color w:val="000000" w:themeColor="text1"/>
        </w:rPr>
      </w:pPr>
    </w:p>
    <w:p w14:paraId="410D368F" w14:textId="77777777" w:rsidR="00374C81" w:rsidRPr="001C58C6" w:rsidRDefault="00910DCF">
      <w:pPr>
        <w:pStyle w:val="FootnoteText"/>
        <w:rPr>
          <w:rFonts w:ascii="Calibri" w:hAnsi="Calibri" w:cs="Calibri"/>
          <w:color w:val="000000" w:themeColor="text1"/>
          <w:sz w:val="24"/>
          <w:szCs w:val="24"/>
        </w:rPr>
      </w:pPr>
      <w:r w:rsidRPr="001C58C6">
        <w:rPr>
          <w:rFonts w:ascii="Calibri" w:hAnsi="Calibri" w:cs="Calibri"/>
          <w:color w:val="000000" w:themeColor="text1"/>
          <w:sz w:val="24"/>
          <w:szCs w:val="24"/>
        </w:rPr>
        <w:t xml:space="preserve">Ukupan procenat emisija iz tri navedena ključna sektora ukazuje na to da su emisije iz svih ostalih sektora skoro zanemarljive. Ključni izvori emisija azotnih oksida su proizvodnja električne energije i drumski saobraćaj (teretna vozila i autobusi), sumpornih oksida proizvodnja električne energije (99%), suspendovanih čestica i benzo(a)pirena grijanje domaćinstava. </w:t>
      </w:r>
    </w:p>
    <w:p w14:paraId="32F2E27E" w14:textId="77777777" w:rsidR="0067106D" w:rsidRPr="001C58C6" w:rsidRDefault="00910DCF">
      <w:pPr>
        <w:pStyle w:val="FootnoteText"/>
        <w:rPr>
          <w:rFonts w:ascii="Calibri" w:hAnsi="Calibri" w:cs="Calibri"/>
          <w:b/>
          <w:bCs/>
          <w:color w:val="000000" w:themeColor="text1"/>
          <w:sz w:val="24"/>
          <w:szCs w:val="24"/>
        </w:rPr>
      </w:pPr>
      <w:r w:rsidRPr="001C58C6">
        <w:rPr>
          <w:rFonts w:ascii="Calibri" w:hAnsi="Calibri" w:cs="Calibri"/>
          <w:color w:val="000000" w:themeColor="text1"/>
          <w:sz w:val="24"/>
          <w:szCs w:val="24"/>
        </w:rPr>
        <w:lastRenderedPageBreak/>
        <w:t xml:space="preserve">U skladu sa navedenim, </w:t>
      </w:r>
      <w:r w:rsidRPr="001C58C6">
        <w:rPr>
          <w:rFonts w:ascii="Calibri" w:hAnsi="Calibri" w:cs="Calibri"/>
          <w:b/>
          <w:bCs/>
          <w:color w:val="000000" w:themeColor="text1"/>
          <w:sz w:val="24"/>
          <w:szCs w:val="24"/>
        </w:rPr>
        <w:t xml:space="preserve">proizvodnja električne energije, grijanje domaćinstava i drumski saobraćaj su ključni sektori u kojima se može ostvariti smanjivanje zagađenja vazduha. </w:t>
      </w:r>
    </w:p>
    <w:p w14:paraId="2AE7CDBF" w14:textId="77777777" w:rsidR="003A4E2F" w:rsidRPr="001C58C6" w:rsidRDefault="00910DCF" w:rsidP="00E53052">
      <w:pPr>
        <w:pStyle w:val="Heading2"/>
        <w:numPr>
          <w:ilvl w:val="1"/>
          <w:numId w:val="11"/>
        </w:numPr>
        <w:rPr>
          <w:rFonts w:ascii="Calibri" w:hAnsi="Calibri" w:cs="Calibri"/>
          <w:color w:val="000000" w:themeColor="text1"/>
        </w:rPr>
      </w:pPr>
      <w:bookmarkStart w:id="29" w:name="_Toc220070413"/>
      <w:bookmarkStart w:id="30" w:name="_Toc233711728"/>
      <w:r w:rsidRPr="001C58C6">
        <w:rPr>
          <w:rFonts w:ascii="Calibri" w:hAnsi="Calibri" w:cs="Calibri"/>
          <w:color w:val="000000" w:themeColor="text1"/>
        </w:rPr>
        <w:t>UTICAJ KVALITETA VAZDUHA NA ZDRAVLJE</w:t>
      </w:r>
      <w:bookmarkEnd w:id="29"/>
      <w:bookmarkEnd w:id="30"/>
      <w:r w:rsidRPr="001C58C6">
        <w:rPr>
          <w:rFonts w:ascii="Calibri" w:hAnsi="Calibri" w:cs="Calibri"/>
          <w:color w:val="000000" w:themeColor="text1"/>
        </w:rPr>
        <w:t xml:space="preserve"> </w:t>
      </w:r>
    </w:p>
    <w:p w14:paraId="19CCE74A" w14:textId="77777777" w:rsidR="003A4E2F" w:rsidRPr="001C58C6" w:rsidRDefault="003A4E2F" w:rsidP="0033245A">
      <w:pPr>
        <w:pStyle w:val="Heading3"/>
        <w:rPr>
          <w:rFonts w:ascii="Calibri" w:hAnsi="Calibri" w:cs="Calibri"/>
          <w:color w:val="000000" w:themeColor="text1"/>
        </w:rPr>
      </w:pPr>
      <w:bookmarkStart w:id="31" w:name="_Toc217387912"/>
      <w:bookmarkStart w:id="32" w:name="_Toc220070414"/>
      <w:bookmarkStart w:id="33" w:name="_Toc233711729"/>
      <w:r w:rsidRPr="001C58C6">
        <w:rPr>
          <w:rFonts w:ascii="Calibri" w:hAnsi="Calibri" w:cs="Calibri"/>
          <w:color w:val="000000" w:themeColor="text1"/>
        </w:rPr>
        <w:t>1.4.1 Poređenje kvaliteta vazduha i uticaja zagađenja na zdravlje u Crnoj Gori sa regionom i državama članicama EU</w:t>
      </w:r>
      <w:bookmarkStart w:id="34" w:name="_Hlk216232373"/>
      <w:bookmarkEnd w:id="31"/>
      <w:bookmarkEnd w:id="32"/>
      <w:bookmarkEnd w:id="33"/>
    </w:p>
    <w:p w14:paraId="64D1BF9F" w14:textId="77777777" w:rsidR="003A4E2F" w:rsidRPr="001C58C6" w:rsidRDefault="003A4E2F" w:rsidP="003A4E2F">
      <w:pPr>
        <w:rPr>
          <w:rFonts w:ascii="Calibri" w:hAnsi="Calibri" w:cs="Calibri"/>
          <w:color w:val="000000" w:themeColor="text1"/>
        </w:rPr>
      </w:pPr>
    </w:p>
    <w:p w14:paraId="5DB12A60" w14:textId="77777777" w:rsidR="0067106D" w:rsidRPr="001C58C6" w:rsidRDefault="00910DCF">
      <w:pPr>
        <w:rPr>
          <w:rFonts w:ascii="Calibri" w:hAnsi="Calibri" w:cs="Calibri"/>
          <w:color w:val="000000" w:themeColor="text1"/>
        </w:rPr>
      </w:pPr>
      <w:r w:rsidRPr="001C58C6">
        <w:rPr>
          <w:rFonts w:ascii="Calibri" w:hAnsi="Calibri" w:cs="Calibri"/>
          <w:color w:val="000000" w:themeColor="text1"/>
        </w:rPr>
        <w:t>Izvještaj Evropske agencije za životnu sredinu o kvalitetu vazduha u Evropi 2024.</w:t>
      </w:r>
      <w:bookmarkEnd w:id="34"/>
      <w:r w:rsidRPr="001C58C6">
        <w:rPr>
          <w:rFonts w:ascii="Calibri" w:hAnsi="Calibri" w:cs="Calibri"/>
          <w:color w:val="000000" w:themeColor="text1"/>
        </w:rPr>
        <w:t xml:space="preserve"> godine</w:t>
      </w:r>
      <w:r w:rsidRPr="001C58C6">
        <w:rPr>
          <w:rStyle w:val="FootnoteReference"/>
          <w:rFonts w:ascii="Calibri" w:hAnsi="Calibri" w:cs="Calibri"/>
          <w:color w:val="000000" w:themeColor="text1"/>
        </w:rPr>
        <w:footnoteReference w:id="10"/>
      </w:r>
      <w:r w:rsidRPr="001C58C6">
        <w:rPr>
          <w:rFonts w:ascii="Calibri" w:hAnsi="Calibri" w:cs="Calibri"/>
          <w:color w:val="000000" w:themeColor="text1"/>
        </w:rPr>
        <w:t xml:space="preserve"> nosi dvije ključne poruke: </w:t>
      </w:r>
    </w:p>
    <w:p w14:paraId="70B38920" w14:textId="77777777" w:rsidR="0067106D" w:rsidRPr="001C58C6" w:rsidRDefault="00910DCF">
      <w:pPr>
        <w:pStyle w:val="ListParagraph"/>
        <w:numPr>
          <w:ilvl w:val="0"/>
          <w:numId w:val="3"/>
        </w:numPr>
        <w:rPr>
          <w:rFonts w:ascii="Calibri" w:hAnsi="Calibri" w:cs="Calibri"/>
          <w:color w:val="000000" w:themeColor="text1"/>
        </w:rPr>
      </w:pPr>
      <w:r w:rsidRPr="001C58C6">
        <w:rPr>
          <w:rFonts w:ascii="Calibri" w:hAnsi="Calibri" w:cs="Calibri"/>
          <w:color w:val="000000" w:themeColor="text1"/>
        </w:rPr>
        <w:t xml:space="preserve">Uprkos stalnim ukupnim poboljšanjima kvaliteta vazduha, trenutni standardi EU i dalje nisu ispunjeni širom Evrope; </w:t>
      </w:r>
    </w:p>
    <w:p w14:paraId="32A0922D" w14:textId="77777777" w:rsidR="0067106D" w:rsidRPr="001C58C6" w:rsidRDefault="00910DCF">
      <w:pPr>
        <w:pStyle w:val="ListParagraph"/>
        <w:numPr>
          <w:ilvl w:val="0"/>
          <w:numId w:val="3"/>
        </w:numPr>
        <w:rPr>
          <w:rFonts w:ascii="Calibri" w:hAnsi="Calibri" w:cs="Calibri"/>
          <w:color w:val="000000" w:themeColor="text1"/>
        </w:rPr>
      </w:pPr>
      <w:r w:rsidRPr="001C58C6">
        <w:rPr>
          <w:rFonts w:ascii="Calibri" w:hAnsi="Calibri" w:cs="Calibri"/>
          <w:color w:val="000000" w:themeColor="text1"/>
        </w:rPr>
        <w:t>96% urbane populacije EU izloženo je koncentracijama suspendovaniih čestica (PM2.5) koje su iznad preporučenog nivoa Svjetske zdravstvene organizacije.</w:t>
      </w:r>
    </w:p>
    <w:p w14:paraId="5514A46F" w14:textId="77777777" w:rsidR="00806123" w:rsidRPr="001C58C6" w:rsidRDefault="00806123">
      <w:pPr>
        <w:pStyle w:val="ListParagraph"/>
        <w:numPr>
          <w:ilvl w:val="0"/>
          <w:numId w:val="3"/>
        </w:numPr>
        <w:rPr>
          <w:rFonts w:ascii="Calibri" w:hAnsi="Calibri" w:cs="Calibri"/>
          <w:color w:val="000000" w:themeColor="text1"/>
        </w:rPr>
      </w:pPr>
    </w:p>
    <w:p w14:paraId="13F5193C" w14:textId="77777777" w:rsidR="0067106D" w:rsidRPr="001C58C6" w:rsidRDefault="00806123" w:rsidP="00806123">
      <w:pPr>
        <w:pStyle w:val="Caption"/>
        <w:jc w:val="center"/>
        <w:rPr>
          <w:rFonts w:ascii="Calibri" w:hAnsi="Calibri" w:cs="Calibri"/>
          <w:i/>
          <w:iCs/>
          <w:color w:val="000000" w:themeColor="text1"/>
          <w:sz w:val="20"/>
          <w:szCs w:val="20"/>
        </w:rPr>
      </w:pPr>
      <w:bookmarkStart w:id="35" w:name="_Toc233584669"/>
      <w:r w:rsidRPr="001C58C6">
        <w:rPr>
          <w:rFonts w:ascii="Calibri" w:hAnsi="Calibri" w:cs="Calibri"/>
          <w:i/>
          <w:iCs/>
          <w:color w:val="000000" w:themeColor="text1"/>
          <w:sz w:val="20"/>
          <w:szCs w:val="20"/>
        </w:rPr>
        <w:t xml:space="preserve">Grafik </w:t>
      </w:r>
      <w:r w:rsidRPr="001C58C6">
        <w:rPr>
          <w:rFonts w:ascii="Calibri" w:hAnsi="Calibri" w:cs="Calibri"/>
          <w:i/>
          <w:iCs/>
          <w:color w:val="000000" w:themeColor="text1"/>
          <w:sz w:val="20"/>
          <w:szCs w:val="20"/>
        </w:rPr>
        <w:fldChar w:fldCharType="begin"/>
      </w:r>
      <w:r w:rsidRPr="001C58C6">
        <w:rPr>
          <w:rFonts w:ascii="Calibri" w:hAnsi="Calibri" w:cs="Calibri"/>
          <w:i/>
          <w:iCs/>
          <w:color w:val="000000" w:themeColor="text1"/>
          <w:sz w:val="20"/>
          <w:szCs w:val="20"/>
        </w:rPr>
        <w:instrText xml:space="preserve"> SEQ Grafik \* ARABIC </w:instrText>
      </w:r>
      <w:r w:rsidRPr="001C58C6">
        <w:rPr>
          <w:rFonts w:ascii="Calibri" w:hAnsi="Calibri" w:cs="Calibri"/>
          <w:i/>
          <w:iCs/>
          <w:color w:val="000000" w:themeColor="text1"/>
          <w:sz w:val="20"/>
          <w:szCs w:val="20"/>
        </w:rPr>
        <w:fldChar w:fldCharType="separate"/>
      </w:r>
      <w:r w:rsidR="00752282" w:rsidRPr="001C58C6">
        <w:rPr>
          <w:rFonts w:ascii="Calibri" w:hAnsi="Calibri" w:cs="Calibri"/>
          <w:i/>
          <w:iCs/>
          <w:color w:val="000000" w:themeColor="text1"/>
          <w:sz w:val="20"/>
          <w:szCs w:val="20"/>
        </w:rPr>
        <w:t>8</w:t>
      </w:r>
      <w:r w:rsidRPr="001C58C6">
        <w:rPr>
          <w:rFonts w:ascii="Calibri" w:hAnsi="Calibri" w:cs="Calibri"/>
          <w:i/>
          <w:iCs/>
          <w:color w:val="000000" w:themeColor="text1"/>
          <w:sz w:val="20"/>
          <w:szCs w:val="20"/>
        </w:rPr>
        <w:fldChar w:fldCharType="end"/>
      </w:r>
      <w:r w:rsidR="001743DE" w:rsidRPr="001C58C6">
        <w:rPr>
          <w:rFonts w:ascii="Calibri" w:hAnsi="Calibri" w:cs="Calibri"/>
          <w:i/>
          <w:iCs/>
          <w:color w:val="000000" w:themeColor="text1"/>
          <w:sz w:val="20"/>
          <w:szCs w:val="20"/>
        </w:rPr>
        <w:t>:</w:t>
      </w:r>
      <w:r w:rsidR="00374C81" w:rsidRPr="001C58C6">
        <w:rPr>
          <w:rFonts w:ascii="Calibri" w:hAnsi="Calibri" w:cs="Calibri"/>
          <w:i/>
          <w:iCs/>
          <w:color w:val="000000" w:themeColor="text1"/>
          <w:sz w:val="20"/>
          <w:szCs w:val="20"/>
        </w:rPr>
        <w:t xml:space="preserve"> Broj preuranjenih smrti koje se mogu pripisati zagađenju vazduha (PM2.5 region – eu 27)</w:t>
      </w:r>
      <w:bookmarkEnd w:id="35"/>
    </w:p>
    <w:p w14:paraId="3CD5BD48" w14:textId="77777777" w:rsidR="0067106D" w:rsidRPr="001C58C6" w:rsidRDefault="00910DCF" w:rsidP="003A4E2F">
      <w:pPr>
        <w:jc w:val="center"/>
        <w:rPr>
          <w:rFonts w:ascii="Calibri" w:hAnsi="Calibri" w:cs="Calibri"/>
          <w:color w:val="000000" w:themeColor="text1"/>
        </w:rPr>
      </w:pPr>
      <w:r w:rsidRPr="001C58C6">
        <w:rPr>
          <w:rFonts w:ascii="Calibri" w:hAnsi="Calibri" w:cs="Calibri"/>
          <w:noProof/>
          <w:color w:val="000000" w:themeColor="text1"/>
        </w:rPr>
        <w:drawing>
          <wp:inline distT="0" distB="0" distL="0" distR="0" wp14:anchorId="71ABEC54" wp14:editId="71ABEC55">
            <wp:extent cx="4632960" cy="2743200"/>
            <wp:effectExtent l="0" t="0" r="15240" b="0"/>
            <wp:docPr id="10797766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ECB4C9E" w14:textId="77777777" w:rsidR="0067106D" w:rsidRPr="001C58C6" w:rsidRDefault="00910DCF" w:rsidP="003A4E2F">
      <w:pPr>
        <w:jc w:val="center"/>
        <w:rPr>
          <w:rFonts w:ascii="Calibri" w:hAnsi="Calibri" w:cs="Calibri"/>
          <w:i/>
          <w:iCs/>
          <w:color w:val="000000" w:themeColor="text1"/>
          <w:sz w:val="18"/>
          <w:szCs w:val="18"/>
        </w:rPr>
      </w:pPr>
      <w:r w:rsidRPr="001C58C6">
        <w:rPr>
          <w:rFonts w:ascii="Calibri" w:hAnsi="Calibri" w:cs="Calibri"/>
          <w:i/>
          <w:iCs/>
          <w:color w:val="000000" w:themeColor="text1"/>
          <w:sz w:val="18"/>
          <w:szCs w:val="18"/>
        </w:rPr>
        <w:t>Izvor podataka: Izvještaj Evropske agencije za životnu sredinu o kvalitetu vazduha u Evropi 2024.godine</w:t>
      </w:r>
    </w:p>
    <w:p w14:paraId="084744F5" w14:textId="77777777" w:rsidR="00806123" w:rsidRPr="001C58C6" w:rsidRDefault="00806123">
      <w:pPr>
        <w:rPr>
          <w:rFonts w:ascii="Calibri" w:hAnsi="Calibri" w:cs="Calibri"/>
          <w:color w:val="000000" w:themeColor="text1"/>
        </w:rPr>
      </w:pPr>
    </w:p>
    <w:p w14:paraId="312D32B6" w14:textId="77777777" w:rsidR="0067106D" w:rsidRPr="001C58C6" w:rsidRDefault="00910DCF">
      <w:pPr>
        <w:rPr>
          <w:rFonts w:ascii="Calibri" w:hAnsi="Calibri" w:cs="Calibri"/>
          <w:color w:val="000000" w:themeColor="text1"/>
        </w:rPr>
      </w:pPr>
      <w:r w:rsidRPr="001C58C6">
        <w:rPr>
          <w:rFonts w:ascii="Calibri" w:hAnsi="Calibri" w:cs="Calibri"/>
          <w:color w:val="000000" w:themeColor="text1"/>
        </w:rPr>
        <w:t xml:space="preserve">Dok je prosjek za države članice EU 78 preuranjenih smrti koje se mogu pripisati izloženosti stanovništva prekomjernim koncentracijama suspendovanih čestica PM2.5 na 100,000 stanovnika, taj broj u regionu (državama Zapadnog Balkana) je znatno veći i kreće se od 300 u Sjevernoj Makedoniji do 182 u Crnoj Gori. Detaljni kompletni podaci Evropske agencije za životnu sredinu su radi poređenja dati u tabeli 4. </w:t>
      </w:r>
    </w:p>
    <w:p w14:paraId="2DFF4370" w14:textId="77777777" w:rsidR="00B33518" w:rsidRPr="001C58C6" w:rsidRDefault="00B33518">
      <w:pPr>
        <w:rPr>
          <w:rFonts w:ascii="Calibri" w:hAnsi="Calibri" w:cs="Calibri"/>
          <w:b/>
          <w:color w:val="000000" w:themeColor="text1"/>
        </w:rPr>
      </w:pPr>
    </w:p>
    <w:p w14:paraId="34CAF8EE" w14:textId="77777777" w:rsidR="007F251D" w:rsidRPr="001C58C6" w:rsidRDefault="007F251D">
      <w:pPr>
        <w:rPr>
          <w:rFonts w:ascii="Calibri" w:hAnsi="Calibri" w:cs="Calibri"/>
          <w:color w:val="000000" w:themeColor="text1"/>
        </w:rPr>
      </w:pPr>
    </w:p>
    <w:p w14:paraId="69BC82BF" w14:textId="77777777" w:rsidR="007F251D" w:rsidRPr="001C58C6" w:rsidRDefault="007F251D">
      <w:pPr>
        <w:rPr>
          <w:rFonts w:ascii="Calibri" w:hAnsi="Calibri" w:cs="Calibri"/>
          <w:color w:val="000000" w:themeColor="text1"/>
        </w:rPr>
      </w:pPr>
    </w:p>
    <w:p w14:paraId="7FF0D3BE" w14:textId="77777777" w:rsidR="007F251D" w:rsidRPr="001C58C6" w:rsidRDefault="007F251D">
      <w:pPr>
        <w:rPr>
          <w:rFonts w:ascii="Calibri" w:hAnsi="Calibri" w:cs="Calibri"/>
          <w:color w:val="000000" w:themeColor="text1"/>
        </w:rPr>
      </w:pPr>
    </w:p>
    <w:p w14:paraId="54F8119D" w14:textId="77777777" w:rsidR="007F251D" w:rsidRPr="001C58C6" w:rsidRDefault="007F251D">
      <w:pPr>
        <w:rPr>
          <w:rFonts w:ascii="Calibri" w:hAnsi="Calibri" w:cs="Calibri"/>
          <w:color w:val="000000" w:themeColor="text1"/>
        </w:rPr>
      </w:pPr>
    </w:p>
    <w:p w14:paraId="4BC89BF6" w14:textId="77777777" w:rsidR="007F251D" w:rsidRPr="001C58C6" w:rsidRDefault="007F251D">
      <w:pPr>
        <w:rPr>
          <w:rFonts w:ascii="Calibri" w:hAnsi="Calibri" w:cs="Calibri"/>
          <w:color w:val="000000" w:themeColor="text1"/>
        </w:rPr>
      </w:pPr>
    </w:p>
    <w:p w14:paraId="6A1403BB" w14:textId="77777777" w:rsidR="007F251D" w:rsidRPr="001C58C6" w:rsidRDefault="007F251D">
      <w:pPr>
        <w:rPr>
          <w:rFonts w:ascii="Calibri" w:hAnsi="Calibri" w:cs="Calibri"/>
          <w:color w:val="000000" w:themeColor="text1"/>
        </w:rPr>
      </w:pPr>
    </w:p>
    <w:p w14:paraId="1CE01532" w14:textId="77777777" w:rsidR="007F251D" w:rsidRPr="001C58C6" w:rsidRDefault="007F251D">
      <w:pPr>
        <w:rPr>
          <w:rFonts w:ascii="Calibri" w:hAnsi="Calibri" w:cs="Calibri"/>
          <w:color w:val="000000" w:themeColor="text1"/>
        </w:rPr>
      </w:pPr>
    </w:p>
    <w:p w14:paraId="5B99E718" w14:textId="77777777" w:rsidR="0067106D" w:rsidRPr="001C58C6" w:rsidRDefault="00806123" w:rsidP="00B33518">
      <w:pPr>
        <w:pStyle w:val="Caption"/>
        <w:jc w:val="center"/>
        <w:rPr>
          <w:rFonts w:ascii="Calibri" w:hAnsi="Calibri" w:cs="Calibri"/>
          <w:i/>
          <w:iCs/>
          <w:color w:val="000000" w:themeColor="text1"/>
          <w:sz w:val="20"/>
          <w:szCs w:val="20"/>
        </w:rPr>
      </w:pPr>
      <w:bookmarkStart w:id="36" w:name="_Toc217388761"/>
      <w:bookmarkStart w:id="37" w:name="_Toc217388806"/>
      <w:bookmarkStart w:id="38" w:name="_Toc233584679"/>
      <w:r w:rsidRPr="001C58C6">
        <w:rPr>
          <w:rFonts w:ascii="Calibri" w:hAnsi="Calibri" w:cs="Calibri"/>
          <w:i/>
          <w:iCs/>
          <w:color w:val="000000" w:themeColor="text1"/>
          <w:sz w:val="20"/>
          <w:szCs w:val="20"/>
        </w:rPr>
        <w:t xml:space="preserve">Tabela </w:t>
      </w:r>
      <w:r w:rsidRPr="001C58C6">
        <w:rPr>
          <w:rFonts w:ascii="Calibri" w:hAnsi="Calibri" w:cs="Calibri"/>
          <w:i/>
          <w:iCs/>
          <w:color w:val="000000" w:themeColor="text1"/>
          <w:sz w:val="20"/>
          <w:szCs w:val="20"/>
        </w:rPr>
        <w:fldChar w:fldCharType="begin"/>
      </w:r>
      <w:r w:rsidRPr="001C58C6">
        <w:rPr>
          <w:rFonts w:ascii="Calibri" w:hAnsi="Calibri" w:cs="Calibri"/>
          <w:i/>
          <w:iCs/>
          <w:color w:val="000000" w:themeColor="text1"/>
          <w:sz w:val="20"/>
          <w:szCs w:val="20"/>
        </w:rPr>
        <w:instrText xml:space="preserve"> SEQ Tabela \* ARABIC </w:instrText>
      </w:r>
      <w:r w:rsidRPr="001C58C6">
        <w:rPr>
          <w:rFonts w:ascii="Calibri" w:hAnsi="Calibri" w:cs="Calibri"/>
          <w:i/>
          <w:iCs/>
          <w:color w:val="000000" w:themeColor="text1"/>
          <w:sz w:val="20"/>
          <w:szCs w:val="20"/>
        </w:rPr>
        <w:fldChar w:fldCharType="separate"/>
      </w:r>
      <w:r w:rsidR="00752282" w:rsidRPr="001C58C6">
        <w:rPr>
          <w:rFonts w:ascii="Calibri" w:hAnsi="Calibri" w:cs="Calibri"/>
          <w:i/>
          <w:iCs/>
          <w:color w:val="000000" w:themeColor="text1"/>
          <w:sz w:val="20"/>
          <w:szCs w:val="20"/>
        </w:rPr>
        <w:t>4</w:t>
      </w:r>
      <w:r w:rsidRPr="001C58C6">
        <w:rPr>
          <w:rFonts w:ascii="Calibri" w:hAnsi="Calibri" w:cs="Calibri"/>
          <w:i/>
          <w:iCs/>
          <w:color w:val="000000" w:themeColor="text1"/>
          <w:sz w:val="20"/>
          <w:szCs w:val="20"/>
        </w:rPr>
        <w:fldChar w:fldCharType="end"/>
      </w:r>
      <w:r w:rsidRPr="001C58C6">
        <w:rPr>
          <w:rFonts w:ascii="Calibri" w:hAnsi="Calibri" w:cs="Calibri"/>
          <w:i/>
          <w:iCs/>
          <w:color w:val="000000" w:themeColor="text1"/>
          <w:sz w:val="20"/>
          <w:szCs w:val="20"/>
        </w:rPr>
        <w:t xml:space="preserve">: </w:t>
      </w:r>
      <w:r w:rsidR="00910DCF" w:rsidRPr="001C58C6">
        <w:rPr>
          <w:rFonts w:ascii="Calibri" w:hAnsi="Calibri" w:cs="Calibri"/>
          <w:i/>
          <w:iCs/>
          <w:color w:val="000000" w:themeColor="text1"/>
          <w:sz w:val="20"/>
          <w:szCs w:val="20"/>
        </w:rPr>
        <w:t>Procjena broja preuranjenih smrti koje se mogu pripisati zagađenju vazduha u Evropi (2022)</w:t>
      </w:r>
      <w:bookmarkEnd w:id="36"/>
      <w:bookmarkEnd w:id="37"/>
      <w:bookmarkEnd w:id="38"/>
    </w:p>
    <w:p w14:paraId="3A436BF2" w14:textId="77777777" w:rsidR="0067106D" w:rsidRPr="001C58C6" w:rsidRDefault="00910DCF" w:rsidP="003A4E2F">
      <w:pPr>
        <w:rPr>
          <w:rFonts w:ascii="Calibri" w:hAnsi="Calibri" w:cs="Calibri"/>
          <w:color w:val="000000" w:themeColor="text1"/>
        </w:rPr>
      </w:pPr>
      <w:r w:rsidRPr="001C58C6">
        <w:rPr>
          <w:rFonts w:ascii="Calibri" w:hAnsi="Calibri" w:cs="Calibri"/>
          <w:noProof/>
          <w:color w:val="000000" w:themeColor="text1"/>
        </w:rPr>
        <w:drawing>
          <wp:inline distT="0" distB="0" distL="0" distR="0" wp14:anchorId="71ABEC56" wp14:editId="20453C67">
            <wp:extent cx="5731510" cy="7376795"/>
            <wp:effectExtent l="19050" t="19050" r="21590" b="14605"/>
            <wp:docPr id="505153792" name="Picture 1" descr="A table of numbers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153792" name="Picture 1" descr="A table of numbers with different colored line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731510" cy="7376795"/>
                    </a:xfrm>
                    <a:prstGeom prst="rect">
                      <a:avLst/>
                    </a:prstGeom>
                    <a:noFill/>
                    <a:ln>
                      <a:solidFill>
                        <a:srgbClr val="0070C0"/>
                      </a:solidFill>
                    </a:ln>
                  </pic:spPr>
                </pic:pic>
              </a:graphicData>
            </a:graphic>
          </wp:inline>
        </w:drawing>
      </w:r>
    </w:p>
    <w:p w14:paraId="4790EFCA" w14:textId="77777777" w:rsidR="0067106D" w:rsidRPr="001C58C6" w:rsidRDefault="00910DCF" w:rsidP="003A4E2F">
      <w:pPr>
        <w:jc w:val="center"/>
        <w:rPr>
          <w:rFonts w:ascii="Calibri" w:hAnsi="Calibri" w:cs="Calibri"/>
          <w:i/>
          <w:iCs/>
          <w:color w:val="000000" w:themeColor="text1"/>
          <w:sz w:val="18"/>
          <w:szCs w:val="18"/>
        </w:rPr>
      </w:pPr>
      <w:r w:rsidRPr="001C58C6">
        <w:rPr>
          <w:rFonts w:ascii="Calibri" w:hAnsi="Calibri" w:cs="Calibri"/>
          <w:i/>
          <w:iCs/>
          <w:color w:val="000000" w:themeColor="text1"/>
          <w:sz w:val="18"/>
          <w:szCs w:val="18"/>
        </w:rPr>
        <w:t xml:space="preserve">Izvor: </w:t>
      </w:r>
      <w:hyperlink r:id="rId21" w:history="1">
        <w:r w:rsidR="0067106D" w:rsidRPr="001C58C6">
          <w:rPr>
            <w:rStyle w:val="Hyperlink"/>
            <w:rFonts w:ascii="Calibri" w:hAnsi="Calibri" w:cs="Calibri"/>
            <w:i/>
            <w:iCs/>
            <w:color w:val="000000" w:themeColor="text1"/>
            <w:sz w:val="18"/>
            <w:szCs w:val="18"/>
          </w:rPr>
          <w:t>https://www.eea.europa.eu/en/analysis/publications/harm-to-human-health-from-air-pollution-2024/table-1</w:t>
        </w:r>
      </w:hyperlink>
    </w:p>
    <w:p w14:paraId="1E4C0029" w14:textId="77777777" w:rsidR="0067106D" w:rsidRPr="001C58C6" w:rsidRDefault="00910DCF">
      <w:pPr>
        <w:rPr>
          <w:rFonts w:ascii="Calibri" w:hAnsi="Calibri" w:cs="Calibri"/>
          <w:color w:val="000000" w:themeColor="text1"/>
        </w:rPr>
      </w:pPr>
      <w:r w:rsidRPr="001C58C6">
        <w:rPr>
          <w:rFonts w:ascii="Calibri" w:hAnsi="Calibri" w:cs="Calibri"/>
          <w:color w:val="000000" w:themeColor="text1"/>
        </w:rPr>
        <w:lastRenderedPageBreak/>
        <w:t>Procjena Zajedničkog istraživačkog centra Evropske komisije (JRC)</w:t>
      </w:r>
      <w:r w:rsidRPr="001C58C6">
        <w:rPr>
          <w:rStyle w:val="FootnoteReference"/>
          <w:rFonts w:ascii="Calibri" w:hAnsi="Calibri" w:cs="Calibri"/>
          <w:color w:val="000000" w:themeColor="text1"/>
        </w:rPr>
        <w:footnoteReference w:id="11"/>
      </w:r>
      <w:r w:rsidRPr="001C58C6">
        <w:rPr>
          <w:rFonts w:ascii="Calibri" w:hAnsi="Calibri" w:cs="Calibri"/>
          <w:color w:val="000000" w:themeColor="text1"/>
        </w:rPr>
        <w:t xml:space="preserve"> je da oko 7000 preuranjenih smrti uslijed zagađenja vazduha u preko 30 gradova na Zapadnom Balkanu izaziva troškove od oko 300 miliona eura godišnje. </w:t>
      </w:r>
    </w:p>
    <w:p w14:paraId="64AEEE53" w14:textId="77777777" w:rsidR="00806123" w:rsidRPr="001C58C6" w:rsidRDefault="00806123">
      <w:pPr>
        <w:rPr>
          <w:rFonts w:ascii="Calibri" w:hAnsi="Calibri" w:cs="Calibri"/>
          <w:color w:val="000000" w:themeColor="text1"/>
        </w:rPr>
      </w:pPr>
    </w:p>
    <w:p w14:paraId="25F9C04B" w14:textId="6CA59B19" w:rsidR="0067106D" w:rsidRPr="001C58C6" w:rsidRDefault="00910DCF">
      <w:pPr>
        <w:rPr>
          <w:rFonts w:ascii="Calibri" w:hAnsi="Calibri" w:cs="Calibri"/>
          <w:color w:val="000000" w:themeColor="text1"/>
        </w:rPr>
      </w:pPr>
      <w:r w:rsidRPr="001C58C6">
        <w:rPr>
          <w:rFonts w:ascii="Calibri" w:hAnsi="Calibri" w:cs="Calibri"/>
          <w:color w:val="000000" w:themeColor="text1"/>
        </w:rPr>
        <w:t>Prema podacima izvještaja o statusu kvaliteta vazduha na globalnom nivou (SOGA)</w:t>
      </w:r>
      <w:r w:rsidRPr="001C58C6">
        <w:rPr>
          <w:rStyle w:val="FootnoteReference"/>
          <w:rFonts w:ascii="Calibri" w:hAnsi="Calibri" w:cs="Calibri"/>
          <w:color w:val="000000" w:themeColor="text1"/>
        </w:rPr>
        <w:footnoteReference w:id="12"/>
      </w:r>
      <w:r w:rsidRPr="001C58C6">
        <w:rPr>
          <w:rFonts w:ascii="Calibri" w:hAnsi="Calibri" w:cs="Calibri"/>
          <w:color w:val="000000" w:themeColor="text1"/>
        </w:rPr>
        <w:t xml:space="preserve"> 71% populacije u jugoistočnoj Evropi živi na područjima gdje koncentracije suspen</w:t>
      </w:r>
      <w:r w:rsidR="00830F5E">
        <w:rPr>
          <w:rFonts w:ascii="Calibri" w:hAnsi="Calibri" w:cs="Calibri"/>
          <w:color w:val="000000" w:themeColor="text1"/>
        </w:rPr>
        <w:t>d</w:t>
      </w:r>
      <w:r w:rsidRPr="001C58C6">
        <w:rPr>
          <w:rFonts w:ascii="Calibri" w:hAnsi="Calibri" w:cs="Calibri"/>
          <w:color w:val="000000" w:themeColor="text1"/>
        </w:rPr>
        <w:t xml:space="preserve">ovanih čestica PM2.5 (koje najviše doprinose negativnom uticaju zagađenja vazduha na zdravlje) prelazi trenutno važeću (EU) graničnu vrijednost od 25 µg/m3. Prosječna stopa preuranjenih smrti koja se može pripisati zagađenju vazduha je četiri puta veća nego u zapadnoj Evropi. </w:t>
      </w:r>
    </w:p>
    <w:p w14:paraId="7952C46D" w14:textId="77777777" w:rsidR="00806123" w:rsidRPr="001C58C6" w:rsidRDefault="00806123">
      <w:pPr>
        <w:rPr>
          <w:rFonts w:ascii="Calibri" w:hAnsi="Calibri" w:cs="Calibri"/>
          <w:color w:val="000000" w:themeColor="text1"/>
        </w:rPr>
      </w:pPr>
    </w:p>
    <w:p w14:paraId="774678DD" w14:textId="77777777" w:rsidR="0067106D" w:rsidRPr="001C58C6" w:rsidRDefault="00806123" w:rsidP="00B33518">
      <w:pPr>
        <w:pStyle w:val="Caption"/>
        <w:jc w:val="center"/>
        <w:rPr>
          <w:rFonts w:ascii="Calibri" w:hAnsi="Calibri" w:cs="Calibri"/>
          <w:i/>
          <w:iCs/>
          <w:color w:val="000000" w:themeColor="text1"/>
          <w:sz w:val="20"/>
          <w:szCs w:val="20"/>
        </w:rPr>
      </w:pPr>
      <w:bookmarkStart w:id="39" w:name="_Toc233584695"/>
      <w:r w:rsidRPr="001C58C6">
        <w:rPr>
          <w:rFonts w:ascii="Calibri" w:hAnsi="Calibri" w:cs="Calibri"/>
          <w:i/>
          <w:iCs/>
          <w:color w:val="000000" w:themeColor="text1"/>
          <w:sz w:val="20"/>
          <w:szCs w:val="20"/>
        </w:rPr>
        <w:t xml:space="preserve">Ilustracija </w:t>
      </w:r>
      <w:r w:rsidRPr="001C58C6">
        <w:rPr>
          <w:rFonts w:ascii="Calibri" w:hAnsi="Calibri" w:cs="Calibri"/>
          <w:i/>
          <w:iCs/>
          <w:color w:val="000000" w:themeColor="text1"/>
          <w:sz w:val="20"/>
          <w:szCs w:val="20"/>
        </w:rPr>
        <w:fldChar w:fldCharType="begin"/>
      </w:r>
      <w:r w:rsidRPr="001C58C6">
        <w:rPr>
          <w:rFonts w:ascii="Calibri" w:hAnsi="Calibri" w:cs="Calibri"/>
          <w:i/>
          <w:iCs/>
          <w:color w:val="000000" w:themeColor="text1"/>
          <w:sz w:val="20"/>
          <w:szCs w:val="20"/>
        </w:rPr>
        <w:instrText xml:space="preserve"> SEQ Ilustracija \* ARABIC </w:instrText>
      </w:r>
      <w:r w:rsidRPr="001C58C6">
        <w:rPr>
          <w:rFonts w:ascii="Calibri" w:hAnsi="Calibri" w:cs="Calibri"/>
          <w:i/>
          <w:iCs/>
          <w:color w:val="000000" w:themeColor="text1"/>
          <w:sz w:val="20"/>
          <w:szCs w:val="20"/>
        </w:rPr>
        <w:fldChar w:fldCharType="separate"/>
      </w:r>
      <w:r w:rsidR="00752282" w:rsidRPr="001C58C6">
        <w:rPr>
          <w:rFonts w:ascii="Calibri" w:hAnsi="Calibri" w:cs="Calibri"/>
          <w:i/>
          <w:iCs/>
          <w:color w:val="000000" w:themeColor="text1"/>
          <w:sz w:val="20"/>
          <w:szCs w:val="20"/>
        </w:rPr>
        <w:t>3</w:t>
      </w:r>
      <w:r w:rsidRPr="001C58C6">
        <w:rPr>
          <w:rFonts w:ascii="Calibri" w:hAnsi="Calibri" w:cs="Calibri"/>
          <w:i/>
          <w:iCs/>
          <w:color w:val="000000" w:themeColor="text1"/>
          <w:sz w:val="20"/>
          <w:szCs w:val="20"/>
        </w:rPr>
        <w:fldChar w:fldCharType="end"/>
      </w:r>
      <w:r w:rsidR="003A4E2F" w:rsidRPr="001C58C6">
        <w:rPr>
          <w:rFonts w:ascii="Calibri" w:hAnsi="Calibri" w:cs="Calibri"/>
          <w:i/>
          <w:iCs/>
          <w:color w:val="000000" w:themeColor="text1"/>
          <w:sz w:val="20"/>
          <w:szCs w:val="20"/>
        </w:rPr>
        <w:t>:</w:t>
      </w:r>
      <w:r w:rsidR="00571523" w:rsidRPr="001C58C6">
        <w:rPr>
          <w:rFonts w:ascii="Calibri" w:hAnsi="Calibri" w:cs="Calibri"/>
          <w:i/>
          <w:iCs/>
          <w:color w:val="000000" w:themeColor="text1"/>
          <w:sz w:val="20"/>
          <w:szCs w:val="20"/>
        </w:rPr>
        <w:t xml:space="preserve"> Prosječna godišnja izloženost PM2.5 česticama ponderisana prema populaciji (2019) – Jugoistočna Evropa</w:t>
      </w:r>
      <w:bookmarkEnd w:id="39"/>
    </w:p>
    <w:p w14:paraId="6597AC72" w14:textId="77777777" w:rsidR="0067106D" w:rsidRPr="001C58C6" w:rsidRDefault="00910DCF">
      <w:pPr>
        <w:jc w:val="center"/>
        <w:rPr>
          <w:rFonts w:ascii="Calibri" w:hAnsi="Calibri" w:cs="Calibri"/>
          <w:color w:val="000000" w:themeColor="text1"/>
        </w:rPr>
      </w:pPr>
      <w:r w:rsidRPr="001C58C6">
        <w:rPr>
          <w:rFonts w:ascii="Calibri" w:hAnsi="Calibri" w:cs="Calibri"/>
          <w:noProof/>
          <w:color w:val="000000" w:themeColor="text1"/>
          <w:sz w:val="20"/>
        </w:rPr>
        <w:drawing>
          <wp:inline distT="0" distB="0" distL="0" distR="0" wp14:anchorId="71ABEC58" wp14:editId="71ABEC59">
            <wp:extent cx="5251450" cy="3627755"/>
            <wp:effectExtent l="0" t="0" r="6350" b="0"/>
            <wp:docPr id="66" name="Image 66" descr="A map of countries/regions with black lines&#10;&#10;AI-generated content may be incorrect."/>
            <wp:cNvGraphicFramePr/>
            <a:graphic xmlns:a="http://schemas.openxmlformats.org/drawingml/2006/main">
              <a:graphicData uri="http://schemas.openxmlformats.org/drawingml/2006/picture">
                <pic:pic xmlns:pic="http://schemas.openxmlformats.org/drawingml/2006/picture">
                  <pic:nvPicPr>
                    <pic:cNvPr id="66" name="Image 66" descr="A map of countries/regions with black lines&#10;&#10;AI-generated content may be incorrect."/>
                    <pic:cNvPicPr/>
                  </pic:nvPicPr>
                  <pic:blipFill>
                    <a:blip r:embed="rId22" cstate="print"/>
                    <a:stretch>
                      <a:fillRect/>
                    </a:stretch>
                  </pic:blipFill>
                  <pic:spPr>
                    <a:xfrm>
                      <a:off x="0" y="0"/>
                      <a:ext cx="5271818" cy="3642027"/>
                    </a:xfrm>
                    <a:prstGeom prst="rect">
                      <a:avLst/>
                    </a:prstGeom>
                  </pic:spPr>
                </pic:pic>
              </a:graphicData>
            </a:graphic>
          </wp:inline>
        </w:drawing>
      </w:r>
    </w:p>
    <w:p w14:paraId="06BF7C7E" w14:textId="77777777" w:rsidR="0067106D" w:rsidRPr="001C58C6" w:rsidRDefault="00910DCF" w:rsidP="003A4E2F">
      <w:pPr>
        <w:jc w:val="center"/>
        <w:rPr>
          <w:rFonts w:ascii="Calibri" w:hAnsi="Calibri" w:cs="Calibri"/>
          <w:i/>
          <w:iCs/>
          <w:color w:val="000000" w:themeColor="text1"/>
          <w:sz w:val="18"/>
          <w:szCs w:val="18"/>
        </w:rPr>
      </w:pPr>
      <w:r w:rsidRPr="001C58C6">
        <w:rPr>
          <w:rFonts w:ascii="Calibri" w:hAnsi="Calibri" w:cs="Calibri"/>
          <w:i/>
          <w:iCs/>
          <w:color w:val="000000" w:themeColor="text1"/>
          <w:sz w:val="18"/>
          <w:szCs w:val="18"/>
        </w:rPr>
        <w:t>Izvor podataka: Trendovi kvaliteta vazduha i uticaja na zdravlje u jugoistočnoj Evropi – Stanje kvaliteta vazduha na globalnom nivou</w:t>
      </w:r>
      <w:r w:rsidRPr="001C58C6">
        <w:rPr>
          <w:rStyle w:val="FootnoteReference"/>
          <w:rFonts w:ascii="Calibri" w:hAnsi="Calibri" w:cs="Calibri"/>
          <w:i/>
          <w:iCs/>
          <w:color w:val="000000" w:themeColor="text1"/>
          <w:sz w:val="18"/>
          <w:szCs w:val="18"/>
        </w:rPr>
        <w:footnoteReference w:id="13"/>
      </w:r>
    </w:p>
    <w:p w14:paraId="7B179089" w14:textId="77777777" w:rsidR="0067106D" w:rsidRPr="001C58C6" w:rsidRDefault="0067106D">
      <w:pPr>
        <w:rPr>
          <w:rFonts w:ascii="Calibri" w:hAnsi="Calibri" w:cs="Calibri"/>
          <w:color w:val="000000" w:themeColor="text1"/>
        </w:rPr>
      </w:pPr>
    </w:p>
    <w:p w14:paraId="5210E2C3" w14:textId="77777777" w:rsidR="00B33518" w:rsidRPr="001C58C6" w:rsidRDefault="00B33518">
      <w:pPr>
        <w:rPr>
          <w:rFonts w:ascii="Calibri" w:hAnsi="Calibri" w:cs="Calibri"/>
          <w:color w:val="000000" w:themeColor="text1"/>
        </w:rPr>
      </w:pPr>
    </w:p>
    <w:p w14:paraId="6CD82A94" w14:textId="77777777" w:rsidR="007F251D" w:rsidRPr="001C58C6" w:rsidRDefault="007F251D" w:rsidP="007F251D">
      <w:pPr>
        <w:pStyle w:val="Heading3"/>
        <w:rPr>
          <w:rFonts w:ascii="Calibri" w:hAnsi="Calibri" w:cs="Calibri"/>
          <w:color w:val="000000" w:themeColor="text1"/>
        </w:rPr>
      </w:pPr>
      <w:bookmarkStart w:id="40" w:name="_Toc220070415"/>
      <w:bookmarkStart w:id="41" w:name="_Toc233711730"/>
      <w:r w:rsidRPr="001C58C6">
        <w:rPr>
          <w:rFonts w:ascii="Calibri" w:hAnsi="Calibri" w:cs="Calibri"/>
          <w:color w:val="000000" w:themeColor="text1"/>
        </w:rPr>
        <w:t>Rodna i socijalna dimenzija uticaja zagađenja vazduha</w:t>
      </w:r>
      <w:bookmarkEnd w:id="41"/>
    </w:p>
    <w:p w14:paraId="3BE66481" w14:textId="77777777" w:rsidR="007F251D" w:rsidRPr="001C58C6" w:rsidRDefault="007F251D" w:rsidP="007F251D">
      <w:pPr>
        <w:rPr>
          <w:rFonts w:ascii="Calibri" w:hAnsi="Calibri" w:cs="Calibri"/>
          <w:color w:val="000000" w:themeColor="text1"/>
        </w:rPr>
      </w:pPr>
      <w:r w:rsidRPr="001C58C6">
        <w:rPr>
          <w:rFonts w:ascii="Calibri" w:hAnsi="Calibri" w:cs="Calibri"/>
          <w:color w:val="000000" w:themeColor="text1"/>
        </w:rPr>
        <w:t>Dostupne analize ukazuju da nivo i učestalost izlaganja zagađenju vazduha nijesu jednaki za sve grupe stanovništva. Biološki, socijalni, profesionalni i ekonomski faktori mogu uticati na različitu izloženost i različite posljedice po zdravlje žena i muškaraca, kao i posebno osjetljivih grupa. Energetsko siromaštvo i korišćenje čvrstih goriva u domaćinstvima posebno su važni jer se povezuju sa većom izloženošću zagađenju u zatvorenom i otvorenom prostoru.</w:t>
      </w:r>
    </w:p>
    <w:p w14:paraId="10AA82B5" w14:textId="77777777" w:rsidR="007F251D" w:rsidRPr="001C58C6" w:rsidRDefault="007F251D" w:rsidP="007F251D">
      <w:pPr>
        <w:rPr>
          <w:rFonts w:ascii="Calibri" w:hAnsi="Calibri" w:cs="Calibri"/>
          <w:color w:val="000000" w:themeColor="text1"/>
        </w:rPr>
      </w:pPr>
      <w:r w:rsidRPr="001C58C6">
        <w:rPr>
          <w:rFonts w:ascii="Calibri" w:hAnsi="Calibri" w:cs="Calibri"/>
          <w:color w:val="000000" w:themeColor="text1"/>
        </w:rPr>
        <w:lastRenderedPageBreak/>
        <w:t>Prema studiji o rodno osviještenoj politici zaštite vazduha, u Crnoj Gori nedostaju evidencije i istraživanja koja bi omogućila pouzdanu analizu povezanosti zagađenja vazduha sa polom, rodom, zdravstvenim ishodima, teritorijalnim razlikama i socio-ekonomskim položajem. Zbog toga se u okviru Strategije uvodi obaveza da se, gdje je to moguće, podaci o korisnicima/cama mjera, učesnicima/cama kampanja, energetskom siromaštvu i zdravstvenim indikatorima prikupljaju i analiziraju razvrstano po polu, starosti, teritoriji i drugim relevantnim karakteristikama.</w:t>
      </w:r>
    </w:p>
    <w:p w14:paraId="7865050F" w14:textId="77777777" w:rsidR="0067106D" w:rsidRPr="001C58C6" w:rsidRDefault="003A4E2F" w:rsidP="003A4E2F">
      <w:pPr>
        <w:pStyle w:val="Heading2"/>
        <w:rPr>
          <w:rFonts w:ascii="Calibri" w:hAnsi="Calibri" w:cs="Calibri"/>
          <w:color w:val="000000" w:themeColor="text1"/>
        </w:rPr>
      </w:pPr>
      <w:bookmarkStart w:id="42" w:name="_Toc233711731"/>
      <w:r w:rsidRPr="001C58C6">
        <w:rPr>
          <w:rFonts w:ascii="Calibri" w:hAnsi="Calibri" w:cs="Calibri"/>
          <w:color w:val="000000" w:themeColor="text1"/>
        </w:rPr>
        <w:t>1.5 ANALIZA PRETHODNIH STRATEŠKIH DOKUMENATA</w:t>
      </w:r>
      <w:bookmarkEnd w:id="40"/>
      <w:bookmarkEnd w:id="42"/>
    </w:p>
    <w:p w14:paraId="56801033" w14:textId="77777777" w:rsidR="0067106D" w:rsidRPr="001C58C6" w:rsidRDefault="0067106D">
      <w:pPr>
        <w:rPr>
          <w:rFonts w:ascii="Calibri" w:hAnsi="Calibri" w:cs="Calibri"/>
          <w:color w:val="000000" w:themeColor="text1"/>
        </w:rPr>
      </w:pPr>
    </w:p>
    <w:p w14:paraId="09FA6932" w14:textId="77777777" w:rsidR="0067106D" w:rsidRPr="001C58C6" w:rsidRDefault="00910DCF">
      <w:pPr>
        <w:rPr>
          <w:rFonts w:ascii="Calibri" w:hAnsi="Calibri" w:cs="Calibri"/>
          <w:color w:val="000000" w:themeColor="text1"/>
        </w:rPr>
      </w:pPr>
      <w:r w:rsidRPr="001C58C6">
        <w:rPr>
          <w:rFonts w:ascii="Calibri" w:hAnsi="Calibri" w:cs="Calibri"/>
          <w:color w:val="000000" w:themeColor="text1"/>
        </w:rPr>
        <w:t>Prvi strateški dokument u oblasti kvaliteta vazduha u Crnoj Gori, Nacionalna strategija upravljanja kvalitetom vazduha</w:t>
      </w:r>
      <w:r w:rsidRPr="001C58C6">
        <w:rPr>
          <w:rStyle w:val="FootnoteReference"/>
          <w:rFonts w:ascii="Calibri" w:hAnsi="Calibri" w:cs="Calibri"/>
          <w:color w:val="000000" w:themeColor="text1"/>
        </w:rPr>
        <w:footnoteReference w:id="14"/>
      </w:r>
      <w:r w:rsidRPr="001C58C6">
        <w:rPr>
          <w:rFonts w:ascii="Calibri" w:hAnsi="Calibri" w:cs="Calibri"/>
          <w:color w:val="000000" w:themeColor="text1"/>
        </w:rPr>
        <w:t xml:space="preserve"> donijet je 2013. godine, sa akcionim planom za period 2013.-2016. godina. Strategija u periodu donošenja, na samom početku evropskog puta Crne Gore (pregovori o članstvu u EU otvoreni su 2012. godine) predstavlja važan iskorak ka usklađivanju sa evropskim standardima. </w:t>
      </w:r>
    </w:p>
    <w:p w14:paraId="66A24F85" w14:textId="77777777" w:rsidR="00806123" w:rsidRPr="001C58C6" w:rsidRDefault="00806123">
      <w:pPr>
        <w:rPr>
          <w:rFonts w:ascii="Calibri" w:hAnsi="Calibri" w:cs="Calibri"/>
          <w:color w:val="000000" w:themeColor="text1"/>
        </w:rPr>
      </w:pPr>
    </w:p>
    <w:p w14:paraId="7BD18F88" w14:textId="77777777" w:rsidR="0067106D" w:rsidRPr="001C58C6" w:rsidRDefault="00910DCF">
      <w:pPr>
        <w:rPr>
          <w:rFonts w:ascii="Calibri" w:hAnsi="Calibri" w:cs="Calibri"/>
          <w:color w:val="000000" w:themeColor="text1"/>
        </w:rPr>
      </w:pPr>
      <w:r w:rsidRPr="001C58C6">
        <w:rPr>
          <w:rFonts w:ascii="Calibri" w:hAnsi="Calibri" w:cs="Calibri"/>
          <w:color w:val="000000" w:themeColor="text1"/>
        </w:rPr>
        <w:t xml:space="preserve">Strategija obuhvata pravni okvir, institucionalnu strukturu, analizu zagađujućih materija, izvora i kritičnih područja, kao i detaljan četvorogodišnji akcioni plan. Dokument realno ističe industriju, energetiku, saobraćaj i grijanje domaćinstava kao glavne izvore zagađenja, međutim mnoge mjere su formulisane uopšteno i bez jasno definisanih mehanizama sprovođenja u praksi. Iako Strategija prepoznaje da je nedostatak finansija najveće ograničenje, mnoge navedene mjere zahtijevale su značajne investicije. </w:t>
      </w:r>
    </w:p>
    <w:p w14:paraId="317C5C07" w14:textId="77777777" w:rsidR="00806123" w:rsidRPr="001C58C6" w:rsidRDefault="00806123">
      <w:pPr>
        <w:rPr>
          <w:rFonts w:ascii="Calibri" w:hAnsi="Calibri" w:cs="Calibri"/>
          <w:color w:val="000000" w:themeColor="text1"/>
        </w:rPr>
      </w:pPr>
    </w:p>
    <w:p w14:paraId="0AE349B2" w14:textId="77777777" w:rsidR="0067106D" w:rsidRPr="001C58C6" w:rsidRDefault="00910DCF">
      <w:pPr>
        <w:rPr>
          <w:rFonts w:ascii="Calibri" w:hAnsi="Calibri" w:cs="Calibri"/>
          <w:color w:val="000000" w:themeColor="text1"/>
        </w:rPr>
      </w:pPr>
      <w:r w:rsidRPr="001C58C6">
        <w:rPr>
          <w:rFonts w:ascii="Calibri" w:hAnsi="Calibri" w:cs="Calibri"/>
          <w:color w:val="000000" w:themeColor="text1"/>
        </w:rPr>
        <w:t xml:space="preserve">U tom periodu, politika zaštite vazduha zasniva se na ograničenom i fragmentiranom setu podataka iz prethodnog perioda, i podacima iz početne kompozicije državne mreže za praćenje kvaliteta vazduha koje je uspostavljeno 2009. godine. </w:t>
      </w:r>
    </w:p>
    <w:p w14:paraId="4C8EDA46" w14:textId="77777777" w:rsidR="00806123" w:rsidRPr="001C58C6" w:rsidRDefault="00806123">
      <w:pPr>
        <w:rPr>
          <w:rFonts w:ascii="Calibri" w:hAnsi="Calibri" w:cs="Calibri"/>
          <w:color w:val="000000" w:themeColor="text1"/>
        </w:rPr>
      </w:pPr>
    </w:p>
    <w:p w14:paraId="1F589A81" w14:textId="76ED6BFC" w:rsidR="0067106D" w:rsidRPr="001C58C6" w:rsidRDefault="00910DCF">
      <w:pPr>
        <w:rPr>
          <w:rFonts w:ascii="Calibri" w:hAnsi="Calibri" w:cs="Calibri"/>
          <w:color w:val="000000" w:themeColor="text1"/>
        </w:rPr>
      </w:pPr>
      <w:r w:rsidRPr="001C58C6">
        <w:rPr>
          <w:rFonts w:ascii="Calibri" w:hAnsi="Calibri" w:cs="Calibri"/>
          <w:color w:val="000000" w:themeColor="text1"/>
        </w:rPr>
        <w:t>Za procjenu kvaliteta vazduha korišćeni su podaci iz 2010. godine, dobijeni praćenjem kvaliteta vazduha u okviru državne mreže, s obzirom da je to prva godina tokom koje je vršeno kontinuirano automatsko mjerenje tokom cijele godine (od januara do decembra).  Tokom 2010. godine mjerna mreža se sastojala od 4 automatske stacionarne mjerne stanice koje su u skladu sa zahtjevima zakonodavstva EU raspoređene na teritoriji države. Mjerna mjesta su bila pozicionirana u Podgorici, Nikšiću i Baru u južnoj kr</w:t>
      </w:r>
      <w:r w:rsidR="00830F5E">
        <w:rPr>
          <w:rFonts w:ascii="Calibri" w:hAnsi="Calibri" w:cs="Calibri"/>
          <w:color w:val="000000" w:themeColor="text1"/>
        </w:rPr>
        <w:t>i</w:t>
      </w:r>
      <w:r w:rsidRPr="001C58C6">
        <w:rPr>
          <w:rFonts w:ascii="Calibri" w:hAnsi="Calibri" w:cs="Calibri"/>
          <w:color w:val="000000" w:themeColor="text1"/>
        </w:rPr>
        <w:t xml:space="preserve">tičnoj zoni, a mjerno mjesto u Pljevljima u sjevernoj kritičnoj zoni. Sva mjerna mjesta su u izvještaju Centra za ekotoksikološka ispitivanja klasifikovana kao mjerna mjesta za praćenje uticaja saobraćaja. Tokom 2010. godine nijesu vršena mjerenja suspendovanih čestica PM2.5 ali zabilježene koncentracije i broj prekoračenja graničnih vrijednosti suspendovanih čestica PM10 koja su predstavljena na </w:t>
      </w:r>
      <w:r w:rsidR="00374C81" w:rsidRPr="001C58C6">
        <w:rPr>
          <w:rFonts w:ascii="Calibri" w:hAnsi="Calibri" w:cs="Calibri"/>
          <w:color w:val="000000" w:themeColor="text1"/>
        </w:rPr>
        <w:t>Grafik</w:t>
      </w:r>
      <w:r w:rsidRPr="001C58C6">
        <w:rPr>
          <w:rFonts w:ascii="Calibri" w:hAnsi="Calibri" w:cs="Calibri"/>
          <w:color w:val="000000" w:themeColor="text1"/>
        </w:rPr>
        <w:t xml:space="preserve">u 9 govore o drastično većem zagađenju vazduha u tom periodu u odnosu na današnje stanje. </w:t>
      </w:r>
    </w:p>
    <w:p w14:paraId="252C0FFF" w14:textId="77777777" w:rsidR="00806123" w:rsidRPr="001C58C6" w:rsidRDefault="00806123">
      <w:pPr>
        <w:rPr>
          <w:rFonts w:ascii="Calibri" w:hAnsi="Calibri" w:cs="Calibri"/>
          <w:color w:val="000000" w:themeColor="text1"/>
        </w:rPr>
      </w:pPr>
    </w:p>
    <w:p w14:paraId="266E67E7" w14:textId="77777777" w:rsidR="0067106D" w:rsidRPr="001C58C6" w:rsidRDefault="00910DCF">
      <w:pPr>
        <w:rPr>
          <w:rFonts w:ascii="Calibri" w:hAnsi="Calibri" w:cs="Calibri"/>
          <w:color w:val="000000" w:themeColor="text1"/>
        </w:rPr>
      </w:pPr>
      <w:r w:rsidRPr="001C58C6">
        <w:rPr>
          <w:rFonts w:ascii="Calibri" w:hAnsi="Calibri" w:cs="Calibri"/>
          <w:color w:val="000000" w:themeColor="text1"/>
        </w:rPr>
        <w:t xml:space="preserve">U 2013. godini integracija politike zaštite vazduha u ostale sektorske politike je na samom začetku, a ključni nedostatak strategije je neodrživ finansijski plan, iako zahtijeva relativno skromna finansijska sredstva od 187,000 € za realizaciju 54 definisane mjere u četvorogodišnjem Akcionom planu, posmatrano u odnosu na današnje prilike. </w:t>
      </w:r>
    </w:p>
    <w:p w14:paraId="7494E095" w14:textId="77777777" w:rsidR="0067106D" w:rsidRPr="001C58C6" w:rsidRDefault="00910DCF">
      <w:pPr>
        <w:rPr>
          <w:rFonts w:ascii="Calibri" w:hAnsi="Calibri" w:cs="Calibri"/>
          <w:color w:val="000000" w:themeColor="text1"/>
        </w:rPr>
      </w:pPr>
      <w:r w:rsidRPr="001C58C6">
        <w:rPr>
          <w:rFonts w:ascii="Calibri" w:hAnsi="Calibri" w:cs="Calibri"/>
          <w:color w:val="000000" w:themeColor="text1"/>
        </w:rPr>
        <w:lastRenderedPageBreak/>
        <w:t xml:space="preserve">Glavna vrijednost ovog dokumenta je u jasno zacrtanom pravcu usklađivanja sa standardima EU i mapiranju problema u ovoj oblasti. </w:t>
      </w:r>
    </w:p>
    <w:p w14:paraId="534B1685" w14:textId="77777777" w:rsidR="00B33518" w:rsidRPr="001C58C6" w:rsidRDefault="00B33518">
      <w:pPr>
        <w:rPr>
          <w:rFonts w:ascii="Calibri" w:hAnsi="Calibri" w:cs="Calibri"/>
          <w:color w:val="000000" w:themeColor="text1"/>
        </w:rPr>
      </w:pPr>
    </w:p>
    <w:p w14:paraId="02ABE016" w14:textId="77777777" w:rsidR="0067106D" w:rsidRPr="001C58C6" w:rsidRDefault="00806123" w:rsidP="00B33518">
      <w:pPr>
        <w:pStyle w:val="Caption"/>
        <w:jc w:val="center"/>
        <w:rPr>
          <w:rFonts w:ascii="Calibri" w:hAnsi="Calibri" w:cs="Calibri"/>
          <w:i/>
          <w:iCs/>
          <w:color w:val="000000" w:themeColor="text1"/>
          <w:sz w:val="20"/>
          <w:szCs w:val="20"/>
        </w:rPr>
      </w:pPr>
      <w:bookmarkStart w:id="43" w:name="_Toc233584670"/>
      <w:r w:rsidRPr="001C58C6">
        <w:rPr>
          <w:rFonts w:ascii="Calibri" w:hAnsi="Calibri" w:cs="Calibri"/>
          <w:i/>
          <w:iCs/>
          <w:color w:val="000000" w:themeColor="text1"/>
          <w:sz w:val="20"/>
          <w:szCs w:val="20"/>
        </w:rPr>
        <w:t xml:space="preserve">Grafik </w:t>
      </w:r>
      <w:r w:rsidRPr="001C58C6">
        <w:rPr>
          <w:rFonts w:ascii="Calibri" w:hAnsi="Calibri" w:cs="Calibri"/>
          <w:i/>
          <w:iCs/>
          <w:color w:val="000000" w:themeColor="text1"/>
          <w:sz w:val="20"/>
          <w:szCs w:val="20"/>
        </w:rPr>
        <w:fldChar w:fldCharType="begin"/>
      </w:r>
      <w:r w:rsidRPr="001C58C6">
        <w:rPr>
          <w:rFonts w:ascii="Calibri" w:hAnsi="Calibri" w:cs="Calibri"/>
          <w:i/>
          <w:iCs/>
          <w:color w:val="000000" w:themeColor="text1"/>
          <w:sz w:val="20"/>
          <w:szCs w:val="20"/>
        </w:rPr>
        <w:instrText xml:space="preserve"> SEQ Grafik \* ARABIC </w:instrText>
      </w:r>
      <w:r w:rsidRPr="001C58C6">
        <w:rPr>
          <w:rFonts w:ascii="Calibri" w:hAnsi="Calibri" w:cs="Calibri"/>
          <w:i/>
          <w:iCs/>
          <w:color w:val="000000" w:themeColor="text1"/>
          <w:sz w:val="20"/>
          <w:szCs w:val="20"/>
        </w:rPr>
        <w:fldChar w:fldCharType="separate"/>
      </w:r>
      <w:r w:rsidR="00752282" w:rsidRPr="001C58C6">
        <w:rPr>
          <w:rFonts w:ascii="Calibri" w:hAnsi="Calibri" w:cs="Calibri"/>
          <w:i/>
          <w:iCs/>
          <w:color w:val="000000" w:themeColor="text1"/>
          <w:sz w:val="20"/>
          <w:szCs w:val="20"/>
        </w:rPr>
        <w:t>9</w:t>
      </w:r>
      <w:r w:rsidRPr="001C58C6">
        <w:rPr>
          <w:rFonts w:ascii="Calibri" w:hAnsi="Calibri" w:cs="Calibri"/>
          <w:i/>
          <w:iCs/>
          <w:color w:val="000000" w:themeColor="text1"/>
          <w:sz w:val="20"/>
          <w:szCs w:val="20"/>
        </w:rPr>
        <w:fldChar w:fldCharType="end"/>
      </w:r>
      <w:r w:rsidR="003A4E2F" w:rsidRPr="001C58C6">
        <w:rPr>
          <w:rFonts w:ascii="Calibri" w:hAnsi="Calibri" w:cs="Calibri"/>
          <w:i/>
          <w:iCs/>
          <w:color w:val="000000" w:themeColor="text1"/>
          <w:sz w:val="20"/>
          <w:szCs w:val="20"/>
        </w:rPr>
        <w:t xml:space="preserve">: </w:t>
      </w:r>
      <w:r w:rsidR="00374C81" w:rsidRPr="001C58C6">
        <w:rPr>
          <w:rFonts w:ascii="Calibri" w:hAnsi="Calibri" w:cs="Calibri"/>
          <w:i/>
          <w:iCs/>
          <w:color w:val="000000" w:themeColor="text1"/>
          <w:sz w:val="20"/>
          <w:szCs w:val="20"/>
        </w:rPr>
        <w:t>Broj prekoračenja granične vrijednosti za srednju dnevnu koncentraciju suspendovanih čestica PM10 tokom 2010. godine</w:t>
      </w:r>
      <w:bookmarkEnd w:id="43"/>
    </w:p>
    <w:p w14:paraId="16C05176" w14:textId="77777777" w:rsidR="0067106D" w:rsidRPr="001C58C6" w:rsidRDefault="00910DCF" w:rsidP="003A4E2F">
      <w:pPr>
        <w:jc w:val="center"/>
        <w:rPr>
          <w:rFonts w:ascii="Calibri" w:hAnsi="Calibri" w:cs="Calibri"/>
          <w:color w:val="000000" w:themeColor="text1"/>
        </w:rPr>
      </w:pPr>
      <w:r w:rsidRPr="001C58C6">
        <w:rPr>
          <w:rFonts w:ascii="Calibri" w:hAnsi="Calibri" w:cs="Calibri"/>
          <w:noProof/>
          <w:color w:val="000000" w:themeColor="text1"/>
        </w:rPr>
        <w:drawing>
          <wp:inline distT="0" distB="0" distL="0" distR="0" wp14:anchorId="71ABEC5A" wp14:editId="71ABEC5B">
            <wp:extent cx="3483610" cy="2404110"/>
            <wp:effectExtent l="0" t="0" r="2540" b="0"/>
            <wp:docPr id="3472360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36048"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484050" cy="2404403"/>
                    </a:xfrm>
                    <a:prstGeom prst="rect">
                      <a:avLst/>
                    </a:prstGeom>
                    <a:noFill/>
                    <a:ln>
                      <a:noFill/>
                    </a:ln>
                  </pic:spPr>
                </pic:pic>
              </a:graphicData>
            </a:graphic>
          </wp:inline>
        </w:drawing>
      </w:r>
    </w:p>
    <w:p w14:paraId="6B01C873" w14:textId="77777777" w:rsidR="0067106D" w:rsidRPr="001C58C6" w:rsidRDefault="00910DCF" w:rsidP="003A4E2F">
      <w:pPr>
        <w:jc w:val="center"/>
        <w:rPr>
          <w:rFonts w:ascii="Calibri" w:hAnsi="Calibri" w:cs="Calibri"/>
          <w:color w:val="000000" w:themeColor="text1"/>
          <w:sz w:val="20"/>
          <w:szCs w:val="20"/>
        </w:rPr>
      </w:pPr>
      <w:r w:rsidRPr="001C58C6">
        <w:rPr>
          <w:rFonts w:ascii="Calibri" w:hAnsi="Calibri" w:cs="Calibri"/>
          <w:color w:val="000000" w:themeColor="text1"/>
          <w:sz w:val="20"/>
          <w:szCs w:val="20"/>
        </w:rPr>
        <w:t xml:space="preserve">Izvor podataka: Nacionalna strategija upravljanja kvalitetom vazduha sa Akcionim planom za period 2013-2016. </w:t>
      </w:r>
      <w:r w:rsidR="00C97E85" w:rsidRPr="001C58C6">
        <w:rPr>
          <w:rFonts w:ascii="Calibri" w:hAnsi="Calibri" w:cs="Calibri"/>
          <w:color w:val="000000" w:themeColor="text1"/>
          <w:sz w:val="20"/>
        </w:rPr>
        <w:t>g</w:t>
      </w:r>
      <w:r w:rsidRPr="001C58C6">
        <w:rPr>
          <w:rFonts w:ascii="Calibri" w:hAnsi="Calibri" w:cs="Calibri"/>
          <w:color w:val="000000" w:themeColor="text1"/>
          <w:sz w:val="20"/>
        </w:rPr>
        <w:t>odine</w:t>
      </w:r>
    </w:p>
    <w:p w14:paraId="3E73D78B" w14:textId="77777777" w:rsidR="003A4E2F" w:rsidRPr="001C58C6" w:rsidRDefault="003A4E2F" w:rsidP="003A4E2F">
      <w:pPr>
        <w:jc w:val="center"/>
        <w:rPr>
          <w:rFonts w:ascii="Calibri" w:hAnsi="Calibri" w:cs="Calibri"/>
          <w:color w:val="000000" w:themeColor="text1"/>
          <w:sz w:val="20"/>
          <w:szCs w:val="20"/>
        </w:rPr>
      </w:pPr>
    </w:p>
    <w:p w14:paraId="7D20BB65" w14:textId="77777777" w:rsidR="0067106D" w:rsidRPr="001C58C6" w:rsidRDefault="00910DCF">
      <w:pPr>
        <w:rPr>
          <w:rFonts w:ascii="Calibri" w:hAnsi="Calibri" w:cs="Calibri"/>
          <w:color w:val="000000" w:themeColor="text1"/>
        </w:rPr>
      </w:pPr>
      <w:r w:rsidRPr="001C58C6">
        <w:rPr>
          <w:rFonts w:ascii="Calibri" w:hAnsi="Calibri" w:cs="Calibri"/>
          <w:color w:val="000000" w:themeColor="text1"/>
        </w:rPr>
        <w:t>Strategija je nakon prvog perioda sprovođenja dopunjena dodatnim četvorogodišnjim akcionim planom za period 2017 – 2020. godina. U završnom izvještaju o sprovođenju strategije iz 2020. godine</w:t>
      </w:r>
      <w:r w:rsidRPr="001C58C6">
        <w:rPr>
          <w:rStyle w:val="FootnoteReference"/>
          <w:rFonts w:ascii="Calibri" w:hAnsi="Calibri" w:cs="Calibri"/>
          <w:color w:val="000000" w:themeColor="text1"/>
        </w:rPr>
        <w:footnoteReference w:id="15"/>
      </w:r>
      <w:r w:rsidRPr="001C58C6">
        <w:rPr>
          <w:rFonts w:ascii="Calibri" w:hAnsi="Calibri" w:cs="Calibri"/>
          <w:color w:val="000000" w:themeColor="text1"/>
        </w:rPr>
        <w:t xml:space="preserve"> navodi se da je stepen realizacije u prvom četvorogodišnjem periodu iznosio 77% a u drugom 72%. Realizovane mjere odnose se na unapređenje pravnog i institucionalnog okvira, dok je realizacija konkretnih mjera na smanjenju zagađivanja ograničena. U izvještajnom periodu postignuto je gotovo potpuno usklađivanje sa zakonodavstvom EU u ovoj oblasti (91.6%), a broj automatskih stanica u državnoj mreži za praćenje kvaliteta vazduha povećan je na 10. Uspostavljeno je izvještavanje o kvalitetu vazduha u realnom vremenu koje se može pratiti na portalu Agencije za zaštitu životne sredine, kao i praćenje alergenog polena i uvedeno izvještavanje u skladu sa evropskim indeksom kvaliteta vazduha praćeno savjetima Instituta za javno zdravlje u slučajevima povećanog zagađenja vazduha. Ipak, ovaj period karakteriše i 6 godina pauze (2013 – 2020) u izvještavanju o emisijama zagađujućih materija, odnosno izradi inventara emisija, što ukazuje na nedovoljne institucionalne kapacitete u ovom segmentu. </w:t>
      </w:r>
    </w:p>
    <w:p w14:paraId="6BC211F7" w14:textId="77777777" w:rsidR="00806123" w:rsidRPr="001C58C6" w:rsidRDefault="00806123">
      <w:pPr>
        <w:rPr>
          <w:rFonts w:ascii="Calibri" w:hAnsi="Calibri" w:cs="Calibri"/>
          <w:color w:val="000000" w:themeColor="text1"/>
        </w:rPr>
      </w:pPr>
    </w:p>
    <w:p w14:paraId="0F382FBD" w14:textId="77777777" w:rsidR="0067106D" w:rsidRPr="001C58C6" w:rsidRDefault="00910DCF">
      <w:pPr>
        <w:rPr>
          <w:rFonts w:ascii="Calibri" w:hAnsi="Calibri" w:cs="Calibri"/>
          <w:color w:val="000000" w:themeColor="text1"/>
        </w:rPr>
      </w:pPr>
      <w:r w:rsidRPr="001C58C6">
        <w:rPr>
          <w:rFonts w:ascii="Calibri" w:hAnsi="Calibri" w:cs="Calibri"/>
          <w:color w:val="000000" w:themeColor="text1"/>
        </w:rPr>
        <w:t>Državna revizorska institucija je 2021. godine objavila Izvještaj o efikasnosti mehanizma regulacije, praćenja i izvještavanja o kvalitetu vazduha u Crnoj Gori</w:t>
      </w:r>
      <w:r w:rsidRPr="001C58C6">
        <w:rPr>
          <w:rStyle w:val="FootnoteReference"/>
          <w:rFonts w:ascii="Calibri" w:hAnsi="Calibri" w:cs="Calibri"/>
          <w:color w:val="000000" w:themeColor="text1"/>
        </w:rPr>
        <w:footnoteReference w:id="16"/>
      </w:r>
      <w:r w:rsidRPr="001C58C6">
        <w:rPr>
          <w:rFonts w:ascii="Calibri" w:hAnsi="Calibri" w:cs="Calibri"/>
          <w:color w:val="000000" w:themeColor="text1"/>
        </w:rPr>
        <w:t xml:space="preserve">, koji na nezavisan način sumira rezultate postignute u ovoj oblasti do 2020. godine.  Izvještaj ukazuje na slabosti mehanizama sprovođenja, koordinacije i kontrole, nedostatak stručnog kadra i tehničke opreme. Pored evidentiranih poboljšanja u ovoj oblasti DRI je ukazao na potrebu donošenja nove strategije o upravljanju kvalitetom vazduha, kao i planova kvaliteta vazduha na lokalnom nivou, kontinuiranu potrebu za redovnim održavanjem i kalibracijom mjernih stanica, </w:t>
      </w:r>
      <w:r w:rsidRPr="001C58C6">
        <w:rPr>
          <w:rFonts w:ascii="Calibri" w:hAnsi="Calibri" w:cs="Calibri"/>
          <w:color w:val="000000" w:themeColor="text1"/>
        </w:rPr>
        <w:lastRenderedPageBreak/>
        <w:t>obavezu uspostavljanja katastra zagađivača na centralnom i registra zagađivača vazduha na lokalnom nivou, kao i adekvatnu evidenciju rješenja i iznosa naplaćene ekološke naknade.</w:t>
      </w:r>
    </w:p>
    <w:p w14:paraId="798C14A3" w14:textId="77777777" w:rsidR="00806123" w:rsidRPr="001C58C6" w:rsidRDefault="00806123">
      <w:pPr>
        <w:rPr>
          <w:rFonts w:ascii="Calibri" w:hAnsi="Calibri" w:cs="Calibri"/>
          <w:color w:val="000000" w:themeColor="text1"/>
        </w:rPr>
      </w:pPr>
    </w:p>
    <w:p w14:paraId="0E00AD26" w14:textId="77777777" w:rsidR="0067106D" w:rsidRPr="001C58C6" w:rsidRDefault="00910DCF">
      <w:pPr>
        <w:rPr>
          <w:rFonts w:ascii="Calibri" w:hAnsi="Calibri" w:cs="Calibri"/>
          <w:color w:val="000000" w:themeColor="text1"/>
        </w:rPr>
      </w:pPr>
      <w:r w:rsidRPr="001C58C6">
        <w:rPr>
          <w:rFonts w:ascii="Calibri" w:hAnsi="Calibri" w:cs="Calibri"/>
          <w:color w:val="000000" w:themeColor="text1"/>
        </w:rPr>
        <w:t>Nacrt nove strategije za upravljanje kvalitetom vazduha za period 2019 – 2029. godina je izrađen i nekoliko puta ažuriran u proteklom periodu, ali nikada nije usvojen zbog nemogućnosti usklađivanja sa zvaničnom energetskom politikom definisanom kroz Nacionalni energetski i klimatski plan (NEKP)</w:t>
      </w:r>
      <w:r w:rsidRPr="001C58C6">
        <w:rPr>
          <w:rStyle w:val="FootnoteReference"/>
          <w:rFonts w:ascii="Calibri" w:hAnsi="Calibri" w:cs="Calibri"/>
          <w:color w:val="000000" w:themeColor="text1"/>
        </w:rPr>
        <w:footnoteReference w:id="17"/>
      </w:r>
      <w:r w:rsidRPr="001C58C6">
        <w:rPr>
          <w:rFonts w:ascii="Calibri" w:hAnsi="Calibri" w:cs="Calibri"/>
          <w:color w:val="000000" w:themeColor="text1"/>
        </w:rPr>
        <w:t xml:space="preserve"> koji u fazi pripreme ove strategije još nije usvojen. Pored glavnog dokumenta, u periodu 2020-2025. godina izrađen je set pratećih tematskih dokumenata (o orodnjavanju politike zaštite vazduha, spaljivanju poljoprivrednog otpada, mogućnosti korišćenja indikatora povezanih sa uticajem zagađenja na zdravlje ljudi i dr.) koji su korišćeni u izradi ove strategije. </w:t>
      </w:r>
    </w:p>
    <w:p w14:paraId="4AFF4F10" w14:textId="77777777" w:rsidR="00806123" w:rsidRPr="001C58C6" w:rsidRDefault="00806123">
      <w:pPr>
        <w:rPr>
          <w:rFonts w:ascii="Calibri" w:hAnsi="Calibri" w:cs="Calibri"/>
          <w:color w:val="000000" w:themeColor="text1"/>
        </w:rPr>
      </w:pPr>
    </w:p>
    <w:p w14:paraId="3F8904DC" w14:textId="77777777" w:rsidR="0067106D" w:rsidRPr="001C58C6" w:rsidRDefault="00910DCF">
      <w:pPr>
        <w:rPr>
          <w:rFonts w:ascii="Calibri" w:hAnsi="Calibri" w:cs="Calibri"/>
          <w:color w:val="000000" w:themeColor="text1"/>
        </w:rPr>
      </w:pPr>
      <w:r w:rsidRPr="001C58C6">
        <w:rPr>
          <w:rFonts w:ascii="Calibri" w:hAnsi="Calibri" w:cs="Calibri"/>
          <w:color w:val="000000" w:themeColor="text1"/>
        </w:rPr>
        <w:t>Planovi kvaliteta vazduha su na lokalnom nivou doneseni u Pljevljima (2013.), Nikšiću (2014.) i Podgorici (2015.). Sva tri plana su za cilj imala smanjenje koncentracija suspendovanih čestica PM10. Za opštinu Pljevlja je 2015. godine donesen Kratkoročni akcioni plan u slučaju prekoračenja ili rizika od prekoračenja praga upozoravanja za sumpor-dioksid</w:t>
      </w:r>
      <w:r w:rsidRPr="001C58C6">
        <w:rPr>
          <w:rStyle w:val="FootnoteReference"/>
          <w:rFonts w:ascii="Calibri" w:hAnsi="Calibri" w:cs="Calibri"/>
          <w:color w:val="000000" w:themeColor="text1"/>
        </w:rPr>
        <w:footnoteReference w:id="18"/>
      </w:r>
      <w:r w:rsidRPr="001C58C6">
        <w:rPr>
          <w:rFonts w:ascii="Calibri" w:hAnsi="Calibri" w:cs="Calibri"/>
          <w:color w:val="000000" w:themeColor="text1"/>
        </w:rPr>
        <w:t>. Do ovog trenutka, ciljevi ovih planova su postignuti, osim u Pljevljima gdje su još evidentna prekoračenja suspendovanih čestica</w:t>
      </w:r>
      <w:r w:rsidR="0013224F" w:rsidRPr="001C58C6">
        <w:rPr>
          <w:rFonts w:ascii="Calibri" w:hAnsi="Calibri" w:cs="Calibri"/>
          <w:color w:val="000000" w:themeColor="text1"/>
        </w:rPr>
        <w:t xml:space="preserve"> i gdje </w:t>
      </w:r>
      <w:r w:rsidR="002E0B6F" w:rsidRPr="001C58C6">
        <w:rPr>
          <w:rFonts w:ascii="Calibri" w:hAnsi="Calibri" w:cs="Calibri"/>
          <w:color w:val="000000" w:themeColor="text1"/>
        </w:rPr>
        <w:t>j</w:t>
      </w:r>
      <w:r w:rsidR="0013224F" w:rsidRPr="001C58C6">
        <w:rPr>
          <w:rFonts w:ascii="Calibri" w:hAnsi="Calibri" w:cs="Calibri"/>
          <w:color w:val="000000" w:themeColor="text1"/>
        </w:rPr>
        <w:t>e u decembru 2025</w:t>
      </w:r>
      <w:r w:rsidR="002E0B6F" w:rsidRPr="001C58C6">
        <w:rPr>
          <w:rFonts w:ascii="Calibri" w:hAnsi="Calibri" w:cs="Calibri"/>
          <w:color w:val="000000" w:themeColor="text1"/>
        </w:rPr>
        <w:t xml:space="preserve">. godine došlo do prekoračenja </w:t>
      </w:r>
      <w:r w:rsidR="00526BC3" w:rsidRPr="001C58C6">
        <w:rPr>
          <w:rFonts w:ascii="Calibri" w:hAnsi="Calibri" w:cs="Calibri"/>
          <w:color w:val="000000" w:themeColor="text1"/>
        </w:rPr>
        <w:t>praga upozoravanja za sumpor-dioksid</w:t>
      </w:r>
      <w:r w:rsidRPr="001C58C6">
        <w:rPr>
          <w:rFonts w:ascii="Calibri" w:hAnsi="Calibri" w:cs="Calibri"/>
          <w:color w:val="000000" w:themeColor="text1"/>
        </w:rPr>
        <w:t>. Opština Pljevlja je ažurirala plan kvaliteta vazduha u okviru Lokalnog plana zaštite životne sredine za period 2022-2026. godina</w:t>
      </w:r>
      <w:r w:rsidRPr="001C58C6">
        <w:rPr>
          <w:rStyle w:val="FootnoteReference"/>
          <w:rFonts w:ascii="Calibri" w:hAnsi="Calibri" w:cs="Calibri"/>
          <w:color w:val="000000" w:themeColor="text1"/>
        </w:rPr>
        <w:footnoteReference w:id="19"/>
      </w:r>
      <w:r w:rsidRPr="001C58C6">
        <w:rPr>
          <w:rFonts w:ascii="Calibri" w:hAnsi="Calibri" w:cs="Calibri"/>
          <w:color w:val="000000" w:themeColor="text1"/>
        </w:rPr>
        <w:t xml:space="preserve">. </w:t>
      </w:r>
    </w:p>
    <w:p w14:paraId="068C42EB" w14:textId="77777777" w:rsidR="00806123" w:rsidRPr="001C58C6" w:rsidRDefault="00806123">
      <w:pPr>
        <w:rPr>
          <w:rFonts w:ascii="Calibri" w:hAnsi="Calibri" w:cs="Calibri"/>
          <w:color w:val="000000" w:themeColor="text1"/>
        </w:rPr>
      </w:pPr>
    </w:p>
    <w:p w14:paraId="4DEFE06D" w14:textId="77777777" w:rsidR="0067106D" w:rsidRPr="001C58C6" w:rsidRDefault="00910DCF">
      <w:pPr>
        <w:rPr>
          <w:rFonts w:ascii="Calibri" w:hAnsi="Calibri" w:cs="Calibri"/>
          <w:color w:val="000000" w:themeColor="text1"/>
        </w:rPr>
      </w:pPr>
      <w:r w:rsidRPr="001C58C6">
        <w:rPr>
          <w:rFonts w:ascii="Calibri" w:hAnsi="Calibri" w:cs="Calibri"/>
          <w:color w:val="000000" w:themeColor="text1"/>
        </w:rPr>
        <w:t xml:space="preserve">Planovi kvaliteta vazduha za sve tri zone sastavni su dio ove strategije, a u skladu sa novim zakonodavstvom EU o kvalitetu vazduha (analiza u sljedećem potpoglavlju) biće potrebno izraditi mape puta za dostizanje novih, strožih graničnih vrijednosti koncentracija zagađujućih materija u vazduhu. </w:t>
      </w:r>
    </w:p>
    <w:p w14:paraId="06819223" w14:textId="77777777" w:rsidR="003A4E2F" w:rsidRPr="001C58C6" w:rsidRDefault="003A4E2F">
      <w:pPr>
        <w:rPr>
          <w:rFonts w:ascii="Calibri" w:hAnsi="Calibri" w:cs="Calibri"/>
          <w:color w:val="000000" w:themeColor="text1"/>
        </w:rPr>
      </w:pPr>
    </w:p>
    <w:p w14:paraId="33D008B4" w14:textId="77777777" w:rsidR="00925B60" w:rsidRPr="001C58C6" w:rsidRDefault="00925B60" w:rsidP="00925B60">
      <w:pPr>
        <w:pStyle w:val="Heading2"/>
        <w:rPr>
          <w:rFonts w:ascii="Calibri" w:hAnsi="Calibri" w:cs="Calibri"/>
          <w:color w:val="000000" w:themeColor="text1"/>
        </w:rPr>
      </w:pPr>
      <w:bookmarkStart w:id="44" w:name="_Toc233711732"/>
      <w:r w:rsidRPr="001C58C6">
        <w:rPr>
          <w:rFonts w:ascii="Calibri" w:hAnsi="Calibri" w:cs="Calibri"/>
          <w:color w:val="000000" w:themeColor="text1"/>
        </w:rPr>
        <w:t>1.6 USKLAĐENOST SA NACIONALNIM ZAKONODAVSTVOM, STRATEŠKIM OKVIROM I ZAKONODAVSTVOM EU</w:t>
      </w:r>
      <w:bookmarkEnd w:id="44"/>
    </w:p>
    <w:p w14:paraId="4EEABFE0" w14:textId="77777777" w:rsidR="00925B60" w:rsidRPr="001C58C6" w:rsidRDefault="00925B60" w:rsidP="00925B60">
      <w:pPr>
        <w:pStyle w:val="Heading3"/>
        <w:rPr>
          <w:rFonts w:ascii="Calibri" w:hAnsi="Calibri" w:cs="Calibri"/>
          <w:color w:val="000000" w:themeColor="text1"/>
        </w:rPr>
      </w:pPr>
      <w:bookmarkStart w:id="45" w:name="_Toc233711733"/>
      <w:r w:rsidRPr="001C58C6">
        <w:rPr>
          <w:rFonts w:ascii="Calibri" w:hAnsi="Calibri" w:cs="Calibri"/>
          <w:color w:val="000000" w:themeColor="text1"/>
        </w:rPr>
        <w:t>Nacionalni zakonodavni okvir</w:t>
      </w:r>
      <w:bookmarkEnd w:id="45"/>
    </w:p>
    <w:p w14:paraId="1ECFD017" w14:textId="77777777" w:rsidR="00925B60" w:rsidRPr="001C58C6" w:rsidRDefault="00925B60" w:rsidP="00925B60">
      <w:pPr>
        <w:rPr>
          <w:rFonts w:ascii="Calibri" w:hAnsi="Calibri" w:cs="Calibri"/>
          <w:color w:val="000000" w:themeColor="text1"/>
        </w:rPr>
      </w:pPr>
      <w:r w:rsidRPr="001C58C6">
        <w:rPr>
          <w:rFonts w:ascii="Calibri" w:hAnsi="Calibri" w:cs="Calibri"/>
          <w:color w:val="000000" w:themeColor="text1"/>
        </w:rPr>
        <w:t>Legislativni osnov za donošenje ove Strategije sadržan je u Zakonu o zaštiti vazduha, kojim je propisana obaveza donošenja nacionalne strategije za period od četiri godine, radi očuvanja kvaliteta vazduha i smanjenja štetnih posljedica po zdravlje ljudi i životnu sredinu. Strategija se oslanja i na propise kojima se uređuju zaštita životne sredine, klimatske promjene, industrijske emisije, upravljanje otpadom, energetika, saobraćaj, prostorno planiranje, zaštita prirode, inspekcijski nadzor i javno zdravlje.</w:t>
      </w:r>
    </w:p>
    <w:p w14:paraId="256EC26C" w14:textId="77777777" w:rsidR="00925B60" w:rsidRPr="001C58C6" w:rsidRDefault="00925B60" w:rsidP="00925B60">
      <w:pPr>
        <w:rPr>
          <w:rFonts w:ascii="Calibri" w:hAnsi="Calibri" w:cs="Calibri"/>
          <w:color w:val="000000" w:themeColor="text1"/>
        </w:rPr>
      </w:pPr>
      <w:r w:rsidRPr="001C58C6">
        <w:rPr>
          <w:rFonts w:ascii="Calibri" w:hAnsi="Calibri" w:cs="Calibri"/>
          <w:color w:val="000000" w:themeColor="text1"/>
        </w:rPr>
        <w:t xml:space="preserve">Za sprovođenje Strategije posebno su relevantni Zakon o zaštiti vazduha i podzakonski akti kojima se uređuju granične i ciljne vrijednosti kvaliteta vazduha, monitoring kvaliteta vazduha, razmjena informacija i izvještavanje, planovi kvaliteta vazduha, maksimalne nacionalne emisije i obaveze izvještavanja o emisijama. Ovaj okvir se dopunjuje novim zakonskim rješenjima u postupku usklađivanja sa revidiranim pravom Evropske unije, naročito </w:t>
      </w:r>
      <w:r w:rsidRPr="001C58C6">
        <w:rPr>
          <w:rFonts w:ascii="Calibri" w:hAnsi="Calibri" w:cs="Calibri"/>
          <w:color w:val="000000" w:themeColor="text1"/>
        </w:rPr>
        <w:lastRenderedPageBreak/>
        <w:t>u dijelu strožih standarda kvaliteta vazduha, prava javnosti na informaciju i mehanizama naknade štete po zdravlje ljudi.</w:t>
      </w:r>
    </w:p>
    <w:p w14:paraId="25256853" w14:textId="77777777" w:rsidR="00925B60" w:rsidRPr="001C58C6" w:rsidRDefault="00925B60" w:rsidP="00925B60">
      <w:pPr>
        <w:rPr>
          <w:rFonts w:ascii="Calibri" w:hAnsi="Calibri" w:cs="Calibri"/>
          <w:color w:val="000000" w:themeColor="text1"/>
        </w:rPr>
      </w:pPr>
      <w:r w:rsidRPr="001C58C6">
        <w:rPr>
          <w:rFonts w:ascii="Calibri" w:hAnsi="Calibri" w:cs="Calibri"/>
          <w:color w:val="000000" w:themeColor="text1"/>
        </w:rPr>
        <w:t>Nacionalni zakonodavni okvir se u ovoj tački navodi kao osnov za dalje usklađivanje sa pravnom tekovinom EU, a ne samo kao opšti kontekst evropskih integracija.</w:t>
      </w:r>
    </w:p>
    <w:p w14:paraId="27200FBF" w14:textId="77777777" w:rsidR="0067106D" w:rsidRPr="001C58C6" w:rsidRDefault="0067106D">
      <w:pPr>
        <w:rPr>
          <w:rFonts w:ascii="Calibri" w:hAnsi="Calibri" w:cs="Calibri"/>
          <w:color w:val="000000" w:themeColor="text1"/>
        </w:rPr>
      </w:pPr>
    </w:p>
    <w:p w14:paraId="1408D2D4" w14:textId="712CA910" w:rsidR="0067106D" w:rsidRPr="001C58C6" w:rsidRDefault="00910DCF">
      <w:pPr>
        <w:rPr>
          <w:rFonts w:ascii="Calibri" w:hAnsi="Calibri" w:cs="Calibri"/>
          <w:color w:val="000000" w:themeColor="text1"/>
        </w:rPr>
      </w:pPr>
      <w:r w:rsidRPr="001C58C6">
        <w:rPr>
          <w:rFonts w:ascii="Calibri" w:hAnsi="Calibri" w:cs="Calibri"/>
          <w:color w:val="000000" w:themeColor="text1"/>
        </w:rPr>
        <w:t>Ključna novina u evropskom zakonodavstvu u ovoj oblasti je nova direktiva o kvalitetu vazduha (Direktiva (EU) 2024/2881)</w:t>
      </w:r>
      <w:r w:rsidRPr="001C58C6">
        <w:rPr>
          <w:rStyle w:val="FootnoteReference"/>
          <w:rFonts w:ascii="Calibri" w:hAnsi="Calibri" w:cs="Calibri"/>
          <w:color w:val="000000" w:themeColor="text1"/>
        </w:rPr>
        <w:footnoteReference w:id="20"/>
      </w:r>
      <w:r w:rsidRPr="001C58C6">
        <w:rPr>
          <w:rFonts w:ascii="Calibri" w:hAnsi="Calibri" w:cs="Calibri"/>
          <w:color w:val="000000" w:themeColor="text1"/>
        </w:rPr>
        <w:t xml:space="preserve"> koja je glavni instrument paketa nultog zagađenja u okviru Evropskog zelenog dogovora kreiranog sa ciljem da se do 2050. godine zagađenje vazduha smanji na nivo koji više ne predstavlja opasnost po ljudsko zdravlje i ekosisteme, uz cilj da se broj prijevremenih smrti uzrokovanih zagađenjem smanji za 55% do 2030. Ova revidirana Direktiva, usvojena 2024. godine, uvodi strože standarde za niz zagađujučih materija, koje države članice treba da postignu najkasnije do 2030. godine. </w:t>
      </w:r>
    </w:p>
    <w:p w14:paraId="318CCA96" w14:textId="77777777" w:rsidR="0067106D" w:rsidRPr="001C58C6" w:rsidRDefault="00910DCF">
      <w:pPr>
        <w:rPr>
          <w:rFonts w:ascii="Calibri" w:hAnsi="Calibri" w:cs="Calibri"/>
          <w:color w:val="000000" w:themeColor="text1"/>
        </w:rPr>
      </w:pPr>
      <w:r w:rsidRPr="001C58C6">
        <w:rPr>
          <w:rFonts w:ascii="Calibri" w:hAnsi="Calibri" w:cs="Calibri"/>
          <w:color w:val="000000" w:themeColor="text1"/>
        </w:rPr>
        <w:t xml:space="preserve">Ministarstvo ekologije, održivog razvoja i razvoja sjevera već je pokrenulo izradu plana za sprovođenje ove direktive, tako da će se ovaj strateški dokument njome baviti u mjeri u kojoj ona direktno utiče na elemente ovog strateškog dokumenta, prevashodno na planove kvaliteta vazduha. </w:t>
      </w:r>
    </w:p>
    <w:p w14:paraId="01449F7B" w14:textId="77777777" w:rsidR="00806123" w:rsidRPr="001C58C6" w:rsidRDefault="00806123">
      <w:pPr>
        <w:rPr>
          <w:rFonts w:ascii="Calibri" w:hAnsi="Calibri" w:cs="Calibri"/>
          <w:color w:val="000000" w:themeColor="text1"/>
        </w:rPr>
      </w:pPr>
    </w:p>
    <w:p w14:paraId="40A6F3FF" w14:textId="77777777" w:rsidR="0067106D" w:rsidRPr="001C58C6" w:rsidRDefault="00910DCF">
      <w:pPr>
        <w:rPr>
          <w:rFonts w:ascii="Calibri" w:hAnsi="Calibri" w:cs="Calibri"/>
          <w:color w:val="000000" w:themeColor="text1"/>
        </w:rPr>
      </w:pPr>
      <w:r w:rsidRPr="001C58C6">
        <w:rPr>
          <w:rFonts w:ascii="Calibri" w:hAnsi="Calibri" w:cs="Calibri"/>
          <w:color w:val="000000" w:themeColor="text1"/>
        </w:rPr>
        <w:t>Pored toga, crnogorsko zakonodavstvo u oblasti kvaliteta vazduha je još uvijek neusklađeno sa novom Direktivom o maksimalnim nacionalnim emisijama</w:t>
      </w:r>
      <w:r w:rsidRPr="001C58C6">
        <w:rPr>
          <w:rStyle w:val="FootnoteReference"/>
          <w:rFonts w:ascii="Calibri" w:hAnsi="Calibri" w:cs="Calibri"/>
          <w:color w:val="000000" w:themeColor="text1"/>
        </w:rPr>
        <w:footnoteReference w:id="21"/>
      </w:r>
      <w:r w:rsidRPr="001C58C6">
        <w:rPr>
          <w:rFonts w:ascii="Calibri" w:hAnsi="Calibri" w:cs="Calibri"/>
          <w:color w:val="000000" w:themeColor="text1"/>
        </w:rPr>
        <w:t xml:space="preserve">, što predstavlja značajan dio završnog mjerila za oblast kvaliteta vazduha u okviru pregovaračkog poglavlja 27. Pored prenošenja zahtjeva ove direktive, što zahtijeva izmjene Zakona o zaštiti vazduha i postojeće Uredbe o maksimalnim nacionalnim emisijama, završno mjerilo zahtijeva usvajanje Plana smanjenja zagađenja vazduha, koji je sastavni dio ove strategije i usklađen je sa zajedničkim formatom utvrđenim Odlukom Komisije (EU) 2018/1522 </w:t>
      </w:r>
      <w:r w:rsidRPr="001C58C6">
        <w:rPr>
          <w:rStyle w:val="FootnoteReference"/>
          <w:rFonts w:ascii="Calibri" w:hAnsi="Calibri" w:cs="Calibri"/>
          <w:color w:val="000000" w:themeColor="text1"/>
        </w:rPr>
        <w:footnoteReference w:id="22"/>
      </w:r>
      <w:r w:rsidRPr="001C58C6">
        <w:rPr>
          <w:rFonts w:ascii="Calibri" w:hAnsi="Calibri" w:cs="Calibri"/>
          <w:color w:val="000000" w:themeColor="text1"/>
        </w:rPr>
        <w:t xml:space="preserve">. </w:t>
      </w:r>
    </w:p>
    <w:p w14:paraId="5FEB4DF6" w14:textId="77777777" w:rsidR="00806123" w:rsidRPr="001C58C6" w:rsidRDefault="00806123">
      <w:pPr>
        <w:rPr>
          <w:rFonts w:ascii="Calibri" w:hAnsi="Calibri" w:cs="Calibri"/>
          <w:color w:val="000000" w:themeColor="text1"/>
        </w:rPr>
      </w:pPr>
    </w:p>
    <w:p w14:paraId="611AB0E1" w14:textId="14C1F25D" w:rsidR="0067106D" w:rsidRPr="001C58C6" w:rsidRDefault="00910DCF">
      <w:pPr>
        <w:rPr>
          <w:rFonts w:ascii="Calibri" w:hAnsi="Calibri" w:cs="Calibri"/>
          <w:color w:val="000000" w:themeColor="text1"/>
        </w:rPr>
      </w:pPr>
      <w:r w:rsidRPr="001C58C6">
        <w:rPr>
          <w:rFonts w:ascii="Calibri" w:hAnsi="Calibri" w:cs="Calibri"/>
          <w:color w:val="000000" w:themeColor="text1"/>
        </w:rPr>
        <w:t xml:space="preserve">Što se tiče planova kvaliteta vazduha, Direktiva 2024/2881 uvodi nekoliko novina: </w:t>
      </w:r>
    </w:p>
    <w:p w14:paraId="580091C3" w14:textId="77777777" w:rsidR="0067106D" w:rsidRPr="001C58C6" w:rsidRDefault="00910DCF" w:rsidP="00E53052">
      <w:pPr>
        <w:pStyle w:val="ListParagraph"/>
        <w:numPr>
          <w:ilvl w:val="0"/>
          <w:numId w:val="13"/>
        </w:numPr>
        <w:rPr>
          <w:rFonts w:ascii="Calibri" w:hAnsi="Calibri" w:cs="Calibri"/>
          <w:color w:val="000000" w:themeColor="text1"/>
        </w:rPr>
      </w:pPr>
      <w:r w:rsidRPr="001C58C6">
        <w:rPr>
          <w:rFonts w:ascii="Calibri" w:hAnsi="Calibri" w:cs="Calibri"/>
          <w:color w:val="000000" w:themeColor="text1"/>
        </w:rPr>
        <w:t xml:space="preserve">Donošenje planova kvaliteta vazduha je obavezno za svaku zonu u kojoj je došlo do prekoračenja bilo koje granične ili ciljne vrijednosti u roku od dvije godine od prekoračenja, što je bilo propisano i prethodnom direktivom, s tim da je novina da se granične vrijednosti moraju postići u roku od 4 godine; </w:t>
      </w:r>
    </w:p>
    <w:p w14:paraId="28E4C081" w14:textId="77777777" w:rsidR="0067106D" w:rsidRPr="001C58C6" w:rsidRDefault="00910DCF" w:rsidP="00E53052">
      <w:pPr>
        <w:pStyle w:val="ListParagraph"/>
        <w:numPr>
          <w:ilvl w:val="0"/>
          <w:numId w:val="13"/>
        </w:numPr>
        <w:rPr>
          <w:rFonts w:ascii="Calibri" w:hAnsi="Calibri" w:cs="Calibri"/>
          <w:color w:val="000000" w:themeColor="text1"/>
        </w:rPr>
      </w:pPr>
      <w:r w:rsidRPr="001C58C6">
        <w:rPr>
          <w:rFonts w:ascii="Calibri" w:hAnsi="Calibri" w:cs="Calibri"/>
          <w:color w:val="000000" w:themeColor="text1"/>
        </w:rPr>
        <w:t xml:space="preserve">Ako u trećoj godini sprovođenja plana granične vrijednosti nijesu dostignute, plan se mora ažurirati; </w:t>
      </w:r>
    </w:p>
    <w:p w14:paraId="6AB9E675" w14:textId="77777777" w:rsidR="0067106D" w:rsidRPr="001C58C6" w:rsidRDefault="00910DCF" w:rsidP="00E53052">
      <w:pPr>
        <w:pStyle w:val="ListParagraph"/>
        <w:numPr>
          <w:ilvl w:val="0"/>
          <w:numId w:val="13"/>
        </w:numPr>
        <w:rPr>
          <w:rFonts w:ascii="Calibri" w:hAnsi="Calibri" w:cs="Calibri"/>
          <w:color w:val="000000" w:themeColor="text1"/>
        </w:rPr>
      </w:pPr>
      <w:r w:rsidRPr="001C58C6">
        <w:rPr>
          <w:rFonts w:ascii="Calibri" w:hAnsi="Calibri" w:cs="Calibri"/>
          <w:color w:val="000000" w:themeColor="text1"/>
        </w:rPr>
        <w:t xml:space="preserve">Svakih 5 godina se preispituju mogućnosti za smanjenje koncentracija prizemnog ozona. Planovi kvaliteta vazduha i mape puta za smanjenje koncentracija prizemnog ozona rade se na nivou teritorijalne jedinice (NUTS) što u slučaju Crne Gore znači na nivou ukupne teritorije. Izrada ovih planova je prema novoj direktivi obavezna, osim ako je moguće dokazati da se smanjenja nemogu postići zbog geografskih ili klimatskih uslova ili bi primjenljive mjere izazvale neopravdano visoke troškove; </w:t>
      </w:r>
    </w:p>
    <w:p w14:paraId="78CB0F49" w14:textId="77777777" w:rsidR="0067106D" w:rsidRPr="001C58C6" w:rsidRDefault="00910DCF" w:rsidP="00E53052">
      <w:pPr>
        <w:pStyle w:val="ListParagraph"/>
        <w:numPr>
          <w:ilvl w:val="0"/>
          <w:numId w:val="13"/>
        </w:numPr>
        <w:rPr>
          <w:rFonts w:ascii="Calibri" w:hAnsi="Calibri" w:cs="Calibri"/>
          <w:color w:val="000000" w:themeColor="text1"/>
        </w:rPr>
      </w:pPr>
      <w:r w:rsidRPr="001C58C6">
        <w:rPr>
          <w:rFonts w:ascii="Calibri" w:hAnsi="Calibri" w:cs="Calibri"/>
          <w:color w:val="000000" w:themeColor="text1"/>
        </w:rPr>
        <w:lastRenderedPageBreak/>
        <w:t xml:space="preserve">Izrada planova kvaliteta vazduha obavezna je i za prekoračenja prosječne izloženosti stanovništva zagađenju, obračunatom na teritorijalnom nivou; </w:t>
      </w:r>
    </w:p>
    <w:p w14:paraId="21165C3B" w14:textId="77777777" w:rsidR="0067106D" w:rsidRPr="001C58C6" w:rsidRDefault="00910DCF" w:rsidP="00E53052">
      <w:pPr>
        <w:pStyle w:val="ListParagraph"/>
        <w:numPr>
          <w:ilvl w:val="0"/>
          <w:numId w:val="13"/>
        </w:numPr>
        <w:rPr>
          <w:rFonts w:ascii="Calibri" w:hAnsi="Calibri" w:cs="Calibri"/>
          <w:color w:val="000000" w:themeColor="text1"/>
        </w:rPr>
      </w:pPr>
      <w:r w:rsidRPr="001C58C6">
        <w:rPr>
          <w:rFonts w:ascii="Calibri" w:hAnsi="Calibri" w:cs="Calibri"/>
          <w:color w:val="000000" w:themeColor="text1"/>
        </w:rPr>
        <w:t xml:space="preserve">Kada se u određenoj zoni granične vrijednsti za PM10, PM2,5, NO2, benzen ili benzo(a)piren ne mogu postici do 2030. godine, rok se može produžiti pod određenim uslovima uz obaveznu izradu mape puta za dostizanje granične vrijednosti. </w:t>
      </w:r>
    </w:p>
    <w:p w14:paraId="71DD0EE2" w14:textId="77777777" w:rsidR="003A4E2F" w:rsidRPr="001C58C6" w:rsidRDefault="00910DCF" w:rsidP="00E53052">
      <w:pPr>
        <w:pStyle w:val="ListParagraph"/>
        <w:numPr>
          <w:ilvl w:val="0"/>
          <w:numId w:val="13"/>
        </w:numPr>
        <w:rPr>
          <w:rFonts w:ascii="Calibri" w:hAnsi="Calibri" w:cs="Calibri"/>
          <w:color w:val="000000" w:themeColor="text1"/>
        </w:rPr>
      </w:pPr>
      <w:r w:rsidRPr="001C58C6">
        <w:rPr>
          <w:rFonts w:ascii="Calibri" w:hAnsi="Calibri" w:cs="Calibri"/>
          <w:color w:val="000000" w:themeColor="text1"/>
        </w:rPr>
        <w:t>Sadržaj planova kvaliteta vazduha takođe je znatno dopunjen i izmijenjen.</w:t>
      </w:r>
    </w:p>
    <w:p w14:paraId="4890F0EF" w14:textId="77777777" w:rsidR="006020AD" w:rsidRPr="001C58C6" w:rsidRDefault="006020AD" w:rsidP="003A4E2F">
      <w:pPr>
        <w:jc w:val="left"/>
        <w:rPr>
          <w:rFonts w:ascii="Calibri" w:hAnsi="Calibri" w:cs="Calibri"/>
          <w:color w:val="000000" w:themeColor="text1"/>
        </w:rPr>
      </w:pPr>
    </w:p>
    <w:p w14:paraId="4ACEDECF" w14:textId="77777777" w:rsidR="006F52AD" w:rsidRDefault="006020AD" w:rsidP="00546F0D">
      <w:pPr>
        <w:rPr>
          <w:rFonts w:ascii="Calibri" w:hAnsi="Calibri" w:cs="Calibri"/>
          <w:color w:val="000000" w:themeColor="text1"/>
        </w:rPr>
      </w:pPr>
      <w:r w:rsidRPr="001C58C6">
        <w:rPr>
          <w:rFonts w:ascii="Calibri" w:hAnsi="Calibri" w:cs="Calibri"/>
          <w:color w:val="000000" w:themeColor="text1"/>
        </w:rPr>
        <w:t xml:space="preserve">Bitno je naglasiti da je Crna Gora potpisnica Zelene agende za Zapadni Balkan, koja je usvojena na Samitu u Sofiji 2020. godine i predstavlja regionalni okvir za sprovođenje ciljeva Evropskog zelenog dogovora. Zelena agenda obuhvata pet ključnih oblasti: dekarbonizaciju, cirkularnu ekonomiju, smanjenje zagađenja, zaštitu biodiverziteta i održive prehrambene sisteme i ruralni razvoj. Aktivnosti predviđene ovom Strategijom doprinose realizaciji ciljeva Zelene agende, posebno u dijelu koji se odnosi na smanjenje zagađenja vazduha i energetsku tranziciju. </w:t>
      </w:r>
    </w:p>
    <w:p w14:paraId="44EAB2CD" w14:textId="77777777" w:rsidR="006F52AD" w:rsidRDefault="006F52AD" w:rsidP="00546F0D">
      <w:pPr>
        <w:rPr>
          <w:rFonts w:ascii="Calibri" w:hAnsi="Calibri" w:cs="Calibri"/>
          <w:color w:val="000000" w:themeColor="text1"/>
        </w:rPr>
      </w:pPr>
    </w:p>
    <w:p w14:paraId="3DD916C7" w14:textId="77777777" w:rsidR="00546F0D" w:rsidRPr="001C58C6" w:rsidRDefault="00546F0D" w:rsidP="00546F0D">
      <w:pPr>
        <w:rPr>
          <w:rFonts w:ascii="Calibri" w:hAnsi="Calibri" w:cs="Calibri"/>
          <w:b/>
          <w:color w:val="000000" w:themeColor="text1"/>
        </w:rPr>
      </w:pPr>
      <w:bookmarkStart w:id="46" w:name="_Toc220070417"/>
      <w:r w:rsidRPr="001C58C6">
        <w:rPr>
          <w:rFonts w:ascii="Calibri" w:hAnsi="Calibri" w:cs="Calibri"/>
          <w:b/>
          <w:color w:val="000000" w:themeColor="text1"/>
        </w:rPr>
        <w:t>Dodatni relevantni EU, međunarodni i nacionalni strateški okviri</w:t>
      </w:r>
    </w:p>
    <w:p w14:paraId="4C4BABEE" w14:textId="77777777" w:rsidR="00546F0D" w:rsidRPr="001C58C6" w:rsidRDefault="00546F0D" w:rsidP="00546F0D">
      <w:pPr>
        <w:rPr>
          <w:rFonts w:ascii="Calibri" w:hAnsi="Calibri" w:cs="Calibri"/>
          <w:color w:val="000000" w:themeColor="text1"/>
        </w:rPr>
      </w:pPr>
    </w:p>
    <w:p w14:paraId="0E0FA8EC" w14:textId="77777777" w:rsidR="00546F0D" w:rsidRPr="001C58C6" w:rsidRDefault="00546F0D" w:rsidP="00546F0D">
      <w:pPr>
        <w:rPr>
          <w:rFonts w:ascii="Calibri" w:hAnsi="Calibri" w:cs="Calibri"/>
          <w:color w:val="000000" w:themeColor="text1"/>
        </w:rPr>
      </w:pPr>
      <w:r w:rsidRPr="001C58C6">
        <w:rPr>
          <w:rFonts w:ascii="Calibri" w:hAnsi="Calibri" w:cs="Calibri"/>
          <w:color w:val="000000" w:themeColor="text1"/>
        </w:rPr>
        <w:t>Pored akata i strategija već navedenih u ovom dokumentu, pri sprovođenju Strategije potrebno je uzeti u obzir sljedeće EU i međunarodne strateške okvire, naročito zbog njihove veze sa ciljevima nultog zagađenja, klimatske neutralnosti, smanjenja emisija, održive mobilnosti, zaštite zdravlja i upravljanja sektorskim politikama nakon pristupanja Crne Gore Evropskoj uniji:</w:t>
      </w:r>
    </w:p>
    <w:p w14:paraId="09D028F3" w14:textId="77777777" w:rsidR="00546F0D" w:rsidRPr="001C58C6" w:rsidRDefault="00546F0D" w:rsidP="00C62EC0">
      <w:pPr>
        <w:pStyle w:val="ListParagraph"/>
        <w:numPr>
          <w:ilvl w:val="0"/>
          <w:numId w:val="104"/>
        </w:numPr>
        <w:ind w:left="720" w:firstLine="0"/>
        <w:rPr>
          <w:rFonts w:ascii="Calibri" w:hAnsi="Calibri" w:cs="Calibri"/>
          <w:color w:val="000000" w:themeColor="text1"/>
        </w:rPr>
      </w:pPr>
      <w:r w:rsidRPr="001C58C6">
        <w:rPr>
          <w:rFonts w:ascii="Calibri" w:hAnsi="Calibri" w:cs="Calibri"/>
          <w:color w:val="000000" w:themeColor="text1"/>
        </w:rPr>
        <w:t>Communication from the Commission to the European Parliament, the Council, the European Economic and Social Committee and the Committee of the Regions: Pathway to a Healthy Planet for All - EU Action Plan: “Towards Zero Pollution for Air, Water and Soil”, COM(2021) 400 final, CELEX: 52021DC0400; kao i Report from the Commission to the European Parliament, the Council, the European Economic and Social Committee and the Committee of the Regions: Mid-term review of the Zero Pollution Action Plan “Delivering Green Agenda for the Western Balkans (GAWB) Action Plan 2021-2030;</w:t>
      </w:r>
    </w:p>
    <w:p w14:paraId="11BFA322" w14:textId="77777777" w:rsidR="00546F0D" w:rsidRPr="001C58C6" w:rsidRDefault="00546F0D" w:rsidP="00C62EC0">
      <w:pPr>
        <w:ind w:left="720"/>
        <w:rPr>
          <w:rFonts w:ascii="Calibri" w:hAnsi="Calibri" w:cs="Calibri"/>
          <w:color w:val="000000" w:themeColor="text1"/>
        </w:rPr>
      </w:pPr>
      <w:r w:rsidRPr="001C58C6">
        <w:rPr>
          <w:rFonts w:ascii="Calibri" w:hAnsi="Calibri" w:cs="Calibri"/>
          <w:color w:val="000000" w:themeColor="text1"/>
        </w:rPr>
        <w:t>3) Strategy for long-term EU greenhouse gas emissions reductions (2015-2050);</w:t>
      </w:r>
    </w:p>
    <w:p w14:paraId="7FE2134F" w14:textId="77777777" w:rsidR="00546F0D" w:rsidRPr="001C58C6" w:rsidRDefault="00546F0D" w:rsidP="00C62EC0">
      <w:pPr>
        <w:ind w:left="720"/>
        <w:rPr>
          <w:rFonts w:ascii="Calibri" w:hAnsi="Calibri" w:cs="Calibri"/>
          <w:color w:val="000000" w:themeColor="text1"/>
        </w:rPr>
      </w:pPr>
      <w:r w:rsidRPr="001C58C6">
        <w:rPr>
          <w:rFonts w:ascii="Calibri" w:hAnsi="Calibri" w:cs="Calibri"/>
          <w:color w:val="000000" w:themeColor="text1"/>
        </w:rPr>
        <w:t>4) Paris Agreement, kao međunarodni klimatski okvir za zadržavanje porasta globalne temperature znatno ispod 2°C i nastojanje da se ograniči na 1,5°C;</w:t>
      </w:r>
    </w:p>
    <w:p w14:paraId="1F0BB43D" w14:textId="77777777" w:rsidR="00546F0D" w:rsidRPr="001C58C6" w:rsidRDefault="00546F0D" w:rsidP="00C62EC0">
      <w:pPr>
        <w:ind w:left="720"/>
        <w:rPr>
          <w:rFonts w:ascii="Calibri" w:hAnsi="Calibri" w:cs="Calibri"/>
          <w:color w:val="000000" w:themeColor="text1"/>
        </w:rPr>
      </w:pPr>
      <w:r w:rsidRPr="001C58C6">
        <w:rPr>
          <w:rFonts w:ascii="Calibri" w:hAnsi="Calibri" w:cs="Calibri"/>
          <w:color w:val="000000" w:themeColor="text1"/>
        </w:rPr>
        <w:t>5) Nationally Determined Contributions (NDCs) under the Paris Agreement / UNFCCC;</w:t>
      </w:r>
    </w:p>
    <w:p w14:paraId="1F0E496D" w14:textId="77777777" w:rsidR="00546F0D" w:rsidRPr="001C58C6" w:rsidRDefault="00546F0D" w:rsidP="00C62EC0">
      <w:pPr>
        <w:ind w:left="720"/>
        <w:rPr>
          <w:rFonts w:ascii="Calibri" w:hAnsi="Calibri" w:cs="Calibri"/>
          <w:color w:val="000000" w:themeColor="text1"/>
        </w:rPr>
      </w:pPr>
      <w:r w:rsidRPr="001C58C6">
        <w:rPr>
          <w:rFonts w:ascii="Calibri" w:hAnsi="Calibri" w:cs="Calibri"/>
          <w:color w:val="000000" w:themeColor="text1"/>
        </w:rPr>
        <w:t>6) Aviation Research and Innovation Strategy (SESAR JU);</w:t>
      </w:r>
    </w:p>
    <w:p w14:paraId="02239618" w14:textId="77777777" w:rsidR="00546F0D" w:rsidRPr="001C58C6" w:rsidRDefault="00546F0D" w:rsidP="00C62EC0">
      <w:pPr>
        <w:ind w:left="720"/>
        <w:rPr>
          <w:rFonts w:ascii="Calibri" w:hAnsi="Calibri" w:cs="Calibri"/>
          <w:color w:val="000000" w:themeColor="text1"/>
        </w:rPr>
      </w:pPr>
      <w:r w:rsidRPr="001C58C6">
        <w:rPr>
          <w:rFonts w:ascii="Calibri" w:hAnsi="Calibri" w:cs="Calibri"/>
          <w:color w:val="000000" w:themeColor="text1"/>
        </w:rPr>
        <w:t>7) EU Strategy to reduce methane emissions;</w:t>
      </w:r>
    </w:p>
    <w:p w14:paraId="2A41D2BD" w14:textId="77777777" w:rsidR="00546F0D" w:rsidRPr="001C58C6" w:rsidRDefault="00546F0D" w:rsidP="00C62EC0">
      <w:pPr>
        <w:ind w:left="720"/>
        <w:rPr>
          <w:rFonts w:ascii="Calibri" w:hAnsi="Calibri" w:cs="Calibri"/>
          <w:color w:val="000000" w:themeColor="text1"/>
        </w:rPr>
      </w:pPr>
      <w:r w:rsidRPr="001C58C6">
        <w:rPr>
          <w:rFonts w:ascii="Calibri" w:hAnsi="Calibri" w:cs="Calibri"/>
          <w:color w:val="000000" w:themeColor="text1"/>
        </w:rPr>
        <w:t>8) EU Strategy for Sustainable Development in Transport (White Paper 2001, updated 2006);</w:t>
      </w:r>
    </w:p>
    <w:p w14:paraId="3A3E6319" w14:textId="77777777" w:rsidR="00546F0D" w:rsidRPr="001C58C6" w:rsidRDefault="00546F0D" w:rsidP="00C62EC0">
      <w:pPr>
        <w:ind w:left="720"/>
        <w:rPr>
          <w:rFonts w:ascii="Calibri" w:hAnsi="Calibri" w:cs="Calibri"/>
          <w:color w:val="000000" w:themeColor="text1"/>
        </w:rPr>
      </w:pPr>
      <w:r w:rsidRPr="001C58C6">
        <w:rPr>
          <w:rFonts w:ascii="Calibri" w:hAnsi="Calibri" w:cs="Calibri"/>
          <w:color w:val="000000" w:themeColor="text1"/>
        </w:rPr>
        <w:t>9) A European strategic long-term vision for a prosperous, modern, competitive and climate neutral economy;</w:t>
      </w:r>
    </w:p>
    <w:p w14:paraId="066C76AD" w14:textId="77777777" w:rsidR="00546F0D" w:rsidRPr="001C58C6" w:rsidRDefault="00546F0D" w:rsidP="00C62EC0">
      <w:pPr>
        <w:ind w:left="720"/>
        <w:rPr>
          <w:rFonts w:ascii="Calibri" w:hAnsi="Calibri" w:cs="Calibri"/>
          <w:color w:val="000000" w:themeColor="text1"/>
        </w:rPr>
      </w:pPr>
      <w:r w:rsidRPr="001C58C6">
        <w:rPr>
          <w:rFonts w:ascii="Calibri" w:hAnsi="Calibri" w:cs="Calibri"/>
          <w:color w:val="000000" w:themeColor="text1"/>
        </w:rPr>
        <w:t>10) Chemicals Strategy for Sustainability - Towards a Toxic-Free Environment;</w:t>
      </w:r>
    </w:p>
    <w:p w14:paraId="0A116DFE" w14:textId="77777777" w:rsidR="00546F0D" w:rsidRPr="001C58C6" w:rsidRDefault="00546F0D" w:rsidP="00C62EC0">
      <w:pPr>
        <w:ind w:left="720"/>
        <w:rPr>
          <w:rFonts w:ascii="Calibri" w:hAnsi="Calibri" w:cs="Calibri"/>
          <w:color w:val="000000" w:themeColor="text1"/>
        </w:rPr>
      </w:pPr>
      <w:r w:rsidRPr="001C58C6">
        <w:rPr>
          <w:rFonts w:ascii="Calibri" w:hAnsi="Calibri" w:cs="Calibri"/>
          <w:color w:val="000000" w:themeColor="text1"/>
        </w:rPr>
        <w:t>11) Long-term Low Greenhouse Gas Emission Development Strategy of the EU and its Member States (LT-LEDS);</w:t>
      </w:r>
    </w:p>
    <w:p w14:paraId="59B56404" w14:textId="77777777" w:rsidR="00546F0D" w:rsidRPr="001C58C6" w:rsidRDefault="00546F0D" w:rsidP="00C62EC0">
      <w:pPr>
        <w:ind w:left="720"/>
        <w:rPr>
          <w:rFonts w:ascii="Calibri" w:hAnsi="Calibri" w:cs="Calibri"/>
          <w:color w:val="000000" w:themeColor="text1"/>
        </w:rPr>
      </w:pPr>
      <w:r w:rsidRPr="001C58C6">
        <w:rPr>
          <w:rFonts w:ascii="Calibri" w:hAnsi="Calibri" w:cs="Calibri"/>
          <w:color w:val="000000" w:themeColor="text1"/>
        </w:rPr>
        <w:t>12) Adaptation to Climate Change - Blueprint for a new, more ambitious EU strategy;</w:t>
      </w:r>
    </w:p>
    <w:p w14:paraId="1ECAD6E1" w14:textId="77777777" w:rsidR="00546F0D" w:rsidRPr="001C58C6" w:rsidRDefault="00546F0D" w:rsidP="00C62EC0">
      <w:pPr>
        <w:ind w:left="720"/>
        <w:rPr>
          <w:rFonts w:ascii="Calibri" w:hAnsi="Calibri" w:cs="Calibri"/>
          <w:color w:val="000000" w:themeColor="text1"/>
        </w:rPr>
      </w:pPr>
      <w:r w:rsidRPr="001C58C6">
        <w:rPr>
          <w:rFonts w:ascii="Calibri" w:hAnsi="Calibri" w:cs="Calibri"/>
          <w:color w:val="000000" w:themeColor="text1"/>
        </w:rPr>
        <w:t>13) Securing our future: Europe's 2040 climate target and path to climate neutrality by 2050 - building a sustainable, just and prosperous society;</w:t>
      </w:r>
    </w:p>
    <w:p w14:paraId="66A23F04" w14:textId="77777777" w:rsidR="00546F0D" w:rsidRPr="001C58C6" w:rsidRDefault="00546F0D" w:rsidP="00C62EC0">
      <w:pPr>
        <w:ind w:left="720"/>
        <w:rPr>
          <w:rFonts w:ascii="Calibri" w:hAnsi="Calibri" w:cs="Calibri"/>
          <w:color w:val="000000" w:themeColor="text1"/>
        </w:rPr>
      </w:pPr>
      <w:r w:rsidRPr="001C58C6">
        <w:rPr>
          <w:rFonts w:ascii="Calibri" w:hAnsi="Calibri" w:cs="Calibri"/>
          <w:color w:val="000000" w:themeColor="text1"/>
        </w:rPr>
        <w:lastRenderedPageBreak/>
        <w:t>14) 'Fit for 55': delivering the EU's 2030 Climate Target on the way to climate neutrality;</w:t>
      </w:r>
    </w:p>
    <w:p w14:paraId="79586F04" w14:textId="77777777" w:rsidR="00546F0D" w:rsidRPr="001C58C6" w:rsidRDefault="00546F0D" w:rsidP="00C62EC0">
      <w:pPr>
        <w:ind w:left="720"/>
        <w:rPr>
          <w:rFonts w:ascii="Calibri" w:hAnsi="Calibri" w:cs="Calibri"/>
          <w:color w:val="000000" w:themeColor="text1"/>
        </w:rPr>
      </w:pPr>
      <w:r w:rsidRPr="001C58C6">
        <w:rPr>
          <w:rFonts w:ascii="Calibri" w:hAnsi="Calibri" w:cs="Calibri"/>
          <w:color w:val="000000" w:themeColor="text1"/>
        </w:rPr>
        <w:t>15) 2040 Climate Target Plan;</w:t>
      </w:r>
    </w:p>
    <w:p w14:paraId="50A7E23D" w14:textId="77777777" w:rsidR="00546F0D" w:rsidRPr="001C58C6" w:rsidRDefault="00546F0D" w:rsidP="00C62EC0">
      <w:pPr>
        <w:ind w:left="720"/>
        <w:rPr>
          <w:rFonts w:ascii="Calibri" w:hAnsi="Calibri" w:cs="Calibri"/>
          <w:color w:val="000000" w:themeColor="text1"/>
        </w:rPr>
      </w:pPr>
      <w:r w:rsidRPr="001C58C6">
        <w:rPr>
          <w:rFonts w:ascii="Calibri" w:hAnsi="Calibri" w:cs="Calibri"/>
          <w:color w:val="000000" w:themeColor="text1"/>
        </w:rPr>
        <w:t>16) Forging a climate-resilient Europe - the new EU Strategy on Adaptation to Climate Change;</w:t>
      </w:r>
    </w:p>
    <w:p w14:paraId="539F2CAE" w14:textId="77777777" w:rsidR="00546F0D" w:rsidRPr="001C58C6" w:rsidRDefault="00546F0D" w:rsidP="00C62EC0">
      <w:pPr>
        <w:ind w:left="720"/>
        <w:rPr>
          <w:rFonts w:ascii="Calibri" w:hAnsi="Calibri" w:cs="Calibri"/>
          <w:color w:val="000000" w:themeColor="text1"/>
        </w:rPr>
      </w:pPr>
      <w:r w:rsidRPr="001C58C6">
        <w:rPr>
          <w:rFonts w:ascii="Calibri" w:hAnsi="Calibri" w:cs="Calibri"/>
          <w:color w:val="000000" w:themeColor="text1"/>
        </w:rPr>
        <w:t>17) Communication Managing climate risks - protecting people and prosperity;</w:t>
      </w:r>
    </w:p>
    <w:p w14:paraId="1C81E5FB" w14:textId="77777777" w:rsidR="00546F0D" w:rsidRPr="001C58C6" w:rsidRDefault="00546F0D" w:rsidP="00C62EC0">
      <w:pPr>
        <w:ind w:left="720"/>
        <w:rPr>
          <w:rFonts w:ascii="Calibri" w:hAnsi="Calibri" w:cs="Calibri"/>
          <w:color w:val="000000" w:themeColor="text1"/>
        </w:rPr>
      </w:pPr>
      <w:r w:rsidRPr="001C58C6">
        <w:rPr>
          <w:rFonts w:ascii="Calibri" w:hAnsi="Calibri" w:cs="Calibri"/>
          <w:color w:val="000000" w:themeColor="text1"/>
        </w:rPr>
        <w:t>18) Sustainable Mobility for Europe: safe, connected and clean;</w:t>
      </w:r>
    </w:p>
    <w:p w14:paraId="3E608EB3" w14:textId="77777777" w:rsidR="00546F0D" w:rsidRPr="001C58C6" w:rsidRDefault="00546F0D" w:rsidP="00C62EC0">
      <w:pPr>
        <w:ind w:left="720"/>
        <w:rPr>
          <w:rFonts w:ascii="Calibri" w:hAnsi="Calibri" w:cs="Calibri"/>
          <w:color w:val="000000" w:themeColor="text1"/>
        </w:rPr>
      </w:pPr>
      <w:r w:rsidRPr="001C58C6">
        <w:rPr>
          <w:rFonts w:ascii="Calibri" w:hAnsi="Calibri" w:cs="Calibri"/>
          <w:color w:val="000000" w:themeColor="text1"/>
        </w:rPr>
        <w:t>19) European Space Strategy / A Space Strategy for Europe;</w:t>
      </w:r>
    </w:p>
    <w:p w14:paraId="194F2B91" w14:textId="77777777" w:rsidR="00546F0D" w:rsidRPr="001C58C6" w:rsidRDefault="00546F0D" w:rsidP="00C62EC0">
      <w:pPr>
        <w:ind w:left="720"/>
        <w:rPr>
          <w:rFonts w:ascii="Calibri" w:hAnsi="Calibri" w:cs="Calibri"/>
          <w:color w:val="000000" w:themeColor="text1"/>
        </w:rPr>
      </w:pPr>
      <w:r w:rsidRPr="001C58C6">
        <w:rPr>
          <w:rFonts w:ascii="Calibri" w:hAnsi="Calibri" w:cs="Calibri"/>
          <w:color w:val="000000" w:themeColor="text1"/>
        </w:rPr>
        <w:t>20) Industrial Carbon Management Strategy;</w:t>
      </w:r>
    </w:p>
    <w:p w14:paraId="0D47188B" w14:textId="77777777" w:rsidR="00546F0D" w:rsidRPr="001C58C6" w:rsidRDefault="00546F0D" w:rsidP="00C62EC0">
      <w:pPr>
        <w:ind w:left="720"/>
        <w:rPr>
          <w:rFonts w:ascii="Calibri" w:hAnsi="Calibri" w:cs="Calibri"/>
          <w:color w:val="000000" w:themeColor="text1"/>
        </w:rPr>
      </w:pPr>
      <w:r w:rsidRPr="001C58C6">
        <w:rPr>
          <w:rFonts w:ascii="Calibri" w:hAnsi="Calibri" w:cs="Calibri"/>
          <w:color w:val="000000" w:themeColor="text1"/>
        </w:rPr>
        <w:t>21) The Sustainable Carbon Cycles Communication;</w:t>
      </w:r>
    </w:p>
    <w:p w14:paraId="7B854F2E" w14:textId="77777777" w:rsidR="00546F0D" w:rsidRPr="001C58C6" w:rsidRDefault="00546F0D" w:rsidP="00C62EC0">
      <w:pPr>
        <w:ind w:left="720"/>
        <w:rPr>
          <w:rFonts w:ascii="Calibri" w:hAnsi="Calibri" w:cs="Calibri"/>
          <w:color w:val="000000" w:themeColor="text1"/>
        </w:rPr>
      </w:pPr>
      <w:r w:rsidRPr="001C58C6">
        <w:rPr>
          <w:rFonts w:ascii="Calibri" w:hAnsi="Calibri" w:cs="Calibri"/>
          <w:color w:val="000000" w:themeColor="text1"/>
        </w:rPr>
        <w:t>22) A Roadmap for moving to a competitive low carbon economy in 2050, COM(2011) 112 final;</w:t>
      </w:r>
    </w:p>
    <w:p w14:paraId="443B8AE0" w14:textId="77777777" w:rsidR="00546F0D" w:rsidRPr="001C58C6" w:rsidRDefault="00546F0D" w:rsidP="00C62EC0">
      <w:pPr>
        <w:ind w:left="720"/>
        <w:rPr>
          <w:rFonts w:ascii="Calibri" w:hAnsi="Calibri" w:cs="Calibri"/>
          <w:color w:val="000000" w:themeColor="text1"/>
        </w:rPr>
      </w:pPr>
      <w:r w:rsidRPr="001C58C6">
        <w:rPr>
          <w:rFonts w:ascii="Calibri" w:hAnsi="Calibri" w:cs="Calibri"/>
          <w:color w:val="000000" w:themeColor="text1"/>
        </w:rPr>
        <w:t>23) A Strategic Framework for a Competitive and Sustainable EU Bioeconomy;</w:t>
      </w:r>
    </w:p>
    <w:p w14:paraId="3B4B9442" w14:textId="77777777" w:rsidR="00546F0D" w:rsidRPr="001C58C6" w:rsidRDefault="00546F0D" w:rsidP="00C62EC0">
      <w:pPr>
        <w:ind w:left="720"/>
        <w:rPr>
          <w:rFonts w:ascii="Calibri" w:hAnsi="Calibri" w:cs="Calibri"/>
          <w:color w:val="000000" w:themeColor="text1"/>
        </w:rPr>
      </w:pPr>
      <w:r w:rsidRPr="001C58C6">
        <w:rPr>
          <w:rFonts w:ascii="Calibri" w:hAnsi="Calibri" w:cs="Calibri"/>
          <w:color w:val="000000" w:themeColor="text1"/>
        </w:rPr>
        <w:t>24) EU Bioeconomy Strategy 2030;</w:t>
      </w:r>
    </w:p>
    <w:p w14:paraId="5D837C7F" w14:textId="77777777" w:rsidR="00546F0D" w:rsidRPr="001C58C6" w:rsidRDefault="00546F0D" w:rsidP="00C62EC0">
      <w:pPr>
        <w:ind w:left="720"/>
        <w:rPr>
          <w:rFonts w:ascii="Calibri" w:hAnsi="Calibri" w:cs="Calibri"/>
          <w:color w:val="000000" w:themeColor="text1"/>
        </w:rPr>
      </w:pPr>
      <w:r w:rsidRPr="001C58C6">
        <w:rPr>
          <w:rFonts w:ascii="Calibri" w:hAnsi="Calibri" w:cs="Calibri"/>
          <w:color w:val="000000" w:themeColor="text1"/>
        </w:rPr>
        <w:t>25) Innovating for Sustainable Growth: A Bioeconomy for Europe;</w:t>
      </w:r>
    </w:p>
    <w:p w14:paraId="184BE9C8" w14:textId="77777777" w:rsidR="00546F0D" w:rsidRPr="001C58C6" w:rsidRDefault="00546F0D" w:rsidP="00C62EC0">
      <w:pPr>
        <w:ind w:left="720"/>
        <w:rPr>
          <w:rFonts w:ascii="Calibri" w:hAnsi="Calibri" w:cs="Calibri"/>
          <w:color w:val="000000" w:themeColor="text1"/>
        </w:rPr>
      </w:pPr>
      <w:r w:rsidRPr="001C58C6">
        <w:rPr>
          <w:rFonts w:ascii="Calibri" w:hAnsi="Calibri" w:cs="Calibri"/>
          <w:color w:val="000000" w:themeColor="text1"/>
        </w:rPr>
        <w:t>26) A Clean Planet for all - A European strategic long-term vision for a prosperous, modern, competitive and climate neutral economy;</w:t>
      </w:r>
    </w:p>
    <w:p w14:paraId="335468BC" w14:textId="77777777" w:rsidR="00546F0D" w:rsidRPr="001C58C6" w:rsidRDefault="00546F0D" w:rsidP="00C62EC0">
      <w:pPr>
        <w:ind w:left="720"/>
        <w:rPr>
          <w:rFonts w:ascii="Calibri" w:hAnsi="Calibri" w:cs="Calibri"/>
          <w:color w:val="000000" w:themeColor="text1"/>
        </w:rPr>
      </w:pPr>
      <w:r w:rsidRPr="001C58C6">
        <w:rPr>
          <w:rFonts w:ascii="Calibri" w:hAnsi="Calibri" w:cs="Calibri"/>
          <w:color w:val="000000" w:themeColor="text1"/>
        </w:rPr>
        <w:t>27) Going Climate-Neutral by 2050: A Strategic Long-Term Vision for a Prosperous, Modern, Competitive and Climate-Neutral EU Economy;</w:t>
      </w:r>
    </w:p>
    <w:p w14:paraId="4842CE49" w14:textId="77777777" w:rsidR="00546F0D" w:rsidRPr="001C58C6" w:rsidRDefault="00546F0D" w:rsidP="00C62EC0">
      <w:pPr>
        <w:ind w:left="720"/>
        <w:rPr>
          <w:rFonts w:ascii="Calibri" w:hAnsi="Calibri" w:cs="Calibri"/>
          <w:color w:val="000000" w:themeColor="text1"/>
        </w:rPr>
      </w:pPr>
      <w:r w:rsidRPr="001C58C6">
        <w:rPr>
          <w:rFonts w:ascii="Calibri" w:hAnsi="Calibri" w:cs="Calibri"/>
          <w:color w:val="000000" w:themeColor="text1"/>
        </w:rPr>
        <w:t>28) Occupational Safety and Health Strategy;</w:t>
      </w:r>
    </w:p>
    <w:p w14:paraId="45F0A621" w14:textId="77777777" w:rsidR="00546F0D" w:rsidRPr="001C58C6" w:rsidRDefault="00546F0D" w:rsidP="00C62EC0">
      <w:pPr>
        <w:ind w:left="720"/>
        <w:rPr>
          <w:rFonts w:ascii="Calibri" w:hAnsi="Calibri" w:cs="Calibri"/>
          <w:color w:val="000000" w:themeColor="text1"/>
        </w:rPr>
      </w:pPr>
      <w:r w:rsidRPr="001C58C6">
        <w:rPr>
          <w:rFonts w:ascii="Calibri" w:hAnsi="Calibri" w:cs="Calibri"/>
          <w:color w:val="000000" w:themeColor="text1"/>
        </w:rPr>
        <w:t>29) The EU strategic framework on health and safety at work 2021-2027;</w:t>
      </w:r>
    </w:p>
    <w:p w14:paraId="3C221123" w14:textId="77777777" w:rsidR="00546F0D" w:rsidRPr="001C58C6" w:rsidRDefault="00546F0D" w:rsidP="00C62EC0">
      <w:pPr>
        <w:ind w:left="720"/>
        <w:rPr>
          <w:rFonts w:ascii="Calibri" w:hAnsi="Calibri" w:cs="Calibri"/>
          <w:color w:val="000000" w:themeColor="text1"/>
        </w:rPr>
      </w:pPr>
      <w:r w:rsidRPr="001C58C6">
        <w:rPr>
          <w:rFonts w:ascii="Calibri" w:hAnsi="Calibri" w:cs="Calibri"/>
          <w:color w:val="000000" w:themeColor="text1"/>
        </w:rPr>
        <w:t>30) EU space strategy for security and defence;</w:t>
      </w:r>
    </w:p>
    <w:p w14:paraId="01F83AB2" w14:textId="77777777" w:rsidR="00546F0D" w:rsidRPr="001C58C6" w:rsidRDefault="00546F0D" w:rsidP="00C62EC0">
      <w:pPr>
        <w:ind w:left="720"/>
        <w:rPr>
          <w:rFonts w:ascii="Calibri" w:hAnsi="Calibri" w:cs="Calibri"/>
          <w:color w:val="000000" w:themeColor="text1"/>
        </w:rPr>
      </w:pPr>
      <w:r w:rsidRPr="001C58C6">
        <w:rPr>
          <w:rFonts w:ascii="Calibri" w:hAnsi="Calibri" w:cs="Calibri"/>
          <w:color w:val="000000" w:themeColor="text1"/>
        </w:rPr>
        <w:t>31) A European Strategy for Low-Emission Mobility;</w:t>
      </w:r>
    </w:p>
    <w:p w14:paraId="2AF05D03" w14:textId="77777777" w:rsidR="00546F0D" w:rsidRPr="001C58C6" w:rsidRDefault="00546F0D" w:rsidP="00C62EC0">
      <w:pPr>
        <w:ind w:left="720"/>
        <w:rPr>
          <w:rFonts w:ascii="Calibri" w:hAnsi="Calibri" w:cs="Calibri"/>
          <w:color w:val="000000" w:themeColor="text1"/>
        </w:rPr>
      </w:pPr>
      <w:r w:rsidRPr="001C58C6">
        <w:rPr>
          <w:rFonts w:ascii="Calibri" w:hAnsi="Calibri" w:cs="Calibri"/>
          <w:color w:val="000000" w:themeColor="text1"/>
        </w:rPr>
        <w:t>32) EU Action Plan on Drone and Counter-Drone Security;</w:t>
      </w:r>
    </w:p>
    <w:p w14:paraId="622D0538" w14:textId="77777777" w:rsidR="00546F0D" w:rsidRPr="001C58C6" w:rsidRDefault="00546F0D" w:rsidP="00C62EC0">
      <w:pPr>
        <w:ind w:left="720"/>
        <w:rPr>
          <w:rFonts w:ascii="Calibri" w:hAnsi="Calibri" w:cs="Calibri"/>
          <w:color w:val="000000" w:themeColor="text1"/>
        </w:rPr>
      </w:pPr>
      <w:r w:rsidRPr="001C58C6">
        <w:rPr>
          <w:rFonts w:ascii="Calibri" w:hAnsi="Calibri" w:cs="Calibri"/>
          <w:color w:val="000000" w:themeColor="text1"/>
        </w:rPr>
        <w:t>33) The European Drone Strategy 2.0.</w:t>
      </w:r>
    </w:p>
    <w:p w14:paraId="742E30F9" w14:textId="77777777" w:rsidR="00546F0D" w:rsidRPr="001C58C6" w:rsidRDefault="00546F0D" w:rsidP="00546F0D">
      <w:pPr>
        <w:rPr>
          <w:rFonts w:ascii="Calibri" w:hAnsi="Calibri" w:cs="Calibri"/>
          <w:color w:val="000000" w:themeColor="text1"/>
        </w:rPr>
      </w:pPr>
    </w:p>
    <w:p w14:paraId="2B19B56C" w14:textId="77777777" w:rsidR="00546F0D" w:rsidRPr="001C58C6" w:rsidRDefault="00546F0D" w:rsidP="00546F0D">
      <w:pPr>
        <w:rPr>
          <w:rFonts w:ascii="Calibri" w:hAnsi="Calibri" w:cs="Calibri"/>
          <w:color w:val="000000" w:themeColor="text1"/>
        </w:rPr>
      </w:pPr>
      <w:r w:rsidRPr="001C58C6">
        <w:rPr>
          <w:rFonts w:ascii="Calibri" w:hAnsi="Calibri" w:cs="Calibri"/>
          <w:color w:val="000000" w:themeColor="text1"/>
        </w:rPr>
        <w:t>U nacionalnom strateškom okviru, Strategija se povezuje i sa sljedećim dokumentima koji su relevantni za pravce razvoja u oblasti životne sredine, klimatskih promjena, energetike, otpada, voda, šumarstva i biodiverziteta:</w:t>
      </w:r>
    </w:p>
    <w:p w14:paraId="1451B88B" w14:textId="77777777" w:rsidR="00546F0D" w:rsidRPr="001C58C6" w:rsidRDefault="00546F0D" w:rsidP="00546F0D">
      <w:pPr>
        <w:rPr>
          <w:rFonts w:ascii="Calibri" w:hAnsi="Calibri" w:cs="Calibri"/>
          <w:color w:val="000000" w:themeColor="text1"/>
        </w:rPr>
      </w:pPr>
    </w:p>
    <w:p w14:paraId="1E216AD7" w14:textId="77777777" w:rsidR="00546F0D" w:rsidRPr="001C58C6" w:rsidRDefault="00546F0D" w:rsidP="00C62EC0">
      <w:pPr>
        <w:ind w:left="720"/>
        <w:rPr>
          <w:rFonts w:ascii="Calibri" w:hAnsi="Calibri" w:cs="Calibri"/>
          <w:color w:val="000000" w:themeColor="text1"/>
        </w:rPr>
      </w:pPr>
      <w:r w:rsidRPr="001C58C6">
        <w:rPr>
          <w:rFonts w:ascii="Calibri" w:hAnsi="Calibri" w:cs="Calibri"/>
          <w:color w:val="000000" w:themeColor="text1"/>
        </w:rPr>
        <w:t>1) Ažurirani nacionalno utvrđeni doprinos Crne Gore za 2030. i 2035. godinu;</w:t>
      </w:r>
    </w:p>
    <w:p w14:paraId="030C7261" w14:textId="77777777" w:rsidR="00546F0D" w:rsidRPr="001C58C6" w:rsidRDefault="00546F0D" w:rsidP="00C62EC0">
      <w:pPr>
        <w:ind w:left="720"/>
        <w:rPr>
          <w:rFonts w:ascii="Calibri" w:hAnsi="Calibri" w:cs="Calibri"/>
          <w:color w:val="000000" w:themeColor="text1"/>
        </w:rPr>
      </w:pPr>
      <w:r w:rsidRPr="001C58C6">
        <w:rPr>
          <w:rFonts w:ascii="Calibri" w:hAnsi="Calibri" w:cs="Calibri"/>
          <w:color w:val="000000" w:themeColor="text1"/>
        </w:rPr>
        <w:t>2) Nacionalni plan Crne Gore za prilagođavanje na klimatske promjene 2025-2035, sa Akcionim planom 2025-2027;</w:t>
      </w:r>
    </w:p>
    <w:p w14:paraId="0F8CB687" w14:textId="77777777" w:rsidR="00546F0D" w:rsidRPr="001C58C6" w:rsidRDefault="00546F0D" w:rsidP="00C62EC0">
      <w:pPr>
        <w:ind w:left="720"/>
        <w:rPr>
          <w:rFonts w:ascii="Calibri" w:hAnsi="Calibri" w:cs="Calibri"/>
          <w:color w:val="000000" w:themeColor="text1"/>
        </w:rPr>
      </w:pPr>
      <w:r w:rsidRPr="001C58C6">
        <w:rPr>
          <w:rFonts w:ascii="Calibri" w:hAnsi="Calibri" w:cs="Calibri"/>
          <w:color w:val="000000" w:themeColor="text1"/>
        </w:rPr>
        <w:t>3) Državni plan upravljanja otpadom 2025-2029;</w:t>
      </w:r>
    </w:p>
    <w:p w14:paraId="244310DE" w14:textId="77777777" w:rsidR="00546F0D" w:rsidRPr="001C58C6" w:rsidRDefault="00546F0D" w:rsidP="00C62EC0">
      <w:pPr>
        <w:ind w:left="720"/>
        <w:rPr>
          <w:rFonts w:ascii="Calibri" w:hAnsi="Calibri" w:cs="Calibri"/>
          <w:color w:val="000000" w:themeColor="text1"/>
        </w:rPr>
      </w:pPr>
      <w:r w:rsidRPr="001C58C6">
        <w:rPr>
          <w:rFonts w:ascii="Calibri" w:hAnsi="Calibri" w:cs="Calibri"/>
          <w:color w:val="000000" w:themeColor="text1"/>
        </w:rPr>
        <w:t>4) Plan upravljanja komunalnim otpadnim vodama do 2030. godine;</w:t>
      </w:r>
    </w:p>
    <w:p w14:paraId="3BEAEB7E" w14:textId="77777777" w:rsidR="00546F0D" w:rsidRPr="001C58C6" w:rsidRDefault="00546F0D" w:rsidP="00C62EC0">
      <w:pPr>
        <w:ind w:left="720"/>
        <w:rPr>
          <w:rFonts w:ascii="Calibri" w:hAnsi="Calibri" w:cs="Calibri"/>
          <w:color w:val="000000" w:themeColor="text1"/>
        </w:rPr>
      </w:pPr>
      <w:r w:rsidRPr="001C58C6">
        <w:rPr>
          <w:rFonts w:ascii="Calibri" w:hAnsi="Calibri" w:cs="Calibri"/>
          <w:color w:val="000000" w:themeColor="text1"/>
        </w:rPr>
        <w:t>5) Nacionalni akcioni plan protiv ilegalnog ubijanja, uzimanja i trgovine pticama selicama 2025-2030;</w:t>
      </w:r>
    </w:p>
    <w:p w14:paraId="3E590841" w14:textId="77777777" w:rsidR="00546F0D" w:rsidRPr="001C58C6" w:rsidRDefault="00546F0D" w:rsidP="00C62EC0">
      <w:pPr>
        <w:ind w:left="720"/>
        <w:rPr>
          <w:rFonts w:ascii="Calibri" w:hAnsi="Calibri" w:cs="Calibri"/>
          <w:color w:val="000000" w:themeColor="text1"/>
        </w:rPr>
      </w:pPr>
      <w:r w:rsidRPr="001C58C6">
        <w:rPr>
          <w:rFonts w:ascii="Calibri" w:hAnsi="Calibri" w:cs="Calibri"/>
          <w:color w:val="000000" w:themeColor="text1"/>
        </w:rPr>
        <w:t>6) Program podsticanja inovacija energetske efikasnosti u industriji;</w:t>
      </w:r>
    </w:p>
    <w:p w14:paraId="789E8A64" w14:textId="77777777" w:rsidR="00546F0D" w:rsidRPr="001C58C6" w:rsidRDefault="00546F0D" w:rsidP="00C62EC0">
      <w:pPr>
        <w:ind w:left="720"/>
        <w:rPr>
          <w:rFonts w:ascii="Calibri" w:hAnsi="Calibri" w:cs="Calibri"/>
          <w:color w:val="000000" w:themeColor="text1"/>
        </w:rPr>
      </w:pPr>
      <w:r w:rsidRPr="001C58C6">
        <w:rPr>
          <w:rFonts w:ascii="Calibri" w:hAnsi="Calibri" w:cs="Calibri"/>
          <w:color w:val="000000" w:themeColor="text1"/>
        </w:rPr>
        <w:t>7) Nacionalna šumarska politika Crne Gore.</w:t>
      </w:r>
    </w:p>
    <w:p w14:paraId="753003EE" w14:textId="77777777" w:rsidR="00546F0D" w:rsidRPr="001C58C6" w:rsidRDefault="00546F0D" w:rsidP="00546F0D">
      <w:pPr>
        <w:rPr>
          <w:rFonts w:ascii="Calibri" w:hAnsi="Calibri" w:cs="Calibri"/>
          <w:color w:val="000000" w:themeColor="text1"/>
        </w:rPr>
      </w:pPr>
    </w:p>
    <w:p w14:paraId="4E13A6FD" w14:textId="77777777" w:rsidR="00546F0D" w:rsidRPr="001C58C6" w:rsidRDefault="00546F0D" w:rsidP="00546F0D">
      <w:pPr>
        <w:rPr>
          <w:rFonts w:ascii="Calibri" w:hAnsi="Calibri" w:cs="Calibri"/>
          <w:color w:val="000000" w:themeColor="text1"/>
        </w:rPr>
      </w:pPr>
      <w:r w:rsidRPr="001C58C6">
        <w:rPr>
          <w:rFonts w:ascii="Calibri" w:hAnsi="Calibri" w:cs="Calibri"/>
          <w:color w:val="000000" w:themeColor="text1"/>
        </w:rPr>
        <w:t>Veza sa navedenim dokumentima posebno je značajna za aktivnosti koje se finansiraju ili sprovode kroz druge sektorske politike. Zbog toga se u Akcionom planu i Programu mjera, kada je aktivnost preuzeta ili neposredno povezana sa drugim strateškim dokumentom, mora navesti izvor politike i izvor finansiranja, kako bi se izbjeglo dupliranje obaveza i budžetskih izdataka.</w:t>
      </w:r>
    </w:p>
    <w:p w14:paraId="62FA168B" w14:textId="77777777" w:rsidR="00546F0D" w:rsidRPr="001C58C6" w:rsidRDefault="00546F0D" w:rsidP="00546F0D">
      <w:pPr>
        <w:pStyle w:val="Heading3"/>
        <w:rPr>
          <w:rFonts w:ascii="Calibri" w:hAnsi="Calibri" w:cs="Calibri"/>
          <w:color w:val="000000" w:themeColor="text1"/>
        </w:rPr>
      </w:pPr>
      <w:bookmarkStart w:id="47" w:name="_Toc233711734"/>
      <w:r w:rsidRPr="001C58C6">
        <w:rPr>
          <w:rFonts w:ascii="Calibri" w:hAnsi="Calibri" w:cs="Calibri"/>
          <w:color w:val="000000" w:themeColor="text1"/>
        </w:rPr>
        <w:lastRenderedPageBreak/>
        <w:t>Usklađenost sa krovnim i sektorskim strateškim dokumentima</w:t>
      </w:r>
      <w:bookmarkEnd w:id="47"/>
    </w:p>
    <w:p w14:paraId="2F3FBC25" w14:textId="77777777" w:rsidR="00546F0D" w:rsidRDefault="00546F0D" w:rsidP="00546F0D">
      <w:pPr>
        <w:rPr>
          <w:rFonts w:ascii="Calibri" w:hAnsi="Calibri" w:cs="Calibri"/>
          <w:color w:val="000000" w:themeColor="text1"/>
        </w:rPr>
      </w:pPr>
      <w:r w:rsidRPr="001C58C6">
        <w:rPr>
          <w:rFonts w:ascii="Calibri" w:hAnsi="Calibri" w:cs="Calibri"/>
          <w:color w:val="000000" w:themeColor="text1"/>
        </w:rPr>
        <w:t>Strategija je usklađena sa Nacionalnom strategijom održivog razvoja do 2030. godine, naročito sa tematskim područjem koje se odnosi na očuvanje prirodnog kapitala i ciljem zaustavljanja degradacije obnovljivih prirodnih resursa, uključujući vazduh, vodu, zemljište i biodiverzitet. Posebno su relevantni ciljevi održivog razvoja SDG 3.9, koji se odnosi na smanjenje obolijevanja i smrtnosti usljed zagađenja vazduha, vode i zemljišta, i SDG 11.6, koji se odnosi na smanjenje negativnih uticaja gradova po glavi stanovnika, uključujući kvalitet vazduha.</w:t>
      </w:r>
    </w:p>
    <w:p w14:paraId="24F16682" w14:textId="77777777" w:rsidR="00C7424E" w:rsidRDefault="00C7424E" w:rsidP="00546F0D">
      <w:pPr>
        <w:rPr>
          <w:rFonts w:ascii="Calibri" w:hAnsi="Calibri" w:cs="Calibri"/>
          <w:color w:val="000000" w:themeColor="text1"/>
        </w:rPr>
      </w:pPr>
    </w:p>
    <w:p w14:paraId="37F4CF6B" w14:textId="6094D80D" w:rsidR="008B030B" w:rsidRDefault="008B030B" w:rsidP="00546F0D">
      <w:pPr>
        <w:rPr>
          <w:rFonts w:ascii="Calibri" w:hAnsi="Calibri" w:cs="Calibri"/>
          <w:color w:val="000000" w:themeColor="text1"/>
        </w:rPr>
      </w:pPr>
      <w:r w:rsidRPr="008B030B">
        <w:rPr>
          <w:rFonts w:ascii="Calibri" w:hAnsi="Calibri" w:cs="Calibri"/>
          <w:color w:val="000000" w:themeColor="text1"/>
        </w:rPr>
        <w:t>Strategija neposredno doprinosi ostvarivanju strateškog cilja NSOR koji se odnosi na zaustavljanje degradacije prirodnog kapitala kroz smanjenje zagađenja vazduha, unapređenje kvaliteta života stanovništva i očuvanje ekosistema.</w:t>
      </w:r>
    </w:p>
    <w:p w14:paraId="66E50C40" w14:textId="77777777" w:rsidR="00C7424E" w:rsidRPr="001C58C6" w:rsidRDefault="00C7424E" w:rsidP="00546F0D">
      <w:pPr>
        <w:rPr>
          <w:rFonts w:ascii="Calibri" w:hAnsi="Calibri" w:cs="Calibri"/>
          <w:color w:val="000000" w:themeColor="text1"/>
        </w:rPr>
      </w:pPr>
    </w:p>
    <w:p w14:paraId="3B21B5A0" w14:textId="77777777" w:rsidR="00546F0D" w:rsidRDefault="00546F0D" w:rsidP="00546F0D">
      <w:pPr>
        <w:rPr>
          <w:rFonts w:ascii="Calibri" w:hAnsi="Calibri" w:cs="Calibri"/>
          <w:color w:val="000000" w:themeColor="text1"/>
        </w:rPr>
      </w:pPr>
      <w:r w:rsidRPr="001C58C6">
        <w:rPr>
          <w:rFonts w:ascii="Calibri" w:hAnsi="Calibri" w:cs="Calibri"/>
          <w:color w:val="000000" w:themeColor="text1"/>
        </w:rPr>
        <w:t>Strategija doprinosi ostvarivanju Srednjoročnog programa rada Vlade 2024-2027 i Programa rada Vlade za 2026. godinu u dijelu ispunjavanja mjerila iz Poglavlja 27 - Životna sredina i klimatske promjene, kontrole zagađenja vazduha, sanacije ekoloških opterećenja i unapređenja sistema monitoringa i izvještavanja. U odnosu na Reformsku agendu Crne Gore, Strategija je povezana sa mjerama energetske efikasnosti, energetskog siromaštva, pravedne tranzicije regiona uglja Pljevlja i dekarbonizacije sektora energetike.</w:t>
      </w:r>
    </w:p>
    <w:p w14:paraId="1E792643" w14:textId="77777777" w:rsidR="00C7424E" w:rsidRPr="001C58C6" w:rsidRDefault="00C7424E" w:rsidP="00546F0D">
      <w:pPr>
        <w:rPr>
          <w:rFonts w:ascii="Calibri" w:hAnsi="Calibri" w:cs="Calibri"/>
          <w:color w:val="000000" w:themeColor="text1"/>
        </w:rPr>
      </w:pPr>
    </w:p>
    <w:p w14:paraId="1741A154" w14:textId="77777777" w:rsidR="00546F0D" w:rsidRDefault="00546F0D" w:rsidP="00546F0D">
      <w:pPr>
        <w:rPr>
          <w:rFonts w:ascii="Calibri" w:hAnsi="Calibri" w:cs="Calibri"/>
          <w:color w:val="000000" w:themeColor="text1"/>
        </w:rPr>
      </w:pPr>
      <w:r w:rsidRPr="001C58C6">
        <w:rPr>
          <w:rFonts w:ascii="Calibri" w:hAnsi="Calibri" w:cs="Calibri"/>
          <w:color w:val="000000" w:themeColor="text1"/>
        </w:rPr>
        <w:t>U odnosu na Nacionalni energetski i klimatski plan, Strategija preuzima i koristi samo one mjere koje imaju neposredan efekat na smanjenje emisija zagađujućih materija ili poboljšanje kvaliteta vazduha. Kada je mjera preuzeta iz NEKP-a, Reformske agende, Industrijske politike ili drugog sektorskog dokumenta, u Akcionom planu se posebno naznačava da se finansiranje te mjere obezbjeđuje kroz izvor iz tog dokumenta i da ne predstavlja dodatni paket finansiranja Strategije upravljanja kvalitetom vazduha.</w:t>
      </w:r>
    </w:p>
    <w:p w14:paraId="30EBF4E3" w14:textId="77777777" w:rsidR="00C7424E" w:rsidRPr="001C58C6" w:rsidRDefault="00C7424E" w:rsidP="00546F0D">
      <w:pPr>
        <w:rPr>
          <w:rFonts w:ascii="Calibri" w:hAnsi="Calibri" w:cs="Calibri"/>
          <w:color w:val="000000" w:themeColor="text1"/>
        </w:rPr>
      </w:pPr>
    </w:p>
    <w:p w14:paraId="4BD6E410" w14:textId="77777777" w:rsidR="00546F0D" w:rsidRDefault="00546F0D" w:rsidP="00546F0D">
      <w:pPr>
        <w:rPr>
          <w:rFonts w:ascii="Calibri" w:hAnsi="Calibri" w:cs="Calibri"/>
          <w:color w:val="000000" w:themeColor="text1"/>
        </w:rPr>
      </w:pPr>
      <w:r w:rsidRPr="001C58C6">
        <w:rPr>
          <w:rFonts w:ascii="Calibri" w:hAnsi="Calibri" w:cs="Calibri"/>
          <w:color w:val="000000" w:themeColor="text1"/>
        </w:rPr>
        <w:t>Strategija je horizontalno povezana i sa Programom ekonomskih reformi, Strategijom pametne specijalizacije, Industrijskom politikom, strategijama iz oblasti energetike, saobraćaja, šumarstva, poljoprivrede, upravljanja otpadom, zaštite prirode i javnog zdravlja. Ova veza je važna radi izbjegavanja preklapanja finansiranja i obaveza, ali i radi praćenja kumulativnih efekata sektorskih mjera na kvalitet vazduha.</w:t>
      </w:r>
    </w:p>
    <w:p w14:paraId="16751875" w14:textId="77777777" w:rsidR="008B030B" w:rsidRDefault="008B030B" w:rsidP="00546F0D">
      <w:pPr>
        <w:rPr>
          <w:rFonts w:ascii="Calibri" w:hAnsi="Calibri" w:cs="Calibri"/>
          <w:color w:val="000000" w:themeColor="text1"/>
        </w:rPr>
      </w:pPr>
    </w:p>
    <w:p w14:paraId="2DC71613" w14:textId="74E77B43" w:rsidR="008B030B" w:rsidRDefault="008B030B" w:rsidP="00546F0D">
      <w:pPr>
        <w:rPr>
          <w:rFonts w:ascii="Calibri" w:hAnsi="Calibri" w:cs="Calibri"/>
          <w:color w:val="000000" w:themeColor="text1"/>
        </w:rPr>
      </w:pPr>
      <w:r>
        <w:rPr>
          <w:rFonts w:ascii="Calibri" w:hAnsi="Calibri" w:cs="Calibri"/>
          <w:color w:val="000000" w:themeColor="text1"/>
        </w:rPr>
        <w:t>Tako</w:t>
      </w:r>
      <w:r>
        <w:rPr>
          <w:rFonts w:ascii="Calibri" w:hAnsi="Calibri" w:cs="Calibri"/>
          <w:color w:val="000000" w:themeColor="text1"/>
          <w:lang w:val="en-GB"/>
        </w:rPr>
        <w:t>đe, m</w:t>
      </w:r>
      <w:r w:rsidRPr="008B030B">
        <w:rPr>
          <w:rFonts w:ascii="Calibri" w:hAnsi="Calibri" w:cs="Calibri"/>
          <w:color w:val="000000" w:themeColor="text1"/>
        </w:rPr>
        <w:t>jere energetske efikasnosti, dekarbonizacije, razvoja OIE i unapređenja kvaliteta vazduha doprinose ostvarivanju reformskih prioriteta definisanih Programom ekonomskih reformi kroz povećanje konkurentnosti, zelenu tranziciju i smanjenje zdravstvenih troškova izazvanih zagađenjem vazduha.</w:t>
      </w:r>
    </w:p>
    <w:p w14:paraId="6D248918" w14:textId="77777777" w:rsidR="008B030B" w:rsidRPr="001C58C6" w:rsidRDefault="008B030B" w:rsidP="00546F0D">
      <w:pPr>
        <w:rPr>
          <w:rFonts w:ascii="Calibri" w:hAnsi="Calibri" w:cs="Calibri"/>
          <w:color w:val="000000" w:themeColor="text1"/>
        </w:rPr>
      </w:pPr>
    </w:p>
    <w:p w14:paraId="0DF81DC5" w14:textId="77777777" w:rsidR="00546F0D" w:rsidRPr="001C58C6" w:rsidRDefault="00546F0D" w:rsidP="00546F0D">
      <w:pPr>
        <w:rPr>
          <w:rFonts w:ascii="Calibri" w:hAnsi="Calibri" w:cs="Calibri"/>
          <w:color w:val="000000" w:themeColor="text1"/>
        </w:rPr>
      </w:pPr>
      <w:r w:rsidRPr="001C58C6">
        <w:rPr>
          <w:rFonts w:ascii="Calibri" w:hAnsi="Calibri" w:cs="Calibri"/>
          <w:color w:val="000000" w:themeColor="text1"/>
        </w:rPr>
        <w:t>Usklađenost sa međunarodnim obavezama dodatno se sagledava kroz Konvenciju o prekograničnom zagađivanju vazduha na velikim udaljenostima, Geteborški protokol, Zelenu agendu za Zapadni Balkan, Program LIFE, globalni okvir za biodiverzitet, relevantne konvencije iz oblasti zaštite prirode i standarde prava na čistu, zdravu i održivu životnu sredinu.</w:t>
      </w:r>
    </w:p>
    <w:p w14:paraId="029ACDE3" w14:textId="77777777" w:rsidR="00546F0D" w:rsidRPr="001C58C6" w:rsidRDefault="00546F0D" w:rsidP="00546F0D">
      <w:pPr>
        <w:rPr>
          <w:rFonts w:ascii="Calibri" w:hAnsi="Calibri" w:cs="Calibri"/>
          <w:color w:val="000000" w:themeColor="text1"/>
        </w:rPr>
      </w:pPr>
    </w:p>
    <w:p w14:paraId="07D91D3D" w14:textId="77777777" w:rsidR="00546F0D" w:rsidRDefault="00546F0D" w:rsidP="00546F0D">
      <w:pPr>
        <w:rPr>
          <w:rFonts w:ascii="Calibri" w:hAnsi="Calibri" w:cs="Calibri"/>
          <w:color w:val="000000" w:themeColor="text1"/>
        </w:rPr>
      </w:pPr>
      <w:r w:rsidRPr="001C58C6">
        <w:rPr>
          <w:rFonts w:ascii="Calibri" w:hAnsi="Calibri" w:cs="Calibri"/>
          <w:color w:val="000000" w:themeColor="text1"/>
        </w:rPr>
        <w:t xml:space="preserve">Dodatno, izrada predloga Strategije upravljanja kvalitetom vazduha za period 2026-2029. godina predviđena je Programom rada Vlade Crne Gore, Programom pristupanja Crne Gore Evropskoj uniji 2024-2027 u okviru pregovaračkog poglavlja 27 - Životna sredina i klimatske promjene, Akcionim planom za ispunjavanje završnih mjerila u Poglavlju 27, kao i Nacionalnim </w:t>
      </w:r>
      <w:r w:rsidRPr="001C58C6">
        <w:rPr>
          <w:rFonts w:ascii="Calibri" w:hAnsi="Calibri" w:cs="Calibri"/>
          <w:color w:val="000000" w:themeColor="text1"/>
        </w:rPr>
        <w:lastRenderedPageBreak/>
        <w:t>energetskim i klimatskim planom Crne Gore. Time se Strategija potvrđuje kao dokument koji povezuje nacionalno planiranje, evropske integracije i sektorske politike sa neposrednim ciljem poboljšanja kvaliteta vazduha.</w:t>
      </w:r>
    </w:p>
    <w:p w14:paraId="0DBFADC5" w14:textId="77777777" w:rsidR="008B030B" w:rsidRPr="001C58C6" w:rsidRDefault="008B030B" w:rsidP="00546F0D">
      <w:pPr>
        <w:rPr>
          <w:rFonts w:ascii="Calibri" w:hAnsi="Calibri" w:cs="Calibri"/>
          <w:color w:val="000000" w:themeColor="text1"/>
        </w:rPr>
      </w:pPr>
    </w:p>
    <w:p w14:paraId="2F43613D" w14:textId="77777777" w:rsidR="0067106D" w:rsidRPr="001C58C6" w:rsidRDefault="003A4E2F" w:rsidP="003A4E2F">
      <w:pPr>
        <w:pStyle w:val="Heading2"/>
        <w:rPr>
          <w:rStyle w:val="Emphasis"/>
          <w:rFonts w:ascii="Calibri" w:hAnsi="Calibri" w:cs="Calibri"/>
          <w:i w:val="0"/>
          <w:iCs w:val="0"/>
          <w:color w:val="000000" w:themeColor="text1"/>
        </w:rPr>
      </w:pPr>
      <w:bookmarkStart w:id="48" w:name="_Toc233711735"/>
      <w:r w:rsidRPr="001C58C6">
        <w:rPr>
          <w:rStyle w:val="Emphasis"/>
          <w:rFonts w:ascii="Calibri" w:hAnsi="Calibri" w:cs="Calibri"/>
          <w:i w:val="0"/>
          <w:iCs w:val="0"/>
          <w:color w:val="000000" w:themeColor="text1"/>
        </w:rPr>
        <w:t>1.7 MAPIRANJE ZAINTERESOVANIH STRANA</w:t>
      </w:r>
      <w:bookmarkEnd w:id="46"/>
      <w:bookmarkEnd w:id="48"/>
      <w:r w:rsidRPr="001C58C6">
        <w:rPr>
          <w:rStyle w:val="Emphasis"/>
          <w:rFonts w:ascii="Calibri" w:hAnsi="Calibri" w:cs="Calibri"/>
          <w:i w:val="0"/>
          <w:iCs w:val="0"/>
          <w:color w:val="000000" w:themeColor="text1"/>
        </w:rPr>
        <w:t xml:space="preserve"> </w:t>
      </w:r>
    </w:p>
    <w:p w14:paraId="46F634D8" w14:textId="77777777" w:rsidR="0067106D" w:rsidRPr="001C58C6" w:rsidRDefault="0067106D">
      <w:pPr>
        <w:rPr>
          <w:rFonts w:ascii="Calibri" w:hAnsi="Calibri" w:cs="Calibri"/>
          <w:color w:val="000000" w:themeColor="text1"/>
        </w:rPr>
      </w:pPr>
    </w:p>
    <w:p w14:paraId="6E562F4D" w14:textId="77777777" w:rsidR="008A14B6" w:rsidRDefault="00910DCF">
      <w:pPr>
        <w:rPr>
          <w:rFonts w:ascii="Calibri" w:hAnsi="Calibri" w:cs="Calibri"/>
          <w:color w:val="000000" w:themeColor="text1"/>
        </w:rPr>
      </w:pPr>
      <w:r w:rsidRPr="001C58C6">
        <w:rPr>
          <w:rFonts w:ascii="Calibri" w:hAnsi="Calibri" w:cs="Calibri"/>
          <w:color w:val="000000" w:themeColor="text1"/>
        </w:rPr>
        <w:t>Strategija upravljanja kvalitetom vazduha obuhvata širok spektar aktera jer zagađenje vazduha potiče iz različitih sektora, utiče na ukupno stanovništvo i zahtijeva horizontalnu i vertikalnu koordinaciju institucija. U nastavku su prikazane ključne grupe zainteresovanih strana, njihovi interesi i uticaji, kao i uloga u realizaciji strategije.</w:t>
      </w:r>
    </w:p>
    <w:p w14:paraId="17825251" w14:textId="77777777" w:rsidR="00C7424E" w:rsidRPr="001C58C6" w:rsidRDefault="00C7424E">
      <w:pPr>
        <w:rPr>
          <w:rFonts w:ascii="Calibri" w:hAnsi="Calibri" w:cs="Calibri"/>
          <w:color w:val="000000" w:themeColor="text1"/>
        </w:rPr>
      </w:pPr>
    </w:p>
    <w:p w14:paraId="7B61839F" w14:textId="77777777" w:rsidR="00DD041D" w:rsidRDefault="00DD041D" w:rsidP="00DD041D">
      <w:pPr>
        <w:rPr>
          <w:rFonts w:ascii="Calibri" w:hAnsi="Calibri" w:cs="Calibri"/>
          <w:color w:val="000000" w:themeColor="text1"/>
        </w:rPr>
      </w:pPr>
      <w:r w:rsidRPr="001C58C6">
        <w:rPr>
          <w:rFonts w:ascii="Calibri" w:hAnsi="Calibri" w:cs="Calibri"/>
          <w:color w:val="000000" w:themeColor="text1"/>
        </w:rPr>
        <w:t>Ministarstvo ekologije, održivog razvoja i razvoja sjevera ima centralnu koordinacionu ulogu u kreiranju politike zaštite vazduha, izradi propisa, nadzoru nad sprovođenjem mjera i ispunjavanju obaveza prema Evropskoj uniji. Agencija za zaštitu životne sredine ima ključnu tehničku i analitičku ulogu kroz praćenje kvaliteta vazduha, održavanje mreže mjernih stanica i izvještavanje prema javnosti, Evropskoj uniji i međunarodnim tijelima.</w:t>
      </w:r>
    </w:p>
    <w:p w14:paraId="6FFDDB76" w14:textId="77777777" w:rsidR="00C7424E" w:rsidRPr="001C58C6" w:rsidRDefault="00C7424E" w:rsidP="00DD041D">
      <w:pPr>
        <w:rPr>
          <w:rFonts w:ascii="Calibri" w:hAnsi="Calibri" w:cs="Calibri"/>
          <w:color w:val="000000" w:themeColor="text1"/>
        </w:rPr>
      </w:pPr>
    </w:p>
    <w:p w14:paraId="67036544" w14:textId="77777777" w:rsidR="00DD041D" w:rsidRDefault="00DD041D" w:rsidP="00DD041D">
      <w:pPr>
        <w:rPr>
          <w:rFonts w:ascii="Calibri" w:hAnsi="Calibri" w:cs="Calibri"/>
          <w:color w:val="000000" w:themeColor="text1"/>
        </w:rPr>
      </w:pPr>
      <w:r w:rsidRPr="001C58C6">
        <w:rPr>
          <w:rFonts w:ascii="Calibri" w:hAnsi="Calibri" w:cs="Calibri"/>
          <w:color w:val="000000" w:themeColor="text1"/>
        </w:rPr>
        <w:t>Ministarstvo energetike i rudarstva (MEIR) ima strateški značajnu ulogu kroz sprovođenje energetskih politika, Nacionalnog energetskog i klimatskog plana, mjera koje se odnose na rad TE Pljevlja, obnovljive izvore energije, energetsku efikasnost i energetsku tranziciju. Ministarstvo saobraćaja doprinosi smanjenju emisija iz saobraćaja kroz politike javnog transporta, održive mobilnosti i standarda za vozila, dok Ministarstvo finansija obezbjeđuje budžetsku podršku i oblikovanje fiskalnih politika za sprovođenje mjera.</w:t>
      </w:r>
    </w:p>
    <w:p w14:paraId="626B1E5D" w14:textId="77777777" w:rsidR="00C7424E" w:rsidRPr="001C58C6" w:rsidRDefault="00C7424E" w:rsidP="00DD041D">
      <w:pPr>
        <w:rPr>
          <w:rFonts w:ascii="Calibri" w:hAnsi="Calibri" w:cs="Calibri"/>
          <w:color w:val="000000" w:themeColor="text1"/>
        </w:rPr>
      </w:pPr>
    </w:p>
    <w:p w14:paraId="0850E14F" w14:textId="77777777" w:rsidR="00DD041D" w:rsidRDefault="00DD041D" w:rsidP="00DD041D">
      <w:pPr>
        <w:rPr>
          <w:rFonts w:ascii="Calibri" w:hAnsi="Calibri" w:cs="Calibri"/>
          <w:color w:val="000000" w:themeColor="text1"/>
        </w:rPr>
      </w:pPr>
      <w:r w:rsidRPr="001C58C6">
        <w:rPr>
          <w:rFonts w:ascii="Calibri" w:hAnsi="Calibri" w:cs="Calibri"/>
          <w:color w:val="000000" w:themeColor="text1"/>
        </w:rPr>
        <w:t>Ministarstvo evropskih poslova doprinosi ispunjavanju obaveza iz pregovaračkog poglavlja 27, dok jedinice lokalne samouprave imaju ključnu operativnu ulogu u izradi i sprovođenju lokalnih planova kvaliteta vazduha, mjerama grijanja, saobraćaja, urbanog planiranja i lokalnog informisanja javnosti. Zajednica opština Crne Gore podržava koordinaciju lokalnih politika i razmjenu dobrih praksi.</w:t>
      </w:r>
    </w:p>
    <w:p w14:paraId="7566C1BB" w14:textId="77777777" w:rsidR="00C7424E" w:rsidRPr="001C58C6" w:rsidRDefault="00C7424E" w:rsidP="00DD041D">
      <w:pPr>
        <w:rPr>
          <w:rFonts w:ascii="Calibri" w:hAnsi="Calibri" w:cs="Calibri"/>
          <w:color w:val="000000" w:themeColor="text1"/>
        </w:rPr>
      </w:pPr>
    </w:p>
    <w:p w14:paraId="21E053FD" w14:textId="77777777" w:rsidR="00DD041D" w:rsidRDefault="00DD041D" w:rsidP="00DD041D">
      <w:pPr>
        <w:rPr>
          <w:rFonts w:ascii="Calibri" w:hAnsi="Calibri" w:cs="Calibri"/>
          <w:color w:val="000000" w:themeColor="text1"/>
        </w:rPr>
      </w:pPr>
      <w:r w:rsidRPr="001C58C6">
        <w:rPr>
          <w:rFonts w:ascii="Calibri" w:hAnsi="Calibri" w:cs="Calibri"/>
          <w:color w:val="000000" w:themeColor="text1"/>
        </w:rPr>
        <w:t>EPCG, TE Pljevlja, Rudnik uglja Pljevlja i drugi privredni i industrijski subjekti imaju važnu ulogu u smanjenju emisija i primjeni emisijskih standarda. Eko fond predstavlja ključni finansijski mehanizam za podršku energetskoj efikasnosti i smanjenju emisija, dok Institut za javno zdravlje i zdravstvene ustanove prate zdravstvene posljedice zagađenja i učestvuju u komunikaciji rizika prema javnosti.</w:t>
      </w:r>
    </w:p>
    <w:p w14:paraId="7D7EC18C" w14:textId="77777777" w:rsidR="00C7424E" w:rsidRPr="001C58C6" w:rsidRDefault="00C7424E" w:rsidP="00DD041D">
      <w:pPr>
        <w:rPr>
          <w:rFonts w:ascii="Calibri" w:hAnsi="Calibri" w:cs="Calibri"/>
          <w:color w:val="000000" w:themeColor="text1"/>
        </w:rPr>
      </w:pPr>
    </w:p>
    <w:p w14:paraId="3602E4E8" w14:textId="77777777" w:rsidR="00DD041D" w:rsidRDefault="00DD041D" w:rsidP="00DD041D">
      <w:pPr>
        <w:rPr>
          <w:rFonts w:ascii="Calibri" w:hAnsi="Calibri" w:cs="Calibri"/>
          <w:color w:val="000000" w:themeColor="text1"/>
        </w:rPr>
      </w:pPr>
      <w:r w:rsidRPr="001C58C6">
        <w:rPr>
          <w:rFonts w:ascii="Calibri" w:hAnsi="Calibri" w:cs="Calibri"/>
          <w:color w:val="000000" w:themeColor="text1"/>
        </w:rPr>
        <w:t>Civilno društvo, nevladine organizacije, akademska zajednica, strukovna udruženja i mediji doprinose društvenom nadzoru, zagovaranju, stručnom doprinosu, informisanju javnosti i podizanju svijesti. Građani i građanke su istovremeno najizloženija grupa i ključni akteri promjene ponašanja, naročito u oblasti grijanja domaćinstava, energetske efikasnosti, mobilnosti i učešća u javnim raspravama. Međunarodne organizacije i donatori pružaju tehničku i finansijsku podršku za jačanje institucionalnih kapaciteta i sprovođenje mjera.</w:t>
      </w:r>
    </w:p>
    <w:p w14:paraId="3AC60E95" w14:textId="77777777" w:rsidR="006F52AD" w:rsidRDefault="006F52AD" w:rsidP="00DD041D">
      <w:pPr>
        <w:rPr>
          <w:rFonts w:ascii="Calibri" w:hAnsi="Calibri" w:cs="Calibri"/>
          <w:color w:val="000000" w:themeColor="text1"/>
        </w:rPr>
      </w:pPr>
    </w:p>
    <w:p w14:paraId="3AC2DCBB" w14:textId="77777777" w:rsidR="006F52AD" w:rsidRDefault="006F52AD" w:rsidP="00DD041D">
      <w:pPr>
        <w:rPr>
          <w:rFonts w:ascii="Calibri" w:hAnsi="Calibri" w:cs="Calibri"/>
          <w:color w:val="000000" w:themeColor="text1"/>
        </w:rPr>
      </w:pPr>
    </w:p>
    <w:p w14:paraId="69B75BC1" w14:textId="77777777" w:rsidR="006F52AD" w:rsidRPr="001C58C6" w:rsidRDefault="006F52AD" w:rsidP="00DD041D">
      <w:pPr>
        <w:rPr>
          <w:rFonts w:ascii="Calibri" w:hAnsi="Calibri" w:cs="Calibri"/>
          <w:color w:val="000000" w:themeColor="text1"/>
        </w:rPr>
      </w:pPr>
    </w:p>
    <w:p w14:paraId="28146383" w14:textId="77777777" w:rsidR="00DD041D" w:rsidRPr="001C58C6" w:rsidRDefault="00DD041D">
      <w:pPr>
        <w:rPr>
          <w:rFonts w:ascii="Calibri" w:hAnsi="Calibri" w:cs="Calibri"/>
          <w:color w:val="000000" w:themeColor="text1"/>
        </w:rPr>
      </w:pPr>
    </w:p>
    <w:tbl>
      <w:tblPr>
        <w:tblStyle w:val="GridTable4-Accent1"/>
        <w:tblW w:w="0" w:type="auto"/>
        <w:tblLook w:val="04A0" w:firstRow="1" w:lastRow="0" w:firstColumn="1" w:lastColumn="0" w:noHBand="0" w:noVBand="1"/>
      </w:tblPr>
      <w:tblGrid>
        <w:gridCol w:w="2830"/>
        <w:gridCol w:w="3686"/>
        <w:gridCol w:w="2500"/>
      </w:tblGrid>
      <w:tr w:rsidR="00581971" w:rsidRPr="001C58C6" w14:paraId="41CBE60D" w14:textId="77777777" w:rsidTr="001743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hideMark/>
          </w:tcPr>
          <w:p w14:paraId="313A5A27" w14:textId="77777777" w:rsidR="00581971" w:rsidRPr="001C58C6" w:rsidRDefault="00581971" w:rsidP="00837F0B">
            <w:pPr>
              <w:jc w:val="center"/>
              <w:rPr>
                <w:rFonts w:ascii="Calibri" w:hAnsi="Calibri" w:cs="Calibri"/>
                <w:b w:val="0"/>
                <w:color w:val="000000" w:themeColor="text1"/>
                <w:sz w:val="22"/>
                <w:szCs w:val="20"/>
              </w:rPr>
            </w:pPr>
            <w:r w:rsidRPr="001C58C6">
              <w:rPr>
                <w:rFonts w:ascii="Calibri" w:hAnsi="Calibri" w:cs="Calibri"/>
                <w:color w:val="000000" w:themeColor="text1"/>
                <w:sz w:val="22"/>
                <w:szCs w:val="20"/>
              </w:rPr>
              <w:lastRenderedPageBreak/>
              <w:t>Zainteresovana strana</w:t>
            </w:r>
          </w:p>
        </w:tc>
        <w:tc>
          <w:tcPr>
            <w:tcW w:w="3686" w:type="dxa"/>
            <w:hideMark/>
          </w:tcPr>
          <w:p w14:paraId="26A16189" w14:textId="77777777" w:rsidR="00581971" w:rsidRPr="001C58C6" w:rsidRDefault="00581971" w:rsidP="00837F0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themeColor="text1"/>
                <w:sz w:val="22"/>
                <w:szCs w:val="20"/>
              </w:rPr>
            </w:pPr>
            <w:r w:rsidRPr="001C58C6">
              <w:rPr>
                <w:rFonts w:ascii="Calibri" w:hAnsi="Calibri" w:cs="Calibri"/>
                <w:color w:val="000000" w:themeColor="text1"/>
                <w:sz w:val="22"/>
                <w:szCs w:val="20"/>
              </w:rPr>
              <w:t>Uloge / odgovornosti</w:t>
            </w:r>
          </w:p>
        </w:tc>
        <w:tc>
          <w:tcPr>
            <w:tcW w:w="2500" w:type="dxa"/>
            <w:hideMark/>
          </w:tcPr>
          <w:p w14:paraId="182796AB" w14:textId="77777777" w:rsidR="00581971" w:rsidRPr="001C58C6" w:rsidRDefault="00581971" w:rsidP="00837F0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themeColor="text1"/>
                <w:sz w:val="22"/>
                <w:szCs w:val="20"/>
              </w:rPr>
            </w:pPr>
            <w:r w:rsidRPr="001C58C6">
              <w:rPr>
                <w:rFonts w:ascii="Calibri" w:hAnsi="Calibri" w:cs="Calibri"/>
                <w:color w:val="000000" w:themeColor="text1"/>
                <w:sz w:val="22"/>
                <w:szCs w:val="20"/>
              </w:rPr>
              <w:t>Interesi i uticaji</w:t>
            </w:r>
          </w:p>
        </w:tc>
      </w:tr>
      <w:tr w:rsidR="00581971" w:rsidRPr="001C58C6" w14:paraId="4234A76B" w14:textId="77777777" w:rsidTr="00174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hideMark/>
          </w:tcPr>
          <w:p w14:paraId="464568F3" w14:textId="77777777" w:rsidR="00581971" w:rsidRPr="001C58C6" w:rsidRDefault="00581971" w:rsidP="00837F0B">
            <w:pPr>
              <w:jc w:val="center"/>
              <w:rPr>
                <w:rFonts w:ascii="Calibri" w:hAnsi="Calibri" w:cs="Calibri"/>
                <w:color w:val="000000" w:themeColor="text1"/>
                <w:sz w:val="22"/>
                <w:szCs w:val="20"/>
              </w:rPr>
            </w:pPr>
            <w:r w:rsidRPr="001C58C6">
              <w:rPr>
                <w:rFonts w:ascii="Calibri" w:hAnsi="Calibri" w:cs="Calibri"/>
                <w:color w:val="000000" w:themeColor="text1"/>
                <w:sz w:val="22"/>
                <w:szCs w:val="20"/>
              </w:rPr>
              <w:t>Ministarstvo ekologije, održivog razvoja i razvoja sjevera</w:t>
            </w:r>
          </w:p>
        </w:tc>
        <w:tc>
          <w:tcPr>
            <w:tcW w:w="3686" w:type="dxa"/>
            <w:hideMark/>
          </w:tcPr>
          <w:p w14:paraId="6FD7FF27" w14:textId="77777777" w:rsidR="00581971" w:rsidRPr="001C58C6" w:rsidRDefault="00581971" w:rsidP="00837F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0"/>
              </w:rPr>
            </w:pPr>
            <w:r w:rsidRPr="001C58C6">
              <w:rPr>
                <w:rFonts w:ascii="Calibri" w:hAnsi="Calibri" w:cs="Calibri"/>
                <w:color w:val="000000" w:themeColor="text1"/>
                <w:sz w:val="22"/>
                <w:szCs w:val="20"/>
              </w:rPr>
              <w:t>Koordinacija sprovođenja Strategije, politika zaštite vazduha, izrada propisa, nadzor nad sprovođenjem mjera, obaveze prema EU</w:t>
            </w:r>
          </w:p>
        </w:tc>
        <w:tc>
          <w:tcPr>
            <w:tcW w:w="2500" w:type="dxa"/>
            <w:hideMark/>
          </w:tcPr>
          <w:p w14:paraId="4C6462F1" w14:textId="77777777" w:rsidR="00581971" w:rsidRPr="001C58C6" w:rsidRDefault="00581971" w:rsidP="00837F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0"/>
              </w:rPr>
            </w:pPr>
            <w:r w:rsidRPr="001C58C6">
              <w:rPr>
                <w:rFonts w:ascii="Calibri" w:hAnsi="Calibri" w:cs="Calibri"/>
                <w:color w:val="000000" w:themeColor="text1"/>
                <w:sz w:val="22"/>
                <w:szCs w:val="20"/>
              </w:rPr>
              <w:t>Visok uticaj; interes za unapređenje usklađenosti sa EU politikama, smanjenje zagađenja i jačanje institucionalnih kapaciteta</w:t>
            </w:r>
          </w:p>
        </w:tc>
      </w:tr>
      <w:tr w:rsidR="00581971" w:rsidRPr="001C58C6" w14:paraId="2EF873B2" w14:textId="77777777" w:rsidTr="001743DE">
        <w:tc>
          <w:tcPr>
            <w:cnfStyle w:val="001000000000" w:firstRow="0" w:lastRow="0" w:firstColumn="1" w:lastColumn="0" w:oddVBand="0" w:evenVBand="0" w:oddHBand="0" w:evenHBand="0" w:firstRowFirstColumn="0" w:firstRowLastColumn="0" w:lastRowFirstColumn="0" w:lastRowLastColumn="0"/>
            <w:tcW w:w="2830" w:type="dxa"/>
            <w:hideMark/>
          </w:tcPr>
          <w:p w14:paraId="790794FA" w14:textId="77777777" w:rsidR="00581971" w:rsidRPr="001C58C6" w:rsidRDefault="00581971" w:rsidP="00837F0B">
            <w:pPr>
              <w:jc w:val="center"/>
              <w:rPr>
                <w:rFonts w:ascii="Calibri" w:hAnsi="Calibri" w:cs="Calibri"/>
                <w:color w:val="000000" w:themeColor="text1"/>
                <w:sz w:val="22"/>
                <w:szCs w:val="20"/>
              </w:rPr>
            </w:pPr>
            <w:r w:rsidRPr="001C58C6">
              <w:rPr>
                <w:rFonts w:ascii="Calibri" w:hAnsi="Calibri" w:cs="Calibri"/>
                <w:color w:val="000000" w:themeColor="text1"/>
                <w:sz w:val="22"/>
                <w:szCs w:val="20"/>
              </w:rPr>
              <w:t>Agencija za zaštitu životne sredine</w:t>
            </w:r>
          </w:p>
        </w:tc>
        <w:tc>
          <w:tcPr>
            <w:tcW w:w="3686" w:type="dxa"/>
            <w:hideMark/>
          </w:tcPr>
          <w:p w14:paraId="32EB243F" w14:textId="77777777" w:rsidR="00581971" w:rsidRPr="001C58C6" w:rsidRDefault="00581971" w:rsidP="00837F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0"/>
              </w:rPr>
            </w:pPr>
            <w:r w:rsidRPr="001C58C6">
              <w:rPr>
                <w:rFonts w:ascii="Calibri" w:hAnsi="Calibri" w:cs="Calibri"/>
                <w:color w:val="000000" w:themeColor="text1"/>
                <w:sz w:val="22"/>
                <w:szCs w:val="20"/>
              </w:rPr>
              <w:t>Praćenje kvaliteta vazduha, održavanje mreže mjernih stanica, izvještavanje prema javnosti i međunarodnim obavezama</w:t>
            </w:r>
          </w:p>
        </w:tc>
        <w:tc>
          <w:tcPr>
            <w:tcW w:w="2500" w:type="dxa"/>
            <w:hideMark/>
          </w:tcPr>
          <w:p w14:paraId="01DA4E3F" w14:textId="77777777" w:rsidR="00581971" w:rsidRPr="001C58C6" w:rsidRDefault="00581971" w:rsidP="00837F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0"/>
              </w:rPr>
            </w:pPr>
            <w:r w:rsidRPr="001C58C6">
              <w:rPr>
                <w:rFonts w:ascii="Calibri" w:hAnsi="Calibri" w:cs="Calibri"/>
                <w:color w:val="000000" w:themeColor="text1"/>
                <w:sz w:val="22"/>
                <w:szCs w:val="20"/>
              </w:rPr>
              <w:t>Krucijalni tehnički i analitički akter</w:t>
            </w:r>
          </w:p>
        </w:tc>
      </w:tr>
      <w:tr w:rsidR="00581971" w:rsidRPr="001C58C6" w14:paraId="1511BC5F" w14:textId="77777777" w:rsidTr="00174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hideMark/>
          </w:tcPr>
          <w:p w14:paraId="0C7B3EF9" w14:textId="77777777" w:rsidR="00581971" w:rsidRPr="001C58C6" w:rsidRDefault="00581971" w:rsidP="00837F0B">
            <w:pPr>
              <w:jc w:val="center"/>
              <w:rPr>
                <w:rFonts w:ascii="Calibri" w:hAnsi="Calibri" w:cs="Calibri"/>
                <w:color w:val="000000" w:themeColor="text1"/>
                <w:sz w:val="22"/>
                <w:szCs w:val="20"/>
              </w:rPr>
            </w:pPr>
            <w:r w:rsidRPr="001C58C6">
              <w:rPr>
                <w:rFonts w:ascii="Calibri" w:hAnsi="Calibri" w:cs="Calibri"/>
                <w:color w:val="000000" w:themeColor="text1"/>
                <w:sz w:val="22"/>
                <w:szCs w:val="20"/>
              </w:rPr>
              <w:t>Ministarstvo energetike i rudarstva</w:t>
            </w:r>
          </w:p>
        </w:tc>
        <w:tc>
          <w:tcPr>
            <w:tcW w:w="3686" w:type="dxa"/>
            <w:hideMark/>
          </w:tcPr>
          <w:p w14:paraId="6F2B8FA0" w14:textId="77777777" w:rsidR="00581971" w:rsidRPr="001C58C6" w:rsidRDefault="00581971" w:rsidP="00837F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0"/>
              </w:rPr>
            </w:pPr>
            <w:r w:rsidRPr="001C58C6">
              <w:rPr>
                <w:rFonts w:ascii="Calibri" w:hAnsi="Calibri" w:cs="Calibri"/>
                <w:color w:val="000000" w:themeColor="text1"/>
                <w:sz w:val="22"/>
                <w:szCs w:val="20"/>
              </w:rPr>
              <w:t>Politika energetike, sprovođenje NEKP-a, mjere vezane za energetiku, TE Pljevlja, OIE i energetska tranzicija</w:t>
            </w:r>
          </w:p>
        </w:tc>
        <w:tc>
          <w:tcPr>
            <w:tcW w:w="2500" w:type="dxa"/>
            <w:hideMark/>
          </w:tcPr>
          <w:p w14:paraId="7531DDAA" w14:textId="77777777" w:rsidR="00581971" w:rsidRPr="001C58C6" w:rsidRDefault="00581971" w:rsidP="00837F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0"/>
              </w:rPr>
            </w:pPr>
            <w:r w:rsidRPr="001C58C6">
              <w:rPr>
                <w:rFonts w:ascii="Calibri" w:hAnsi="Calibri" w:cs="Calibri"/>
                <w:color w:val="000000" w:themeColor="text1"/>
                <w:sz w:val="22"/>
                <w:szCs w:val="20"/>
              </w:rPr>
              <w:t>Visok uticaj, ključan sektor</w:t>
            </w:r>
          </w:p>
        </w:tc>
      </w:tr>
      <w:tr w:rsidR="00581971" w:rsidRPr="001C58C6" w14:paraId="1F07BB44" w14:textId="77777777" w:rsidTr="001743DE">
        <w:tc>
          <w:tcPr>
            <w:cnfStyle w:val="001000000000" w:firstRow="0" w:lastRow="0" w:firstColumn="1" w:lastColumn="0" w:oddVBand="0" w:evenVBand="0" w:oddHBand="0" w:evenHBand="0" w:firstRowFirstColumn="0" w:firstRowLastColumn="0" w:lastRowFirstColumn="0" w:lastRowLastColumn="0"/>
            <w:tcW w:w="2830" w:type="dxa"/>
            <w:hideMark/>
          </w:tcPr>
          <w:p w14:paraId="6474347E" w14:textId="77777777" w:rsidR="00581971" w:rsidRPr="001C58C6" w:rsidRDefault="00581971" w:rsidP="00837F0B">
            <w:pPr>
              <w:jc w:val="center"/>
              <w:rPr>
                <w:rFonts w:ascii="Calibri" w:hAnsi="Calibri" w:cs="Calibri"/>
                <w:color w:val="000000" w:themeColor="text1"/>
                <w:sz w:val="22"/>
                <w:szCs w:val="20"/>
              </w:rPr>
            </w:pPr>
            <w:r w:rsidRPr="001C58C6">
              <w:rPr>
                <w:rFonts w:ascii="Calibri" w:hAnsi="Calibri" w:cs="Calibri"/>
                <w:color w:val="000000" w:themeColor="text1"/>
                <w:sz w:val="22"/>
                <w:szCs w:val="20"/>
              </w:rPr>
              <w:t xml:space="preserve">Ministarstvo saobraćaja </w:t>
            </w:r>
          </w:p>
        </w:tc>
        <w:tc>
          <w:tcPr>
            <w:tcW w:w="3686" w:type="dxa"/>
            <w:hideMark/>
          </w:tcPr>
          <w:p w14:paraId="590EB783" w14:textId="77777777" w:rsidR="00581971" w:rsidRPr="001C58C6" w:rsidRDefault="00581971" w:rsidP="00837F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0"/>
              </w:rPr>
            </w:pPr>
            <w:r w:rsidRPr="001C58C6">
              <w:rPr>
                <w:rFonts w:ascii="Calibri" w:hAnsi="Calibri" w:cs="Calibri"/>
                <w:color w:val="000000" w:themeColor="text1"/>
                <w:sz w:val="22"/>
                <w:szCs w:val="20"/>
              </w:rPr>
              <w:t>Politike smanjenja emisija iz saobraćaja, javni transport, standardi za vozila</w:t>
            </w:r>
          </w:p>
        </w:tc>
        <w:tc>
          <w:tcPr>
            <w:tcW w:w="2500" w:type="dxa"/>
            <w:hideMark/>
          </w:tcPr>
          <w:p w14:paraId="24A31274" w14:textId="77777777" w:rsidR="00581971" w:rsidRPr="001C58C6" w:rsidRDefault="00581971" w:rsidP="00837F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0"/>
              </w:rPr>
            </w:pPr>
            <w:r w:rsidRPr="001C58C6">
              <w:rPr>
                <w:rFonts w:ascii="Calibri" w:hAnsi="Calibri" w:cs="Calibri"/>
                <w:color w:val="000000" w:themeColor="text1"/>
                <w:sz w:val="22"/>
                <w:szCs w:val="20"/>
              </w:rPr>
              <w:t>Srednji do visok uticaj</w:t>
            </w:r>
          </w:p>
        </w:tc>
      </w:tr>
      <w:tr w:rsidR="00581971" w:rsidRPr="001C58C6" w14:paraId="275C9FED" w14:textId="77777777" w:rsidTr="00174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hideMark/>
          </w:tcPr>
          <w:p w14:paraId="06A7F25A" w14:textId="77777777" w:rsidR="00581971" w:rsidRPr="001C58C6" w:rsidRDefault="00581971" w:rsidP="00837F0B">
            <w:pPr>
              <w:jc w:val="center"/>
              <w:rPr>
                <w:rFonts w:ascii="Calibri" w:hAnsi="Calibri" w:cs="Calibri"/>
                <w:color w:val="000000" w:themeColor="text1"/>
                <w:sz w:val="22"/>
                <w:szCs w:val="20"/>
              </w:rPr>
            </w:pPr>
            <w:r w:rsidRPr="001C58C6">
              <w:rPr>
                <w:rFonts w:ascii="Calibri" w:hAnsi="Calibri" w:cs="Calibri"/>
                <w:color w:val="000000" w:themeColor="text1"/>
                <w:sz w:val="22"/>
                <w:szCs w:val="20"/>
              </w:rPr>
              <w:t>Ministarstvo finansija</w:t>
            </w:r>
          </w:p>
        </w:tc>
        <w:tc>
          <w:tcPr>
            <w:tcW w:w="3686" w:type="dxa"/>
            <w:hideMark/>
          </w:tcPr>
          <w:p w14:paraId="74092795" w14:textId="77777777" w:rsidR="00581971" w:rsidRPr="001C58C6" w:rsidRDefault="00581971" w:rsidP="00837F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0"/>
              </w:rPr>
            </w:pPr>
            <w:r w:rsidRPr="001C58C6">
              <w:rPr>
                <w:rFonts w:ascii="Calibri" w:hAnsi="Calibri" w:cs="Calibri"/>
                <w:color w:val="000000" w:themeColor="text1"/>
                <w:sz w:val="22"/>
                <w:szCs w:val="20"/>
              </w:rPr>
              <w:t>Budžetska podrška, fiskalne politike, podrška finansiranju mjera</w:t>
            </w:r>
          </w:p>
        </w:tc>
        <w:tc>
          <w:tcPr>
            <w:tcW w:w="2500" w:type="dxa"/>
            <w:hideMark/>
          </w:tcPr>
          <w:p w14:paraId="1E406482" w14:textId="77777777" w:rsidR="00581971" w:rsidRPr="001C58C6" w:rsidRDefault="00581971" w:rsidP="00837F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0"/>
              </w:rPr>
            </w:pPr>
            <w:r w:rsidRPr="001C58C6">
              <w:rPr>
                <w:rFonts w:ascii="Calibri" w:hAnsi="Calibri" w:cs="Calibri"/>
                <w:color w:val="000000" w:themeColor="text1"/>
                <w:sz w:val="22"/>
                <w:szCs w:val="20"/>
              </w:rPr>
              <w:t>Visok uticaj</w:t>
            </w:r>
          </w:p>
        </w:tc>
      </w:tr>
      <w:tr w:rsidR="00581971" w:rsidRPr="001C58C6" w14:paraId="24F98990" w14:textId="77777777" w:rsidTr="001743DE">
        <w:tc>
          <w:tcPr>
            <w:cnfStyle w:val="001000000000" w:firstRow="0" w:lastRow="0" w:firstColumn="1" w:lastColumn="0" w:oddVBand="0" w:evenVBand="0" w:oddHBand="0" w:evenHBand="0" w:firstRowFirstColumn="0" w:firstRowLastColumn="0" w:lastRowFirstColumn="0" w:lastRowLastColumn="0"/>
            <w:tcW w:w="2830" w:type="dxa"/>
            <w:hideMark/>
          </w:tcPr>
          <w:p w14:paraId="277012A1" w14:textId="77777777" w:rsidR="00581971" w:rsidRPr="001C58C6" w:rsidRDefault="00581971" w:rsidP="00837F0B">
            <w:pPr>
              <w:jc w:val="center"/>
              <w:rPr>
                <w:rFonts w:ascii="Calibri" w:hAnsi="Calibri" w:cs="Calibri"/>
                <w:color w:val="000000" w:themeColor="text1"/>
                <w:sz w:val="22"/>
                <w:szCs w:val="20"/>
              </w:rPr>
            </w:pPr>
            <w:r w:rsidRPr="001C58C6">
              <w:rPr>
                <w:rFonts w:ascii="Calibri" w:hAnsi="Calibri" w:cs="Calibri"/>
                <w:color w:val="000000" w:themeColor="text1"/>
                <w:sz w:val="22"/>
                <w:szCs w:val="20"/>
              </w:rPr>
              <w:t>Ministarstvo evropskih poslova</w:t>
            </w:r>
          </w:p>
        </w:tc>
        <w:tc>
          <w:tcPr>
            <w:tcW w:w="3686" w:type="dxa"/>
            <w:hideMark/>
          </w:tcPr>
          <w:p w14:paraId="11876190" w14:textId="77777777" w:rsidR="00581971" w:rsidRPr="001C58C6" w:rsidRDefault="00581971" w:rsidP="00837F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0"/>
              </w:rPr>
            </w:pPr>
            <w:r w:rsidRPr="001C58C6">
              <w:rPr>
                <w:rFonts w:ascii="Calibri" w:hAnsi="Calibri" w:cs="Calibri"/>
                <w:color w:val="000000" w:themeColor="text1"/>
                <w:sz w:val="22"/>
                <w:szCs w:val="20"/>
              </w:rPr>
              <w:t>Koordinacija procesa pristupanja EU i sprovođenje obaveza iz poglavlja 27</w:t>
            </w:r>
          </w:p>
        </w:tc>
        <w:tc>
          <w:tcPr>
            <w:tcW w:w="2500" w:type="dxa"/>
            <w:hideMark/>
          </w:tcPr>
          <w:p w14:paraId="11B69833" w14:textId="77777777" w:rsidR="00581971" w:rsidRPr="001C58C6" w:rsidRDefault="00581971" w:rsidP="00837F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0"/>
              </w:rPr>
            </w:pPr>
            <w:r w:rsidRPr="001C58C6">
              <w:rPr>
                <w:rFonts w:ascii="Calibri" w:hAnsi="Calibri" w:cs="Calibri"/>
                <w:color w:val="000000" w:themeColor="text1"/>
                <w:sz w:val="22"/>
                <w:szCs w:val="20"/>
              </w:rPr>
              <w:t>Strateški uticaj</w:t>
            </w:r>
          </w:p>
        </w:tc>
      </w:tr>
      <w:tr w:rsidR="004A553F" w:rsidRPr="001C58C6" w14:paraId="179AECC9" w14:textId="77777777" w:rsidTr="00174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41F1329" w14:textId="77777777" w:rsidR="004A553F" w:rsidRPr="001C58C6" w:rsidRDefault="004A553F" w:rsidP="004A553F">
            <w:pPr>
              <w:jc w:val="center"/>
              <w:rPr>
                <w:rFonts w:ascii="Calibri" w:hAnsi="Calibri" w:cs="Calibri"/>
                <w:color w:val="000000" w:themeColor="text1"/>
                <w:sz w:val="22"/>
                <w:szCs w:val="20"/>
              </w:rPr>
            </w:pPr>
            <w:r w:rsidRPr="001C58C6">
              <w:rPr>
                <w:rFonts w:ascii="Calibri" w:hAnsi="Calibri" w:cs="Calibri"/>
                <w:color w:val="000000" w:themeColor="text1"/>
                <w:sz w:val="22"/>
                <w:szCs w:val="20"/>
              </w:rPr>
              <w:t>Ministarstvo poljoprivrede, šumarstva i vodoprivrede</w:t>
            </w:r>
          </w:p>
        </w:tc>
        <w:tc>
          <w:tcPr>
            <w:tcW w:w="3686" w:type="dxa"/>
          </w:tcPr>
          <w:p w14:paraId="072EC811" w14:textId="77777777" w:rsidR="004A553F" w:rsidRPr="001C58C6" w:rsidRDefault="004A553F" w:rsidP="004A553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0"/>
              </w:rPr>
            </w:pPr>
            <w:r w:rsidRPr="001C58C6">
              <w:rPr>
                <w:rFonts w:ascii="Calibri" w:hAnsi="Calibri" w:cs="Calibri"/>
                <w:color w:val="000000" w:themeColor="text1"/>
                <w:sz w:val="22"/>
                <w:szCs w:val="20"/>
              </w:rPr>
              <w:t>Politike u oblasti poljoprivrede, šumarstva i upravljanja zemljištem; mjere za smanjenje emisija iz poljoprivrede (posebno amonijaka – NH₃); održivo upravljanje šumskim ekosistemima; promocija održivih praksi u poljoprivredi i ruralnom razvoju</w:t>
            </w:r>
          </w:p>
        </w:tc>
        <w:tc>
          <w:tcPr>
            <w:tcW w:w="2500" w:type="dxa"/>
          </w:tcPr>
          <w:p w14:paraId="28BDE22F" w14:textId="77777777" w:rsidR="004A553F" w:rsidRPr="001C58C6" w:rsidRDefault="004A553F" w:rsidP="004A553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0"/>
              </w:rPr>
            </w:pPr>
            <w:r w:rsidRPr="001C58C6">
              <w:rPr>
                <w:rFonts w:ascii="Calibri" w:hAnsi="Calibri" w:cs="Calibri"/>
                <w:color w:val="000000" w:themeColor="text1"/>
                <w:sz w:val="22"/>
                <w:szCs w:val="20"/>
              </w:rPr>
              <w:t>Srednji do visok uticaj; važan sektor za smanjenje emisija iz poljoprivrede i očuvanje ekosistema</w:t>
            </w:r>
          </w:p>
        </w:tc>
      </w:tr>
      <w:tr w:rsidR="00581971" w:rsidRPr="001C58C6" w14:paraId="40A2FA71" w14:textId="77777777" w:rsidTr="001743DE">
        <w:tc>
          <w:tcPr>
            <w:cnfStyle w:val="001000000000" w:firstRow="0" w:lastRow="0" w:firstColumn="1" w:lastColumn="0" w:oddVBand="0" w:evenVBand="0" w:oddHBand="0" w:evenHBand="0" w:firstRowFirstColumn="0" w:firstRowLastColumn="0" w:lastRowFirstColumn="0" w:lastRowLastColumn="0"/>
            <w:tcW w:w="2830" w:type="dxa"/>
            <w:hideMark/>
          </w:tcPr>
          <w:p w14:paraId="2D7A87FA" w14:textId="77777777" w:rsidR="00581971" w:rsidRPr="001C58C6" w:rsidRDefault="00581971" w:rsidP="00837F0B">
            <w:pPr>
              <w:jc w:val="center"/>
              <w:rPr>
                <w:rFonts w:ascii="Calibri" w:hAnsi="Calibri" w:cs="Calibri"/>
                <w:color w:val="000000" w:themeColor="text1"/>
                <w:sz w:val="22"/>
                <w:szCs w:val="20"/>
              </w:rPr>
            </w:pPr>
            <w:r w:rsidRPr="001C58C6">
              <w:rPr>
                <w:rFonts w:ascii="Calibri" w:hAnsi="Calibri" w:cs="Calibri"/>
                <w:color w:val="000000" w:themeColor="text1"/>
                <w:sz w:val="22"/>
                <w:szCs w:val="20"/>
              </w:rPr>
              <w:t>Lokalne samouprave</w:t>
            </w:r>
          </w:p>
        </w:tc>
        <w:tc>
          <w:tcPr>
            <w:tcW w:w="3686" w:type="dxa"/>
            <w:hideMark/>
          </w:tcPr>
          <w:p w14:paraId="50BF5B0F" w14:textId="77777777" w:rsidR="00581971" w:rsidRPr="001C58C6" w:rsidRDefault="00581971" w:rsidP="00837F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0"/>
              </w:rPr>
            </w:pPr>
            <w:r w:rsidRPr="001C58C6">
              <w:rPr>
                <w:rFonts w:ascii="Calibri" w:hAnsi="Calibri" w:cs="Calibri"/>
                <w:color w:val="000000" w:themeColor="text1"/>
                <w:sz w:val="22"/>
                <w:szCs w:val="20"/>
              </w:rPr>
              <w:t>Izrada i sprovođenje lokalnih planova kvaliteta vazduha, lokalne mjere grijanja i saobraćaja</w:t>
            </w:r>
          </w:p>
        </w:tc>
        <w:tc>
          <w:tcPr>
            <w:tcW w:w="2500" w:type="dxa"/>
            <w:hideMark/>
          </w:tcPr>
          <w:p w14:paraId="5815351A" w14:textId="77777777" w:rsidR="00581971" w:rsidRPr="001C58C6" w:rsidRDefault="00581971" w:rsidP="00837F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0"/>
              </w:rPr>
            </w:pPr>
            <w:r w:rsidRPr="001C58C6">
              <w:rPr>
                <w:rFonts w:ascii="Calibri" w:hAnsi="Calibri" w:cs="Calibri"/>
                <w:color w:val="000000" w:themeColor="text1"/>
                <w:sz w:val="22"/>
                <w:szCs w:val="20"/>
              </w:rPr>
              <w:t>Ključna implementacija</w:t>
            </w:r>
          </w:p>
        </w:tc>
      </w:tr>
      <w:tr w:rsidR="00581971" w:rsidRPr="001C58C6" w14:paraId="7B234AA9" w14:textId="77777777" w:rsidTr="00174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hideMark/>
          </w:tcPr>
          <w:p w14:paraId="476E8C47" w14:textId="77777777" w:rsidR="00581971" w:rsidRPr="001C58C6" w:rsidRDefault="00581971" w:rsidP="00837F0B">
            <w:pPr>
              <w:jc w:val="center"/>
              <w:rPr>
                <w:rFonts w:ascii="Calibri" w:hAnsi="Calibri" w:cs="Calibri"/>
                <w:color w:val="000000" w:themeColor="text1"/>
                <w:sz w:val="22"/>
                <w:szCs w:val="20"/>
              </w:rPr>
            </w:pPr>
            <w:r w:rsidRPr="001C58C6">
              <w:rPr>
                <w:rFonts w:ascii="Calibri" w:hAnsi="Calibri" w:cs="Calibri"/>
                <w:color w:val="000000" w:themeColor="text1"/>
                <w:sz w:val="22"/>
                <w:szCs w:val="20"/>
              </w:rPr>
              <w:t>Zajednica opština Crne Gore</w:t>
            </w:r>
          </w:p>
        </w:tc>
        <w:tc>
          <w:tcPr>
            <w:tcW w:w="3686" w:type="dxa"/>
            <w:hideMark/>
          </w:tcPr>
          <w:p w14:paraId="770867B7" w14:textId="77777777" w:rsidR="00581971" w:rsidRPr="001C58C6" w:rsidRDefault="00581971" w:rsidP="00837F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0"/>
              </w:rPr>
            </w:pPr>
            <w:r w:rsidRPr="001C58C6">
              <w:rPr>
                <w:rFonts w:ascii="Calibri" w:hAnsi="Calibri" w:cs="Calibri"/>
                <w:color w:val="000000" w:themeColor="text1"/>
                <w:sz w:val="22"/>
                <w:szCs w:val="20"/>
              </w:rPr>
              <w:t>Koordinacija lokalnih politika i razmjena prakse</w:t>
            </w:r>
          </w:p>
        </w:tc>
        <w:tc>
          <w:tcPr>
            <w:tcW w:w="2500" w:type="dxa"/>
            <w:hideMark/>
          </w:tcPr>
          <w:p w14:paraId="187FD537" w14:textId="77777777" w:rsidR="00581971" w:rsidRPr="001C58C6" w:rsidRDefault="00581971" w:rsidP="00837F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0"/>
              </w:rPr>
            </w:pPr>
            <w:r w:rsidRPr="001C58C6">
              <w:rPr>
                <w:rFonts w:ascii="Calibri" w:hAnsi="Calibri" w:cs="Calibri"/>
                <w:color w:val="000000" w:themeColor="text1"/>
                <w:sz w:val="22"/>
                <w:szCs w:val="20"/>
              </w:rPr>
              <w:t>Podrška implementaciji</w:t>
            </w:r>
          </w:p>
        </w:tc>
      </w:tr>
      <w:tr w:rsidR="00581971" w:rsidRPr="001C58C6" w14:paraId="0AAD08A0" w14:textId="77777777" w:rsidTr="001743DE">
        <w:tc>
          <w:tcPr>
            <w:cnfStyle w:val="001000000000" w:firstRow="0" w:lastRow="0" w:firstColumn="1" w:lastColumn="0" w:oddVBand="0" w:evenVBand="0" w:oddHBand="0" w:evenHBand="0" w:firstRowFirstColumn="0" w:firstRowLastColumn="0" w:lastRowFirstColumn="0" w:lastRowLastColumn="0"/>
            <w:tcW w:w="2830" w:type="dxa"/>
            <w:hideMark/>
          </w:tcPr>
          <w:p w14:paraId="13F431A1" w14:textId="77777777" w:rsidR="00581971" w:rsidRPr="001C58C6" w:rsidRDefault="00581971" w:rsidP="00837F0B">
            <w:pPr>
              <w:jc w:val="center"/>
              <w:rPr>
                <w:rFonts w:ascii="Calibri" w:hAnsi="Calibri" w:cs="Calibri"/>
                <w:color w:val="000000" w:themeColor="text1"/>
                <w:sz w:val="22"/>
                <w:szCs w:val="20"/>
              </w:rPr>
            </w:pPr>
            <w:r w:rsidRPr="001C58C6">
              <w:rPr>
                <w:rFonts w:ascii="Calibri" w:hAnsi="Calibri" w:cs="Calibri"/>
                <w:color w:val="000000" w:themeColor="text1"/>
                <w:sz w:val="22"/>
                <w:szCs w:val="20"/>
              </w:rPr>
              <w:t>EPCG i energetski sektor</w:t>
            </w:r>
          </w:p>
        </w:tc>
        <w:tc>
          <w:tcPr>
            <w:tcW w:w="3686" w:type="dxa"/>
            <w:hideMark/>
          </w:tcPr>
          <w:p w14:paraId="1A20A743" w14:textId="77777777" w:rsidR="00581971" w:rsidRPr="001C58C6" w:rsidRDefault="00581971" w:rsidP="00837F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0"/>
              </w:rPr>
            </w:pPr>
            <w:r w:rsidRPr="001C58C6">
              <w:rPr>
                <w:rFonts w:ascii="Calibri" w:hAnsi="Calibri" w:cs="Calibri"/>
                <w:color w:val="000000" w:themeColor="text1"/>
                <w:sz w:val="22"/>
                <w:szCs w:val="20"/>
              </w:rPr>
              <w:t>Sprovođenje mjera u energetici, TE Pljevlja, investicije</w:t>
            </w:r>
          </w:p>
        </w:tc>
        <w:tc>
          <w:tcPr>
            <w:tcW w:w="2500" w:type="dxa"/>
            <w:hideMark/>
          </w:tcPr>
          <w:p w14:paraId="71BD6A89" w14:textId="77777777" w:rsidR="00581971" w:rsidRPr="001C58C6" w:rsidRDefault="00581971" w:rsidP="00837F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0"/>
              </w:rPr>
            </w:pPr>
            <w:r w:rsidRPr="001C58C6">
              <w:rPr>
                <w:rFonts w:ascii="Calibri" w:hAnsi="Calibri" w:cs="Calibri"/>
                <w:color w:val="000000" w:themeColor="text1"/>
                <w:sz w:val="22"/>
                <w:szCs w:val="20"/>
              </w:rPr>
              <w:t>Veoma visok uticaj</w:t>
            </w:r>
          </w:p>
        </w:tc>
      </w:tr>
      <w:tr w:rsidR="00581971" w:rsidRPr="001C58C6" w14:paraId="1639CD8C" w14:textId="77777777" w:rsidTr="00174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hideMark/>
          </w:tcPr>
          <w:p w14:paraId="2B30A989" w14:textId="77777777" w:rsidR="00581971" w:rsidRPr="001C58C6" w:rsidRDefault="00581971" w:rsidP="00837F0B">
            <w:pPr>
              <w:jc w:val="center"/>
              <w:rPr>
                <w:rFonts w:ascii="Calibri" w:hAnsi="Calibri" w:cs="Calibri"/>
                <w:color w:val="000000" w:themeColor="text1"/>
                <w:sz w:val="22"/>
                <w:szCs w:val="20"/>
              </w:rPr>
            </w:pPr>
            <w:r w:rsidRPr="001C58C6">
              <w:rPr>
                <w:rFonts w:ascii="Calibri" w:hAnsi="Calibri" w:cs="Calibri"/>
                <w:color w:val="000000" w:themeColor="text1"/>
                <w:sz w:val="22"/>
                <w:szCs w:val="20"/>
              </w:rPr>
              <w:t>Industrijski subjekti</w:t>
            </w:r>
          </w:p>
        </w:tc>
        <w:tc>
          <w:tcPr>
            <w:tcW w:w="3686" w:type="dxa"/>
            <w:hideMark/>
          </w:tcPr>
          <w:p w14:paraId="04E4A438" w14:textId="77777777" w:rsidR="00581971" w:rsidRPr="001C58C6" w:rsidRDefault="00581971" w:rsidP="00837F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0"/>
              </w:rPr>
            </w:pPr>
            <w:r w:rsidRPr="001C58C6">
              <w:rPr>
                <w:rFonts w:ascii="Calibri" w:hAnsi="Calibri" w:cs="Calibri"/>
                <w:color w:val="000000" w:themeColor="text1"/>
                <w:sz w:val="22"/>
                <w:szCs w:val="20"/>
              </w:rPr>
              <w:t>Poštovanje emisijskih standarda</w:t>
            </w:r>
          </w:p>
        </w:tc>
        <w:tc>
          <w:tcPr>
            <w:tcW w:w="2500" w:type="dxa"/>
            <w:hideMark/>
          </w:tcPr>
          <w:p w14:paraId="527CBBB4" w14:textId="77777777" w:rsidR="00581971" w:rsidRPr="001C58C6" w:rsidRDefault="00581971" w:rsidP="00837F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0"/>
              </w:rPr>
            </w:pPr>
            <w:r w:rsidRPr="001C58C6">
              <w:rPr>
                <w:rFonts w:ascii="Calibri" w:hAnsi="Calibri" w:cs="Calibri"/>
                <w:color w:val="000000" w:themeColor="text1"/>
                <w:sz w:val="22"/>
                <w:szCs w:val="20"/>
              </w:rPr>
              <w:t>Potencijalni otpor / troškovi</w:t>
            </w:r>
          </w:p>
        </w:tc>
      </w:tr>
      <w:tr w:rsidR="00581971" w:rsidRPr="001C58C6" w14:paraId="5860A695" w14:textId="77777777" w:rsidTr="001743DE">
        <w:tc>
          <w:tcPr>
            <w:cnfStyle w:val="001000000000" w:firstRow="0" w:lastRow="0" w:firstColumn="1" w:lastColumn="0" w:oddVBand="0" w:evenVBand="0" w:oddHBand="0" w:evenHBand="0" w:firstRowFirstColumn="0" w:firstRowLastColumn="0" w:lastRowFirstColumn="0" w:lastRowLastColumn="0"/>
            <w:tcW w:w="2830" w:type="dxa"/>
            <w:hideMark/>
          </w:tcPr>
          <w:p w14:paraId="428F2F94" w14:textId="77777777" w:rsidR="00581971" w:rsidRPr="001C58C6" w:rsidRDefault="00581971" w:rsidP="00837F0B">
            <w:pPr>
              <w:jc w:val="center"/>
              <w:rPr>
                <w:rFonts w:ascii="Calibri" w:hAnsi="Calibri" w:cs="Calibri"/>
                <w:color w:val="000000" w:themeColor="text1"/>
                <w:sz w:val="22"/>
                <w:szCs w:val="20"/>
              </w:rPr>
            </w:pPr>
            <w:r w:rsidRPr="001C58C6">
              <w:rPr>
                <w:rFonts w:ascii="Calibri" w:hAnsi="Calibri" w:cs="Calibri"/>
                <w:color w:val="000000" w:themeColor="text1"/>
                <w:sz w:val="22"/>
                <w:szCs w:val="20"/>
              </w:rPr>
              <w:t>Eko fond</w:t>
            </w:r>
          </w:p>
        </w:tc>
        <w:tc>
          <w:tcPr>
            <w:tcW w:w="3686" w:type="dxa"/>
            <w:hideMark/>
          </w:tcPr>
          <w:p w14:paraId="0A2111B1" w14:textId="77777777" w:rsidR="00581971" w:rsidRPr="001C58C6" w:rsidRDefault="00581971" w:rsidP="00837F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0"/>
              </w:rPr>
            </w:pPr>
            <w:r w:rsidRPr="001C58C6">
              <w:rPr>
                <w:rFonts w:ascii="Calibri" w:hAnsi="Calibri" w:cs="Calibri"/>
                <w:color w:val="000000" w:themeColor="text1"/>
                <w:sz w:val="22"/>
                <w:szCs w:val="20"/>
              </w:rPr>
              <w:t>Finansiranje mjera energetske efikasnosti i smanjenja emisija</w:t>
            </w:r>
          </w:p>
        </w:tc>
        <w:tc>
          <w:tcPr>
            <w:tcW w:w="2500" w:type="dxa"/>
            <w:hideMark/>
          </w:tcPr>
          <w:p w14:paraId="31B06D5F" w14:textId="77777777" w:rsidR="00581971" w:rsidRPr="001C58C6" w:rsidRDefault="00581971" w:rsidP="00837F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0"/>
              </w:rPr>
            </w:pPr>
            <w:r w:rsidRPr="001C58C6">
              <w:rPr>
                <w:rFonts w:ascii="Calibri" w:hAnsi="Calibri" w:cs="Calibri"/>
                <w:color w:val="000000" w:themeColor="text1"/>
                <w:sz w:val="22"/>
                <w:szCs w:val="20"/>
              </w:rPr>
              <w:t>Ključni finansijski mehanizam</w:t>
            </w:r>
          </w:p>
        </w:tc>
      </w:tr>
      <w:tr w:rsidR="00581971" w:rsidRPr="001C58C6" w14:paraId="2E8E3F01" w14:textId="77777777" w:rsidTr="00174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hideMark/>
          </w:tcPr>
          <w:p w14:paraId="0EE39080" w14:textId="77777777" w:rsidR="00581971" w:rsidRPr="001C58C6" w:rsidRDefault="00581971" w:rsidP="00837F0B">
            <w:pPr>
              <w:jc w:val="center"/>
              <w:rPr>
                <w:rFonts w:ascii="Calibri" w:hAnsi="Calibri" w:cs="Calibri"/>
                <w:color w:val="000000" w:themeColor="text1"/>
                <w:sz w:val="22"/>
                <w:szCs w:val="20"/>
              </w:rPr>
            </w:pPr>
            <w:r w:rsidRPr="001C58C6">
              <w:rPr>
                <w:rFonts w:ascii="Calibri" w:hAnsi="Calibri" w:cs="Calibri"/>
                <w:color w:val="000000" w:themeColor="text1"/>
                <w:sz w:val="22"/>
                <w:szCs w:val="20"/>
              </w:rPr>
              <w:t>Institut za javno zdravlje i zdravstvene ustanove</w:t>
            </w:r>
          </w:p>
        </w:tc>
        <w:tc>
          <w:tcPr>
            <w:tcW w:w="3686" w:type="dxa"/>
            <w:hideMark/>
          </w:tcPr>
          <w:p w14:paraId="4B2B4754" w14:textId="77777777" w:rsidR="00581971" w:rsidRPr="001C58C6" w:rsidRDefault="00581971" w:rsidP="00837F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0"/>
              </w:rPr>
            </w:pPr>
            <w:r w:rsidRPr="001C58C6">
              <w:rPr>
                <w:rFonts w:ascii="Calibri" w:hAnsi="Calibri" w:cs="Calibri"/>
                <w:color w:val="000000" w:themeColor="text1"/>
                <w:sz w:val="22"/>
                <w:szCs w:val="20"/>
              </w:rPr>
              <w:t>Praćenje uticaja na zdravlje, komunikacija sa javnošću</w:t>
            </w:r>
          </w:p>
        </w:tc>
        <w:tc>
          <w:tcPr>
            <w:tcW w:w="2500" w:type="dxa"/>
            <w:hideMark/>
          </w:tcPr>
          <w:p w14:paraId="565C50A2" w14:textId="77777777" w:rsidR="00581971" w:rsidRPr="001C58C6" w:rsidRDefault="00581971" w:rsidP="00837F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0"/>
              </w:rPr>
            </w:pPr>
            <w:r w:rsidRPr="001C58C6">
              <w:rPr>
                <w:rFonts w:ascii="Calibri" w:hAnsi="Calibri" w:cs="Calibri"/>
                <w:color w:val="000000" w:themeColor="text1"/>
                <w:sz w:val="22"/>
                <w:szCs w:val="20"/>
              </w:rPr>
              <w:t>Visok javnozdravstveni značaj</w:t>
            </w:r>
          </w:p>
        </w:tc>
      </w:tr>
      <w:tr w:rsidR="00581971" w:rsidRPr="001C58C6" w14:paraId="50A1F5C1" w14:textId="77777777" w:rsidTr="001743DE">
        <w:tc>
          <w:tcPr>
            <w:cnfStyle w:val="001000000000" w:firstRow="0" w:lastRow="0" w:firstColumn="1" w:lastColumn="0" w:oddVBand="0" w:evenVBand="0" w:oddHBand="0" w:evenHBand="0" w:firstRowFirstColumn="0" w:firstRowLastColumn="0" w:lastRowFirstColumn="0" w:lastRowLastColumn="0"/>
            <w:tcW w:w="2830" w:type="dxa"/>
            <w:hideMark/>
          </w:tcPr>
          <w:p w14:paraId="2213CF46" w14:textId="77777777" w:rsidR="00581971" w:rsidRPr="001C58C6" w:rsidRDefault="00581971" w:rsidP="00837F0B">
            <w:pPr>
              <w:jc w:val="center"/>
              <w:rPr>
                <w:rFonts w:ascii="Calibri" w:hAnsi="Calibri" w:cs="Calibri"/>
                <w:color w:val="000000" w:themeColor="text1"/>
                <w:sz w:val="22"/>
                <w:szCs w:val="20"/>
              </w:rPr>
            </w:pPr>
            <w:r w:rsidRPr="001C58C6">
              <w:rPr>
                <w:rFonts w:ascii="Calibri" w:hAnsi="Calibri" w:cs="Calibri"/>
                <w:color w:val="000000" w:themeColor="text1"/>
                <w:sz w:val="22"/>
                <w:szCs w:val="20"/>
              </w:rPr>
              <w:t>Civilno društvo i nevladine organizacije</w:t>
            </w:r>
          </w:p>
        </w:tc>
        <w:tc>
          <w:tcPr>
            <w:tcW w:w="3686" w:type="dxa"/>
            <w:hideMark/>
          </w:tcPr>
          <w:p w14:paraId="6D0375F6" w14:textId="77777777" w:rsidR="00581971" w:rsidRPr="001C58C6" w:rsidRDefault="00581971" w:rsidP="00837F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0"/>
              </w:rPr>
            </w:pPr>
            <w:r w:rsidRPr="001C58C6">
              <w:rPr>
                <w:rFonts w:ascii="Calibri" w:hAnsi="Calibri" w:cs="Calibri"/>
                <w:color w:val="000000" w:themeColor="text1"/>
                <w:sz w:val="22"/>
                <w:szCs w:val="20"/>
              </w:rPr>
              <w:t>Kontrola, zagovaranje, podizanje svijesti</w:t>
            </w:r>
          </w:p>
        </w:tc>
        <w:tc>
          <w:tcPr>
            <w:tcW w:w="2500" w:type="dxa"/>
            <w:hideMark/>
          </w:tcPr>
          <w:p w14:paraId="38D14DC9" w14:textId="77777777" w:rsidR="00581971" w:rsidRPr="001C58C6" w:rsidRDefault="00581971" w:rsidP="00837F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0"/>
              </w:rPr>
            </w:pPr>
            <w:r w:rsidRPr="001C58C6">
              <w:rPr>
                <w:rFonts w:ascii="Calibri" w:hAnsi="Calibri" w:cs="Calibri"/>
                <w:color w:val="000000" w:themeColor="text1"/>
                <w:sz w:val="22"/>
                <w:szCs w:val="20"/>
              </w:rPr>
              <w:t>Važna podrška transparentnosti</w:t>
            </w:r>
          </w:p>
        </w:tc>
      </w:tr>
      <w:tr w:rsidR="00581971" w:rsidRPr="001C58C6" w14:paraId="3F08E65E" w14:textId="77777777" w:rsidTr="00174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hideMark/>
          </w:tcPr>
          <w:p w14:paraId="705DCFDE" w14:textId="77777777" w:rsidR="00581971" w:rsidRPr="001C58C6" w:rsidRDefault="00581971" w:rsidP="00837F0B">
            <w:pPr>
              <w:jc w:val="center"/>
              <w:rPr>
                <w:rFonts w:ascii="Calibri" w:hAnsi="Calibri" w:cs="Calibri"/>
                <w:color w:val="000000" w:themeColor="text1"/>
                <w:sz w:val="22"/>
                <w:szCs w:val="20"/>
              </w:rPr>
            </w:pPr>
            <w:r w:rsidRPr="001C58C6">
              <w:rPr>
                <w:rFonts w:ascii="Calibri" w:hAnsi="Calibri" w:cs="Calibri"/>
                <w:color w:val="000000" w:themeColor="text1"/>
                <w:sz w:val="22"/>
                <w:szCs w:val="20"/>
              </w:rPr>
              <w:t>Mediji</w:t>
            </w:r>
          </w:p>
        </w:tc>
        <w:tc>
          <w:tcPr>
            <w:tcW w:w="3686" w:type="dxa"/>
            <w:hideMark/>
          </w:tcPr>
          <w:p w14:paraId="59FC60EC" w14:textId="77777777" w:rsidR="00581971" w:rsidRPr="001C58C6" w:rsidRDefault="00581971" w:rsidP="00837F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0"/>
              </w:rPr>
            </w:pPr>
            <w:r w:rsidRPr="001C58C6">
              <w:rPr>
                <w:rFonts w:ascii="Calibri" w:hAnsi="Calibri" w:cs="Calibri"/>
                <w:color w:val="000000" w:themeColor="text1"/>
                <w:sz w:val="22"/>
                <w:szCs w:val="20"/>
              </w:rPr>
              <w:t>Informisanje javnosti</w:t>
            </w:r>
          </w:p>
        </w:tc>
        <w:tc>
          <w:tcPr>
            <w:tcW w:w="2500" w:type="dxa"/>
            <w:hideMark/>
          </w:tcPr>
          <w:p w14:paraId="421F1F84" w14:textId="77777777" w:rsidR="00581971" w:rsidRPr="001C58C6" w:rsidRDefault="00581971" w:rsidP="00837F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0"/>
              </w:rPr>
            </w:pPr>
            <w:r w:rsidRPr="001C58C6">
              <w:rPr>
                <w:rFonts w:ascii="Calibri" w:hAnsi="Calibri" w:cs="Calibri"/>
                <w:color w:val="000000" w:themeColor="text1"/>
                <w:sz w:val="22"/>
                <w:szCs w:val="20"/>
              </w:rPr>
              <w:t>Oblikuju percepciju</w:t>
            </w:r>
          </w:p>
        </w:tc>
      </w:tr>
      <w:tr w:rsidR="00581971" w:rsidRPr="001C58C6" w14:paraId="3CB6702D" w14:textId="77777777" w:rsidTr="001743DE">
        <w:tc>
          <w:tcPr>
            <w:cnfStyle w:val="001000000000" w:firstRow="0" w:lastRow="0" w:firstColumn="1" w:lastColumn="0" w:oddVBand="0" w:evenVBand="0" w:oddHBand="0" w:evenHBand="0" w:firstRowFirstColumn="0" w:firstRowLastColumn="0" w:lastRowFirstColumn="0" w:lastRowLastColumn="0"/>
            <w:tcW w:w="2830" w:type="dxa"/>
            <w:hideMark/>
          </w:tcPr>
          <w:p w14:paraId="537A6EB4" w14:textId="77777777" w:rsidR="00581971" w:rsidRPr="001C58C6" w:rsidRDefault="00581971" w:rsidP="00837F0B">
            <w:pPr>
              <w:jc w:val="center"/>
              <w:rPr>
                <w:rFonts w:ascii="Calibri" w:hAnsi="Calibri" w:cs="Calibri"/>
                <w:color w:val="000000" w:themeColor="text1"/>
                <w:sz w:val="22"/>
                <w:szCs w:val="20"/>
              </w:rPr>
            </w:pPr>
            <w:r w:rsidRPr="001C58C6">
              <w:rPr>
                <w:rFonts w:ascii="Calibri" w:hAnsi="Calibri" w:cs="Calibri"/>
                <w:color w:val="000000" w:themeColor="text1"/>
                <w:sz w:val="22"/>
                <w:szCs w:val="20"/>
              </w:rPr>
              <w:t>Građani</w:t>
            </w:r>
          </w:p>
        </w:tc>
        <w:tc>
          <w:tcPr>
            <w:tcW w:w="3686" w:type="dxa"/>
            <w:hideMark/>
          </w:tcPr>
          <w:p w14:paraId="1AF5BEF8" w14:textId="77777777" w:rsidR="00581971" w:rsidRPr="001C58C6" w:rsidRDefault="00581971" w:rsidP="00837F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0"/>
              </w:rPr>
            </w:pPr>
            <w:r w:rsidRPr="001C58C6">
              <w:rPr>
                <w:rFonts w:ascii="Calibri" w:hAnsi="Calibri" w:cs="Calibri"/>
                <w:color w:val="000000" w:themeColor="text1"/>
                <w:sz w:val="22"/>
                <w:szCs w:val="20"/>
              </w:rPr>
              <w:t>Krajnji korisnici i najizloženija kategorija</w:t>
            </w:r>
          </w:p>
        </w:tc>
        <w:tc>
          <w:tcPr>
            <w:tcW w:w="2500" w:type="dxa"/>
            <w:hideMark/>
          </w:tcPr>
          <w:p w14:paraId="60ABDFD2" w14:textId="77777777" w:rsidR="00581971" w:rsidRPr="001C58C6" w:rsidRDefault="00581971" w:rsidP="00837F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0"/>
              </w:rPr>
            </w:pPr>
            <w:r w:rsidRPr="001C58C6">
              <w:rPr>
                <w:rFonts w:ascii="Calibri" w:hAnsi="Calibri" w:cs="Calibri"/>
                <w:color w:val="000000" w:themeColor="text1"/>
                <w:sz w:val="22"/>
                <w:szCs w:val="20"/>
              </w:rPr>
              <w:t>Od podrške građana zavisi uspjeh</w:t>
            </w:r>
          </w:p>
        </w:tc>
      </w:tr>
      <w:tr w:rsidR="00581971" w:rsidRPr="001C58C6" w14:paraId="32DFC9D9" w14:textId="77777777" w:rsidTr="00174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hideMark/>
          </w:tcPr>
          <w:p w14:paraId="3DFA55F9" w14:textId="77777777" w:rsidR="00581971" w:rsidRPr="001C58C6" w:rsidRDefault="00581971" w:rsidP="00837F0B">
            <w:pPr>
              <w:jc w:val="center"/>
              <w:rPr>
                <w:rFonts w:ascii="Calibri" w:hAnsi="Calibri" w:cs="Calibri"/>
                <w:color w:val="000000" w:themeColor="text1"/>
                <w:sz w:val="22"/>
                <w:szCs w:val="20"/>
              </w:rPr>
            </w:pPr>
            <w:r w:rsidRPr="001C58C6">
              <w:rPr>
                <w:rFonts w:ascii="Calibri" w:hAnsi="Calibri" w:cs="Calibri"/>
                <w:color w:val="000000" w:themeColor="text1"/>
                <w:sz w:val="22"/>
                <w:szCs w:val="20"/>
              </w:rPr>
              <w:t>Međunarodne organizacije i donatori</w:t>
            </w:r>
          </w:p>
        </w:tc>
        <w:tc>
          <w:tcPr>
            <w:tcW w:w="3686" w:type="dxa"/>
            <w:hideMark/>
          </w:tcPr>
          <w:p w14:paraId="47C11350" w14:textId="77777777" w:rsidR="00581971" w:rsidRPr="001C58C6" w:rsidRDefault="00581971" w:rsidP="00837F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0"/>
              </w:rPr>
            </w:pPr>
            <w:r w:rsidRPr="001C58C6">
              <w:rPr>
                <w:rFonts w:ascii="Calibri" w:hAnsi="Calibri" w:cs="Calibri"/>
                <w:color w:val="000000" w:themeColor="text1"/>
                <w:sz w:val="22"/>
                <w:szCs w:val="20"/>
              </w:rPr>
              <w:t>Tehnička podrška i finansiranje</w:t>
            </w:r>
          </w:p>
        </w:tc>
        <w:tc>
          <w:tcPr>
            <w:tcW w:w="2500" w:type="dxa"/>
            <w:hideMark/>
          </w:tcPr>
          <w:p w14:paraId="550EC671" w14:textId="77777777" w:rsidR="00581971" w:rsidRPr="001C58C6" w:rsidRDefault="00581971" w:rsidP="00837F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0"/>
              </w:rPr>
            </w:pPr>
            <w:r w:rsidRPr="001C58C6">
              <w:rPr>
                <w:rFonts w:ascii="Calibri" w:hAnsi="Calibri" w:cs="Calibri"/>
                <w:color w:val="000000" w:themeColor="text1"/>
                <w:sz w:val="22"/>
                <w:szCs w:val="20"/>
              </w:rPr>
              <w:t>Podrška sistemskom jačanju</w:t>
            </w:r>
          </w:p>
        </w:tc>
      </w:tr>
    </w:tbl>
    <w:p w14:paraId="4E4F59C8" w14:textId="77777777" w:rsidR="0067106D" w:rsidRPr="001C58C6" w:rsidRDefault="0067106D">
      <w:pPr>
        <w:rPr>
          <w:rFonts w:ascii="Calibri" w:hAnsi="Calibri" w:cs="Calibri"/>
          <w:color w:val="000000" w:themeColor="text1"/>
        </w:rPr>
      </w:pPr>
    </w:p>
    <w:p w14:paraId="5534203A" w14:textId="77777777" w:rsidR="0067106D" w:rsidRPr="001C58C6" w:rsidRDefault="00837F0B">
      <w:pPr>
        <w:pStyle w:val="Heading2"/>
        <w:rPr>
          <w:rFonts w:ascii="Calibri" w:hAnsi="Calibri" w:cs="Calibri"/>
          <w:color w:val="000000" w:themeColor="text1"/>
        </w:rPr>
      </w:pPr>
      <w:bookmarkStart w:id="49" w:name="_Toc220070418"/>
      <w:bookmarkStart w:id="50" w:name="_Toc233711736"/>
      <w:r w:rsidRPr="001C58C6">
        <w:rPr>
          <w:rFonts w:ascii="Calibri" w:hAnsi="Calibri" w:cs="Calibri"/>
          <w:color w:val="000000" w:themeColor="text1"/>
        </w:rPr>
        <w:lastRenderedPageBreak/>
        <w:t>1.8 ANALIZA RESURSA</w:t>
      </w:r>
      <w:bookmarkEnd w:id="49"/>
      <w:bookmarkEnd w:id="50"/>
    </w:p>
    <w:p w14:paraId="4BC5315A" w14:textId="77777777" w:rsidR="00837F0B" w:rsidRPr="001C58C6" w:rsidRDefault="00837F0B" w:rsidP="00581971">
      <w:pPr>
        <w:rPr>
          <w:rFonts w:ascii="Calibri" w:hAnsi="Calibri" w:cs="Calibri"/>
          <w:color w:val="000000" w:themeColor="text1"/>
        </w:rPr>
      </w:pPr>
    </w:p>
    <w:p w14:paraId="67033331" w14:textId="77777777" w:rsidR="00581971" w:rsidRPr="001C58C6" w:rsidRDefault="00581971" w:rsidP="00581971">
      <w:pPr>
        <w:rPr>
          <w:rFonts w:ascii="Calibri" w:hAnsi="Calibri" w:cs="Calibri"/>
          <w:color w:val="000000" w:themeColor="text1"/>
        </w:rPr>
      </w:pPr>
      <w:r w:rsidRPr="001C58C6">
        <w:rPr>
          <w:rFonts w:ascii="Calibri" w:hAnsi="Calibri" w:cs="Calibri"/>
          <w:color w:val="000000" w:themeColor="text1"/>
        </w:rPr>
        <w:t>Efikasno sprovođenje Strategije zavisi od obezbjeđivanja adekvatnih institucionalnih, tehničkih, finansijskih i ljudskih resursa. Analiza ukazuje na sljedeće ključne elemente:</w:t>
      </w:r>
    </w:p>
    <w:p w14:paraId="00CFD56B" w14:textId="77777777" w:rsidR="00581971" w:rsidRPr="001C58C6" w:rsidRDefault="00581971" w:rsidP="00E53052">
      <w:pPr>
        <w:pStyle w:val="ListParagraph"/>
        <w:numPr>
          <w:ilvl w:val="0"/>
          <w:numId w:val="14"/>
        </w:numPr>
        <w:rPr>
          <w:rFonts w:ascii="Calibri" w:hAnsi="Calibri" w:cs="Calibri"/>
          <w:b/>
          <w:bCs/>
          <w:color w:val="000000" w:themeColor="text1"/>
        </w:rPr>
      </w:pPr>
      <w:r w:rsidRPr="001C58C6">
        <w:rPr>
          <w:rFonts w:ascii="Calibri" w:hAnsi="Calibri" w:cs="Calibri"/>
          <w:b/>
          <w:bCs/>
          <w:color w:val="000000" w:themeColor="text1"/>
        </w:rPr>
        <w:t>Institucionalni resursi</w:t>
      </w:r>
    </w:p>
    <w:p w14:paraId="403B0B97" w14:textId="77777777" w:rsidR="00581971" w:rsidRPr="001C58C6" w:rsidRDefault="00581971" w:rsidP="00581971">
      <w:pPr>
        <w:rPr>
          <w:rFonts w:ascii="Calibri" w:hAnsi="Calibri" w:cs="Calibri"/>
          <w:color w:val="000000" w:themeColor="text1"/>
        </w:rPr>
      </w:pPr>
      <w:r w:rsidRPr="001C58C6">
        <w:rPr>
          <w:rFonts w:ascii="Calibri" w:hAnsi="Calibri" w:cs="Calibri"/>
          <w:color w:val="000000" w:themeColor="text1"/>
        </w:rPr>
        <w:t>Postoji jasno definisan institucionalni okvir na nacionalnom nivou, međutim:</w:t>
      </w:r>
    </w:p>
    <w:p w14:paraId="34386FA8" w14:textId="77777777" w:rsidR="00581971" w:rsidRPr="001C58C6" w:rsidRDefault="00581971" w:rsidP="00E53052">
      <w:pPr>
        <w:pStyle w:val="ListParagraph"/>
        <w:numPr>
          <w:ilvl w:val="0"/>
          <w:numId w:val="8"/>
        </w:numPr>
        <w:rPr>
          <w:rFonts w:ascii="Calibri" w:hAnsi="Calibri" w:cs="Calibri"/>
          <w:color w:val="000000" w:themeColor="text1"/>
        </w:rPr>
      </w:pPr>
      <w:r w:rsidRPr="001C58C6">
        <w:rPr>
          <w:rFonts w:ascii="Calibri" w:hAnsi="Calibri" w:cs="Calibri"/>
          <w:color w:val="000000" w:themeColor="text1"/>
        </w:rPr>
        <w:t>nedovoljna koordinacija između sektora,</w:t>
      </w:r>
    </w:p>
    <w:p w14:paraId="74205020" w14:textId="77777777" w:rsidR="00581971" w:rsidRPr="001C58C6" w:rsidRDefault="00581971" w:rsidP="00E53052">
      <w:pPr>
        <w:pStyle w:val="ListParagraph"/>
        <w:numPr>
          <w:ilvl w:val="0"/>
          <w:numId w:val="8"/>
        </w:numPr>
        <w:rPr>
          <w:rFonts w:ascii="Calibri" w:hAnsi="Calibri" w:cs="Calibri"/>
          <w:color w:val="000000" w:themeColor="text1"/>
        </w:rPr>
      </w:pPr>
      <w:r w:rsidRPr="001C58C6">
        <w:rPr>
          <w:rFonts w:ascii="Calibri" w:hAnsi="Calibri" w:cs="Calibri"/>
          <w:color w:val="000000" w:themeColor="text1"/>
        </w:rPr>
        <w:t>ograničeni kapaciteti na lokalnom nivou,</w:t>
      </w:r>
    </w:p>
    <w:p w14:paraId="16AEE280" w14:textId="77777777" w:rsidR="00581971" w:rsidRPr="001C58C6" w:rsidRDefault="00581971" w:rsidP="00E53052">
      <w:pPr>
        <w:pStyle w:val="ListParagraph"/>
        <w:numPr>
          <w:ilvl w:val="0"/>
          <w:numId w:val="8"/>
        </w:numPr>
        <w:rPr>
          <w:rFonts w:ascii="Calibri" w:hAnsi="Calibri" w:cs="Calibri"/>
          <w:color w:val="000000" w:themeColor="text1"/>
        </w:rPr>
      </w:pPr>
      <w:r w:rsidRPr="001C58C6">
        <w:rPr>
          <w:rFonts w:ascii="Calibri" w:hAnsi="Calibri" w:cs="Calibri"/>
          <w:color w:val="000000" w:themeColor="text1"/>
        </w:rPr>
        <w:t>potreba za jačanjem sprovođenja i kontrole.</w:t>
      </w:r>
    </w:p>
    <w:p w14:paraId="4E33FA2D" w14:textId="77777777" w:rsidR="00581971" w:rsidRPr="001C58C6" w:rsidRDefault="00581971" w:rsidP="00E53052">
      <w:pPr>
        <w:pStyle w:val="ListParagraph"/>
        <w:numPr>
          <w:ilvl w:val="0"/>
          <w:numId w:val="8"/>
        </w:numPr>
        <w:rPr>
          <w:rFonts w:ascii="Calibri" w:hAnsi="Calibri" w:cs="Calibri"/>
          <w:color w:val="000000" w:themeColor="text1"/>
        </w:rPr>
      </w:pPr>
      <w:r w:rsidRPr="001C58C6">
        <w:rPr>
          <w:rFonts w:ascii="Calibri" w:hAnsi="Calibri" w:cs="Calibri"/>
          <w:color w:val="000000" w:themeColor="text1"/>
        </w:rPr>
        <w:t>Tehnički resursi</w:t>
      </w:r>
    </w:p>
    <w:p w14:paraId="3B117A99" w14:textId="77777777" w:rsidR="00581971" w:rsidRPr="001C58C6" w:rsidRDefault="00581971" w:rsidP="00581971">
      <w:pPr>
        <w:rPr>
          <w:rFonts w:ascii="Calibri" w:hAnsi="Calibri" w:cs="Calibri"/>
          <w:color w:val="000000" w:themeColor="text1"/>
        </w:rPr>
      </w:pPr>
      <w:r w:rsidRPr="001C58C6">
        <w:rPr>
          <w:rFonts w:ascii="Calibri" w:hAnsi="Calibri" w:cs="Calibri"/>
          <w:color w:val="000000" w:themeColor="text1"/>
        </w:rPr>
        <w:t>Državna mreža mjernih stanica znatno je unaprijeđena posljednjih godina i pokriva tri zone kvaliteta vazduha. Ipak:</w:t>
      </w:r>
    </w:p>
    <w:p w14:paraId="289908CA" w14:textId="77777777" w:rsidR="00581971" w:rsidRPr="001C58C6" w:rsidRDefault="00581971" w:rsidP="00E53052">
      <w:pPr>
        <w:pStyle w:val="ListParagraph"/>
        <w:numPr>
          <w:ilvl w:val="0"/>
          <w:numId w:val="15"/>
        </w:numPr>
        <w:rPr>
          <w:rFonts w:ascii="Calibri" w:hAnsi="Calibri" w:cs="Calibri"/>
          <w:color w:val="000000" w:themeColor="text1"/>
        </w:rPr>
      </w:pPr>
      <w:r w:rsidRPr="001C58C6">
        <w:rPr>
          <w:rFonts w:ascii="Calibri" w:hAnsi="Calibri" w:cs="Calibri"/>
          <w:color w:val="000000" w:themeColor="text1"/>
        </w:rPr>
        <w:t>neophodno je kontinuirano održavanje i kalibracija,</w:t>
      </w:r>
    </w:p>
    <w:p w14:paraId="11F2F29F" w14:textId="77777777" w:rsidR="00581971" w:rsidRPr="001C58C6" w:rsidRDefault="00581971" w:rsidP="00E53052">
      <w:pPr>
        <w:pStyle w:val="ListParagraph"/>
        <w:numPr>
          <w:ilvl w:val="0"/>
          <w:numId w:val="15"/>
        </w:numPr>
        <w:rPr>
          <w:rFonts w:ascii="Calibri" w:hAnsi="Calibri" w:cs="Calibri"/>
          <w:color w:val="000000" w:themeColor="text1"/>
        </w:rPr>
      </w:pPr>
      <w:r w:rsidRPr="001C58C6">
        <w:rPr>
          <w:rFonts w:ascii="Calibri" w:hAnsi="Calibri" w:cs="Calibri"/>
          <w:color w:val="000000" w:themeColor="text1"/>
        </w:rPr>
        <w:t>potrebno je dodatno unaprijediti QA/QC sistem,</w:t>
      </w:r>
    </w:p>
    <w:p w14:paraId="30526AF2" w14:textId="77777777" w:rsidR="00581971" w:rsidRPr="001C58C6" w:rsidRDefault="00581971" w:rsidP="00E53052">
      <w:pPr>
        <w:pStyle w:val="ListParagraph"/>
        <w:numPr>
          <w:ilvl w:val="0"/>
          <w:numId w:val="15"/>
        </w:numPr>
        <w:rPr>
          <w:rFonts w:ascii="Calibri" w:hAnsi="Calibri" w:cs="Calibri"/>
          <w:color w:val="000000" w:themeColor="text1"/>
        </w:rPr>
      </w:pPr>
      <w:r w:rsidRPr="001C58C6">
        <w:rPr>
          <w:rFonts w:ascii="Calibri" w:hAnsi="Calibri" w:cs="Calibri"/>
          <w:color w:val="000000" w:themeColor="text1"/>
        </w:rPr>
        <w:t>potrebno je unaprijediti inventare i projekcije emisija.</w:t>
      </w:r>
    </w:p>
    <w:p w14:paraId="64DD8DB2" w14:textId="77777777" w:rsidR="00581971" w:rsidRPr="001C58C6" w:rsidRDefault="00581971" w:rsidP="00581971">
      <w:pPr>
        <w:rPr>
          <w:rFonts w:ascii="Calibri" w:hAnsi="Calibri" w:cs="Calibri"/>
          <w:color w:val="000000" w:themeColor="text1"/>
        </w:rPr>
      </w:pPr>
    </w:p>
    <w:p w14:paraId="2291BFF4" w14:textId="77777777" w:rsidR="00581971" w:rsidRPr="001C58C6" w:rsidRDefault="00581971" w:rsidP="00E53052">
      <w:pPr>
        <w:pStyle w:val="ListParagraph"/>
        <w:numPr>
          <w:ilvl w:val="0"/>
          <w:numId w:val="16"/>
        </w:numPr>
        <w:rPr>
          <w:rFonts w:ascii="Calibri" w:hAnsi="Calibri" w:cs="Calibri"/>
          <w:b/>
          <w:bCs/>
          <w:color w:val="000000" w:themeColor="text1"/>
        </w:rPr>
      </w:pPr>
      <w:r w:rsidRPr="001C58C6">
        <w:rPr>
          <w:rFonts w:ascii="Calibri" w:hAnsi="Calibri" w:cs="Calibri"/>
          <w:b/>
          <w:bCs/>
          <w:color w:val="000000" w:themeColor="text1"/>
        </w:rPr>
        <w:t>Ljudski resursi</w:t>
      </w:r>
    </w:p>
    <w:p w14:paraId="4C7DC8C2" w14:textId="77777777" w:rsidR="00581971" w:rsidRPr="001C58C6" w:rsidRDefault="00581971" w:rsidP="00E53052">
      <w:pPr>
        <w:pStyle w:val="ListParagraph"/>
        <w:numPr>
          <w:ilvl w:val="0"/>
          <w:numId w:val="9"/>
        </w:numPr>
        <w:rPr>
          <w:rFonts w:ascii="Calibri" w:hAnsi="Calibri" w:cs="Calibri"/>
          <w:color w:val="000000" w:themeColor="text1"/>
        </w:rPr>
      </w:pPr>
      <w:r w:rsidRPr="001C58C6">
        <w:rPr>
          <w:rFonts w:ascii="Calibri" w:hAnsi="Calibri" w:cs="Calibri"/>
          <w:color w:val="000000" w:themeColor="text1"/>
        </w:rPr>
        <w:t>ograničen broj stručnjaka,</w:t>
      </w:r>
    </w:p>
    <w:p w14:paraId="108BA182" w14:textId="77777777" w:rsidR="00581971" w:rsidRPr="001C58C6" w:rsidRDefault="00581971" w:rsidP="00E53052">
      <w:pPr>
        <w:pStyle w:val="ListParagraph"/>
        <w:numPr>
          <w:ilvl w:val="0"/>
          <w:numId w:val="9"/>
        </w:numPr>
        <w:rPr>
          <w:rFonts w:ascii="Calibri" w:hAnsi="Calibri" w:cs="Calibri"/>
          <w:color w:val="000000" w:themeColor="text1"/>
        </w:rPr>
      </w:pPr>
      <w:r w:rsidRPr="001C58C6">
        <w:rPr>
          <w:rFonts w:ascii="Calibri" w:hAnsi="Calibri" w:cs="Calibri"/>
          <w:color w:val="000000" w:themeColor="text1"/>
        </w:rPr>
        <w:t>nedostatak kadra na lokalnom nivou,</w:t>
      </w:r>
    </w:p>
    <w:p w14:paraId="57BFA256" w14:textId="77777777" w:rsidR="00581971" w:rsidRPr="001C58C6" w:rsidRDefault="00581971" w:rsidP="00E53052">
      <w:pPr>
        <w:pStyle w:val="ListParagraph"/>
        <w:numPr>
          <w:ilvl w:val="0"/>
          <w:numId w:val="9"/>
        </w:numPr>
        <w:rPr>
          <w:rFonts w:ascii="Calibri" w:hAnsi="Calibri" w:cs="Calibri"/>
          <w:color w:val="000000" w:themeColor="text1"/>
        </w:rPr>
      </w:pPr>
      <w:r w:rsidRPr="001C58C6">
        <w:rPr>
          <w:rFonts w:ascii="Calibri" w:hAnsi="Calibri" w:cs="Calibri"/>
          <w:color w:val="000000" w:themeColor="text1"/>
        </w:rPr>
        <w:t>potreba za obukama i specijalizacijom (inventari, modeliranje, javne politike).</w:t>
      </w:r>
    </w:p>
    <w:p w14:paraId="6DC39A3A" w14:textId="77777777" w:rsidR="00581971" w:rsidRPr="001C58C6" w:rsidRDefault="00581971" w:rsidP="00E630B7">
      <w:pPr>
        <w:rPr>
          <w:rFonts w:ascii="Calibri" w:hAnsi="Calibri" w:cs="Calibri"/>
          <w:b/>
          <w:bCs/>
          <w:color w:val="000000" w:themeColor="text1"/>
        </w:rPr>
      </w:pPr>
    </w:p>
    <w:p w14:paraId="04008CDF" w14:textId="77777777" w:rsidR="00581971" w:rsidRPr="001C58C6" w:rsidRDefault="00581971" w:rsidP="00E53052">
      <w:pPr>
        <w:pStyle w:val="ListParagraph"/>
        <w:numPr>
          <w:ilvl w:val="0"/>
          <w:numId w:val="17"/>
        </w:numPr>
        <w:rPr>
          <w:rFonts w:ascii="Calibri" w:hAnsi="Calibri" w:cs="Calibri"/>
          <w:b/>
          <w:bCs/>
          <w:color w:val="000000" w:themeColor="text1"/>
        </w:rPr>
      </w:pPr>
      <w:r w:rsidRPr="001C58C6">
        <w:rPr>
          <w:rFonts w:ascii="Calibri" w:hAnsi="Calibri" w:cs="Calibri"/>
          <w:b/>
          <w:bCs/>
          <w:color w:val="000000" w:themeColor="text1"/>
        </w:rPr>
        <w:t>Finansijski resursi</w:t>
      </w:r>
    </w:p>
    <w:p w14:paraId="24290CC6" w14:textId="77777777" w:rsidR="00581971" w:rsidRPr="001C58C6" w:rsidRDefault="00837F0B" w:rsidP="00E53052">
      <w:pPr>
        <w:pStyle w:val="ListParagraph"/>
        <w:numPr>
          <w:ilvl w:val="0"/>
          <w:numId w:val="18"/>
        </w:numPr>
        <w:rPr>
          <w:rFonts w:ascii="Calibri" w:hAnsi="Calibri" w:cs="Calibri"/>
          <w:color w:val="000000" w:themeColor="text1"/>
        </w:rPr>
      </w:pPr>
      <w:r w:rsidRPr="001C58C6">
        <w:rPr>
          <w:rFonts w:ascii="Calibri" w:hAnsi="Calibri" w:cs="Calibri"/>
          <w:color w:val="000000" w:themeColor="text1"/>
        </w:rPr>
        <w:t>D</w:t>
      </w:r>
      <w:r w:rsidR="00581971" w:rsidRPr="001C58C6">
        <w:rPr>
          <w:rFonts w:ascii="Calibri" w:hAnsi="Calibri" w:cs="Calibri"/>
          <w:color w:val="000000" w:themeColor="text1"/>
        </w:rPr>
        <w:t>ržavni budžet</w:t>
      </w:r>
    </w:p>
    <w:p w14:paraId="55DBBF87" w14:textId="77777777" w:rsidR="00581971" w:rsidRPr="001C58C6" w:rsidRDefault="00581971" w:rsidP="00E53052">
      <w:pPr>
        <w:pStyle w:val="ListParagraph"/>
        <w:numPr>
          <w:ilvl w:val="0"/>
          <w:numId w:val="18"/>
        </w:numPr>
        <w:rPr>
          <w:rFonts w:ascii="Calibri" w:hAnsi="Calibri" w:cs="Calibri"/>
          <w:color w:val="000000" w:themeColor="text1"/>
        </w:rPr>
      </w:pPr>
      <w:r w:rsidRPr="001C58C6">
        <w:rPr>
          <w:rFonts w:ascii="Calibri" w:hAnsi="Calibri" w:cs="Calibri"/>
          <w:color w:val="000000" w:themeColor="text1"/>
        </w:rPr>
        <w:t>Eko fond,</w:t>
      </w:r>
    </w:p>
    <w:p w14:paraId="6A4F6F57" w14:textId="77777777" w:rsidR="00581971" w:rsidRPr="001C58C6" w:rsidRDefault="00837F0B" w:rsidP="00E53052">
      <w:pPr>
        <w:pStyle w:val="ListParagraph"/>
        <w:numPr>
          <w:ilvl w:val="0"/>
          <w:numId w:val="18"/>
        </w:numPr>
        <w:rPr>
          <w:rFonts w:ascii="Calibri" w:hAnsi="Calibri" w:cs="Calibri"/>
          <w:color w:val="000000" w:themeColor="text1"/>
        </w:rPr>
      </w:pPr>
      <w:r w:rsidRPr="001C58C6">
        <w:rPr>
          <w:rFonts w:ascii="Calibri" w:hAnsi="Calibri" w:cs="Calibri"/>
          <w:color w:val="000000" w:themeColor="text1"/>
        </w:rPr>
        <w:t>M</w:t>
      </w:r>
      <w:r w:rsidR="00581971" w:rsidRPr="001C58C6">
        <w:rPr>
          <w:rFonts w:ascii="Calibri" w:hAnsi="Calibri" w:cs="Calibri"/>
          <w:color w:val="000000" w:themeColor="text1"/>
        </w:rPr>
        <w:t xml:space="preserve">eđunarodni fondovi (EU, bilateralna podrška, EBRD, </w:t>
      </w:r>
      <w:r w:rsidR="0085269F" w:rsidRPr="001C58C6">
        <w:rPr>
          <w:rFonts w:ascii="Calibri" w:hAnsi="Calibri" w:cs="Calibri"/>
          <w:color w:val="000000" w:themeColor="text1"/>
        </w:rPr>
        <w:t xml:space="preserve">EIB, KfW, GEF, GCF, </w:t>
      </w:r>
      <w:r w:rsidR="00581971" w:rsidRPr="001C58C6">
        <w:rPr>
          <w:rFonts w:ascii="Calibri" w:hAnsi="Calibri" w:cs="Calibri"/>
          <w:color w:val="000000" w:themeColor="text1"/>
        </w:rPr>
        <w:t>WBIF),</w:t>
      </w:r>
    </w:p>
    <w:p w14:paraId="046F3985" w14:textId="77777777" w:rsidR="00581971" w:rsidRPr="001C58C6" w:rsidRDefault="00837F0B" w:rsidP="00E53052">
      <w:pPr>
        <w:pStyle w:val="ListParagraph"/>
        <w:numPr>
          <w:ilvl w:val="0"/>
          <w:numId w:val="18"/>
        </w:numPr>
        <w:rPr>
          <w:rFonts w:ascii="Calibri" w:hAnsi="Calibri" w:cs="Calibri"/>
          <w:color w:val="000000" w:themeColor="text1"/>
        </w:rPr>
      </w:pPr>
      <w:r w:rsidRPr="001C58C6">
        <w:rPr>
          <w:rFonts w:ascii="Calibri" w:hAnsi="Calibri" w:cs="Calibri"/>
          <w:color w:val="000000" w:themeColor="text1"/>
        </w:rPr>
        <w:t>P</w:t>
      </w:r>
      <w:r w:rsidR="00581971" w:rsidRPr="001C58C6">
        <w:rPr>
          <w:rFonts w:ascii="Calibri" w:hAnsi="Calibri" w:cs="Calibri"/>
          <w:color w:val="000000" w:themeColor="text1"/>
        </w:rPr>
        <w:t>rivatni sektor.</w:t>
      </w:r>
    </w:p>
    <w:p w14:paraId="39FE5FC9" w14:textId="77777777" w:rsidR="00581971" w:rsidRPr="001C58C6" w:rsidRDefault="00581971" w:rsidP="00581971">
      <w:pPr>
        <w:rPr>
          <w:rFonts w:ascii="Calibri" w:hAnsi="Calibri" w:cs="Calibri"/>
          <w:color w:val="000000" w:themeColor="text1"/>
        </w:rPr>
      </w:pPr>
      <w:r w:rsidRPr="001C58C6">
        <w:rPr>
          <w:rFonts w:ascii="Calibri" w:hAnsi="Calibri" w:cs="Calibri"/>
          <w:color w:val="000000" w:themeColor="text1"/>
        </w:rPr>
        <w:t>Zaključak: Resursi postoje, ali su nedovoljni za potpuno sprovođenje bez dodatnih ulaganja i jačanja kapaciteta.</w:t>
      </w:r>
    </w:p>
    <w:p w14:paraId="6EAD6BE5" w14:textId="77777777" w:rsidR="006E191C" w:rsidRPr="001C58C6" w:rsidRDefault="006E191C" w:rsidP="00581971">
      <w:pPr>
        <w:rPr>
          <w:rFonts w:ascii="Calibri" w:hAnsi="Calibri" w:cs="Calibri"/>
          <w:color w:val="000000" w:themeColor="text1"/>
        </w:rPr>
      </w:pPr>
    </w:p>
    <w:p w14:paraId="0E113425" w14:textId="77777777" w:rsidR="006E191C" w:rsidRPr="001C58C6" w:rsidRDefault="006E191C" w:rsidP="006E191C">
      <w:pPr>
        <w:rPr>
          <w:rFonts w:ascii="Calibri" w:hAnsi="Calibri" w:cs="Calibri"/>
          <w:color w:val="000000" w:themeColor="text1"/>
        </w:rPr>
      </w:pPr>
      <w:r w:rsidRPr="001C58C6">
        <w:rPr>
          <w:rFonts w:ascii="Calibri" w:hAnsi="Calibri" w:cs="Calibri"/>
          <w:color w:val="000000" w:themeColor="text1"/>
        </w:rPr>
        <w:t>Implementacija Strategije ne zahtijeva obezbjeđenje dodatnih finansijskih sredstava iz budžeta Crne Gore za 2026. godinu, jer su ključne mjere već planirane kroz postojeće strateške i planske dokumente, prvenstveno kroz NEKP, Reformsku agendu, investicione planove energetskih kompanija i programe međunarodnih finansijskih institucija i fondova, uključujući IPA podršku.</w:t>
      </w:r>
    </w:p>
    <w:p w14:paraId="450A1DF9" w14:textId="77777777" w:rsidR="006E191C" w:rsidRPr="001C58C6" w:rsidRDefault="006E191C" w:rsidP="006E191C">
      <w:pPr>
        <w:rPr>
          <w:rFonts w:ascii="Calibri" w:hAnsi="Calibri" w:cs="Calibri"/>
          <w:color w:val="000000" w:themeColor="text1"/>
        </w:rPr>
      </w:pPr>
    </w:p>
    <w:p w14:paraId="302CAB94" w14:textId="77777777" w:rsidR="006E191C" w:rsidRPr="001C58C6" w:rsidRDefault="006E191C" w:rsidP="006E191C">
      <w:pPr>
        <w:rPr>
          <w:rFonts w:ascii="Calibri" w:hAnsi="Calibri" w:cs="Calibri"/>
          <w:color w:val="000000" w:themeColor="text1"/>
        </w:rPr>
      </w:pPr>
      <w:r w:rsidRPr="001C58C6">
        <w:rPr>
          <w:rFonts w:ascii="Calibri" w:hAnsi="Calibri" w:cs="Calibri"/>
          <w:color w:val="000000" w:themeColor="text1"/>
        </w:rPr>
        <w:t>Najznačajnija sredstva odnose se na energetsku tranziciju, infrastrukturne projekte i podsticaje građanima: ekološka rekonstrukcija TE Pljevlja - 54,5 miliona eura; program energetske efikasnosti u javnim zgradama - 80 miliona eura; razvoj sistema daljinskog grijanja u opštini Pljevlja - 23 miliona eura; podsticaji građanima za mjere energetske efikasnosti - 8,8 miliona eura.</w:t>
      </w:r>
    </w:p>
    <w:p w14:paraId="3CBF299A" w14:textId="120A0BDB" w:rsidR="006E191C" w:rsidRPr="001C58C6" w:rsidRDefault="006E191C" w:rsidP="006E191C">
      <w:pPr>
        <w:rPr>
          <w:rFonts w:ascii="Calibri" w:hAnsi="Calibri" w:cs="Calibri"/>
          <w:color w:val="000000" w:themeColor="text1"/>
        </w:rPr>
      </w:pPr>
      <w:r w:rsidRPr="001C58C6">
        <w:rPr>
          <w:rFonts w:ascii="Calibri" w:hAnsi="Calibri" w:cs="Calibri"/>
          <w:color w:val="000000" w:themeColor="text1"/>
        </w:rPr>
        <w:t>Mjere koje se odnose na pravni okvir, monitoring i izvještavanje planiraju se kroz IPA projekat tehničke podrške za poglavlje 27, uključujući potpunu transpoziciju Direktive (EU) 2016/2284 i Direktive (EU) 2024/2881, unapređenje inventara emisija, projekcija i izvještavanja prema CLRTAP/EIONET okviru, modeliranje kvaliteta vazduha i praćenje uticaja zagađenja na ekosisteme.</w:t>
      </w:r>
    </w:p>
    <w:p w14:paraId="75BF9CBC" w14:textId="68B908E5" w:rsidR="00BE32E2" w:rsidRPr="001C58C6" w:rsidRDefault="006E191C">
      <w:pPr>
        <w:rPr>
          <w:rFonts w:ascii="Calibri" w:hAnsi="Calibri" w:cs="Calibri"/>
          <w:color w:val="000000" w:themeColor="text1"/>
        </w:rPr>
      </w:pPr>
      <w:r w:rsidRPr="001C58C6">
        <w:rPr>
          <w:rFonts w:ascii="Calibri" w:hAnsi="Calibri" w:cs="Calibri"/>
          <w:color w:val="000000" w:themeColor="text1"/>
        </w:rPr>
        <w:lastRenderedPageBreak/>
        <w:t>Sredstva se obezbjeđuju tokom cjelokupnog perioda 2026-2029. godine, jer mjere imaju različite faze sprovođenja. Na lokalnom nivou, jedinice lokalne samouprave učestvuju kroz lokalne planove zaštite životne sredine, projekte energetske efikasnosti u javnim zgradama, koordinaciju podsticaja građanima kroz Eko fond, razvoj daljinskog grijanja i promociju e-mobilnosti. Dokumentom se ne predviđaju mjere koje stvaraju međunarodne finansijske obaveze.</w:t>
      </w:r>
    </w:p>
    <w:p w14:paraId="52ECD700" w14:textId="77777777" w:rsidR="00837F0B" w:rsidRPr="001C58C6" w:rsidRDefault="00837F0B" w:rsidP="00837F0B">
      <w:pPr>
        <w:pStyle w:val="Heading2"/>
        <w:rPr>
          <w:rFonts w:ascii="Calibri" w:hAnsi="Calibri" w:cs="Calibri"/>
          <w:color w:val="000000" w:themeColor="text1"/>
        </w:rPr>
      </w:pPr>
      <w:bookmarkStart w:id="51" w:name="_Toc220070419"/>
      <w:bookmarkStart w:id="52" w:name="_Toc233711737"/>
      <w:r w:rsidRPr="001C58C6">
        <w:rPr>
          <w:rFonts w:ascii="Calibri" w:hAnsi="Calibri" w:cs="Calibri"/>
          <w:color w:val="000000" w:themeColor="text1"/>
        </w:rPr>
        <w:t>1.9 SWOT ANALIZA</w:t>
      </w:r>
      <w:bookmarkEnd w:id="51"/>
      <w:bookmarkEnd w:id="52"/>
    </w:p>
    <w:tbl>
      <w:tblPr>
        <w:tblStyle w:val="GridTable1Light-Accent1"/>
        <w:tblW w:w="0" w:type="auto"/>
        <w:tblLook w:val="04A0" w:firstRow="1" w:lastRow="0" w:firstColumn="1" w:lastColumn="0" w:noHBand="0" w:noVBand="1"/>
      </w:tblPr>
      <w:tblGrid>
        <w:gridCol w:w="4477"/>
        <w:gridCol w:w="4519"/>
      </w:tblGrid>
      <w:tr w:rsidR="0085269F" w:rsidRPr="001C58C6" w14:paraId="1BC19BF0" w14:textId="77777777" w:rsidTr="00837F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0F9ED5" w:themeColor="accent4"/>
              <w:left w:val="single" w:sz="12" w:space="0" w:color="0F9ED5" w:themeColor="accent4"/>
              <w:right w:val="single" w:sz="12" w:space="0" w:color="0F9ED5" w:themeColor="accent4"/>
            </w:tcBorders>
            <w:shd w:val="clear" w:color="auto" w:fill="E8E8E8" w:themeFill="background2"/>
            <w:vAlign w:val="center"/>
            <w:hideMark/>
          </w:tcPr>
          <w:p w14:paraId="6300FAD5" w14:textId="77777777" w:rsidR="0085269F" w:rsidRPr="001C58C6" w:rsidRDefault="002D58BB" w:rsidP="002D58BB">
            <w:pPr>
              <w:spacing w:line="276" w:lineRule="auto"/>
              <w:jc w:val="center"/>
              <w:rPr>
                <w:rFonts w:ascii="Calibri" w:hAnsi="Calibri" w:cs="Calibri"/>
                <w:b w:val="0"/>
                <w:bCs w:val="0"/>
                <w:color w:val="000000" w:themeColor="text1"/>
                <w:sz w:val="22"/>
                <w:lang w:eastAsia="en-GB"/>
              </w:rPr>
            </w:pPr>
            <w:r w:rsidRPr="001C58C6">
              <w:rPr>
                <w:rFonts w:ascii="Calibri" w:hAnsi="Calibri" w:cs="Calibri"/>
                <w:color w:val="000000" w:themeColor="text1"/>
                <w:sz w:val="22"/>
                <w:lang w:eastAsia="en-GB"/>
              </w:rPr>
              <w:t xml:space="preserve">SNAGE </w:t>
            </w:r>
          </w:p>
        </w:tc>
        <w:tc>
          <w:tcPr>
            <w:tcW w:w="0" w:type="auto"/>
            <w:tcBorders>
              <w:top w:val="single" w:sz="12" w:space="0" w:color="0F9ED5" w:themeColor="accent4"/>
              <w:left w:val="single" w:sz="12" w:space="0" w:color="0F9ED5" w:themeColor="accent4"/>
              <w:right w:val="single" w:sz="12" w:space="0" w:color="0F9ED5" w:themeColor="accent4"/>
            </w:tcBorders>
            <w:shd w:val="clear" w:color="auto" w:fill="E8E8E8" w:themeFill="background2"/>
            <w:vAlign w:val="center"/>
            <w:hideMark/>
          </w:tcPr>
          <w:p w14:paraId="37A3A36F" w14:textId="77777777" w:rsidR="0085269F" w:rsidRPr="001C58C6" w:rsidRDefault="002D58BB" w:rsidP="002D58BB">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themeColor="text1"/>
                <w:sz w:val="22"/>
                <w:lang w:eastAsia="en-GB"/>
              </w:rPr>
            </w:pPr>
            <w:r w:rsidRPr="001C58C6">
              <w:rPr>
                <w:rFonts w:ascii="Calibri" w:hAnsi="Calibri" w:cs="Calibri"/>
                <w:color w:val="000000" w:themeColor="text1"/>
                <w:sz w:val="22"/>
                <w:lang w:eastAsia="en-GB"/>
              </w:rPr>
              <w:t xml:space="preserve">SLABOSTI </w:t>
            </w:r>
          </w:p>
        </w:tc>
      </w:tr>
      <w:tr w:rsidR="0085269F" w:rsidRPr="001C58C6" w14:paraId="5A236CA3" w14:textId="77777777" w:rsidTr="00837F0B">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0F9ED5" w:themeColor="accent4"/>
              <w:left w:val="single" w:sz="12" w:space="0" w:color="0F9ED5" w:themeColor="accent4"/>
              <w:right w:val="single" w:sz="12" w:space="0" w:color="0F9ED5" w:themeColor="accent4"/>
            </w:tcBorders>
            <w:vAlign w:val="center"/>
            <w:hideMark/>
          </w:tcPr>
          <w:p w14:paraId="6D880C05" w14:textId="77777777" w:rsidR="0085269F" w:rsidRPr="001C58C6" w:rsidRDefault="0085269F" w:rsidP="002D58BB">
            <w:pPr>
              <w:spacing w:line="276" w:lineRule="auto"/>
              <w:jc w:val="center"/>
              <w:rPr>
                <w:rFonts w:ascii="Calibri" w:hAnsi="Calibri" w:cs="Calibri"/>
                <w:color w:val="000000" w:themeColor="text1"/>
                <w:sz w:val="22"/>
                <w:lang w:eastAsia="en-GB"/>
              </w:rPr>
            </w:pPr>
            <w:r w:rsidRPr="001C58C6">
              <w:rPr>
                <w:rFonts w:ascii="Calibri" w:hAnsi="Calibri" w:cs="Calibri"/>
                <w:color w:val="000000" w:themeColor="text1"/>
                <w:sz w:val="22"/>
                <w:lang w:eastAsia="en-GB"/>
              </w:rPr>
              <w:t>Značajno poboljšanje kvaliteta vazduha u odnosu na prethodni period</w:t>
            </w:r>
          </w:p>
        </w:tc>
        <w:tc>
          <w:tcPr>
            <w:tcW w:w="0" w:type="auto"/>
            <w:tcBorders>
              <w:left w:val="single" w:sz="12" w:space="0" w:color="0F9ED5" w:themeColor="accent4"/>
              <w:right w:val="single" w:sz="12" w:space="0" w:color="0F9ED5" w:themeColor="accent4"/>
            </w:tcBorders>
            <w:vAlign w:val="center"/>
            <w:hideMark/>
          </w:tcPr>
          <w:p w14:paraId="174200BF" w14:textId="77777777" w:rsidR="0085269F" w:rsidRPr="001C58C6" w:rsidRDefault="0085269F" w:rsidP="002D58BB">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eastAsia="en-GB"/>
              </w:rPr>
            </w:pPr>
            <w:r w:rsidRPr="001C58C6">
              <w:rPr>
                <w:rFonts w:ascii="Calibri" w:hAnsi="Calibri" w:cs="Calibri"/>
                <w:color w:val="000000" w:themeColor="text1"/>
                <w:sz w:val="22"/>
                <w:lang w:eastAsia="en-GB"/>
              </w:rPr>
              <w:t>Dominantni uticaj grijanja domaćinstava na koncentracije PM i BaP</w:t>
            </w:r>
          </w:p>
        </w:tc>
      </w:tr>
      <w:tr w:rsidR="0085269F" w:rsidRPr="001C58C6" w14:paraId="484D47AB" w14:textId="77777777" w:rsidTr="00837F0B">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0F9ED5" w:themeColor="accent4"/>
              <w:right w:val="single" w:sz="12" w:space="0" w:color="0F9ED5" w:themeColor="accent4"/>
            </w:tcBorders>
            <w:vAlign w:val="center"/>
            <w:hideMark/>
          </w:tcPr>
          <w:p w14:paraId="1C0B8D79" w14:textId="77777777" w:rsidR="0085269F" w:rsidRPr="001C58C6" w:rsidRDefault="0085269F" w:rsidP="002D58BB">
            <w:pPr>
              <w:spacing w:line="276" w:lineRule="auto"/>
              <w:jc w:val="center"/>
              <w:rPr>
                <w:rFonts w:ascii="Calibri" w:hAnsi="Calibri" w:cs="Calibri"/>
                <w:color w:val="000000" w:themeColor="text1"/>
                <w:sz w:val="22"/>
                <w:lang w:eastAsia="en-GB"/>
              </w:rPr>
            </w:pPr>
            <w:r w:rsidRPr="001C58C6">
              <w:rPr>
                <w:rFonts w:ascii="Calibri" w:hAnsi="Calibri" w:cs="Calibri"/>
                <w:color w:val="000000" w:themeColor="text1"/>
                <w:sz w:val="22"/>
                <w:lang w:eastAsia="en-GB"/>
              </w:rPr>
              <w:t>Unaprijeđena mreža mjernih stanica i dostupnost podataka javnosti u realnom vremenu</w:t>
            </w:r>
          </w:p>
        </w:tc>
        <w:tc>
          <w:tcPr>
            <w:tcW w:w="0" w:type="auto"/>
            <w:tcBorders>
              <w:left w:val="single" w:sz="12" w:space="0" w:color="0F9ED5" w:themeColor="accent4"/>
              <w:right w:val="single" w:sz="12" w:space="0" w:color="0F9ED5" w:themeColor="accent4"/>
            </w:tcBorders>
            <w:vAlign w:val="center"/>
            <w:hideMark/>
          </w:tcPr>
          <w:p w14:paraId="023F0FC9" w14:textId="77777777" w:rsidR="0085269F" w:rsidRPr="001C58C6" w:rsidRDefault="0085269F" w:rsidP="002D58BB">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eastAsia="en-GB"/>
              </w:rPr>
            </w:pPr>
            <w:r w:rsidRPr="001C58C6">
              <w:rPr>
                <w:rFonts w:ascii="Calibri" w:hAnsi="Calibri" w:cs="Calibri"/>
                <w:color w:val="000000" w:themeColor="text1"/>
                <w:sz w:val="22"/>
                <w:lang w:eastAsia="en-GB"/>
              </w:rPr>
              <w:t>Ograničeni institucionalni i tehnički kapaciteti na nacionalnom i lokalnom nivou</w:t>
            </w:r>
          </w:p>
        </w:tc>
      </w:tr>
      <w:tr w:rsidR="0085269F" w:rsidRPr="001C58C6" w14:paraId="3CBF5D42" w14:textId="77777777" w:rsidTr="00837F0B">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0F9ED5" w:themeColor="accent4"/>
              <w:right w:val="single" w:sz="12" w:space="0" w:color="0F9ED5" w:themeColor="accent4"/>
            </w:tcBorders>
            <w:vAlign w:val="center"/>
            <w:hideMark/>
          </w:tcPr>
          <w:p w14:paraId="57C3470F" w14:textId="77777777" w:rsidR="0085269F" w:rsidRPr="001C58C6" w:rsidRDefault="0085269F" w:rsidP="002D58BB">
            <w:pPr>
              <w:spacing w:line="276" w:lineRule="auto"/>
              <w:jc w:val="center"/>
              <w:rPr>
                <w:rFonts w:ascii="Calibri" w:hAnsi="Calibri" w:cs="Calibri"/>
                <w:color w:val="000000" w:themeColor="text1"/>
                <w:sz w:val="22"/>
                <w:lang w:eastAsia="en-GB"/>
              </w:rPr>
            </w:pPr>
            <w:r w:rsidRPr="001C58C6">
              <w:rPr>
                <w:rFonts w:ascii="Calibri" w:hAnsi="Calibri" w:cs="Calibri"/>
                <w:color w:val="000000" w:themeColor="text1"/>
                <w:sz w:val="22"/>
                <w:lang w:eastAsia="en-GB"/>
              </w:rPr>
              <w:t>Politička obaveza i jasan okvir u procesu pristupanja EU</w:t>
            </w:r>
          </w:p>
        </w:tc>
        <w:tc>
          <w:tcPr>
            <w:tcW w:w="0" w:type="auto"/>
            <w:tcBorders>
              <w:left w:val="single" w:sz="12" w:space="0" w:color="0F9ED5" w:themeColor="accent4"/>
              <w:right w:val="single" w:sz="12" w:space="0" w:color="0F9ED5" w:themeColor="accent4"/>
            </w:tcBorders>
            <w:vAlign w:val="center"/>
            <w:hideMark/>
          </w:tcPr>
          <w:p w14:paraId="7989F66B" w14:textId="77777777" w:rsidR="0085269F" w:rsidRPr="001C58C6" w:rsidRDefault="0085269F" w:rsidP="002D58BB">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eastAsia="en-GB"/>
              </w:rPr>
            </w:pPr>
            <w:r w:rsidRPr="001C58C6">
              <w:rPr>
                <w:rFonts w:ascii="Calibri" w:hAnsi="Calibri" w:cs="Calibri"/>
                <w:color w:val="000000" w:themeColor="text1"/>
                <w:sz w:val="22"/>
                <w:lang w:eastAsia="en-GB"/>
              </w:rPr>
              <w:t>Nedovoljno efikasna primjena mjera na lokalnom nivou</w:t>
            </w:r>
          </w:p>
        </w:tc>
      </w:tr>
      <w:tr w:rsidR="0085269F" w:rsidRPr="001C58C6" w14:paraId="7FD618D9" w14:textId="77777777" w:rsidTr="00837F0B">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0F9ED5" w:themeColor="accent4"/>
              <w:bottom w:val="single" w:sz="12" w:space="0" w:color="0F9ED5" w:themeColor="accent4"/>
              <w:right w:val="single" w:sz="12" w:space="0" w:color="0F9ED5" w:themeColor="accent4"/>
            </w:tcBorders>
            <w:vAlign w:val="center"/>
            <w:hideMark/>
          </w:tcPr>
          <w:p w14:paraId="14698685" w14:textId="77777777" w:rsidR="0085269F" w:rsidRPr="001C58C6" w:rsidRDefault="0085269F" w:rsidP="002D58BB">
            <w:pPr>
              <w:spacing w:line="276" w:lineRule="auto"/>
              <w:jc w:val="center"/>
              <w:rPr>
                <w:rFonts w:ascii="Calibri" w:hAnsi="Calibri" w:cs="Calibri"/>
                <w:color w:val="000000" w:themeColor="text1"/>
                <w:sz w:val="22"/>
                <w:lang w:eastAsia="en-GB"/>
              </w:rPr>
            </w:pPr>
            <w:r w:rsidRPr="001C58C6">
              <w:rPr>
                <w:rFonts w:ascii="Calibri" w:hAnsi="Calibri" w:cs="Calibri"/>
                <w:color w:val="000000" w:themeColor="text1"/>
                <w:sz w:val="22"/>
                <w:lang w:eastAsia="en-GB"/>
              </w:rPr>
              <w:t>Razvijen strateški i regulatorni okvir i iskustvo iz prethodnih strategija</w:t>
            </w:r>
          </w:p>
        </w:tc>
        <w:tc>
          <w:tcPr>
            <w:tcW w:w="0" w:type="auto"/>
            <w:tcBorders>
              <w:left w:val="single" w:sz="12" w:space="0" w:color="0F9ED5" w:themeColor="accent4"/>
              <w:bottom w:val="single" w:sz="12" w:space="0" w:color="0F9ED5" w:themeColor="accent4"/>
              <w:right w:val="single" w:sz="12" w:space="0" w:color="0F9ED5" w:themeColor="accent4"/>
            </w:tcBorders>
            <w:vAlign w:val="center"/>
            <w:hideMark/>
          </w:tcPr>
          <w:p w14:paraId="2F5A521E" w14:textId="77777777" w:rsidR="002D58BB" w:rsidRPr="001C58C6" w:rsidRDefault="002D58BB" w:rsidP="002D58BB">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eastAsia="en-GB"/>
              </w:rPr>
            </w:pPr>
          </w:p>
          <w:p w14:paraId="370D0C69" w14:textId="77777777" w:rsidR="002D58BB" w:rsidRPr="001C58C6" w:rsidRDefault="0085269F" w:rsidP="002D58BB">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eastAsia="en-GB"/>
              </w:rPr>
            </w:pPr>
            <w:r w:rsidRPr="001C58C6">
              <w:rPr>
                <w:rFonts w:ascii="Calibri" w:hAnsi="Calibri" w:cs="Calibri"/>
                <w:color w:val="000000" w:themeColor="text1"/>
                <w:sz w:val="22"/>
                <w:lang w:eastAsia="en-GB"/>
              </w:rPr>
              <w:t>Istorijski periodi diskontinuiteta u izradi inventara emisija i sistematskom praćenju</w:t>
            </w:r>
          </w:p>
          <w:p w14:paraId="0AA1E4E0" w14:textId="77777777" w:rsidR="002D58BB" w:rsidRPr="001C58C6" w:rsidRDefault="002D58BB" w:rsidP="002D58BB">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eastAsia="en-GB"/>
              </w:rPr>
            </w:pPr>
          </w:p>
        </w:tc>
      </w:tr>
      <w:tr w:rsidR="0085269F" w:rsidRPr="001C58C6" w14:paraId="4C79C799" w14:textId="77777777" w:rsidTr="00837F0B">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0F9ED5" w:themeColor="accent4"/>
              <w:bottom w:val="single" w:sz="12" w:space="0" w:color="0F9ED5" w:themeColor="accent4"/>
            </w:tcBorders>
            <w:shd w:val="clear" w:color="auto" w:fill="E8E8E8" w:themeFill="background2"/>
            <w:vAlign w:val="center"/>
            <w:hideMark/>
          </w:tcPr>
          <w:p w14:paraId="538434DE" w14:textId="77777777" w:rsidR="0085269F" w:rsidRPr="001C58C6" w:rsidRDefault="002D58BB" w:rsidP="002D58BB">
            <w:pPr>
              <w:spacing w:line="276" w:lineRule="auto"/>
              <w:jc w:val="center"/>
              <w:rPr>
                <w:rFonts w:ascii="Calibri" w:hAnsi="Calibri" w:cs="Calibri"/>
                <w:b w:val="0"/>
                <w:bCs w:val="0"/>
                <w:color w:val="000000" w:themeColor="text1"/>
                <w:sz w:val="22"/>
                <w:lang w:eastAsia="en-GB"/>
              </w:rPr>
            </w:pPr>
            <w:r w:rsidRPr="001C58C6">
              <w:rPr>
                <w:rFonts w:ascii="Calibri" w:hAnsi="Calibri" w:cs="Calibri"/>
                <w:color w:val="000000" w:themeColor="text1"/>
                <w:sz w:val="22"/>
                <w:lang w:eastAsia="en-GB"/>
              </w:rPr>
              <w:t>PRILIKE</w:t>
            </w:r>
          </w:p>
        </w:tc>
        <w:tc>
          <w:tcPr>
            <w:tcW w:w="0" w:type="auto"/>
            <w:tcBorders>
              <w:top w:val="single" w:sz="12" w:space="0" w:color="0F9ED5" w:themeColor="accent4"/>
              <w:bottom w:val="single" w:sz="12" w:space="0" w:color="0F9ED5" w:themeColor="accent4"/>
            </w:tcBorders>
            <w:shd w:val="clear" w:color="auto" w:fill="E8E8E8" w:themeFill="background2"/>
            <w:vAlign w:val="center"/>
            <w:hideMark/>
          </w:tcPr>
          <w:p w14:paraId="11ED0231" w14:textId="77777777" w:rsidR="0085269F" w:rsidRPr="001C58C6" w:rsidRDefault="002D58BB" w:rsidP="002D58BB">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2"/>
                <w:lang w:eastAsia="en-GB"/>
              </w:rPr>
            </w:pPr>
            <w:r w:rsidRPr="001C58C6">
              <w:rPr>
                <w:rFonts w:ascii="Calibri" w:hAnsi="Calibri" w:cs="Calibri"/>
                <w:b/>
                <w:bCs/>
                <w:color w:val="000000" w:themeColor="text1"/>
                <w:sz w:val="22"/>
                <w:lang w:eastAsia="en-GB"/>
              </w:rPr>
              <w:t xml:space="preserve">PRIJETNJE </w:t>
            </w:r>
          </w:p>
        </w:tc>
      </w:tr>
      <w:tr w:rsidR="0085269F" w:rsidRPr="001C58C6" w14:paraId="4FF8031A" w14:textId="77777777" w:rsidTr="00837F0B">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0F9ED5" w:themeColor="accent4"/>
              <w:left w:val="single" w:sz="12" w:space="0" w:color="0F9ED5" w:themeColor="accent4"/>
              <w:right w:val="single" w:sz="12" w:space="0" w:color="0F9ED5" w:themeColor="accent4"/>
            </w:tcBorders>
            <w:vAlign w:val="center"/>
            <w:hideMark/>
          </w:tcPr>
          <w:p w14:paraId="76EB2274" w14:textId="2E2504E2" w:rsidR="0085269F" w:rsidRPr="001C58C6" w:rsidRDefault="0085269F" w:rsidP="002D58BB">
            <w:pPr>
              <w:spacing w:line="276" w:lineRule="auto"/>
              <w:jc w:val="center"/>
              <w:rPr>
                <w:rFonts w:ascii="Calibri" w:hAnsi="Calibri" w:cs="Calibri"/>
                <w:color w:val="000000" w:themeColor="text1"/>
                <w:sz w:val="22"/>
                <w:lang w:eastAsia="en-GB"/>
              </w:rPr>
            </w:pPr>
            <w:r w:rsidRPr="001C58C6">
              <w:rPr>
                <w:rFonts w:ascii="Calibri" w:hAnsi="Calibri" w:cs="Calibri"/>
                <w:color w:val="000000" w:themeColor="text1"/>
                <w:sz w:val="22"/>
                <w:lang w:eastAsia="en-GB"/>
              </w:rPr>
              <w:t>Nova EU Direktiva 2024/2881 – jasan reformski i razvojni okvir</w:t>
            </w:r>
          </w:p>
        </w:tc>
        <w:tc>
          <w:tcPr>
            <w:tcW w:w="0" w:type="auto"/>
            <w:tcBorders>
              <w:top w:val="single" w:sz="12" w:space="0" w:color="0F9ED5" w:themeColor="accent4"/>
              <w:left w:val="single" w:sz="12" w:space="0" w:color="0F9ED5" w:themeColor="accent4"/>
              <w:right w:val="single" w:sz="12" w:space="0" w:color="0F9ED5" w:themeColor="accent4"/>
            </w:tcBorders>
            <w:vAlign w:val="center"/>
            <w:hideMark/>
          </w:tcPr>
          <w:p w14:paraId="3595AF3B" w14:textId="77777777" w:rsidR="002D58BB" w:rsidRPr="001C58C6" w:rsidRDefault="002D58BB" w:rsidP="002D58BB">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eastAsia="en-GB"/>
              </w:rPr>
            </w:pPr>
          </w:p>
          <w:p w14:paraId="4A704446" w14:textId="77777777" w:rsidR="0085269F" w:rsidRPr="001C58C6" w:rsidRDefault="0085269F" w:rsidP="002D58BB">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eastAsia="en-GB"/>
              </w:rPr>
            </w:pPr>
            <w:r w:rsidRPr="001C58C6">
              <w:rPr>
                <w:rFonts w:ascii="Calibri" w:hAnsi="Calibri" w:cs="Calibri"/>
                <w:color w:val="000000" w:themeColor="text1"/>
                <w:sz w:val="22"/>
                <w:lang w:eastAsia="en-GB"/>
              </w:rPr>
              <w:t>Socio-ekonomska ograničenja i energetsko siromaštvo koja mogu ograničiti primjenu mjera</w:t>
            </w:r>
          </w:p>
        </w:tc>
      </w:tr>
      <w:tr w:rsidR="0085269F" w:rsidRPr="001C58C6" w14:paraId="4D3435D9" w14:textId="77777777" w:rsidTr="00837F0B">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0F9ED5" w:themeColor="accent4"/>
              <w:right w:val="single" w:sz="12" w:space="0" w:color="0F9ED5" w:themeColor="accent4"/>
            </w:tcBorders>
            <w:vAlign w:val="center"/>
            <w:hideMark/>
          </w:tcPr>
          <w:p w14:paraId="789BD5D5" w14:textId="77777777" w:rsidR="0085269F" w:rsidRPr="001C58C6" w:rsidRDefault="0085269F" w:rsidP="002D58BB">
            <w:pPr>
              <w:spacing w:line="276" w:lineRule="auto"/>
              <w:jc w:val="center"/>
              <w:rPr>
                <w:rFonts w:ascii="Calibri" w:hAnsi="Calibri" w:cs="Calibri"/>
                <w:color w:val="000000" w:themeColor="text1"/>
                <w:sz w:val="22"/>
                <w:lang w:eastAsia="en-GB"/>
              </w:rPr>
            </w:pPr>
            <w:r w:rsidRPr="001C58C6">
              <w:rPr>
                <w:rFonts w:ascii="Calibri" w:hAnsi="Calibri" w:cs="Calibri"/>
                <w:color w:val="000000" w:themeColor="text1"/>
                <w:sz w:val="22"/>
                <w:lang w:eastAsia="en-GB"/>
              </w:rPr>
              <w:t>Sprovođenje Nacionalnog energetskog i klimatskog plana i mjere energetske tranzicije</w:t>
            </w:r>
          </w:p>
        </w:tc>
        <w:tc>
          <w:tcPr>
            <w:tcW w:w="0" w:type="auto"/>
            <w:tcBorders>
              <w:left w:val="single" w:sz="12" w:space="0" w:color="0F9ED5" w:themeColor="accent4"/>
              <w:right w:val="single" w:sz="12" w:space="0" w:color="0F9ED5" w:themeColor="accent4"/>
            </w:tcBorders>
            <w:vAlign w:val="center"/>
            <w:hideMark/>
          </w:tcPr>
          <w:p w14:paraId="0D6740F9" w14:textId="77777777" w:rsidR="0085269F" w:rsidRPr="001C58C6" w:rsidRDefault="0085269F" w:rsidP="002D58BB">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eastAsia="en-GB"/>
              </w:rPr>
            </w:pPr>
            <w:r w:rsidRPr="001C58C6">
              <w:rPr>
                <w:rFonts w:ascii="Calibri" w:hAnsi="Calibri" w:cs="Calibri"/>
                <w:color w:val="000000" w:themeColor="text1"/>
                <w:sz w:val="22"/>
                <w:lang w:eastAsia="en-GB"/>
              </w:rPr>
              <w:t>Politička i institucionalna nestabilnost</w:t>
            </w:r>
          </w:p>
        </w:tc>
      </w:tr>
      <w:tr w:rsidR="0085269F" w:rsidRPr="001C58C6" w14:paraId="73376125" w14:textId="77777777" w:rsidTr="00837F0B">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0F9ED5" w:themeColor="accent4"/>
              <w:right w:val="single" w:sz="12" w:space="0" w:color="0F9ED5" w:themeColor="accent4"/>
            </w:tcBorders>
            <w:vAlign w:val="center"/>
            <w:hideMark/>
          </w:tcPr>
          <w:p w14:paraId="670291CF" w14:textId="77777777" w:rsidR="0085269F" w:rsidRPr="001C58C6" w:rsidRDefault="0085269F" w:rsidP="002D58BB">
            <w:pPr>
              <w:spacing w:line="276" w:lineRule="auto"/>
              <w:jc w:val="center"/>
              <w:rPr>
                <w:rFonts w:ascii="Calibri" w:hAnsi="Calibri" w:cs="Calibri"/>
                <w:color w:val="000000" w:themeColor="text1"/>
                <w:sz w:val="22"/>
                <w:lang w:eastAsia="en-GB"/>
              </w:rPr>
            </w:pPr>
            <w:r w:rsidRPr="001C58C6">
              <w:rPr>
                <w:rFonts w:ascii="Calibri" w:hAnsi="Calibri" w:cs="Calibri"/>
                <w:color w:val="000000" w:themeColor="text1"/>
                <w:sz w:val="22"/>
                <w:lang w:eastAsia="en-GB"/>
              </w:rPr>
              <w:t>Dostupnost međunarodnih fondova i donatorske podrške</w:t>
            </w:r>
          </w:p>
        </w:tc>
        <w:tc>
          <w:tcPr>
            <w:tcW w:w="0" w:type="auto"/>
            <w:tcBorders>
              <w:left w:val="single" w:sz="12" w:space="0" w:color="0F9ED5" w:themeColor="accent4"/>
              <w:right w:val="single" w:sz="12" w:space="0" w:color="0F9ED5" w:themeColor="accent4"/>
            </w:tcBorders>
            <w:vAlign w:val="center"/>
            <w:hideMark/>
          </w:tcPr>
          <w:p w14:paraId="68A09314" w14:textId="77777777" w:rsidR="0085269F" w:rsidRPr="001C58C6" w:rsidRDefault="0085269F" w:rsidP="002D58BB">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eastAsia="en-GB"/>
              </w:rPr>
            </w:pPr>
            <w:r w:rsidRPr="001C58C6">
              <w:rPr>
                <w:rFonts w:ascii="Calibri" w:hAnsi="Calibri" w:cs="Calibri"/>
                <w:color w:val="000000" w:themeColor="text1"/>
                <w:sz w:val="22"/>
                <w:lang w:eastAsia="en-GB"/>
              </w:rPr>
              <w:t>Potencijalni tehnički kvarovi i operativni rizici u velikim postrojenjima (npr. TE Pljevlja)</w:t>
            </w:r>
          </w:p>
        </w:tc>
      </w:tr>
      <w:tr w:rsidR="0085269F" w:rsidRPr="001C58C6" w14:paraId="09109D6C" w14:textId="77777777" w:rsidTr="00837F0B">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0F9ED5" w:themeColor="accent4"/>
              <w:bottom w:val="single" w:sz="12" w:space="0" w:color="0F9ED5" w:themeColor="accent4"/>
              <w:right w:val="single" w:sz="12" w:space="0" w:color="0F9ED5" w:themeColor="accent4"/>
            </w:tcBorders>
            <w:vAlign w:val="center"/>
            <w:hideMark/>
          </w:tcPr>
          <w:p w14:paraId="2E96C473" w14:textId="77777777" w:rsidR="0085269F" w:rsidRPr="001C58C6" w:rsidRDefault="0085269F" w:rsidP="002D58BB">
            <w:pPr>
              <w:spacing w:line="276" w:lineRule="auto"/>
              <w:jc w:val="center"/>
              <w:rPr>
                <w:rFonts w:ascii="Calibri" w:hAnsi="Calibri" w:cs="Calibri"/>
                <w:color w:val="000000" w:themeColor="text1"/>
                <w:sz w:val="22"/>
                <w:lang w:eastAsia="en-GB"/>
              </w:rPr>
            </w:pPr>
            <w:r w:rsidRPr="001C58C6">
              <w:rPr>
                <w:rFonts w:ascii="Calibri" w:hAnsi="Calibri" w:cs="Calibri"/>
                <w:color w:val="000000" w:themeColor="text1"/>
                <w:sz w:val="22"/>
                <w:lang w:eastAsia="en-GB"/>
              </w:rPr>
              <w:t>Razvoj sistema daljinskog grijanja, energetske efikasnosti i obnovljivih izvora energije</w:t>
            </w:r>
          </w:p>
        </w:tc>
        <w:tc>
          <w:tcPr>
            <w:tcW w:w="0" w:type="auto"/>
            <w:tcBorders>
              <w:left w:val="single" w:sz="12" w:space="0" w:color="0F9ED5" w:themeColor="accent4"/>
              <w:bottom w:val="single" w:sz="12" w:space="0" w:color="0F9ED5" w:themeColor="accent4"/>
              <w:right w:val="single" w:sz="12" w:space="0" w:color="0F9ED5" w:themeColor="accent4"/>
            </w:tcBorders>
            <w:vAlign w:val="center"/>
            <w:hideMark/>
          </w:tcPr>
          <w:p w14:paraId="68FB3AEE" w14:textId="77777777" w:rsidR="0085269F" w:rsidRPr="001C58C6" w:rsidRDefault="0085269F" w:rsidP="002D58BB">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lang w:eastAsia="en-GB"/>
              </w:rPr>
            </w:pPr>
            <w:r w:rsidRPr="001C58C6">
              <w:rPr>
                <w:rFonts w:ascii="Calibri" w:hAnsi="Calibri" w:cs="Calibri"/>
                <w:color w:val="000000" w:themeColor="text1"/>
                <w:sz w:val="22"/>
                <w:lang w:eastAsia="en-GB"/>
              </w:rPr>
              <w:t>Strože EU obaveze nakon 2030. i moguće sankcije u slučaju kašnjenja</w:t>
            </w:r>
          </w:p>
        </w:tc>
      </w:tr>
    </w:tbl>
    <w:p w14:paraId="5D73ED5B" w14:textId="77777777" w:rsidR="002D58BB" w:rsidRPr="001C58C6" w:rsidRDefault="00065C43" w:rsidP="00065C43">
      <w:pPr>
        <w:tabs>
          <w:tab w:val="left" w:pos="6371"/>
          <w:tab w:val="right" w:pos="9026"/>
        </w:tabs>
        <w:rPr>
          <w:rFonts w:ascii="Calibri" w:hAnsi="Calibri" w:cs="Calibri"/>
          <w:color w:val="000000" w:themeColor="text1"/>
        </w:rPr>
      </w:pPr>
      <w:r w:rsidRPr="001C58C6">
        <w:rPr>
          <w:rFonts w:ascii="Calibri" w:hAnsi="Calibri" w:cs="Calibri"/>
          <w:color w:val="000000" w:themeColor="text1"/>
        </w:rPr>
        <w:tab/>
      </w:r>
      <w:r w:rsidRPr="001C58C6">
        <w:rPr>
          <w:rFonts w:ascii="Calibri" w:hAnsi="Calibri" w:cs="Calibri"/>
          <w:color w:val="000000" w:themeColor="text1"/>
        </w:rPr>
        <w:tab/>
      </w:r>
    </w:p>
    <w:p w14:paraId="4365B3F2" w14:textId="47E2F42E" w:rsidR="00065C43" w:rsidRPr="00033BB7" w:rsidRDefault="00033BB7" w:rsidP="00C62EC0">
      <w:pPr>
        <w:rPr>
          <w:rFonts w:ascii="Calibri" w:hAnsi="Calibri" w:cs="Calibri"/>
          <w:color w:val="000000" w:themeColor="text1"/>
        </w:rPr>
      </w:pPr>
      <w:bookmarkStart w:id="53" w:name="_Toc223515615"/>
      <w:bookmarkStart w:id="54" w:name="_Toc220070420"/>
      <w:bookmarkEnd w:id="53"/>
      <w:r w:rsidRPr="00C62EC0">
        <w:rPr>
          <w:rFonts w:ascii="Calibri" w:hAnsi="Calibri" w:cs="Calibri"/>
          <w:color w:val="000000" w:themeColor="text1"/>
        </w:rPr>
        <w:t>SWOT analiza pokazuje da Crna Gora raspolaže dobrim institucionalnim i strateškim osnovama za unapređenje kvaliteta vazduha, ali da ostvarenje ciljeva zavisi od sprovođenja investicionih mjera, međusektorske koordinacije i obezbjeđenja finansiranja. Poseban izazov predstavlja dostizanje strožih standarda EU koji će se primjenjivati od 2030. godine.</w:t>
      </w:r>
    </w:p>
    <w:p w14:paraId="3BC37C27" w14:textId="77777777" w:rsidR="006F52AD" w:rsidRDefault="006F52AD" w:rsidP="00065C43">
      <w:pPr>
        <w:rPr>
          <w:rFonts w:ascii="Calibri" w:hAnsi="Calibri" w:cs="Calibri"/>
          <w:color w:val="000000" w:themeColor="text1"/>
        </w:rPr>
      </w:pPr>
    </w:p>
    <w:p w14:paraId="70C5E8CA" w14:textId="77777777" w:rsidR="006F52AD" w:rsidRDefault="006F52AD" w:rsidP="00065C43">
      <w:pPr>
        <w:rPr>
          <w:rFonts w:ascii="Calibri" w:hAnsi="Calibri" w:cs="Calibri"/>
          <w:color w:val="000000" w:themeColor="text1"/>
        </w:rPr>
      </w:pPr>
    </w:p>
    <w:p w14:paraId="5CA3DB2F" w14:textId="77777777" w:rsidR="006F52AD" w:rsidRDefault="006F52AD" w:rsidP="00065C43">
      <w:pPr>
        <w:rPr>
          <w:rFonts w:ascii="Calibri" w:hAnsi="Calibri" w:cs="Calibri"/>
          <w:color w:val="000000" w:themeColor="text1"/>
        </w:rPr>
      </w:pPr>
    </w:p>
    <w:p w14:paraId="0B9CBBA8" w14:textId="77777777" w:rsidR="006F52AD" w:rsidRDefault="006F52AD" w:rsidP="00065C43">
      <w:pPr>
        <w:rPr>
          <w:rFonts w:ascii="Calibri" w:hAnsi="Calibri" w:cs="Calibri"/>
          <w:color w:val="000000" w:themeColor="text1"/>
        </w:rPr>
      </w:pPr>
    </w:p>
    <w:p w14:paraId="41F34724" w14:textId="77777777" w:rsidR="006F52AD" w:rsidRDefault="006F52AD" w:rsidP="00065C43">
      <w:pPr>
        <w:rPr>
          <w:rFonts w:ascii="Calibri" w:hAnsi="Calibri" w:cs="Calibri"/>
          <w:color w:val="000000" w:themeColor="text1"/>
        </w:rPr>
      </w:pPr>
    </w:p>
    <w:p w14:paraId="407F606A" w14:textId="77777777" w:rsidR="006F52AD" w:rsidRDefault="006F52AD" w:rsidP="00065C43">
      <w:pPr>
        <w:rPr>
          <w:rFonts w:ascii="Calibri" w:hAnsi="Calibri" w:cs="Calibri"/>
          <w:color w:val="000000" w:themeColor="text1"/>
        </w:rPr>
      </w:pPr>
    </w:p>
    <w:p w14:paraId="3C89A9BD" w14:textId="77777777" w:rsidR="006F52AD" w:rsidRDefault="006F52AD" w:rsidP="00065C43">
      <w:pPr>
        <w:rPr>
          <w:rFonts w:ascii="Calibri" w:hAnsi="Calibri" w:cs="Calibri"/>
          <w:color w:val="000000" w:themeColor="text1"/>
        </w:rPr>
      </w:pPr>
    </w:p>
    <w:p w14:paraId="7B6C156C" w14:textId="77777777" w:rsidR="006F52AD" w:rsidRPr="001C58C6" w:rsidRDefault="006F52AD" w:rsidP="00065C43">
      <w:pPr>
        <w:rPr>
          <w:rFonts w:ascii="Calibri" w:hAnsi="Calibri" w:cs="Calibri"/>
          <w:color w:val="000000" w:themeColor="text1"/>
        </w:rPr>
      </w:pPr>
    </w:p>
    <w:p w14:paraId="0CFF706C" w14:textId="77777777" w:rsidR="00065C43" w:rsidRPr="001C58C6" w:rsidRDefault="00065C43" w:rsidP="00065C43">
      <w:pPr>
        <w:rPr>
          <w:rFonts w:ascii="Calibri" w:hAnsi="Calibri" w:cs="Calibri"/>
          <w:color w:val="000000" w:themeColor="text1"/>
        </w:rPr>
      </w:pPr>
    </w:p>
    <w:p w14:paraId="3E8889A5" w14:textId="77777777" w:rsidR="00A468FF" w:rsidRPr="001C58C6" w:rsidRDefault="006E1AF7" w:rsidP="00E53052">
      <w:pPr>
        <w:pStyle w:val="Heading1"/>
        <w:numPr>
          <w:ilvl w:val="0"/>
          <w:numId w:val="11"/>
        </w:numPr>
        <w:rPr>
          <w:rFonts w:ascii="Calibri" w:hAnsi="Calibri" w:cs="Calibri"/>
          <w:color w:val="000000" w:themeColor="text1"/>
        </w:rPr>
      </w:pPr>
      <w:bookmarkStart w:id="55" w:name="_Toc233711738"/>
      <w:r w:rsidRPr="001C58C6">
        <w:rPr>
          <w:rFonts w:ascii="Calibri" w:hAnsi="Calibri" w:cs="Calibri"/>
          <w:color w:val="000000" w:themeColor="text1"/>
        </w:rPr>
        <w:lastRenderedPageBreak/>
        <w:t>STRATEŠKI I OPERATIVNI CILJEVI</w:t>
      </w:r>
      <w:bookmarkEnd w:id="54"/>
      <w:bookmarkEnd w:id="55"/>
    </w:p>
    <w:p w14:paraId="17155171" w14:textId="77777777" w:rsidR="006E1AF7" w:rsidRPr="001C58C6" w:rsidRDefault="006E1AF7" w:rsidP="006E1AF7">
      <w:pPr>
        <w:rPr>
          <w:rFonts w:ascii="Calibri" w:hAnsi="Calibri" w:cs="Calibri"/>
          <w:color w:val="000000" w:themeColor="text1"/>
        </w:rPr>
      </w:pPr>
    </w:p>
    <w:p w14:paraId="27E20F01" w14:textId="77777777" w:rsidR="00E630B7" w:rsidRPr="001C58C6" w:rsidRDefault="00E630B7" w:rsidP="00E630B7">
      <w:pPr>
        <w:rPr>
          <w:rFonts w:ascii="Calibri" w:hAnsi="Calibri" w:cs="Calibri"/>
          <w:color w:val="000000" w:themeColor="text1"/>
        </w:rPr>
      </w:pPr>
      <w:r w:rsidRPr="001C58C6">
        <w:rPr>
          <w:rFonts w:ascii="Calibri" w:hAnsi="Calibri" w:cs="Calibri"/>
          <w:color w:val="000000" w:themeColor="text1"/>
        </w:rPr>
        <w:t>Ključni strateški ciljevi ovog dokumenta su:</w:t>
      </w:r>
    </w:p>
    <w:p w14:paraId="2666609F" w14:textId="77777777" w:rsidR="00065C43" w:rsidRPr="001C58C6" w:rsidRDefault="00065C43" w:rsidP="00E630B7">
      <w:pPr>
        <w:rPr>
          <w:rFonts w:ascii="Calibri" w:hAnsi="Calibri" w:cs="Calibri"/>
          <w:color w:val="000000" w:themeColor="text1"/>
        </w:rPr>
      </w:pPr>
    </w:p>
    <w:p w14:paraId="409583A3" w14:textId="77777777" w:rsidR="006E191C" w:rsidRPr="001C58C6" w:rsidRDefault="006E191C" w:rsidP="006E191C">
      <w:pPr>
        <w:rPr>
          <w:rFonts w:ascii="Calibri" w:hAnsi="Calibri" w:cs="Calibri"/>
          <w:b/>
          <w:color w:val="000000" w:themeColor="text1"/>
        </w:rPr>
      </w:pPr>
      <w:r w:rsidRPr="001C58C6">
        <w:rPr>
          <w:rFonts w:ascii="Calibri" w:hAnsi="Calibri" w:cs="Calibri"/>
          <w:b/>
          <w:color w:val="000000" w:themeColor="text1"/>
        </w:rPr>
        <w:t>CILJ 1: POBOLJŠANJE KVALITETA VAZDUHA;</w:t>
      </w:r>
    </w:p>
    <w:p w14:paraId="42E7CFD1" w14:textId="77777777" w:rsidR="00065C43" w:rsidRPr="001C58C6" w:rsidRDefault="00065C43" w:rsidP="00065C43">
      <w:pPr>
        <w:rPr>
          <w:rFonts w:ascii="Calibri" w:hAnsi="Calibri" w:cs="Calibri"/>
          <w:b/>
          <w:bCs/>
          <w:color w:val="000000" w:themeColor="text1"/>
        </w:rPr>
      </w:pPr>
    </w:p>
    <w:p w14:paraId="521C6954" w14:textId="77777777" w:rsidR="00065C43" w:rsidRPr="001C58C6" w:rsidRDefault="00065C43" w:rsidP="00065C43">
      <w:pPr>
        <w:rPr>
          <w:rFonts w:ascii="Calibri" w:hAnsi="Calibri" w:cs="Calibri"/>
          <w:b/>
          <w:bCs/>
          <w:color w:val="000000" w:themeColor="text1"/>
        </w:rPr>
      </w:pPr>
      <w:r w:rsidRPr="001C58C6">
        <w:rPr>
          <w:rFonts w:ascii="Calibri" w:hAnsi="Calibri" w:cs="Calibri"/>
          <w:b/>
          <w:bCs/>
          <w:color w:val="000000" w:themeColor="text1"/>
        </w:rPr>
        <w:t>CILJ 2: DALJE UNAPREĐENJE PRAĆENJA I UPRAVLJANJA KVALITETOM VAZDUHA.</w:t>
      </w:r>
    </w:p>
    <w:p w14:paraId="2701A4A4" w14:textId="77777777" w:rsidR="00065C43" w:rsidRPr="001C58C6" w:rsidRDefault="00065C43" w:rsidP="00065C43">
      <w:pPr>
        <w:rPr>
          <w:rFonts w:ascii="Calibri" w:hAnsi="Calibri" w:cs="Calibri"/>
          <w:b/>
          <w:bCs/>
          <w:color w:val="000000" w:themeColor="text1"/>
        </w:rPr>
      </w:pPr>
    </w:p>
    <w:p w14:paraId="0515FB5A" w14:textId="77777777" w:rsidR="00E630B7" w:rsidRPr="001C58C6" w:rsidRDefault="00E630B7" w:rsidP="00E630B7">
      <w:pPr>
        <w:pStyle w:val="FootnoteText"/>
        <w:rPr>
          <w:rFonts w:ascii="Calibri" w:hAnsi="Calibri" w:cs="Calibri"/>
          <w:color w:val="000000" w:themeColor="text1"/>
          <w:sz w:val="24"/>
          <w:szCs w:val="22"/>
        </w:rPr>
      </w:pPr>
      <w:r w:rsidRPr="001C58C6">
        <w:rPr>
          <w:rFonts w:ascii="Calibri" w:hAnsi="Calibri" w:cs="Calibri"/>
          <w:color w:val="000000" w:themeColor="text1"/>
          <w:sz w:val="24"/>
          <w:szCs w:val="22"/>
        </w:rPr>
        <w:t xml:space="preserve">Primarni strateški cilj povezan je sa ciljevima EU iz paketa nultog zagađenja, odnosno ciljevima definisanim kao: </w:t>
      </w:r>
    </w:p>
    <w:p w14:paraId="37586205" w14:textId="77777777" w:rsidR="00E630B7" w:rsidRPr="001C58C6" w:rsidRDefault="00E630B7" w:rsidP="00E630B7">
      <w:pPr>
        <w:pStyle w:val="FootnoteText"/>
        <w:rPr>
          <w:rFonts w:ascii="Calibri" w:hAnsi="Calibri" w:cs="Calibri"/>
          <w:color w:val="000000" w:themeColor="text1"/>
          <w:sz w:val="24"/>
          <w:szCs w:val="22"/>
        </w:rPr>
      </w:pPr>
    </w:p>
    <w:p w14:paraId="54B527BE" w14:textId="77777777" w:rsidR="00E630B7" w:rsidRPr="001C58C6" w:rsidRDefault="00E630B7" w:rsidP="00E53052">
      <w:pPr>
        <w:pStyle w:val="FootnoteText"/>
        <w:numPr>
          <w:ilvl w:val="0"/>
          <w:numId w:val="19"/>
        </w:numPr>
        <w:rPr>
          <w:rFonts w:ascii="Calibri" w:hAnsi="Calibri" w:cs="Calibri"/>
          <w:color w:val="000000" w:themeColor="text1"/>
          <w:sz w:val="24"/>
          <w:szCs w:val="22"/>
        </w:rPr>
      </w:pPr>
      <w:r w:rsidRPr="001C58C6">
        <w:rPr>
          <w:rFonts w:ascii="Calibri" w:hAnsi="Calibri" w:cs="Calibri"/>
          <w:color w:val="000000" w:themeColor="text1"/>
          <w:sz w:val="24"/>
          <w:szCs w:val="22"/>
        </w:rPr>
        <w:t>Poboljšanje kvaliteta vazduha čime će se postići smanjenje broja preuranjenih smrti koje se mogu pripisati zagađenju vazduha za 55%;</w:t>
      </w:r>
    </w:p>
    <w:p w14:paraId="44C27A44" w14:textId="77777777" w:rsidR="00E630B7" w:rsidRPr="001C58C6" w:rsidRDefault="00E630B7" w:rsidP="00E53052">
      <w:pPr>
        <w:pStyle w:val="FootnoteText"/>
        <w:numPr>
          <w:ilvl w:val="0"/>
          <w:numId w:val="19"/>
        </w:numPr>
        <w:rPr>
          <w:rFonts w:ascii="Calibri" w:hAnsi="Calibri" w:cs="Calibri"/>
          <w:color w:val="000000" w:themeColor="text1"/>
          <w:sz w:val="24"/>
          <w:szCs w:val="22"/>
        </w:rPr>
      </w:pPr>
      <w:r w:rsidRPr="001C58C6">
        <w:rPr>
          <w:rFonts w:ascii="Calibri" w:hAnsi="Calibri" w:cs="Calibri"/>
          <w:color w:val="000000" w:themeColor="text1"/>
          <w:sz w:val="24"/>
          <w:szCs w:val="22"/>
        </w:rPr>
        <w:t>Smanjenje broja ekosistema gdje zagađenje vazduha predstavlja projetnju biodiverzitetu za 25%</w:t>
      </w:r>
    </w:p>
    <w:p w14:paraId="73D95F29" w14:textId="77777777" w:rsidR="00E630B7" w:rsidRPr="001C58C6" w:rsidRDefault="00E630B7" w:rsidP="00E630B7">
      <w:pPr>
        <w:pStyle w:val="FootnoteText"/>
        <w:rPr>
          <w:rFonts w:ascii="Calibri" w:hAnsi="Calibri" w:cs="Calibri"/>
          <w:color w:val="000000" w:themeColor="text1"/>
          <w:sz w:val="24"/>
          <w:szCs w:val="22"/>
        </w:rPr>
      </w:pPr>
    </w:p>
    <w:p w14:paraId="7524ADA3" w14:textId="77777777" w:rsidR="00E630B7" w:rsidRPr="001C58C6" w:rsidRDefault="00E630B7" w:rsidP="00E630B7">
      <w:pPr>
        <w:pStyle w:val="FootnoteText"/>
        <w:rPr>
          <w:rFonts w:ascii="Calibri" w:hAnsi="Calibri" w:cs="Calibri"/>
          <w:color w:val="000000" w:themeColor="text1"/>
          <w:sz w:val="24"/>
          <w:szCs w:val="22"/>
        </w:rPr>
      </w:pPr>
      <w:r w:rsidRPr="001C58C6">
        <w:rPr>
          <w:rFonts w:ascii="Calibri" w:hAnsi="Calibri" w:cs="Calibri"/>
          <w:color w:val="000000" w:themeColor="text1"/>
          <w:sz w:val="24"/>
          <w:szCs w:val="22"/>
        </w:rPr>
        <w:t>Navedeni cilj 1 može se postići kroz sljedeće operativne ciljeve:</w:t>
      </w:r>
    </w:p>
    <w:p w14:paraId="1B264F43" w14:textId="77777777" w:rsidR="00E630B7" w:rsidRPr="001C58C6" w:rsidRDefault="00E630B7" w:rsidP="00E630B7">
      <w:pPr>
        <w:pStyle w:val="FootnoteText"/>
        <w:rPr>
          <w:rFonts w:ascii="Calibri" w:hAnsi="Calibri" w:cs="Calibri"/>
          <w:b/>
          <w:color w:val="000000" w:themeColor="text1"/>
          <w:sz w:val="24"/>
          <w:szCs w:val="22"/>
        </w:rPr>
      </w:pPr>
    </w:p>
    <w:p w14:paraId="27BB795C" w14:textId="77777777" w:rsidR="006E191C" w:rsidRPr="001C58C6" w:rsidRDefault="006E191C" w:rsidP="006E191C">
      <w:pPr>
        <w:pStyle w:val="FootnoteText"/>
        <w:shd w:val="clear" w:color="auto" w:fill="E8E8E8" w:themeFill="background2"/>
        <w:rPr>
          <w:rFonts w:ascii="Calibri" w:hAnsi="Calibri" w:cs="Calibri"/>
          <w:b/>
          <w:bCs/>
          <w:i/>
          <w:iCs/>
          <w:color w:val="000000" w:themeColor="text1"/>
          <w:sz w:val="26"/>
          <w:szCs w:val="22"/>
        </w:rPr>
      </w:pPr>
      <w:r w:rsidRPr="001C58C6">
        <w:rPr>
          <w:rFonts w:ascii="Calibri" w:hAnsi="Calibri" w:cs="Calibri"/>
          <w:b/>
          <w:color w:val="000000" w:themeColor="text1"/>
          <w:sz w:val="22"/>
        </w:rPr>
        <w:t>CILJ 1: POBOLJŠANJE KVALITETA VAZDUHA</w:t>
      </w:r>
    </w:p>
    <w:p w14:paraId="5E2B84DA" w14:textId="77777777" w:rsidR="00E630B7" w:rsidRPr="001C58C6" w:rsidRDefault="00E630B7" w:rsidP="00E630B7">
      <w:pPr>
        <w:pStyle w:val="FootnoteText"/>
        <w:shd w:val="clear" w:color="auto" w:fill="E8E8E8" w:themeFill="background2"/>
        <w:spacing w:before="240" w:line="276" w:lineRule="auto"/>
        <w:rPr>
          <w:rFonts w:ascii="Calibri" w:hAnsi="Calibri" w:cs="Calibri"/>
          <w:color w:val="000000" w:themeColor="text1"/>
          <w:sz w:val="24"/>
          <w:szCs w:val="22"/>
        </w:rPr>
      </w:pPr>
      <w:r w:rsidRPr="001C58C6">
        <w:rPr>
          <w:rFonts w:ascii="Calibri" w:hAnsi="Calibri" w:cs="Calibri"/>
          <w:color w:val="000000" w:themeColor="text1"/>
          <w:sz w:val="24"/>
          <w:szCs w:val="22"/>
        </w:rPr>
        <w:t>1.A - smanjenje koncentracija suspendovanih čestica i sadržaja benzo(a)pirena u Sjevernoj zoni kvaliteta vazduha;</w:t>
      </w:r>
    </w:p>
    <w:p w14:paraId="46949582" w14:textId="77777777" w:rsidR="00E630B7" w:rsidRPr="001C58C6" w:rsidRDefault="00E630B7" w:rsidP="00E630B7">
      <w:pPr>
        <w:pStyle w:val="FootnoteText"/>
        <w:shd w:val="clear" w:color="auto" w:fill="E8E8E8" w:themeFill="background2"/>
        <w:spacing w:before="240" w:line="276" w:lineRule="auto"/>
        <w:rPr>
          <w:rFonts w:ascii="Calibri" w:hAnsi="Calibri" w:cs="Calibri"/>
          <w:color w:val="000000" w:themeColor="text1"/>
          <w:sz w:val="24"/>
          <w:szCs w:val="22"/>
        </w:rPr>
      </w:pPr>
      <w:r w:rsidRPr="001C58C6">
        <w:rPr>
          <w:rFonts w:ascii="Calibri" w:hAnsi="Calibri" w:cs="Calibri"/>
          <w:color w:val="000000" w:themeColor="text1"/>
          <w:sz w:val="24"/>
          <w:szCs w:val="22"/>
        </w:rPr>
        <w:t>1.B - smanjenje sadržaja benzo(a)pirena u suspendovanim česticama u Centralnoj zoni kvaliteta vazduha;</w:t>
      </w:r>
    </w:p>
    <w:p w14:paraId="4D386ECC" w14:textId="77777777" w:rsidR="00E630B7" w:rsidRPr="001C58C6" w:rsidRDefault="00E630B7" w:rsidP="00E630B7">
      <w:pPr>
        <w:pStyle w:val="FootnoteText"/>
        <w:shd w:val="clear" w:color="auto" w:fill="E8E8E8" w:themeFill="background2"/>
        <w:spacing w:before="240" w:line="276" w:lineRule="auto"/>
        <w:rPr>
          <w:rFonts w:ascii="Calibri" w:hAnsi="Calibri" w:cs="Calibri"/>
          <w:color w:val="000000" w:themeColor="text1"/>
          <w:sz w:val="24"/>
          <w:szCs w:val="22"/>
        </w:rPr>
      </w:pPr>
      <w:r w:rsidRPr="001C58C6">
        <w:rPr>
          <w:rFonts w:ascii="Calibri" w:hAnsi="Calibri" w:cs="Calibri"/>
          <w:color w:val="000000" w:themeColor="text1"/>
          <w:sz w:val="24"/>
          <w:szCs w:val="22"/>
        </w:rPr>
        <w:t>1.C - smanjenje emisija zagađujućih materija (NOx, SO2, VOC, NH3 i PM2.5).</w:t>
      </w:r>
    </w:p>
    <w:p w14:paraId="4954ADD4" w14:textId="1AD17671" w:rsidR="00806123" w:rsidRPr="001C58C6" w:rsidRDefault="00E630B7" w:rsidP="00E630B7">
      <w:pPr>
        <w:pStyle w:val="FootnoteText"/>
        <w:shd w:val="clear" w:color="auto" w:fill="E8E8E8" w:themeFill="background2"/>
        <w:spacing w:before="240" w:line="276" w:lineRule="auto"/>
        <w:rPr>
          <w:rFonts w:ascii="Calibri" w:hAnsi="Calibri" w:cs="Calibri"/>
          <w:color w:val="000000" w:themeColor="text1"/>
          <w:sz w:val="24"/>
          <w:szCs w:val="22"/>
        </w:rPr>
      </w:pPr>
      <w:r w:rsidRPr="001C58C6">
        <w:rPr>
          <w:rFonts w:ascii="Calibri" w:hAnsi="Calibri" w:cs="Calibri"/>
          <w:color w:val="000000" w:themeColor="text1"/>
          <w:sz w:val="24"/>
          <w:szCs w:val="22"/>
        </w:rPr>
        <w:t xml:space="preserve">U skladu sa izrađenim </w:t>
      </w:r>
      <w:r w:rsidR="00C7424E">
        <w:rPr>
          <w:rFonts w:ascii="Calibri" w:hAnsi="Calibri" w:cs="Calibri"/>
          <w:color w:val="000000" w:themeColor="text1"/>
          <w:sz w:val="24"/>
          <w:szCs w:val="22"/>
        </w:rPr>
        <w:t>projekcijama</w:t>
      </w:r>
      <w:r w:rsidRPr="001C58C6">
        <w:rPr>
          <w:rFonts w:ascii="Calibri" w:hAnsi="Calibri" w:cs="Calibri"/>
          <w:color w:val="000000" w:themeColor="text1"/>
          <w:sz w:val="24"/>
          <w:szCs w:val="22"/>
        </w:rPr>
        <w:t xml:space="preserve"> ciljevi smanjenja emisija su: </w:t>
      </w:r>
    </w:p>
    <w:tbl>
      <w:tblPr>
        <w:tblStyle w:val="TableGridLight1"/>
        <w:tblpPr w:leftFromText="180" w:rightFromText="180" w:vertAnchor="text" w:horzAnchor="page" w:tblpX="1432" w:tblpY="586"/>
        <w:tblW w:w="0" w:type="auto"/>
        <w:tblInd w:w="0" w:type="dxa"/>
        <w:tblLook w:val="04A0" w:firstRow="1" w:lastRow="0" w:firstColumn="1" w:lastColumn="0" w:noHBand="0" w:noVBand="1"/>
      </w:tblPr>
      <w:tblGrid>
        <w:gridCol w:w="4982"/>
        <w:gridCol w:w="743"/>
        <w:gridCol w:w="782"/>
        <w:gridCol w:w="843"/>
        <w:gridCol w:w="777"/>
        <w:gridCol w:w="889"/>
      </w:tblGrid>
      <w:tr w:rsidR="00E630B7" w:rsidRPr="001C58C6" w14:paraId="3AFC9903" w14:textId="77777777" w:rsidTr="00E630B7">
        <w:tc>
          <w:tcPr>
            <w:tcW w:w="0" w:type="auto"/>
          </w:tcPr>
          <w:p w14:paraId="509D6E43" w14:textId="77777777" w:rsidR="00E630B7" w:rsidRPr="001C58C6" w:rsidRDefault="00E630B7" w:rsidP="00E630B7">
            <w:pPr>
              <w:spacing w:before="60" w:after="60" w:line="312" w:lineRule="atLeast"/>
              <w:ind w:right="195"/>
              <w:rPr>
                <w:rFonts w:ascii="Calibri" w:hAnsi="Calibri" w:cs="Calibri"/>
                <w:b/>
                <w:bCs/>
                <w:color w:val="000000" w:themeColor="text1"/>
              </w:rPr>
            </w:pPr>
            <w:r w:rsidRPr="001C58C6">
              <w:rPr>
                <w:rFonts w:ascii="Calibri" w:hAnsi="Calibri" w:cs="Calibri"/>
                <w:color w:val="000000" w:themeColor="text1"/>
                <w:szCs w:val="24"/>
                <w:lang w:eastAsia="zh-CN" w:bidi="ar"/>
              </w:rPr>
              <w:t>Smanjenja emisija u odnosu na baznu 2005. godinu</w:t>
            </w:r>
          </w:p>
        </w:tc>
        <w:tc>
          <w:tcPr>
            <w:tcW w:w="0" w:type="auto"/>
          </w:tcPr>
          <w:p w14:paraId="429BEEC9" w14:textId="77777777" w:rsidR="00E630B7" w:rsidRPr="001C58C6" w:rsidRDefault="00E630B7" w:rsidP="00E630B7">
            <w:pPr>
              <w:spacing w:before="60" w:after="60" w:line="312" w:lineRule="atLeast"/>
              <w:ind w:right="195"/>
              <w:jc w:val="center"/>
              <w:rPr>
                <w:rFonts w:ascii="Calibri" w:hAnsi="Calibri" w:cs="Calibri"/>
                <w:b/>
                <w:bCs/>
                <w:color w:val="000000" w:themeColor="text1"/>
              </w:rPr>
            </w:pPr>
            <w:r w:rsidRPr="001C58C6">
              <w:rPr>
                <w:rFonts w:ascii="Calibri" w:hAnsi="Calibri" w:cs="Calibri"/>
                <w:b/>
                <w:bCs/>
                <w:color w:val="000000" w:themeColor="text1"/>
                <w:szCs w:val="24"/>
                <w:lang w:eastAsia="zh-CN" w:bidi="ar"/>
              </w:rPr>
              <w:t>SO</w:t>
            </w:r>
            <w:r w:rsidRPr="001C58C6">
              <w:rPr>
                <w:rFonts w:ascii="Calibri" w:hAnsi="Calibri" w:cs="Calibri"/>
                <w:b/>
                <w:bCs/>
                <w:color w:val="000000" w:themeColor="text1"/>
                <w:sz w:val="17"/>
                <w:szCs w:val="17"/>
                <w:vertAlign w:val="subscript"/>
                <w:lang w:eastAsia="zh-CN" w:bidi="ar"/>
              </w:rPr>
              <w:t>2</w:t>
            </w:r>
          </w:p>
        </w:tc>
        <w:tc>
          <w:tcPr>
            <w:tcW w:w="0" w:type="auto"/>
          </w:tcPr>
          <w:p w14:paraId="732464D1" w14:textId="77777777" w:rsidR="00E630B7" w:rsidRPr="001C58C6" w:rsidRDefault="00E630B7" w:rsidP="00E630B7">
            <w:pPr>
              <w:spacing w:before="60" w:after="60" w:line="312" w:lineRule="atLeast"/>
              <w:ind w:right="195"/>
              <w:jc w:val="center"/>
              <w:rPr>
                <w:rFonts w:ascii="Calibri" w:hAnsi="Calibri" w:cs="Calibri"/>
                <w:b/>
                <w:bCs/>
                <w:color w:val="000000" w:themeColor="text1"/>
              </w:rPr>
            </w:pPr>
            <w:r w:rsidRPr="001C58C6">
              <w:rPr>
                <w:rFonts w:ascii="Calibri" w:hAnsi="Calibri" w:cs="Calibri"/>
                <w:b/>
                <w:bCs/>
                <w:color w:val="000000" w:themeColor="text1"/>
                <w:szCs w:val="24"/>
                <w:lang w:eastAsia="zh-CN" w:bidi="ar"/>
              </w:rPr>
              <w:t>NO</w:t>
            </w:r>
            <w:r w:rsidRPr="001C58C6">
              <w:rPr>
                <w:rFonts w:ascii="Calibri" w:hAnsi="Calibri" w:cs="Calibri"/>
                <w:b/>
                <w:bCs/>
                <w:color w:val="000000" w:themeColor="text1"/>
                <w:sz w:val="17"/>
                <w:szCs w:val="17"/>
                <w:vertAlign w:val="subscript"/>
                <w:lang w:eastAsia="zh-CN" w:bidi="ar"/>
              </w:rPr>
              <w:t>x</w:t>
            </w:r>
          </w:p>
        </w:tc>
        <w:tc>
          <w:tcPr>
            <w:tcW w:w="0" w:type="auto"/>
          </w:tcPr>
          <w:p w14:paraId="563C90EC" w14:textId="77777777" w:rsidR="00E630B7" w:rsidRPr="001C58C6" w:rsidRDefault="00E630B7" w:rsidP="00E630B7">
            <w:pPr>
              <w:spacing w:before="60" w:after="60" w:line="312" w:lineRule="atLeast"/>
              <w:ind w:right="195"/>
              <w:jc w:val="center"/>
              <w:rPr>
                <w:rFonts w:ascii="Calibri" w:hAnsi="Calibri" w:cs="Calibri"/>
                <w:b/>
                <w:bCs/>
                <w:color w:val="000000" w:themeColor="text1"/>
              </w:rPr>
            </w:pPr>
            <w:r w:rsidRPr="001C58C6">
              <w:rPr>
                <w:rFonts w:ascii="Calibri" w:hAnsi="Calibri" w:cs="Calibri"/>
                <w:b/>
                <w:bCs/>
                <w:color w:val="000000" w:themeColor="text1"/>
                <w:szCs w:val="24"/>
                <w:lang w:eastAsia="zh-CN" w:bidi="ar"/>
              </w:rPr>
              <w:t>VOC</w:t>
            </w:r>
          </w:p>
        </w:tc>
        <w:tc>
          <w:tcPr>
            <w:tcW w:w="0" w:type="auto"/>
          </w:tcPr>
          <w:p w14:paraId="6C909642" w14:textId="77777777" w:rsidR="00E630B7" w:rsidRPr="001C58C6" w:rsidRDefault="00E630B7" w:rsidP="00E630B7">
            <w:pPr>
              <w:spacing w:before="60" w:after="60" w:line="312" w:lineRule="atLeast"/>
              <w:ind w:right="195"/>
              <w:jc w:val="center"/>
              <w:rPr>
                <w:rFonts w:ascii="Calibri" w:hAnsi="Calibri" w:cs="Calibri"/>
                <w:b/>
                <w:bCs/>
                <w:color w:val="000000" w:themeColor="text1"/>
              </w:rPr>
            </w:pPr>
            <w:r w:rsidRPr="001C58C6">
              <w:rPr>
                <w:rFonts w:ascii="Calibri" w:hAnsi="Calibri" w:cs="Calibri"/>
                <w:b/>
                <w:bCs/>
                <w:color w:val="000000" w:themeColor="text1"/>
                <w:szCs w:val="24"/>
                <w:lang w:eastAsia="zh-CN" w:bidi="ar"/>
              </w:rPr>
              <w:t>NH</w:t>
            </w:r>
            <w:r w:rsidRPr="001C58C6">
              <w:rPr>
                <w:rFonts w:ascii="Calibri" w:hAnsi="Calibri" w:cs="Calibri"/>
                <w:b/>
                <w:bCs/>
                <w:color w:val="000000" w:themeColor="text1"/>
                <w:sz w:val="17"/>
                <w:szCs w:val="17"/>
                <w:vertAlign w:val="subscript"/>
                <w:lang w:eastAsia="zh-CN" w:bidi="ar"/>
              </w:rPr>
              <w:t>3</w:t>
            </w:r>
          </w:p>
        </w:tc>
        <w:tc>
          <w:tcPr>
            <w:tcW w:w="0" w:type="auto"/>
          </w:tcPr>
          <w:p w14:paraId="01E14ABB" w14:textId="77777777" w:rsidR="00E630B7" w:rsidRPr="001C58C6" w:rsidRDefault="00E630B7" w:rsidP="00E630B7">
            <w:pPr>
              <w:spacing w:before="60" w:after="60" w:line="312" w:lineRule="atLeast"/>
              <w:ind w:right="195"/>
              <w:jc w:val="center"/>
              <w:rPr>
                <w:rFonts w:ascii="Calibri" w:hAnsi="Calibri" w:cs="Calibri"/>
                <w:b/>
                <w:bCs/>
                <w:color w:val="000000" w:themeColor="text1"/>
              </w:rPr>
            </w:pPr>
            <w:r w:rsidRPr="001C58C6">
              <w:rPr>
                <w:rFonts w:ascii="Calibri" w:hAnsi="Calibri" w:cs="Calibri"/>
                <w:b/>
                <w:bCs/>
                <w:color w:val="000000" w:themeColor="text1"/>
                <w:szCs w:val="24"/>
                <w:lang w:eastAsia="zh-CN" w:bidi="ar"/>
              </w:rPr>
              <w:t>PM</w:t>
            </w:r>
            <w:r w:rsidRPr="001C58C6">
              <w:rPr>
                <w:rFonts w:ascii="Calibri" w:hAnsi="Calibri" w:cs="Calibri"/>
                <w:b/>
                <w:bCs/>
                <w:color w:val="000000" w:themeColor="text1"/>
                <w:sz w:val="17"/>
                <w:szCs w:val="17"/>
                <w:vertAlign w:val="subscript"/>
                <w:lang w:eastAsia="zh-CN" w:bidi="ar"/>
              </w:rPr>
              <w:t>2,5</w:t>
            </w:r>
          </w:p>
        </w:tc>
      </w:tr>
      <w:tr w:rsidR="00E630B7" w:rsidRPr="001C58C6" w14:paraId="7757C689" w14:textId="77777777" w:rsidTr="00E630B7">
        <w:tc>
          <w:tcPr>
            <w:tcW w:w="0" w:type="auto"/>
          </w:tcPr>
          <w:p w14:paraId="0786E0F6" w14:textId="77777777" w:rsidR="00E630B7" w:rsidRPr="001C58C6" w:rsidRDefault="00E630B7" w:rsidP="00E630B7">
            <w:pPr>
              <w:spacing w:before="60" w:after="60" w:line="312" w:lineRule="atLeast"/>
              <w:jc w:val="left"/>
              <w:rPr>
                <w:rFonts w:ascii="Calibri" w:hAnsi="Calibri" w:cs="Calibri"/>
                <w:color w:val="000000" w:themeColor="text1"/>
              </w:rPr>
            </w:pPr>
            <w:r w:rsidRPr="001C58C6">
              <w:rPr>
                <w:rFonts w:ascii="Calibri" w:hAnsi="Calibri" w:cs="Calibri"/>
                <w:color w:val="000000" w:themeColor="text1"/>
                <w:szCs w:val="24"/>
                <w:lang w:eastAsia="zh-CN" w:bidi="ar"/>
              </w:rPr>
              <w:t xml:space="preserve">Do 2029. </w:t>
            </w:r>
          </w:p>
        </w:tc>
        <w:tc>
          <w:tcPr>
            <w:tcW w:w="0" w:type="auto"/>
          </w:tcPr>
          <w:p w14:paraId="5C70F1D1" w14:textId="77777777" w:rsidR="00E630B7" w:rsidRPr="001C58C6" w:rsidRDefault="00E630B7" w:rsidP="00E630B7">
            <w:pPr>
              <w:spacing w:before="120" w:line="312" w:lineRule="atLeast"/>
              <w:jc w:val="center"/>
              <w:rPr>
                <w:rFonts w:ascii="Calibri" w:hAnsi="Calibri" w:cs="Calibri"/>
                <w:color w:val="000000" w:themeColor="text1"/>
                <w:sz w:val="20"/>
                <w:szCs w:val="20"/>
              </w:rPr>
            </w:pPr>
            <w:r w:rsidRPr="001C58C6">
              <w:rPr>
                <w:rFonts w:ascii="Calibri" w:eastAsia="Aptos" w:hAnsi="Calibri" w:cs="Calibri"/>
                <w:color w:val="000000" w:themeColor="text1"/>
                <w:kern w:val="2"/>
                <w:sz w:val="20"/>
                <w:szCs w:val="20"/>
                <w:lang w:eastAsia="zh-CN" w:bidi="ar"/>
              </w:rPr>
              <w:t>−60%</w:t>
            </w:r>
          </w:p>
        </w:tc>
        <w:tc>
          <w:tcPr>
            <w:tcW w:w="0" w:type="auto"/>
          </w:tcPr>
          <w:p w14:paraId="73F9BE75" w14:textId="77777777" w:rsidR="00E630B7" w:rsidRPr="001C58C6" w:rsidRDefault="00E630B7" w:rsidP="00E630B7">
            <w:pPr>
              <w:spacing w:before="120" w:line="312" w:lineRule="atLeast"/>
              <w:jc w:val="center"/>
              <w:rPr>
                <w:rFonts w:ascii="Calibri" w:hAnsi="Calibri" w:cs="Calibri"/>
                <w:color w:val="000000" w:themeColor="text1"/>
                <w:sz w:val="20"/>
                <w:szCs w:val="20"/>
              </w:rPr>
            </w:pPr>
            <w:r w:rsidRPr="001C58C6">
              <w:rPr>
                <w:rFonts w:ascii="Calibri" w:eastAsia="Aptos" w:hAnsi="Calibri" w:cs="Calibri"/>
                <w:color w:val="000000" w:themeColor="text1"/>
                <w:kern w:val="2"/>
                <w:sz w:val="20"/>
                <w:szCs w:val="20"/>
                <w:lang w:eastAsia="zh-CN" w:bidi="ar"/>
              </w:rPr>
              <w:t>−25%</w:t>
            </w:r>
          </w:p>
        </w:tc>
        <w:tc>
          <w:tcPr>
            <w:tcW w:w="0" w:type="auto"/>
          </w:tcPr>
          <w:p w14:paraId="4F0C7F0C" w14:textId="77777777" w:rsidR="00E630B7" w:rsidRPr="001C58C6" w:rsidRDefault="00E630B7" w:rsidP="00E630B7">
            <w:pPr>
              <w:spacing w:before="120" w:line="312" w:lineRule="atLeast"/>
              <w:jc w:val="center"/>
              <w:rPr>
                <w:rFonts w:ascii="Calibri" w:hAnsi="Calibri" w:cs="Calibri"/>
                <w:color w:val="000000" w:themeColor="text1"/>
                <w:sz w:val="20"/>
                <w:szCs w:val="20"/>
              </w:rPr>
            </w:pPr>
            <w:r w:rsidRPr="001C58C6">
              <w:rPr>
                <w:rFonts w:ascii="Calibri" w:eastAsia="Aptos" w:hAnsi="Calibri" w:cs="Calibri"/>
                <w:color w:val="000000" w:themeColor="text1"/>
                <w:kern w:val="2"/>
                <w:sz w:val="20"/>
                <w:szCs w:val="20"/>
                <w:lang w:eastAsia="zh-CN" w:bidi="ar"/>
              </w:rPr>
              <w:t>−10%</w:t>
            </w:r>
          </w:p>
        </w:tc>
        <w:tc>
          <w:tcPr>
            <w:tcW w:w="0" w:type="auto"/>
          </w:tcPr>
          <w:p w14:paraId="2D72C29B" w14:textId="77777777" w:rsidR="00E630B7" w:rsidRPr="001C58C6" w:rsidRDefault="00E630B7" w:rsidP="00E630B7">
            <w:pPr>
              <w:spacing w:before="120" w:line="312" w:lineRule="atLeast"/>
              <w:jc w:val="center"/>
              <w:rPr>
                <w:rFonts w:ascii="Calibri" w:hAnsi="Calibri" w:cs="Calibri"/>
                <w:color w:val="000000" w:themeColor="text1"/>
                <w:sz w:val="20"/>
                <w:szCs w:val="20"/>
              </w:rPr>
            </w:pPr>
            <w:r w:rsidRPr="001C58C6">
              <w:rPr>
                <w:rFonts w:ascii="Calibri" w:eastAsia="Aptos" w:hAnsi="Calibri" w:cs="Calibri"/>
                <w:color w:val="000000" w:themeColor="text1"/>
                <w:kern w:val="2"/>
                <w:sz w:val="20"/>
                <w:szCs w:val="20"/>
                <w:lang w:eastAsia="zh-CN" w:bidi="ar"/>
              </w:rPr>
              <w:t>−25%</w:t>
            </w:r>
          </w:p>
        </w:tc>
        <w:tc>
          <w:tcPr>
            <w:tcW w:w="0" w:type="auto"/>
          </w:tcPr>
          <w:p w14:paraId="26A08695" w14:textId="77777777" w:rsidR="00E630B7" w:rsidRPr="001C58C6" w:rsidRDefault="00E630B7" w:rsidP="00E630B7">
            <w:pPr>
              <w:spacing w:before="120" w:line="312" w:lineRule="atLeast"/>
              <w:jc w:val="center"/>
              <w:rPr>
                <w:rFonts w:ascii="Calibri" w:hAnsi="Calibri" w:cs="Calibri"/>
                <w:color w:val="000000" w:themeColor="text1"/>
                <w:sz w:val="20"/>
                <w:szCs w:val="20"/>
              </w:rPr>
            </w:pPr>
            <w:r w:rsidRPr="001C58C6">
              <w:rPr>
                <w:rFonts w:ascii="Calibri" w:eastAsia="Aptos" w:hAnsi="Calibri" w:cs="Calibri"/>
                <w:color w:val="000000" w:themeColor="text1"/>
                <w:kern w:val="2"/>
                <w:sz w:val="20"/>
                <w:szCs w:val="20"/>
                <w:lang w:eastAsia="zh-CN" w:bidi="ar"/>
              </w:rPr>
              <w:t>−5%</w:t>
            </w:r>
          </w:p>
        </w:tc>
      </w:tr>
      <w:tr w:rsidR="00E630B7" w:rsidRPr="001C58C6" w14:paraId="2024681D" w14:textId="77777777" w:rsidTr="00E630B7">
        <w:tc>
          <w:tcPr>
            <w:tcW w:w="0" w:type="auto"/>
          </w:tcPr>
          <w:p w14:paraId="7D686FC0" w14:textId="77777777" w:rsidR="00E630B7" w:rsidRPr="001C58C6" w:rsidRDefault="00E630B7" w:rsidP="00E630B7">
            <w:pPr>
              <w:spacing w:before="60" w:after="60" w:line="312" w:lineRule="atLeast"/>
              <w:jc w:val="left"/>
              <w:rPr>
                <w:rFonts w:ascii="Calibri" w:hAnsi="Calibri" w:cs="Calibri"/>
                <w:color w:val="000000" w:themeColor="text1"/>
              </w:rPr>
            </w:pPr>
            <w:r w:rsidRPr="001C58C6">
              <w:rPr>
                <w:rFonts w:ascii="Calibri" w:hAnsi="Calibri" w:cs="Calibri"/>
                <w:color w:val="000000" w:themeColor="text1"/>
                <w:szCs w:val="24"/>
                <w:lang w:eastAsia="zh-CN" w:bidi="ar"/>
              </w:rPr>
              <w:t>Od 2030.</w:t>
            </w:r>
          </w:p>
        </w:tc>
        <w:tc>
          <w:tcPr>
            <w:tcW w:w="0" w:type="auto"/>
          </w:tcPr>
          <w:p w14:paraId="2A940DDD" w14:textId="77777777" w:rsidR="00E630B7" w:rsidRPr="001C58C6" w:rsidRDefault="00E630B7" w:rsidP="00E630B7">
            <w:pPr>
              <w:spacing w:before="120" w:line="312" w:lineRule="atLeast"/>
              <w:jc w:val="center"/>
              <w:rPr>
                <w:rFonts w:ascii="Calibri" w:hAnsi="Calibri" w:cs="Calibri"/>
                <w:color w:val="000000" w:themeColor="text1"/>
                <w:sz w:val="20"/>
                <w:szCs w:val="20"/>
              </w:rPr>
            </w:pPr>
            <w:r w:rsidRPr="001C58C6">
              <w:rPr>
                <w:rFonts w:ascii="Calibri" w:eastAsia="Aptos" w:hAnsi="Calibri" w:cs="Calibri"/>
                <w:color w:val="000000" w:themeColor="text1"/>
                <w:kern w:val="2"/>
                <w:sz w:val="20"/>
                <w:szCs w:val="20"/>
                <w:lang w:eastAsia="zh-CN" w:bidi="ar"/>
              </w:rPr>
              <w:t>−70%</w:t>
            </w:r>
          </w:p>
        </w:tc>
        <w:tc>
          <w:tcPr>
            <w:tcW w:w="0" w:type="auto"/>
          </w:tcPr>
          <w:p w14:paraId="0CE4AD88" w14:textId="77777777" w:rsidR="00E630B7" w:rsidRPr="001C58C6" w:rsidRDefault="00E630B7" w:rsidP="00E630B7">
            <w:pPr>
              <w:spacing w:before="120" w:line="312" w:lineRule="atLeast"/>
              <w:jc w:val="center"/>
              <w:rPr>
                <w:rFonts w:ascii="Calibri" w:hAnsi="Calibri" w:cs="Calibri"/>
                <w:color w:val="000000" w:themeColor="text1"/>
                <w:sz w:val="20"/>
                <w:szCs w:val="20"/>
              </w:rPr>
            </w:pPr>
            <w:r w:rsidRPr="001C58C6">
              <w:rPr>
                <w:rFonts w:ascii="Calibri" w:eastAsia="Aptos" w:hAnsi="Calibri" w:cs="Calibri"/>
                <w:color w:val="000000" w:themeColor="text1"/>
                <w:kern w:val="2"/>
                <w:sz w:val="20"/>
                <w:szCs w:val="20"/>
                <w:lang w:eastAsia="zh-CN" w:bidi="ar"/>
              </w:rPr>
              <w:t>−55%</w:t>
            </w:r>
          </w:p>
        </w:tc>
        <w:tc>
          <w:tcPr>
            <w:tcW w:w="0" w:type="auto"/>
          </w:tcPr>
          <w:p w14:paraId="3BE1F081" w14:textId="77777777" w:rsidR="00E630B7" w:rsidRPr="001C58C6" w:rsidRDefault="00E630B7" w:rsidP="00E630B7">
            <w:pPr>
              <w:spacing w:before="120" w:line="312" w:lineRule="atLeast"/>
              <w:jc w:val="center"/>
              <w:rPr>
                <w:rFonts w:ascii="Calibri" w:hAnsi="Calibri" w:cs="Calibri"/>
                <w:color w:val="000000" w:themeColor="text1"/>
                <w:sz w:val="20"/>
                <w:szCs w:val="20"/>
              </w:rPr>
            </w:pPr>
            <w:r w:rsidRPr="001C58C6">
              <w:rPr>
                <w:rFonts w:ascii="Calibri" w:eastAsia="Aptos" w:hAnsi="Calibri" w:cs="Calibri"/>
                <w:color w:val="000000" w:themeColor="text1"/>
                <w:kern w:val="2"/>
                <w:sz w:val="20"/>
                <w:szCs w:val="20"/>
                <w:lang w:eastAsia="zh-CN" w:bidi="ar"/>
              </w:rPr>
              <w:t>−20%</w:t>
            </w:r>
          </w:p>
        </w:tc>
        <w:tc>
          <w:tcPr>
            <w:tcW w:w="0" w:type="auto"/>
          </w:tcPr>
          <w:p w14:paraId="65D4643F" w14:textId="77777777" w:rsidR="00E630B7" w:rsidRPr="001C58C6" w:rsidRDefault="00E630B7" w:rsidP="00E630B7">
            <w:pPr>
              <w:spacing w:before="120" w:line="312" w:lineRule="atLeast"/>
              <w:jc w:val="center"/>
              <w:rPr>
                <w:rFonts w:ascii="Calibri" w:hAnsi="Calibri" w:cs="Calibri"/>
                <w:color w:val="000000" w:themeColor="text1"/>
                <w:sz w:val="20"/>
                <w:szCs w:val="20"/>
              </w:rPr>
            </w:pPr>
            <w:r w:rsidRPr="001C58C6">
              <w:rPr>
                <w:rFonts w:ascii="Calibri" w:eastAsia="Aptos" w:hAnsi="Calibri" w:cs="Calibri"/>
                <w:color w:val="000000" w:themeColor="text1"/>
                <w:kern w:val="2"/>
                <w:sz w:val="20"/>
                <w:szCs w:val="20"/>
                <w:lang w:eastAsia="zh-CN" w:bidi="ar"/>
              </w:rPr>
              <w:t>−30%</w:t>
            </w:r>
          </w:p>
        </w:tc>
        <w:tc>
          <w:tcPr>
            <w:tcW w:w="0" w:type="auto"/>
          </w:tcPr>
          <w:p w14:paraId="2016A77F" w14:textId="77777777" w:rsidR="00E630B7" w:rsidRPr="001C58C6" w:rsidRDefault="00E630B7" w:rsidP="00E630B7">
            <w:pPr>
              <w:spacing w:before="120" w:line="312" w:lineRule="atLeast"/>
              <w:jc w:val="center"/>
              <w:rPr>
                <w:rFonts w:ascii="Calibri" w:hAnsi="Calibri" w:cs="Calibri"/>
                <w:color w:val="000000" w:themeColor="text1"/>
                <w:sz w:val="20"/>
                <w:szCs w:val="20"/>
              </w:rPr>
            </w:pPr>
            <w:r w:rsidRPr="001C58C6">
              <w:rPr>
                <w:rFonts w:ascii="Calibri" w:eastAsia="Aptos" w:hAnsi="Calibri" w:cs="Calibri"/>
                <w:color w:val="000000" w:themeColor="text1"/>
                <w:kern w:val="2"/>
                <w:sz w:val="20"/>
                <w:szCs w:val="20"/>
                <w:lang w:eastAsia="zh-CN" w:bidi="ar"/>
              </w:rPr>
              <w:t>−20%</w:t>
            </w:r>
          </w:p>
        </w:tc>
      </w:tr>
    </w:tbl>
    <w:p w14:paraId="2FCE4CF5" w14:textId="77777777" w:rsidR="00065C43" w:rsidRPr="001C58C6" w:rsidRDefault="00065C43" w:rsidP="00CD4481">
      <w:pPr>
        <w:pStyle w:val="FootnoteText"/>
        <w:spacing w:before="240"/>
        <w:rPr>
          <w:rFonts w:ascii="Calibri" w:hAnsi="Calibri" w:cs="Calibri"/>
          <w:color w:val="000000" w:themeColor="text1"/>
          <w:sz w:val="24"/>
          <w:szCs w:val="22"/>
        </w:rPr>
      </w:pPr>
    </w:p>
    <w:p w14:paraId="186B28BA" w14:textId="77777777" w:rsidR="00CD4481" w:rsidRPr="001C58C6" w:rsidRDefault="00CD4481" w:rsidP="00E630B7">
      <w:pPr>
        <w:pStyle w:val="FootnoteText"/>
        <w:shd w:val="clear" w:color="auto" w:fill="E8E8E8" w:themeFill="background2"/>
        <w:spacing w:after="240" w:line="276" w:lineRule="auto"/>
        <w:rPr>
          <w:rFonts w:ascii="Calibri" w:hAnsi="Calibri" w:cs="Calibri"/>
          <w:b/>
          <w:bCs/>
          <w:iCs/>
          <w:color w:val="000000" w:themeColor="text1"/>
          <w:sz w:val="24"/>
          <w:szCs w:val="22"/>
        </w:rPr>
      </w:pPr>
      <w:r w:rsidRPr="001C58C6">
        <w:rPr>
          <w:rFonts w:ascii="Calibri" w:hAnsi="Calibri" w:cs="Calibri"/>
          <w:b/>
          <w:bCs/>
          <w:iCs/>
          <w:color w:val="000000" w:themeColor="text1"/>
          <w:sz w:val="24"/>
          <w:szCs w:val="22"/>
        </w:rPr>
        <w:t xml:space="preserve">CILJ 2: DALJE UNAPREĐENJE PRAĆENJA I UPRAVLJANJA KVALITETOM VAZDUHA </w:t>
      </w:r>
    </w:p>
    <w:p w14:paraId="62061340" w14:textId="77777777" w:rsidR="00E630B7" w:rsidRPr="001C58C6" w:rsidRDefault="00E630B7" w:rsidP="00E630B7">
      <w:pPr>
        <w:pStyle w:val="FootnoteText"/>
        <w:shd w:val="clear" w:color="auto" w:fill="E8E8E8" w:themeFill="background2"/>
        <w:spacing w:after="240" w:line="276" w:lineRule="auto"/>
        <w:rPr>
          <w:rFonts w:ascii="Calibri" w:hAnsi="Calibri" w:cs="Calibri"/>
          <w:color w:val="000000" w:themeColor="text1"/>
          <w:sz w:val="24"/>
          <w:szCs w:val="22"/>
        </w:rPr>
      </w:pPr>
      <w:r w:rsidRPr="001C58C6">
        <w:rPr>
          <w:rFonts w:ascii="Calibri" w:hAnsi="Calibri" w:cs="Calibri"/>
          <w:color w:val="000000" w:themeColor="text1"/>
          <w:sz w:val="24"/>
          <w:szCs w:val="22"/>
        </w:rPr>
        <w:t xml:space="preserve">2.A – poboljšanje kvaliteta podataka o kvalitetu vazduha i emisijama zagađujućih materija u vazduh; </w:t>
      </w:r>
    </w:p>
    <w:p w14:paraId="1E1D7A7C" w14:textId="77777777" w:rsidR="00E630B7" w:rsidRPr="001C58C6" w:rsidRDefault="00E630B7" w:rsidP="00E630B7">
      <w:pPr>
        <w:pStyle w:val="FootnoteText"/>
        <w:shd w:val="clear" w:color="auto" w:fill="E8E8E8" w:themeFill="background2"/>
        <w:spacing w:after="240" w:line="276" w:lineRule="auto"/>
        <w:rPr>
          <w:rFonts w:ascii="Calibri" w:hAnsi="Calibri" w:cs="Calibri"/>
          <w:color w:val="000000" w:themeColor="text1"/>
          <w:sz w:val="24"/>
          <w:szCs w:val="22"/>
        </w:rPr>
      </w:pPr>
      <w:r w:rsidRPr="001C58C6">
        <w:rPr>
          <w:rFonts w:ascii="Calibri" w:hAnsi="Calibri" w:cs="Calibri"/>
          <w:color w:val="000000" w:themeColor="text1"/>
          <w:sz w:val="24"/>
          <w:szCs w:val="22"/>
        </w:rPr>
        <w:t xml:space="preserve">2.B – unapređenje saradnje između relevantnih institucija, jedinica lokalne samouprave, civilnog sektora i stručne javnosti; </w:t>
      </w:r>
    </w:p>
    <w:p w14:paraId="6BF0A0AA" w14:textId="77777777" w:rsidR="00E630B7" w:rsidRPr="001C58C6" w:rsidRDefault="00E630B7" w:rsidP="00E630B7">
      <w:pPr>
        <w:pStyle w:val="FootnoteText"/>
        <w:shd w:val="clear" w:color="auto" w:fill="E8E8E8" w:themeFill="background2"/>
        <w:spacing w:after="240" w:line="276" w:lineRule="auto"/>
        <w:rPr>
          <w:rFonts w:ascii="Calibri" w:hAnsi="Calibri" w:cs="Calibri"/>
          <w:color w:val="000000" w:themeColor="text1"/>
          <w:sz w:val="24"/>
          <w:szCs w:val="22"/>
        </w:rPr>
      </w:pPr>
      <w:r w:rsidRPr="001C58C6">
        <w:rPr>
          <w:rFonts w:ascii="Calibri" w:hAnsi="Calibri" w:cs="Calibri"/>
          <w:color w:val="000000" w:themeColor="text1"/>
          <w:sz w:val="24"/>
          <w:szCs w:val="22"/>
        </w:rPr>
        <w:t xml:space="preserve">2.C – dalje usklađivanje sa strožim standardima kvaliteta vazduha. </w:t>
      </w:r>
    </w:p>
    <w:p w14:paraId="09508DC0" w14:textId="77777777" w:rsidR="00E630B7" w:rsidRPr="001C58C6" w:rsidRDefault="00E630B7" w:rsidP="00E630B7">
      <w:pPr>
        <w:pStyle w:val="FootnoteText"/>
        <w:rPr>
          <w:rFonts w:ascii="Calibri" w:hAnsi="Calibri" w:cs="Calibri"/>
          <w:color w:val="000000" w:themeColor="text1"/>
          <w:sz w:val="24"/>
          <w:szCs w:val="22"/>
        </w:rPr>
      </w:pPr>
    </w:p>
    <w:p w14:paraId="725AB91E" w14:textId="77777777" w:rsidR="00E630B7" w:rsidRPr="001C58C6" w:rsidRDefault="00E630B7" w:rsidP="00E630B7">
      <w:pPr>
        <w:pStyle w:val="FootnoteText"/>
        <w:rPr>
          <w:rFonts w:ascii="Calibri" w:hAnsi="Calibri" w:cs="Calibri"/>
          <w:color w:val="000000" w:themeColor="text1"/>
          <w:sz w:val="24"/>
          <w:szCs w:val="22"/>
        </w:rPr>
      </w:pPr>
      <w:r w:rsidRPr="001C58C6">
        <w:rPr>
          <w:rFonts w:ascii="Calibri" w:hAnsi="Calibri" w:cs="Calibri"/>
          <w:color w:val="000000" w:themeColor="text1"/>
          <w:sz w:val="24"/>
          <w:szCs w:val="22"/>
        </w:rPr>
        <w:t>Dva strateška i šest operativnih ciljeva koji su utvrđeni ovim strateškim dokumentom imaju sveobuhvatan karakter tako da se ciljano odnose na sve ključne izazove prepoznate u oblasti upravljanja kvalitetom vazduha. Za mnoge od ovih izazova ne postoje jednostavna, kratkoročna i jeftina rješenja. Stoga je neophodno pažljivo i racionalno planirati dinamiku aktivnosti za njihovo sprovođenje kao i utvrđivanje odgovarajućih pokazatelja koji mogu svjedočiti o efektu preduzetih mjera.</w:t>
      </w:r>
    </w:p>
    <w:p w14:paraId="1D7CA0D9" w14:textId="77777777" w:rsidR="00AD31E0" w:rsidRPr="001C58C6" w:rsidRDefault="00AD31E0" w:rsidP="00E630B7">
      <w:pPr>
        <w:pStyle w:val="FootnoteText"/>
        <w:rPr>
          <w:rFonts w:ascii="Calibri" w:hAnsi="Calibri" w:cs="Calibri"/>
          <w:color w:val="000000" w:themeColor="text1"/>
          <w:sz w:val="24"/>
          <w:szCs w:val="22"/>
        </w:rPr>
      </w:pPr>
    </w:p>
    <w:p w14:paraId="3A709921" w14:textId="77777777" w:rsidR="006E191C" w:rsidRPr="001C58C6" w:rsidRDefault="006E191C" w:rsidP="006E191C">
      <w:pPr>
        <w:rPr>
          <w:rFonts w:ascii="Calibri" w:hAnsi="Calibri" w:cs="Calibri"/>
          <w:b/>
          <w:color w:val="000000" w:themeColor="text1"/>
        </w:rPr>
      </w:pPr>
      <w:bookmarkStart w:id="56" w:name="_Toc223515617"/>
      <w:bookmarkStart w:id="57" w:name="_Toc223515618"/>
      <w:bookmarkStart w:id="58" w:name="_Toc223515619"/>
      <w:bookmarkStart w:id="59" w:name="_Toc223515620"/>
      <w:bookmarkStart w:id="60" w:name="_Toc223515621"/>
      <w:bookmarkStart w:id="61" w:name="_Toc220070421"/>
      <w:bookmarkEnd w:id="56"/>
      <w:bookmarkEnd w:id="57"/>
      <w:bookmarkEnd w:id="58"/>
      <w:bookmarkEnd w:id="59"/>
      <w:bookmarkEnd w:id="60"/>
      <w:r w:rsidRPr="001C58C6">
        <w:rPr>
          <w:rFonts w:ascii="Calibri" w:hAnsi="Calibri" w:cs="Calibri"/>
          <w:b/>
          <w:color w:val="000000" w:themeColor="text1"/>
        </w:rPr>
        <w:t>RAZRADA STRATEŠKIH I OPERATIVNIH CILJEVA SA INDIKATORIMA</w:t>
      </w:r>
    </w:p>
    <w:p w14:paraId="0CAF5FC8" w14:textId="77777777" w:rsidR="006E191C" w:rsidRPr="001C58C6" w:rsidRDefault="006E191C" w:rsidP="006E191C">
      <w:pPr>
        <w:rPr>
          <w:rFonts w:ascii="Calibri" w:hAnsi="Calibri" w:cs="Calibri"/>
          <w:color w:val="000000" w:themeColor="text1"/>
        </w:rPr>
      </w:pPr>
    </w:p>
    <w:p w14:paraId="3EFA3880" w14:textId="77777777" w:rsidR="006E191C" w:rsidRPr="001C58C6" w:rsidRDefault="006E191C" w:rsidP="006E191C">
      <w:pPr>
        <w:rPr>
          <w:rFonts w:ascii="Calibri" w:hAnsi="Calibri" w:cs="Calibri"/>
          <w:color w:val="000000" w:themeColor="text1"/>
        </w:rPr>
      </w:pPr>
      <w:r w:rsidRPr="001C58C6">
        <w:rPr>
          <w:rFonts w:ascii="Calibri" w:hAnsi="Calibri" w:cs="Calibri"/>
          <w:color w:val="000000" w:themeColor="text1"/>
        </w:rPr>
        <w:t>Radi jasnijeg praćenja sprovođenja, operativni ciljevi u ovom dokumentu označavaju se oznakama 1.A, 1.B, 1.C, 2.A, 2.B i 2.C. Oznake 1.A, 1.B i 1.C predstavljaju operativne ciljeve u okviru Strateškog cilja 1, dok oznake 2.A, 2.B i 2.C predstavljaju operativne ciljeve u okviru Strateškog cilja 2. Ove oznake nijesu oznake aktivnosti, već oznake operativnih ciljeva koje treba dosljedno koristiti u Akcionom planu, Programu mjera i izvještajnim tabelama.</w:t>
      </w:r>
    </w:p>
    <w:p w14:paraId="20564CDC" w14:textId="77777777" w:rsidR="006E191C" w:rsidRPr="001C58C6" w:rsidRDefault="006E191C" w:rsidP="006E191C">
      <w:pPr>
        <w:rPr>
          <w:rFonts w:ascii="Calibri" w:hAnsi="Calibri" w:cs="Calibri"/>
          <w:color w:val="000000" w:themeColor="text1"/>
        </w:rPr>
      </w:pPr>
    </w:p>
    <w:p w14:paraId="29CF5CE7" w14:textId="70B981A6" w:rsidR="006E191C" w:rsidRPr="001C58C6" w:rsidRDefault="006E191C" w:rsidP="006E191C">
      <w:pPr>
        <w:rPr>
          <w:rFonts w:ascii="Calibri" w:hAnsi="Calibri" w:cs="Calibri"/>
          <w:b/>
          <w:color w:val="000000" w:themeColor="text1"/>
        </w:rPr>
      </w:pPr>
      <w:r w:rsidRPr="001C58C6">
        <w:rPr>
          <w:rFonts w:ascii="Calibri" w:hAnsi="Calibri" w:cs="Calibri"/>
          <w:b/>
          <w:color w:val="000000" w:themeColor="text1"/>
        </w:rPr>
        <w:t>STRATEŠKI CILJ 1: Poboljšanje kvaliteta vazduha</w:t>
      </w:r>
    </w:p>
    <w:p w14:paraId="132BE09D" w14:textId="77777777" w:rsidR="006E191C" w:rsidRPr="001C58C6" w:rsidRDefault="006E191C" w:rsidP="006E191C">
      <w:pPr>
        <w:rPr>
          <w:rFonts w:ascii="Calibri" w:hAnsi="Calibri" w:cs="Calibri"/>
          <w:color w:val="000000" w:themeColor="text1"/>
        </w:rPr>
      </w:pPr>
    </w:p>
    <w:p w14:paraId="1554A095" w14:textId="77777777" w:rsidR="006E191C" w:rsidRPr="001C58C6" w:rsidRDefault="006E191C" w:rsidP="006E191C">
      <w:pPr>
        <w:rPr>
          <w:rFonts w:ascii="Calibri" w:hAnsi="Calibri" w:cs="Calibri"/>
          <w:color w:val="000000" w:themeColor="text1"/>
        </w:rPr>
      </w:pPr>
      <w:r w:rsidRPr="001C58C6">
        <w:rPr>
          <w:rFonts w:ascii="Calibri" w:hAnsi="Calibri" w:cs="Calibri"/>
          <w:color w:val="000000" w:themeColor="text1"/>
        </w:rPr>
        <w:t>Ovaj strateški cilj usmjeren je na smanjenje koncentracija zagađujućih materija u zonama u kojima su zabilježena prekoračenja graničnih i ciljnih vrijednosti, posebno suspendovanih čestica PM10 i PM2.5 i benzo(a)pirena, kao i na smanjenje emisija ključnih zagađujućih materija iz energetike, grijanja domaćinstava, saobraćaja, poljoprivrede i otpada. Cilj predstavlja srednjoročnu fazu približavanja ciljevima EU do 2030. godine i dugoročnom opredjeljenju ka nultom zagađenju do 2050. godine.</w:t>
      </w:r>
    </w:p>
    <w:p w14:paraId="6AA13AC9" w14:textId="77777777" w:rsidR="006E191C" w:rsidRPr="001C58C6" w:rsidRDefault="006E191C" w:rsidP="006E191C">
      <w:pPr>
        <w:rPr>
          <w:rFonts w:ascii="Calibri" w:hAnsi="Calibri" w:cs="Calibri"/>
          <w:color w:val="000000" w:themeColor="text1"/>
        </w:rPr>
      </w:pPr>
      <w:r w:rsidRPr="001C58C6">
        <w:rPr>
          <w:rFonts w:ascii="Calibri" w:hAnsi="Calibri" w:cs="Calibri"/>
          <w:color w:val="000000" w:themeColor="text1"/>
        </w:rPr>
        <w:t>Indikator strateškog cilja: Broj zona kvaliteta vazduha u kojima se bilježe prekoračenja graničnih ili ciljnih vrijednosti za PM10, PM2.5 i benzo(a)piren, kao i stepen smanjenja emisija SO2, NOx, VOC, NH3 i PM2.5 u odnosu na baznu 2005. godinu.</w:t>
      </w:r>
    </w:p>
    <w:p w14:paraId="465915DF" w14:textId="77777777" w:rsidR="006E191C" w:rsidRPr="001C58C6" w:rsidRDefault="006E191C" w:rsidP="006E191C">
      <w:pPr>
        <w:rPr>
          <w:rFonts w:ascii="Calibri" w:hAnsi="Calibri" w:cs="Calibri"/>
          <w:color w:val="000000" w:themeColor="text1"/>
        </w:rPr>
      </w:pPr>
    </w:p>
    <w:p w14:paraId="62A8F895" w14:textId="77777777" w:rsidR="006E191C" w:rsidRPr="001C58C6" w:rsidRDefault="006E191C" w:rsidP="006E191C">
      <w:pPr>
        <w:pStyle w:val="ListParagraph"/>
        <w:numPr>
          <w:ilvl w:val="0"/>
          <w:numId w:val="105"/>
        </w:numPr>
        <w:ind w:left="360"/>
        <w:rPr>
          <w:rFonts w:ascii="Calibri" w:hAnsi="Calibri" w:cs="Calibri"/>
          <w:color w:val="000000" w:themeColor="text1"/>
        </w:rPr>
      </w:pPr>
      <w:r w:rsidRPr="001C58C6">
        <w:rPr>
          <w:rFonts w:ascii="Calibri" w:hAnsi="Calibri" w:cs="Calibri"/>
          <w:b/>
          <w:color w:val="000000" w:themeColor="text1"/>
        </w:rPr>
        <w:t>Polazna vrijednost:</w:t>
      </w:r>
      <w:r w:rsidRPr="001C58C6">
        <w:rPr>
          <w:rFonts w:ascii="Calibri" w:hAnsi="Calibri" w:cs="Calibri"/>
          <w:color w:val="000000" w:themeColor="text1"/>
        </w:rPr>
        <w:t xml:space="preserve"> U 2024. godini u Sjevernoj zoni zabilježene su srednje godišnje vrijednosti PM10 41,6 µg/m3, PM2.5 31,77 µg/m3 i BaP 5,08 ng/m3, dok je u Centralnoj zoni zabilježena vrijednost BaP 2,58 ng/m3; Južna zona nema zabilježena prekoračenja. Emisije zagađujućih materija još uvijek zahtijevaju dodatne mjere radi dostizanja obaveza smanjenja.</w:t>
      </w:r>
    </w:p>
    <w:p w14:paraId="07554D8A" w14:textId="77777777" w:rsidR="006E191C" w:rsidRPr="001C58C6" w:rsidRDefault="006E191C" w:rsidP="006E191C">
      <w:pPr>
        <w:pStyle w:val="ListParagraph"/>
        <w:numPr>
          <w:ilvl w:val="0"/>
          <w:numId w:val="105"/>
        </w:numPr>
        <w:ind w:left="360"/>
        <w:rPr>
          <w:rFonts w:ascii="Calibri" w:hAnsi="Calibri" w:cs="Calibri"/>
          <w:color w:val="000000" w:themeColor="text1"/>
        </w:rPr>
      </w:pPr>
      <w:r w:rsidRPr="001C58C6">
        <w:rPr>
          <w:rFonts w:ascii="Calibri" w:hAnsi="Calibri" w:cs="Calibri"/>
          <w:b/>
          <w:color w:val="000000" w:themeColor="text1"/>
        </w:rPr>
        <w:t>Prelazna vrijednost:</w:t>
      </w:r>
      <w:r w:rsidRPr="001C58C6">
        <w:rPr>
          <w:rFonts w:ascii="Calibri" w:hAnsi="Calibri" w:cs="Calibri"/>
          <w:color w:val="000000" w:themeColor="text1"/>
        </w:rPr>
        <w:t xml:space="preserve"> Do kraja 2027. godine uspostavljen trend smanjenja koncentracija PM10, PM2.5 i BaP u zonama sa prekoračenjima, započeta realizacija ključnih mjera iz NEKP-a, planova kvaliteta vazduha i Programa mjera za kontrolu zagađivanja vazduha, uz godišnje izvještavanje o emisijama i kvalitetu vazduha.</w:t>
      </w:r>
    </w:p>
    <w:p w14:paraId="6E8C5FB3" w14:textId="77777777" w:rsidR="006E191C" w:rsidRPr="001C58C6" w:rsidRDefault="006E191C" w:rsidP="006E191C">
      <w:pPr>
        <w:pStyle w:val="ListParagraph"/>
        <w:numPr>
          <w:ilvl w:val="0"/>
          <w:numId w:val="105"/>
        </w:numPr>
        <w:ind w:left="360"/>
        <w:rPr>
          <w:rFonts w:ascii="Calibri" w:hAnsi="Calibri" w:cs="Calibri"/>
          <w:color w:val="000000" w:themeColor="text1"/>
        </w:rPr>
      </w:pPr>
      <w:r w:rsidRPr="001C58C6">
        <w:rPr>
          <w:rFonts w:ascii="Calibri" w:hAnsi="Calibri" w:cs="Calibri"/>
          <w:b/>
          <w:color w:val="000000" w:themeColor="text1"/>
        </w:rPr>
        <w:t>Ciljna vrijednost:</w:t>
      </w:r>
      <w:r w:rsidRPr="001C58C6">
        <w:rPr>
          <w:rFonts w:ascii="Calibri" w:hAnsi="Calibri" w:cs="Calibri"/>
          <w:color w:val="000000" w:themeColor="text1"/>
        </w:rPr>
        <w:t xml:space="preserve"> Do kraja 2029. godine ostvareno mjerljivo smanjenje koncentracija PM10, PM2.5 i BaP u Sjevernoj i Centralnoj zoni, očuvan dobar kvalitet vazduha u Južnoj zoni i dostignute ili značajno približene obaveze smanjenja emisija do 2029. godine: SO2 -60%, NOx -25%, VOC -10%, NH3 -25% i PM2.5 -5% u odnosu na 2005. godinu.</w:t>
      </w:r>
    </w:p>
    <w:p w14:paraId="1A405B8D" w14:textId="77777777" w:rsidR="006E191C" w:rsidRPr="001C58C6" w:rsidRDefault="006E191C" w:rsidP="006E191C">
      <w:pPr>
        <w:rPr>
          <w:rFonts w:ascii="Calibri" w:hAnsi="Calibri" w:cs="Calibri"/>
          <w:color w:val="000000" w:themeColor="text1"/>
        </w:rPr>
      </w:pPr>
    </w:p>
    <w:p w14:paraId="3204FE13" w14:textId="77777777" w:rsidR="006E191C" w:rsidRPr="001C58C6" w:rsidRDefault="006E191C" w:rsidP="006E191C">
      <w:pPr>
        <w:rPr>
          <w:rFonts w:ascii="Calibri" w:hAnsi="Calibri" w:cs="Calibri"/>
          <w:color w:val="000000" w:themeColor="text1"/>
        </w:rPr>
      </w:pPr>
      <w:r w:rsidRPr="001C58C6">
        <w:rPr>
          <w:rFonts w:ascii="Calibri" w:hAnsi="Calibri" w:cs="Calibri"/>
          <w:b/>
          <w:color w:val="000000" w:themeColor="text1"/>
        </w:rPr>
        <w:t>Ključne aktivnosti za ostvarenje strateškog cilja:</w:t>
      </w:r>
      <w:r w:rsidRPr="001C58C6">
        <w:rPr>
          <w:rFonts w:ascii="Calibri" w:hAnsi="Calibri" w:cs="Calibri"/>
          <w:color w:val="000000" w:themeColor="text1"/>
        </w:rPr>
        <w:t xml:space="preserve"> sprovođenje mjera iz planova kvaliteta vazduha za Sjevernu i Centralnu zonu, preventivnih mjera za Južnu zonu, mjera energetske efikasnosti i smanjenja energetskog siromaštva, smanjenje emisija iz TE Pljevlja i drugih velikih izvora, zamjena individualnih ložišta i čistiji izvori grijanja, mjere u saobraćaju, poljoprivredi i upravljanju otpadom.</w:t>
      </w:r>
    </w:p>
    <w:p w14:paraId="0493EE2E" w14:textId="77777777" w:rsidR="006E191C" w:rsidRPr="001C58C6" w:rsidRDefault="006E191C" w:rsidP="006E191C">
      <w:pPr>
        <w:rPr>
          <w:rFonts w:ascii="Calibri" w:hAnsi="Calibri" w:cs="Calibri"/>
          <w:color w:val="000000" w:themeColor="text1"/>
        </w:rPr>
      </w:pPr>
    </w:p>
    <w:p w14:paraId="3A2514EE" w14:textId="77777777" w:rsidR="006E191C" w:rsidRPr="001C58C6" w:rsidRDefault="006E191C" w:rsidP="006E191C">
      <w:pPr>
        <w:rPr>
          <w:rFonts w:ascii="Calibri" w:hAnsi="Calibri" w:cs="Calibri"/>
          <w:color w:val="000000" w:themeColor="text1"/>
        </w:rPr>
      </w:pPr>
      <w:r w:rsidRPr="001C58C6">
        <w:rPr>
          <w:rFonts w:ascii="Calibri" w:hAnsi="Calibri" w:cs="Calibri"/>
          <w:b/>
          <w:color w:val="000000" w:themeColor="text1"/>
        </w:rPr>
        <w:t>Izazovi u ostvarivanju strateškog cilja:</w:t>
      </w:r>
      <w:r w:rsidRPr="001C58C6">
        <w:rPr>
          <w:rFonts w:ascii="Calibri" w:hAnsi="Calibri" w:cs="Calibri"/>
          <w:color w:val="000000" w:themeColor="text1"/>
        </w:rPr>
        <w:t xml:space="preserve"> zavisnost od dinamike energetskih projekata i investicija, sezonski karakter zagađenja iz grijanja domaćinstava, energetsko siromaštvo, ograničeni kapaciteti lokalnih samouprava, potreba za stabilnim finansiranjem i rizik od kašnjenja u realizaciji mjera iz drugih sektorskih politika.</w:t>
      </w:r>
    </w:p>
    <w:p w14:paraId="3BA0CD78" w14:textId="77777777" w:rsidR="006E191C" w:rsidRPr="001C58C6" w:rsidRDefault="006E191C" w:rsidP="006E191C">
      <w:pPr>
        <w:rPr>
          <w:rFonts w:ascii="Calibri" w:hAnsi="Calibri" w:cs="Calibri"/>
          <w:color w:val="000000" w:themeColor="text1"/>
        </w:rPr>
      </w:pPr>
    </w:p>
    <w:p w14:paraId="4013026B" w14:textId="77777777" w:rsidR="00E9507D" w:rsidRPr="001C58C6" w:rsidRDefault="00E9507D" w:rsidP="00E9507D">
      <w:pPr>
        <w:rPr>
          <w:rFonts w:ascii="Calibri" w:hAnsi="Calibri" w:cs="Calibri"/>
          <w:b/>
          <w:color w:val="000000" w:themeColor="text1"/>
        </w:rPr>
      </w:pPr>
      <w:r w:rsidRPr="001C58C6">
        <w:rPr>
          <w:rFonts w:ascii="Calibri" w:hAnsi="Calibri" w:cs="Calibri"/>
          <w:b/>
          <w:color w:val="000000" w:themeColor="text1"/>
        </w:rPr>
        <w:t>OPERATIVNI CILJ 1.A: Smanjenje koncentracija suspendovanih čestica i sadržaja benzo(a)pirena u Sjevernoj zoni kvaliteta vazduha</w:t>
      </w:r>
    </w:p>
    <w:p w14:paraId="345093F2" w14:textId="77777777" w:rsidR="00E9507D" w:rsidRPr="001C58C6" w:rsidRDefault="00E9507D" w:rsidP="00E9507D">
      <w:pPr>
        <w:rPr>
          <w:rFonts w:ascii="Calibri" w:hAnsi="Calibri" w:cs="Calibri"/>
          <w:color w:val="000000" w:themeColor="text1"/>
        </w:rPr>
      </w:pPr>
    </w:p>
    <w:p w14:paraId="124872EC" w14:textId="77777777" w:rsidR="00E9507D" w:rsidRPr="001C58C6" w:rsidRDefault="00E9507D" w:rsidP="00E9507D">
      <w:pPr>
        <w:rPr>
          <w:rFonts w:ascii="Calibri" w:hAnsi="Calibri" w:cs="Calibri"/>
          <w:color w:val="000000" w:themeColor="text1"/>
        </w:rPr>
      </w:pPr>
      <w:r w:rsidRPr="001C58C6">
        <w:rPr>
          <w:rFonts w:ascii="Calibri" w:hAnsi="Calibri" w:cs="Calibri"/>
          <w:color w:val="000000" w:themeColor="text1"/>
        </w:rPr>
        <w:t>Sjeverna zona je prioritetna zona za sprovođenje mjera, jer se u njoj bilježe najizraženija prekoračenja koncentracija PM10, PM2.5 i benzo(a)pirena, naročito tokom sezone grijanja. Mjere su usmjerene na smanjenje emisija iz grijanja domaćinstava, energetike i lokalnih izvora, uz posebno targetiranje Pljevalja i Bijelog Polja.</w:t>
      </w:r>
    </w:p>
    <w:p w14:paraId="006D9092" w14:textId="77777777" w:rsidR="00E9507D" w:rsidRPr="001C58C6" w:rsidRDefault="00E9507D" w:rsidP="00E9507D">
      <w:pPr>
        <w:rPr>
          <w:rFonts w:ascii="Calibri" w:hAnsi="Calibri" w:cs="Calibri"/>
          <w:color w:val="000000" w:themeColor="text1"/>
        </w:rPr>
      </w:pPr>
      <w:r w:rsidRPr="001C58C6">
        <w:rPr>
          <w:rFonts w:ascii="Calibri" w:hAnsi="Calibri" w:cs="Calibri"/>
          <w:color w:val="000000" w:themeColor="text1"/>
        </w:rPr>
        <w:t>Indikator operativnog cilja: Srednje godišnje koncentracije PM10, PM2.5 i BaP u Sjevernoj zoni kvaliteta vazduha, broj dana prekoračenja dnevne vrijednosti PM10 i realizacija mjera iz plana kvaliteta vazduha za Sjevernu zonu.</w:t>
      </w:r>
    </w:p>
    <w:p w14:paraId="064FD36F" w14:textId="77777777" w:rsidR="00E9507D" w:rsidRPr="001C58C6" w:rsidRDefault="00E9507D" w:rsidP="00E9507D">
      <w:pPr>
        <w:pStyle w:val="ListParagraph"/>
        <w:numPr>
          <w:ilvl w:val="0"/>
          <w:numId w:val="107"/>
        </w:numPr>
        <w:rPr>
          <w:rFonts w:ascii="Calibri" w:hAnsi="Calibri" w:cs="Calibri"/>
          <w:color w:val="000000" w:themeColor="text1"/>
        </w:rPr>
      </w:pPr>
      <w:r w:rsidRPr="001C58C6">
        <w:rPr>
          <w:rFonts w:ascii="Calibri" w:hAnsi="Calibri" w:cs="Calibri"/>
          <w:b/>
          <w:color w:val="000000" w:themeColor="text1"/>
        </w:rPr>
        <w:t xml:space="preserve">Polazna vrijednost: </w:t>
      </w:r>
      <w:r w:rsidRPr="001C58C6">
        <w:rPr>
          <w:rFonts w:ascii="Calibri" w:hAnsi="Calibri" w:cs="Calibri"/>
          <w:color w:val="000000" w:themeColor="text1"/>
        </w:rPr>
        <w:t>U 2024. godini: PM10 41,6 µg/m3, PM2.5 31,77 µg/m3 i BaP 5,08 ng/m3 u Sjevernoj zoni; zabilježena su prekoračenja na mjernim mjestima Pljevlja i Bijelo Polje.</w:t>
      </w:r>
    </w:p>
    <w:p w14:paraId="3F6F0B1D" w14:textId="77777777" w:rsidR="00E9507D" w:rsidRPr="001C58C6" w:rsidRDefault="00E9507D" w:rsidP="00E9507D">
      <w:pPr>
        <w:pStyle w:val="ListParagraph"/>
        <w:numPr>
          <w:ilvl w:val="0"/>
          <w:numId w:val="107"/>
        </w:numPr>
        <w:rPr>
          <w:rFonts w:ascii="Calibri" w:hAnsi="Calibri" w:cs="Calibri"/>
          <w:color w:val="000000" w:themeColor="text1"/>
        </w:rPr>
      </w:pPr>
      <w:r w:rsidRPr="001C58C6">
        <w:rPr>
          <w:rFonts w:ascii="Calibri" w:hAnsi="Calibri" w:cs="Calibri"/>
          <w:b/>
          <w:color w:val="000000" w:themeColor="text1"/>
        </w:rPr>
        <w:t xml:space="preserve">Prelazna vrijednost: </w:t>
      </w:r>
      <w:r w:rsidRPr="001C58C6">
        <w:rPr>
          <w:rFonts w:ascii="Calibri" w:hAnsi="Calibri" w:cs="Calibri"/>
          <w:color w:val="000000" w:themeColor="text1"/>
        </w:rPr>
        <w:t>Do kraja 2027. godine započeta realizacija prioritetnih mjera za grijanje domaćinstava, daljinsko grijanje, energetsku efikasnost i smanjenje emisija velikih izvora, uz godišnje praćenje trenda koncentracija.</w:t>
      </w:r>
    </w:p>
    <w:p w14:paraId="220A28F1" w14:textId="77777777" w:rsidR="00E9507D" w:rsidRPr="001C58C6" w:rsidRDefault="00E9507D" w:rsidP="00E9507D">
      <w:pPr>
        <w:pStyle w:val="ListParagraph"/>
        <w:numPr>
          <w:ilvl w:val="0"/>
          <w:numId w:val="107"/>
        </w:numPr>
        <w:rPr>
          <w:rFonts w:ascii="Calibri" w:hAnsi="Calibri" w:cs="Calibri"/>
          <w:color w:val="000000" w:themeColor="text1"/>
        </w:rPr>
      </w:pPr>
      <w:r w:rsidRPr="001C58C6">
        <w:rPr>
          <w:rFonts w:ascii="Calibri" w:hAnsi="Calibri" w:cs="Calibri"/>
          <w:b/>
          <w:color w:val="000000" w:themeColor="text1"/>
        </w:rPr>
        <w:t xml:space="preserve">Ciljna vrijednost: </w:t>
      </w:r>
      <w:r w:rsidRPr="001C58C6">
        <w:rPr>
          <w:rFonts w:ascii="Calibri" w:hAnsi="Calibri" w:cs="Calibri"/>
          <w:color w:val="000000" w:themeColor="text1"/>
        </w:rPr>
        <w:t>Do kraja 2029. godine ostvareno mjerljivo smanjenje koncentracija PM10, PM2.5 i BaP i smanjen broj dana prekoračenja u Sjevernoj zoni, uz pripremljenu osnovu za dostizanje strožih standarda do 2030. godine.</w:t>
      </w:r>
    </w:p>
    <w:p w14:paraId="7AD17220" w14:textId="77777777" w:rsidR="00E9507D" w:rsidRPr="001C58C6" w:rsidRDefault="00E9507D" w:rsidP="00E9507D">
      <w:pPr>
        <w:pStyle w:val="ListParagraph"/>
        <w:ind w:left="360"/>
        <w:rPr>
          <w:rFonts w:ascii="Calibri" w:hAnsi="Calibri" w:cs="Calibri"/>
          <w:color w:val="000000" w:themeColor="text1"/>
        </w:rPr>
      </w:pPr>
    </w:p>
    <w:p w14:paraId="501427E4" w14:textId="77777777" w:rsidR="00E9507D" w:rsidRPr="001C58C6" w:rsidRDefault="00E9507D" w:rsidP="00E9507D">
      <w:pPr>
        <w:rPr>
          <w:rFonts w:ascii="Calibri" w:hAnsi="Calibri" w:cs="Calibri"/>
          <w:color w:val="000000" w:themeColor="text1"/>
        </w:rPr>
      </w:pPr>
      <w:r w:rsidRPr="001C58C6">
        <w:rPr>
          <w:rFonts w:ascii="Calibri" w:hAnsi="Calibri" w:cs="Calibri"/>
          <w:b/>
          <w:color w:val="000000" w:themeColor="text1"/>
        </w:rPr>
        <w:t>Ključne aktivnosti koje doprinose ostvarenju operativnog cilja:</w:t>
      </w:r>
      <w:r w:rsidRPr="001C58C6">
        <w:rPr>
          <w:rFonts w:ascii="Calibri" w:hAnsi="Calibri" w:cs="Calibri"/>
          <w:color w:val="000000" w:themeColor="text1"/>
        </w:rPr>
        <w:t xml:space="preserve"> daljinsko grijanje u Pljevljima, energetska efikasnost u zgradama, smanjenje energetskog siromaštva, zamjena ložišta i goriva, ekološka rekonstrukcija TE Pljevlja, lokalne mjere za smanjenje zagađenja i bolje informisanje građana.</w:t>
      </w:r>
    </w:p>
    <w:p w14:paraId="304B2FD1" w14:textId="77777777" w:rsidR="00E9507D" w:rsidRPr="001C58C6" w:rsidRDefault="00E9507D" w:rsidP="00E9507D">
      <w:pPr>
        <w:rPr>
          <w:rFonts w:ascii="Calibri" w:hAnsi="Calibri" w:cs="Calibri"/>
          <w:color w:val="000000" w:themeColor="text1"/>
        </w:rPr>
      </w:pPr>
    </w:p>
    <w:p w14:paraId="4F764489" w14:textId="77777777" w:rsidR="00E9507D" w:rsidRPr="001C58C6" w:rsidRDefault="00E9507D" w:rsidP="00E9507D">
      <w:pPr>
        <w:rPr>
          <w:rFonts w:ascii="Calibri" w:hAnsi="Calibri" w:cs="Calibri"/>
          <w:color w:val="000000" w:themeColor="text1"/>
        </w:rPr>
      </w:pPr>
      <w:r w:rsidRPr="001C58C6">
        <w:rPr>
          <w:rFonts w:ascii="Calibri" w:hAnsi="Calibri" w:cs="Calibri"/>
          <w:b/>
          <w:color w:val="000000" w:themeColor="text1"/>
        </w:rPr>
        <w:t>Izazovi u ostvarivanju operativnog cilja</w:t>
      </w:r>
      <w:r w:rsidRPr="001C58C6">
        <w:rPr>
          <w:rFonts w:ascii="Calibri" w:hAnsi="Calibri" w:cs="Calibri"/>
          <w:color w:val="000000" w:themeColor="text1"/>
        </w:rPr>
        <w:t>: visoki investicioni troškovi, energetsko siromaštvo, sezonska zavisnost od čvrstih goriva, potreba za koordinacijom više institucija i lokalnih samouprava i rizik od kašnjenja kapitalnih projekata.</w:t>
      </w:r>
    </w:p>
    <w:p w14:paraId="07300CEC" w14:textId="77777777" w:rsidR="00E9507D" w:rsidRPr="001C58C6" w:rsidRDefault="00E9507D" w:rsidP="00E9507D">
      <w:pPr>
        <w:rPr>
          <w:rFonts w:ascii="Calibri" w:hAnsi="Calibri" w:cs="Calibri"/>
          <w:color w:val="000000" w:themeColor="text1"/>
        </w:rPr>
      </w:pPr>
    </w:p>
    <w:p w14:paraId="596C6258" w14:textId="77777777" w:rsidR="00E9507D" w:rsidRPr="001C58C6" w:rsidRDefault="00E9507D" w:rsidP="00E9507D">
      <w:pPr>
        <w:rPr>
          <w:rFonts w:ascii="Calibri" w:hAnsi="Calibri" w:cs="Calibri"/>
          <w:b/>
          <w:color w:val="000000" w:themeColor="text1"/>
        </w:rPr>
      </w:pPr>
      <w:r w:rsidRPr="001C58C6">
        <w:rPr>
          <w:rFonts w:ascii="Calibri" w:hAnsi="Calibri" w:cs="Calibri"/>
          <w:b/>
          <w:color w:val="000000" w:themeColor="text1"/>
        </w:rPr>
        <w:t>OPERATIVNI CILJ 1.B: Smanjenje sadržaja benzo(a)pirena u suspendovanim česticama u Centralnoj zoni kvaliteta vazduha</w:t>
      </w:r>
    </w:p>
    <w:p w14:paraId="2E05B50B" w14:textId="77777777" w:rsidR="00E9507D" w:rsidRPr="001C58C6" w:rsidRDefault="00E9507D" w:rsidP="00E9507D">
      <w:pPr>
        <w:rPr>
          <w:rFonts w:ascii="Calibri" w:hAnsi="Calibri" w:cs="Calibri"/>
          <w:color w:val="000000" w:themeColor="text1"/>
        </w:rPr>
      </w:pPr>
    </w:p>
    <w:p w14:paraId="2BFF3021" w14:textId="77777777" w:rsidR="00E9507D" w:rsidRPr="001C58C6" w:rsidRDefault="00E9507D" w:rsidP="00E9507D">
      <w:pPr>
        <w:rPr>
          <w:rFonts w:ascii="Calibri" w:hAnsi="Calibri" w:cs="Calibri"/>
          <w:color w:val="000000" w:themeColor="text1"/>
        </w:rPr>
      </w:pPr>
      <w:r w:rsidRPr="001C58C6">
        <w:rPr>
          <w:rFonts w:ascii="Calibri" w:hAnsi="Calibri" w:cs="Calibri"/>
          <w:color w:val="000000" w:themeColor="text1"/>
        </w:rPr>
        <w:t>Centralna zona bilježi prekoračenja ciljne vrijednosti za benzo(a)piren, prvenstveno zbog sagorijevanja čvrstih goriva u individualnim ložištima tokom zimskog perioda. Fokus je na smanjenju izloženosti stanovništva kancerogenim PAH jedinjenjima, naročito u urbanim područjima Podgorice i Nikšića.</w:t>
      </w:r>
    </w:p>
    <w:p w14:paraId="77E62040" w14:textId="77777777" w:rsidR="00E9507D" w:rsidRPr="001C58C6" w:rsidRDefault="00E9507D" w:rsidP="00E9507D">
      <w:pPr>
        <w:rPr>
          <w:rFonts w:ascii="Calibri" w:hAnsi="Calibri" w:cs="Calibri"/>
          <w:color w:val="000000" w:themeColor="text1"/>
        </w:rPr>
      </w:pPr>
      <w:r w:rsidRPr="001C58C6">
        <w:rPr>
          <w:rFonts w:ascii="Calibri" w:hAnsi="Calibri" w:cs="Calibri"/>
          <w:color w:val="000000" w:themeColor="text1"/>
        </w:rPr>
        <w:t>Indikator operativnog cilja: Srednja godišnja vrijednost sadržaja benzo(a)pirena u PM10 česticama u Centralnoj zoni i broj realizovanih mjera koje smanjuju emisije iz grijanja domaćinstava.</w:t>
      </w:r>
    </w:p>
    <w:p w14:paraId="52703547" w14:textId="77777777" w:rsidR="00E9507D" w:rsidRPr="001C58C6" w:rsidRDefault="00E9507D" w:rsidP="00E9507D">
      <w:pPr>
        <w:pStyle w:val="ListParagraph"/>
        <w:numPr>
          <w:ilvl w:val="0"/>
          <w:numId w:val="108"/>
        </w:numPr>
        <w:rPr>
          <w:rFonts w:ascii="Calibri" w:hAnsi="Calibri" w:cs="Calibri"/>
          <w:color w:val="000000" w:themeColor="text1"/>
        </w:rPr>
      </w:pPr>
      <w:r w:rsidRPr="001C58C6">
        <w:rPr>
          <w:rFonts w:ascii="Calibri" w:hAnsi="Calibri" w:cs="Calibri"/>
          <w:b/>
          <w:color w:val="000000" w:themeColor="text1"/>
        </w:rPr>
        <w:t xml:space="preserve">Polazna vrijednost: </w:t>
      </w:r>
      <w:r w:rsidRPr="001C58C6">
        <w:rPr>
          <w:rFonts w:ascii="Calibri" w:hAnsi="Calibri" w:cs="Calibri"/>
          <w:color w:val="000000" w:themeColor="text1"/>
        </w:rPr>
        <w:t>U 2024. godini vrijednost BaP u Centralnoj zoni iznosila je 2,58 ng/m3, što je iznad ciljne vrijednosti od 1 ng/m3.</w:t>
      </w:r>
    </w:p>
    <w:p w14:paraId="35B8D2B7" w14:textId="77777777" w:rsidR="00E9507D" w:rsidRPr="001C58C6" w:rsidRDefault="00E9507D" w:rsidP="00E9507D">
      <w:pPr>
        <w:pStyle w:val="ListParagraph"/>
        <w:numPr>
          <w:ilvl w:val="0"/>
          <w:numId w:val="108"/>
        </w:numPr>
        <w:rPr>
          <w:rFonts w:ascii="Calibri" w:hAnsi="Calibri" w:cs="Calibri"/>
          <w:color w:val="000000" w:themeColor="text1"/>
        </w:rPr>
      </w:pPr>
      <w:r w:rsidRPr="001C58C6">
        <w:rPr>
          <w:rFonts w:ascii="Calibri" w:hAnsi="Calibri" w:cs="Calibri"/>
          <w:b/>
          <w:color w:val="000000" w:themeColor="text1"/>
        </w:rPr>
        <w:lastRenderedPageBreak/>
        <w:t xml:space="preserve">Prelazna vrijednost: </w:t>
      </w:r>
      <w:r w:rsidRPr="001C58C6">
        <w:rPr>
          <w:rFonts w:ascii="Calibri" w:hAnsi="Calibri" w:cs="Calibri"/>
          <w:color w:val="000000" w:themeColor="text1"/>
        </w:rPr>
        <w:t>Do kraja 2027. godine sprovedene prioritetne mjere energetske efikasnosti, smanjenja energetskog siromaštva i informisanja domaćinstava koja koriste čvrsta goriva.</w:t>
      </w:r>
    </w:p>
    <w:p w14:paraId="0E787BDE" w14:textId="77777777" w:rsidR="00E9507D" w:rsidRPr="001C58C6" w:rsidRDefault="00E9507D" w:rsidP="00E9507D">
      <w:pPr>
        <w:pStyle w:val="ListParagraph"/>
        <w:numPr>
          <w:ilvl w:val="0"/>
          <w:numId w:val="108"/>
        </w:numPr>
        <w:rPr>
          <w:rFonts w:ascii="Calibri" w:hAnsi="Calibri" w:cs="Calibri"/>
          <w:color w:val="000000" w:themeColor="text1"/>
        </w:rPr>
      </w:pPr>
      <w:r w:rsidRPr="001C58C6">
        <w:rPr>
          <w:rFonts w:ascii="Calibri" w:hAnsi="Calibri" w:cs="Calibri"/>
          <w:b/>
          <w:color w:val="000000" w:themeColor="text1"/>
        </w:rPr>
        <w:t xml:space="preserve">Ciljna vrijednost: </w:t>
      </w:r>
      <w:r w:rsidRPr="001C58C6">
        <w:rPr>
          <w:rFonts w:ascii="Calibri" w:hAnsi="Calibri" w:cs="Calibri"/>
          <w:color w:val="000000" w:themeColor="text1"/>
        </w:rPr>
        <w:t>Do kraja 2029. godine ostvaren trend smanjenja BaP u Centralnoj zoni i značajno približavanje ciljnoj vrijednosti od 1 ng/m3.</w:t>
      </w:r>
    </w:p>
    <w:p w14:paraId="3F34AEC4" w14:textId="77777777" w:rsidR="00E9507D" w:rsidRPr="001C58C6" w:rsidRDefault="00E9507D" w:rsidP="00E9507D">
      <w:pPr>
        <w:pStyle w:val="ListParagraph"/>
        <w:ind w:left="360"/>
        <w:rPr>
          <w:rFonts w:ascii="Calibri" w:hAnsi="Calibri" w:cs="Calibri"/>
          <w:color w:val="000000" w:themeColor="text1"/>
        </w:rPr>
      </w:pPr>
    </w:p>
    <w:p w14:paraId="63217B1B" w14:textId="77777777" w:rsidR="00E9507D" w:rsidRPr="001C58C6" w:rsidRDefault="00E9507D" w:rsidP="00E9507D">
      <w:pPr>
        <w:rPr>
          <w:rFonts w:ascii="Calibri" w:hAnsi="Calibri" w:cs="Calibri"/>
          <w:color w:val="000000" w:themeColor="text1"/>
        </w:rPr>
      </w:pPr>
      <w:r w:rsidRPr="001C58C6">
        <w:rPr>
          <w:rFonts w:ascii="Calibri" w:hAnsi="Calibri" w:cs="Calibri"/>
          <w:b/>
          <w:color w:val="000000" w:themeColor="text1"/>
        </w:rPr>
        <w:t>Ključne aktivnosti koje doprinose ostvarenju operativnog cilja:</w:t>
      </w:r>
      <w:r w:rsidRPr="001C58C6">
        <w:rPr>
          <w:rFonts w:ascii="Calibri" w:hAnsi="Calibri" w:cs="Calibri"/>
          <w:color w:val="000000" w:themeColor="text1"/>
        </w:rPr>
        <w:t xml:space="preserve"> programi energetske efikasnosti za domaćinstva, finansijski podsticaji za čistije izvore grijanja, informisanje građana, lokalne mjere i praćenje sadržaja BaP u PM česticama.</w:t>
      </w:r>
    </w:p>
    <w:p w14:paraId="167C95D9" w14:textId="77777777" w:rsidR="00E9507D" w:rsidRPr="001C58C6" w:rsidRDefault="00E9507D" w:rsidP="00E9507D">
      <w:pPr>
        <w:rPr>
          <w:rFonts w:ascii="Calibri" w:hAnsi="Calibri" w:cs="Calibri"/>
          <w:color w:val="000000" w:themeColor="text1"/>
        </w:rPr>
      </w:pPr>
    </w:p>
    <w:p w14:paraId="448D73E8" w14:textId="77777777" w:rsidR="00E9507D" w:rsidRPr="001C58C6" w:rsidRDefault="00E9507D" w:rsidP="00E9507D">
      <w:pPr>
        <w:rPr>
          <w:rFonts w:ascii="Calibri" w:hAnsi="Calibri" w:cs="Calibri"/>
          <w:color w:val="000000" w:themeColor="text1"/>
        </w:rPr>
      </w:pPr>
      <w:r w:rsidRPr="001C58C6">
        <w:rPr>
          <w:rFonts w:ascii="Calibri" w:hAnsi="Calibri" w:cs="Calibri"/>
          <w:b/>
          <w:color w:val="000000" w:themeColor="text1"/>
        </w:rPr>
        <w:t>Izazovi u ostvarivanju operativnog cilja:</w:t>
      </w:r>
      <w:r w:rsidRPr="001C58C6">
        <w:rPr>
          <w:rFonts w:ascii="Calibri" w:hAnsi="Calibri" w:cs="Calibri"/>
          <w:color w:val="000000" w:themeColor="text1"/>
        </w:rPr>
        <w:t xml:space="preserve"> ograničena platežna moć domaćinstava, nedostatak preciznih podataka o tipu goriva i uređaja za grijanje, potreba za povezivanjem socijalnih i energetskih politika i potreba za kontinuiranim monitoringom.</w:t>
      </w:r>
    </w:p>
    <w:p w14:paraId="01A46F77" w14:textId="77777777" w:rsidR="00E9507D" w:rsidRPr="001C58C6" w:rsidRDefault="00E9507D" w:rsidP="00E9507D">
      <w:pPr>
        <w:rPr>
          <w:rFonts w:ascii="Calibri" w:hAnsi="Calibri" w:cs="Calibri"/>
          <w:color w:val="000000" w:themeColor="text1"/>
        </w:rPr>
      </w:pPr>
    </w:p>
    <w:p w14:paraId="1C54D617" w14:textId="77777777" w:rsidR="00E9507D" w:rsidRPr="001C58C6" w:rsidRDefault="00E9507D" w:rsidP="00E9507D">
      <w:pPr>
        <w:rPr>
          <w:rFonts w:ascii="Calibri" w:hAnsi="Calibri" w:cs="Calibri"/>
          <w:b/>
          <w:color w:val="000000" w:themeColor="text1"/>
        </w:rPr>
      </w:pPr>
      <w:r w:rsidRPr="001C58C6">
        <w:rPr>
          <w:rFonts w:ascii="Calibri" w:hAnsi="Calibri" w:cs="Calibri"/>
          <w:b/>
          <w:color w:val="000000" w:themeColor="text1"/>
        </w:rPr>
        <w:t>OPERATIVNI CILJ 1.C: Smanjenje emisija zagađujućih materija (NOx, SO2, VOC, NH3 i PM2.5)</w:t>
      </w:r>
    </w:p>
    <w:p w14:paraId="7DA5EA1F" w14:textId="77777777" w:rsidR="00E9507D" w:rsidRPr="001C58C6" w:rsidRDefault="00E9507D" w:rsidP="00E9507D">
      <w:pPr>
        <w:rPr>
          <w:rFonts w:ascii="Calibri" w:hAnsi="Calibri" w:cs="Calibri"/>
          <w:color w:val="000000" w:themeColor="text1"/>
        </w:rPr>
      </w:pPr>
    </w:p>
    <w:p w14:paraId="6113B4B0" w14:textId="77777777" w:rsidR="00E9507D" w:rsidRPr="001C58C6" w:rsidRDefault="00E9507D" w:rsidP="00E9507D">
      <w:pPr>
        <w:rPr>
          <w:rFonts w:ascii="Calibri" w:hAnsi="Calibri" w:cs="Calibri"/>
          <w:color w:val="000000" w:themeColor="text1"/>
        </w:rPr>
      </w:pPr>
      <w:r w:rsidRPr="001C58C6">
        <w:rPr>
          <w:rFonts w:ascii="Calibri" w:hAnsi="Calibri" w:cs="Calibri"/>
          <w:color w:val="000000" w:themeColor="text1"/>
        </w:rPr>
        <w:t>Ovaj operativni cilj obuhvata nacionalni nivo i odnosi se na smanjenje emisija iz ključnih sektora: proizvodnje energije, saobraćaja, domaćinstava, poljoprivrede i otpada. Ostvarenje cilja je preduslov za ispunjavanje obaveza iz NEC okvira i za smanjenje pritiska na sve zone kvaliteta vazduha.</w:t>
      </w:r>
    </w:p>
    <w:p w14:paraId="4C07AB1D" w14:textId="5EC12082" w:rsidR="00E9507D" w:rsidRPr="001C58C6" w:rsidRDefault="00E9507D" w:rsidP="00E9507D">
      <w:pPr>
        <w:rPr>
          <w:rFonts w:ascii="Calibri" w:hAnsi="Calibri" w:cs="Calibri"/>
          <w:color w:val="000000" w:themeColor="text1"/>
        </w:rPr>
      </w:pPr>
      <w:r w:rsidRPr="001C58C6">
        <w:rPr>
          <w:rFonts w:ascii="Calibri" w:hAnsi="Calibri" w:cs="Calibri"/>
          <w:color w:val="000000" w:themeColor="text1"/>
        </w:rPr>
        <w:t xml:space="preserve">Indikator operativnog cilja: Procenat smanjenja nacionalnih emisija SO2, NOx, VOC, NH3 i PM2.5 u odnosu na baznu 2005. godinu, u skladu sa </w:t>
      </w:r>
      <w:r w:rsidR="00C7424E">
        <w:rPr>
          <w:rFonts w:ascii="Calibri" w:hAnsi="Calibri" w:cs="Calibri"/>
          <w:color w:val="000000" w:themeColor="text1"/>
        </w:rPr>
        <w:t>projekcijama</w:t>
      </w:r>
      <w:r w:rsidRPr="001C58C6">
        <w:rPr>
          <w:rFonts w:ascii="Calibri" w:hAnsi="Calibri" w:cs="Calibri"/>
          <w:color w:val="000000" w:themeColor="text1"/>
        </w:rPr>
        <w:t xml:space="preserve"> i obavezama za period do 2029. godine.</w:t>
      </w:r>
    </w:p>
    <w:p w14:paraId="5D3C55F1" w14:textId="77777777" w:rsidR="00E9507D" w:rsidRPr="001C58C6" w:rsidRDefault="00E9507D" w:rsidP="00E9507D">
      <w:pPr>
        <w:pStyle w:val="ListParagraph"/>
        <w:numPr>
          <w:ilvl w:val="0"/>
          <w:numId w:val="109"/>
        </w:numPr>
        <w:rPr>
          <w:rFonts w:ascii="Calibri" w:hAnsi="Calibri" w:cs="Calibri"/>
          <w:color w:val="000000" w:themeColor="text1"/>
        </w:rPr>
      </w:pPr>
      <w:r w:rsidRPr="001C58C6">
        <w:rPr>
          <w:rFonts w:ascii="Calibri" w:hAnsi="Calibri" w:cs="Calibri"/>
          <w:b/>
          <w:color w:val="000000" w:themeColor="text1"/>
        </w:rPr>
        <w:t>Polazna vrijednost:</w:t>
      </w:r>
      <w:r w:rsidRPr="001C58C6">
        <w:rPr>
          <w:rFonts w:ascii="Calibri" w:hAnsi="Calibri" w:cs="Calibri"/>
          <w:color w:val="000000" w:themeColor="text1"/>
        </w:rPr>
        <w:t xml:space="preserve"> Emisije u baznoj godini 2005. i podaci iz nacionalnog inventara emisija predstavljaju osnov za praćenje; u dokumentu su utvrđene obaveze smanjenja do 2029. godine.</w:t>
      </w:r>
    </w:p>
    <w:p w14:paraId="6EB9F9A8" w14:textId="77777777" w:rsidR="00E9507D" w:rsidRPr="001C58C6" w:rsidRDefault="00E9507D" w:rsidP="00E9507D">
      <w:pPr>
        <w:pStyle w:val="ListParagraph"/>
        <w:numPr>
          <w:ilvl w:val="0"/>
          <w:numId w:val="109"/>
        </w:numPr>
        <w:rPr>
          <w:rFonts w:ascii="Calibri" w:hAnsi="Calibri" w:cs="Calibri"/>
          <w:color w:val="000000" w:themeColor="text1"/>
        </w:rPr>
      </w:pPr>
      <w:r w:rsidRPr="001C58C6">
        <w:rPr>
          <w:rFonts w:ascii="Calibri" w:hAnsi="Calibri" w:cs="Calibri"/>
          <w:b/>
          <w:color w:val="000000" w:themeColor="text1"/>
        </w:rPr>
        <w:t>Prelazna vrijednost:</w:t>
      </w:r>
      <w:r w:rsidRPr="001C58C6">
        <w:rPr>
          <w:rFonts w:ascii="Calibri" w:hAnsi="Calibri" w:cs="Calibri"/>
          <w:color w:val="000000" w:themeColor="text1"/>
        </w:rPr>
        <w:t xml:space="preserve"> Do kraja 2027. godine započeta realizacija svih ključnih mjera sa najvećim efektom na emisije, posebno rekonstrukcija TE Pljevlja, OIE mjere, mjere energetske efikasnosti i mjere u saobraćaju.</w:t>
      </w:r>
    </w:p>
    <w:p w14:paraId="6FAB8C94" w14:textId="77777777" w:rsidR="00E9507D" w:rsidRPr="001C58C6" w:rsidRDefault="00E9507D" w:rsidP="00E9507D">
      <w:pPr>
        <w:pStyle w:val="ListParagraph"/>
        <w:numPr>
          <w:ilvl w:val="0"/>
          <w:numId w:val="109"/>
        </w:numPr>
        <w:rPr>
          <w:rFonts w:ascii="Calibri" w:hAnsi="Calibri" w:cs="Calibri"/>
          <w:color w:val="000000" w:themeColor="text1"/>
        </w:rPr>
      </w:pPr>
      <w:r w:rsidRPr="001C58C6">
        <w:rPr>
          <w:rFonts w:ascii="Calibri" w:hAnsi="Calibri" w:cs="Calibri"/>
          <w:b/>
          <w:color w:val="000000" w:themeColor="text1"/>
        </w:rPr>
        <w:t>Ciljna vrijednost:</w:t>
      </w:r>
      <w:r w:rsidRPr="001C58C6">
        <w:rPr>
          <w:rFonts w:ascii="Calibri" w:hAnsi="Calibri" w:cs="Calibri"/>
          <w:color w:val="000000" w:themeColor="text1"/>
        </w:rPr>
        <w:t xml:space="preserve"> Do kraja 2029. godine dostignute obaveze smanjenja emisija: SO2 -60%, NOx -25%, VOC -10%, NH3 -25% i PM2.5 -5% u odnosu na 2005. godinu.</w:t>
      </w:r>
    </w:p>
    <w:p w14:paraId="233CEEFF" w14:textId="77777777" w:rsidR="00E9507D" w:rsidRPr="001C58C6" w:rsidRDefault="00E9507D" w:rsidP="00E9507D">
      <w:pPr>
        <w:rPr>
          <w:rFonts w:ascii="Calibri" w:hAnsi="Calibri" w:cs="Calibri"/>
          <w:color w:val="000000" w:themeColor="text1"/>
        </w:rPr>
      </w:pPr>
    </w:p>
    <w:p w14:paraId="73A96F65" w14:textId="77777777" w:rsidR="00E9507D" w:rsidRPr="001C58C6" w:rsidRDefault="00E9507D" w:rsidP="00E9507D">
      <w:pPr>
        <w:rPr>
          <w:rFonts w:ascii="Calibri" w:hAnsi="Calibri" w:cs="Calibri"/>
          <w:color w:val="000000" w:themeColor="text1"/>
        </w:rPr>
      </w:pPr>
      <w:r w:rsidRPr="001C58C6">
        <w:rPr>
          <w:rFonts w:ascii="Calibri" w:hAnsi="Calibri" w:cs="Calibri"/>
          <w:b/>
          <w:color w:val="000000" w:themeColor="text1"/>
        </w:rPr>
        <w:t>Ključne aktivnosti koje doprinose ostvarenju operativnog cilja:</w:t>
      </w:r>
      <w:r w:rsidRPr="001C58C6">
        <w:rPr>
          <w:rFonts w:ascii="Calibri" w:hAnsi="Calibri" w:cs="Calibri"/>
          <w:color w:val="000000" w:themeColor="text1"/>
        </w:rPr>
        <w:t xml:space="preserve"> realizacija mjera iz NEKP-a i Programa mjera, kontrola velikih izvora emisija, povećanje OIE, mjere u saobraćaju, upravljanje stajskim đubrivom, smanjenje biootpada i unapređenje inventara emisija.</w:t>
      </w:r>
    </w:p>
    <w:p w14:paraId="46236FD3" w14:textId="77777777" w:rsidR="00E9507D" w:rsidRPr="001C58C6" w:rsidRDefault="00E9507D" w:rsidP="00E9507D">
      <w:pPr>
        <w:rPr>
          <w:rFonts w:ascii="Calibri" w:hAnsi="Calibri" w:cs="Calibri"/>
          <w:color w:val="000000" w:themeColor="text1"/>
        </w:rPr>
      </w:pPr>
    </w:p>
    <w:p w14:paraId="5885CE7D" w14:textId="77777777" w:rsidR="00E9507D" w:rsidRPr="001C58C6" w:rsidRDefault="00E9507D" w:rsidP="00E9507D">
      <w:pPr>
        <w:rPr>
          <w:rFonts w:ascii="Calibri" w:hAnsi="Calibri" w:cs="Calibri"/>
          <w:color w:val="000000" w:themeColor="text1"/>
        </w:rPr>
      </w:pPr>
      <w:r w:rsidRPr="001C58C6">
        <w:rPr>
          <w:rFonts w:ascii="Calibri" w:hAnsi="Calibri" w:cs="Calibri"/>
          <w:b/>
          <w:color w:val="000000" w:themeColor="text1"/>
        </w:rPr>
        <w:t>Izazovi u ostvarivanju operativnog cilja:</w:t>
      </w:r>
      <w:r w:rsidRPr="001C58C6">
        <w:rPr>
          <w:rFonts w:ascii="Calibri" w:hAnsi="Calibri" w:cs="Calibri"/>
          <w:color w:val="000000" w:themeColor="text1"/>
        </w:rPr>
        <w:t xml:space="preserve"> neizvjesnosti projekcija, zavisnost od sektorskih politika i investicija, potreba za usklađivanjem energetskih i ekoloških ciljeva, ograničenja u podacima i zahtjevnost izvještavanja prema međunarodnim obavezama.</w:t>
      </w:r>
    </w:p>
    <w:p w14:paraId="22F75AB9" w14:textId="77777777" w:rsidR="006E191C" w:rsidRPr="001C58C6" w:rsidRDefault="006E191C" w:rsidP="006E191C">
      <w:pPr>
        <w:rPr>
          <w:rFonts w:ascii="Calibri" w:hAnsi="Calibri" w:cs="Calibri"/>
          <w:color w:val="000000" w:themeColor="text1"/>
        </w:rPr>
      </w:pPr>
    </w:p>
    <w:p w14:paraId="066034CA" w14:textId="77777777" w:rsidR="006E191C" w:rsidRPr="001C58C6" w:rsidRDefault="006E191C" w:rsidP="006E191C">
      <w:pPr>
        <w:rPr>
          <w:rFonts w:ascii="Calibri" w:hAnsi="Calibri" w:cs="Calibri"/>
          <w:b/>
          <w:color w:val="000000" w:themeColor="text1"/>
        </w:rPr>
      </w:pPr>
      <w:r w:rsidRPr="001C58C6">
        <w:rPr>
          <w:rFonts w:ascii="Calibri" w:hAnsi="Calibri" w:cs="Calibri"/>
          <w:b/>
          <w:color w:val="000000" w:themeColor="text1"/>
        </w:rPr>
        <w:t>STRATEŠKI CILJ 2: Dalje unapređenje praćenja i upravljanja kvalitetom vazduha</w:t>
      </w:r>
    </w:p>
    <w:p w14:paraId="33D5EB19" w14:textId="77777777" w:rsidR="006E191C" w:rsidRPr="001C58C6" w:rsidRDefault="006E191C" w:rsidP="006E191C">
      <w:pPr>
        <w:rPr>
          <w:rFonts w:ascii="Calibri" w:hAnsi="Calibri" w:cs="Calibri"/>
          <w:color w:val="000000" w:themeColor="text1"/>
        </w:rPr>
      </w:pPr>
    </w:p>
    <w:p w14:paraId="30A8DD06" w14:textId="77777777" w:rsidR="006E191C" w:rsidRPr="001C58C6" w:rsidRDefault="006E191C" w:rsidP="006E191C">
      <w:pPr>
        <w:rPr>
          <w:rFonts w:ascii="Calibri" w:hAnsi="Calibri" w:cs="Calibri"/>
          <w:color w:val="000000" w:themeColor="text1"/>
        </w:rPr>
      </w:pPr>
      <w:r w:rsidRPr="001C58C6">
        <w:rPr>
          <w:rFonts w:ascii="Calibri" w:hAnsi="Calibri" w:cs="Calibri"/>
          <w:color w:val="000000" w:themeColor="text1"/>
        </w:rPr>
        <w:t>Ovaj strateški cilj odnosi se na jačanje sistema monitoringa, inventara emisija, izvještavanja, koordinacije i usklađivanja sa pravnom tekovinom EU, kako bi se obezbijedilo da odluke o kvalitetu vazduha budu zasnovane na pouzdanim podacima i da mjere budu usmjerene prema najvažnijim izvorima zagađenja.</w:t>
      </w:r>
    </w:p>
    <w:p w14:paraId="5933F8D5" w14:textId="77777777" w:rsidR="006E191C" w:rsidRPr="001C58C6" w:rsidRDefault="006E191C" w:rsidP="006E191C">
      <w:pPr>
        <w:rPr>
          <w:rFonts w:ascii="Calibri" w:hAnsi="Calibri" w:cs="Calibri"/>
          <w:color w:val="000000" w:themeColor="text1"/>
        </w:rPr>
      </w:pPr>
      <w:r w:rsidRPr="001C58C6">
        <w:rPr>
          <w:rFonts w:ascii="Calibri" w:hAnsi="Calibri" w:cs="Calibri"/>
          <w:color w:val="000000" w:themeColor="text1"/>
        </w:rPr>
        <w:lastRenderedPageBreak/>
        <w:t>Indikator strateškog cilja: Stepen funkcionalnosti sistema praćenja i upravljanja kvalitetom vazduha, mjeren kroz dostupnost validiranih podataka, blagovremeno izvještavanje, rad koordinacionog mehanizma, usklađenost propisa i dostupnost informacija javnosti.</w:t>
      </w:r>
    </w:p>
    <w:p w14:paraId="39DDF26C" w14:textId="77777777" w:rsidR="006E191C" w:rsidRPr="001C58C6" w:rsidRDefault="006E191C" w:rsidP="006E191C">
      <w:pPr>
        <w:rPr>
          <w:rFonts w:ascii="Calibri" w:hAnsi="Calibri" w:cs="Calibri"/>
          <w:color w:val="000000" w:themeColor="text1"/>
        </w:rPr>
      </w:pPr>
    </w:p>
    <w:p w14:paraId="12A9FA6B" w14:textId="77777777" w:rsidR="006E191C" w:rsidRPr="001C58C6" w:rsidRDefault="006E191C" w:rsidP="006E191C">
      <w:pPr>
        <w:pStyle w:val="ListParagraph"/>
        <w:numPr>
          <w:ilvl w:val="0"/>
          <w:numId w:val="106"/>
        </w:numPr>
        <w:rPr>
          <w:rFonts w:ascii="Calibri" w:hAnsi="Calibri" w:cs="Calibri"/>
          <w:color w:val="000000" w:themeColor="text1"/>
        </w:rPr>
      </w:pPr>
      <w:r w:rsidRPr="001C58C6">
        <w:rPr>
          <w:rFonts w:ascii="Calibri" w:hAnsi="Calibri" w:cs="Calibri"/>
          <w:b/>
          <w:color w:val="000000" w:themeColor="text1"/>
        </w:rPr>
        <w:t>Polazna vrijednost:</w:t>
      </w:r>
      <w:r w:rsidRPr="001C58C6">
        <w:rPr>
          <w:rFonts w:ascii="Calibri" w:hAnsi="Calibri" w:cs="Calibri"/>
          <w:color w:val="000000" w:themeColor="text1"/>
        </w:rPr>
        <w:t xml:space="preserve"> Sistem monitoringa i izvještavanja je uspostavljen, ali su prepoznate potrebe za jačanjem kvaliteta podataka, institucionalne koordinacije, kadrovskih i tehničkih kapaciteta i daljim usklađivanjem sa novom direktivom o kvalitetu vazduha.</w:t>
      </w:r>
    </w:p>
    <w:p w14:paraId="1DF8A4E7" w14:textId="77777777" w:rsidR="006E191C" w:rsidRPr="001C58C6" w:rsidRDefault="006E191C" w:rsidP="006E191C">
      <w:pPr>
        <w:pStyle w:val="ListParagraph"/>
        <w:numPr>
          <w:ilvl w:val="0"/>
          <w:numId w:val="106"/>
        </w:numPr>
        <w:rPr>
          <w:rFonts w:ascii="Calibri" w:hAnsi="Calibri" w:cs="Calibri"/>
          <w:color w:val="000000" w:themeColor="text1"/>
        </w:rPr>
      </w:pPr>
      <w:r w:rsidRPr="001C58C6">
        <w:rPr>
          <w:rFonts w:ascii="Calibri" w:hAnsi="Calibri" w:cs="Calibri"/>
          <w:b/>
          <w:color w:val="000000" w:themeColor="text1"/>
        </w:rPr>
        <w:t xml:space="preserve">Prelazna vrijednost: </w:t>
      </w:r>
      <w:r w:rsidRPr="001C58C6">
        <w:rPr>
          <w:rFonts w:ascii="Calibri" w:hAnsi="Calibri" w:cs="Calibri"/>
          <w:color w:val="000000" w:themeColor="text1"/>
        </w:rPr>
        <w:t>Do kraja 2027. godine uspostavljeno koordinaciono tijelo, unaprijeđen sistem razmjene podataka između MERS-a, Agencije, lokalnih samouprava i sektorskih institucija, i pripremljene ključne izmjene propisa i metodologija za primjenu strožih standarda.</w:t>
      </w:r>
    </w:p>
    <w:p w14:paraId="66DAF713" w14:textId="77777777" w:rsidR="006E191C" w:rsidRPr="001C58C6" w:rsidRDefault="006E191C" w:rsidP="006E191C">
      <w:pPr>
        <w:pStyle w:val="ListParagraph"/>
        <w:numPr>
          <w:ilvl w:val="0"/>
          <w:numId w:val="106"/>
        </w:numPr>
        <w:rPr>
          <w:rFonts w:ascii="Calibri" w:hAnsi="Calibri" w:cs="Calibri"/>
          <w:color w:val="000000" w:themeColor="text1"/>
        </w:rPr>
      </w:pPr>
      <w:r w:rsidRPr="001C58C6">
        <w:rPr>
          <w:rFonts w:ascii="Calibri" w:hAnsi="Calibri" w:cs="Calibri"/>
          <w:b/>
          <w:color w:val="000000" w:themeColor="text1"/>
        </w:rPr>
        <w:t xml:space="preserve">Ciljna vrijednost: </w:t>
      </w:r>
      <w:r w:rsidRPr="001C58C6">
        <w:rPr>
          <w:rFonts w:ascii="Calibri" w:hAnsi="Calibri" w:cs="Calibri"/>
          <w:color w:val="000000" w:themeColor="text1"/>
        </w:rPr>
        <w:t>Do kraja 2029. godine obezbijeđeno redovno godišnje izvještavanje o kvalitetu vazduha i emisijama, funkcionalan koordinacioni mehanizam, javno dostupni podaci i planovi, kao i pripremljen okvir za primjenu standarda EU koji će važiti od 2030. godine.</w:t>
      </w:r>
    </w:p>
    <w:p w14:paraId="794586D7" w14:textId="77777777" w:rsidR="006E191C" w:rsidRPr="001C58C6" w:rsidRDefault="006E191C" w:rsidP="006E191C">
      <w:pPr>
        <w:rPr>
          <w:rFonts w:ascii="Calibri" w:hAnsi="Calibri" w:cs="Calibri"/>
          <w:color w:val="000000" w:themeColor="text1"/>
        </w:rPr>
      </w:pPr>
    </w:p>
    <w:p w14:paraId="7B52D85E" w14:textId="77777777" w:rsidR="006E191C" w:rsidRPr="001C58C6" w:rsidRDefault="006E191C" w:rsidP="006E191C">
      <w:pPr>
        <w:rPr>
          <w:rFonts w:ascii="Calibri" w:hAnsi="Calibri" w:cs="Calibri"/>
          <w:color w:val="000000" w:themeColor="text1"/>
        </w:rPr>
      </w:pPr>
      <w:r w:rsidRPr="001C58C6">
        <w:rPr>
          <w:rFonts w:ascii="Calibri" w:hAnsi="Calibri" w:cs="Calibri"/>
          <w:b/>
          <w:color w:val="000000" w:themeColor="text1"/>
        </w:rPr>
        <w:t>Ključne aktivnosti za ostvarenje strateškog cilja</w:t>
      </w:r>
      <w:r w:rsidRPr="001C58C6">
        <w:rPr>
          <w:rFonts w:ascii="Calibri" w:hAnsi="Calibri" w:cs="Calibri"/>
          <w:color w:val="000000" w:themeColor="text1"/>
        </w:rPr>
        <w:t>: jačanje i validacija monitoringa kvaliteta vazduha, unapređenje inventara emisija i projekcija, izrada i ažuriranje planova kvaliteta vazduha, usklađivanje propisa, transparentno informisanje javnosti i godišnje izvještavanje o realizaciji Strategije.</w:t>
      </w:r>
    </w:p>
    <w:p w14:paraId="34438E80" w14:textId="77777777" w:rsidR="006E191C" w:rsidRPr="001C58C6" w:rsidRDefault="006E191C" w:rsidP="006E191C">
      <w:pPr>
        <w:pStyle w:val="ListParagraph"/>
        <w:ind w:left="360"/>
        <w:rPr>
          <w:rFonts w:ascii="Calibri" w:hAnsi="Calibri" w:cs="Calibri"/>
          <w:color w:val="000000" w:themeColor="text1"/>
        </w:rPr>
      </w:pPr>
    </w:p>
    <w:p w14:paraId="1EBEA430" w14:textId="77777777" w:rsidR="006E191C" w:rsidRPr="001C58C6" w:rsidRDefault="006E191C" w:rsidP="006E191C">
      <w:pPr>
        <w:rPr>
          <w:rFonts w:ascii="Calibri" w:hAnsi="Calibri" w:cs="Calibri"/>
          <w:color w:val="000000" w:themeColor="text1"/>
        </w:rPr>
      </w:pPr>
      <w:r w:rsidRPr="001C58C6">
        <w:rPr>
          <w:rFonts w:ascii="Calibri" w:hAnsi="Calibri" w:cs="Calibri"/>
          <w:b/>
          <w:color w:val="000000" w:themeColor="text1"/>
        </w:rPr>
        <w:t>Izazovi u ostvarivanju strateškog cilja</w:t>
      </w:r>
      <w:r w:rsidRPr="001C58C6">
        <w:rPr>
          <w:rFonts w:ascii="Calibri" w:hAnsi="Calibri" w:cs="Calibri"/>
          <w:color w:val="000000" w:themeColor="text1"/>
        </w:rPr>
        <w:t>: ograničeni kadrovski i finansijski resursi, potreba za stalnim usavršavanjem metodologija, zavisnost od podataka iz drugih sektora, tehnički zahtjevi evropskog izvještavanja i potreba za dosljednom koordinacijom više institucija.</w:t>
      </w:r>
    </w:p>
    <w:p w14:paraId="12AD7731" w14:textId="77777777" w:rsidR="006E191C" w:rsidRPr="001C58C6" w:rsidRDefault="006E191C" w:rsidP="006E191C">
      <w:pPr>
        <w:rPr>
          <w:rFonts w:ascii="Calibri" w:hAnsi="Calibri" w:cs="Calibri"/>
          <w:color w:val="000000" w:themeColor="text1"/>
        </w:rPr>
      </w:pPr>
    </w:p>
    <w:p w14:paraId="3B72D36B" w14:textId="41ECAFB7" w:rsidR="006E191C" w:rsidRPr="001C58C6" w:rsidRDefault="006E191C" w:rsidP="006E191C">
      <w:pPr>
        <w:rPr>
          <w:rFonts w:ascii="Calibri" w:hAnsi="Calibri" w:cs="Calibri"/>
          <w:b/>
          <w:color w:val="000000" w:themeColor="text1"/>
        </w:rPr>
      </w:pPr>
      <w:r w:rsidRPr="001C58C6">
        <w:rPr>
          <w:rFonts w:ascii="Calibri" w:hAnsi="Calibri" w:cs="Calibri"/>
          <w:b/>
          <w:color w:val="000000" w:themeColor="text1"/>
        </w:rPr>
        <w:t>OPERATIVNI CILJ 2.A: Poboljšanje kvaliteta podataka o kvalitetu vazduha i emisijama zagađujućih materija u vazduh</w:t>
      </w:r>
    </w:p>
    <w:p w14:paraId="3F257DA6" w14:textId="77777777" w:rsidR="006E191C" w:rsidRPr="001C58C6" w:rsidRDefault="006E191C" w:rsidP="006E191C">
      <w:pPr>
        <w:rPr>
          <w:rFonts w:ascii="Calibri" w:hAnsi="Calibri" w:cs="Calibri"/>
          <w:color w:val="000000" w:themeColor="text1"/>
        </w:rPr>
      </w:pPr>
    </w:p>
    <w:p w14:paraId="1C52119D" w14:textId="77777777" w:rsidR="006E191C" w:rsidRPr="001C58C6" w:rsidRDefault="006E191C" w:rsidP="006E191C">
      <w:pPr>
        <w:rPr>
          <w:rFonts w:ascii="Calibri" w:hAnsi="Calibri" w:cs="Calibri"/>
          <w:color w:val="000000" w:themeColor="text1"/>
        </w:rPr>
      </w:pPr>
      <w:r w:rsidRPr="001C58C6">
        <w:rPr>
          <w:rFonts w:ascii="Calibri" w:hAnsi="Calibri" w:cs="Calibri"/>
          <w:color w:val="000000" w:themeColor="text1"/>
        </w:rPr>
        <w:t>Pouzdani, validirani i pravovremeno dostupni podaci predstavljaju osnov za planiranje mjera i izvještavanje prema nacionalnim i međunarodnim obavezama. Cilj obuhvata unapređenje monitoringa, inventara emisija, projekcija i dostupnosti podataka javnosti.</w:t>
      </w:r>
    </w:p>
    <w:p w14:paraId="137A7261" w14:textId="77777777" w:rsidR="006E191C" w:rsidRPr="001C58C6" w:rsidRDefault="006E191C" w:rsidP="006E191C">
      <w:pPr>
        <w:rPr>
          <w:rFonts w:ascii="Calibri" w:hAnsi="Calibri" w:cs="Calibri"/>
          <w:color w:val="000000" w:themeColor="text1"/>
        </w:rPr>
      </w:pPr>
      <w:r w:rsidRPr="001C58C6">
        <w:rPr>
          <w:rFonts w:ascii="Calibri" w:hAnsi="Calibri" w:cs="Calibri"/>
          <w:color w:val="000000" w:themeColor="text1"/>
        </w:rPr>
        <w:t>Indikator operativnog cilja: Stepen dostupnosti i validnosti podataka iz monitoringa kvaliteta vazduha i nacionalnog inventara emisija, broj blagovremeno objavljenih izvještaja i broj unaprijeđenih metodoloških postupaka.</w:t>
      </w:r>
    </w:p>
    <w:p w14:paraId="5B82AB82" w14:textId="77777777" w:rsidR="006E191C" w:rsidRPr="001C58C6" w:rsidRDefault="006E191C" w:rsidP="006E191C">
      <w:pPr>
        <w:pStyle w:val="ListParagraph"/>
        <w:numPr>
          <w:ilvl w:val="0"/>
          <w:numId w:val="110"/>
        </w:numPr>
        <w:rPr>
          <w:rFonts w:ascii="Calibri" w:hAnsi="Calibri" w:cs="Calibri"/>
          <w:color w:val="000000" w:themeColor="text1"/>
        </w:rPr>
      </w:pPr>
      <w:r w:rsidRPr="001C58C6">
        <w:rPr>
          <w:rFonts w:ascii="Calibri" w:hAnsi="Calibri" w:cs="Calibri"/>
          <w:b/>
          <w:color w:val="000000" w:themeColor="text1"/>
        </w:rPr>
        <w:t>Polazna vrijednost:</w:t>
      </w:r>
      <w:r w:rsidRPr="001C58C6">
        <w:rPr>
          <w:rFonts w:ascii="Calibri" w:hAnsi="Calibri" w:cs="Calibri"/>
          <w:color w:val="000000" w:themeColor="text1"/>
        </w:rPr>
        <w:t xml:space="preserve"> Sistem monitoringa i izvještavanja je uspostavljen, ali postoje potrebe za unapređenjem kvaliteta, potpunosti i uporedivosti podataka, kao i za jačanjem inventara emisija.</w:t>
      </w:r>
    </w:p>
    <w:p w14:paraId="3EFA83E0" w14:textId="77777777" w:rsidR="006E191C" w:rsidRPr="001C58C6" w:rsidRDefault="006E191C" w:rsidP="006E191C">
      <w:pPr>
        <w:pStyle w:val="ListParagraph"/>
        <w:numPr>
          <w:ilvl w:val="0"/>
          <w:numId w:val="110"/>
        </w:numPr>
        <w:rPr>
          <w:rFonts w:ascii="Calibri" w:hAnsi="Calibri" w:cs="Calibri"/>
          <w:color w:val="000000" w:themeColor="text1"/>
        </w:rPr>
      </w:pPr>
      <w:r w:rsidRPr="001C58C6">
        <w:rPr>
          <w:rFonts w:ascii="Calibri" w:hAnsi="Calibri" w:cs="Calibri"/>
          <w:b/>
          <w:color w:val="000000" w:themeColor="text1"/>
        </w:rPr>
        <w:t>Prelazna vrijednost:</w:t>
      </w:r>
      <w:r w:rsidRPr="001C58C6">
        <w:rPr>
          <w:rFonts w:ascii="Calibri" w:hAnsi="Calibri" w:cs="Calibri"/>
          <w:color w:val="000000" w:themeColor="text1"/>
        </w:rPr>
        <w:t xml:space="preserve"> Do kraja 2027. godine unaprijeđeni postupci validacije, obrade i objavljivanja podataka, uz redovno godišnje izvještavanje o kvalitetu vazduha i emisijama.</w:t>
      </w:r>
    </w:p>
    <w:p w14:paraId="2BA20690" w14:textId="77777777" w:rsidR="006E191C" w:rsidRPr="001C58C6" w:rsidRDefault="006E191C" w:rsidP="006E191C">
      <w:pPr>
        <w:pStyle w:val="ListParagraph"/>
        <w:numPr>
          <w:ilvl w:val="0"/>
          <w:numId w:val="110"/>
        </w:numPr>
        <w:rPr>
          <w:rFonts w:ascii="Calibri" w:hAnsi="Calibri" w:cs="Calibri"/>
          <w:color w:val="000000" w:themeColor="text1"/>
        </w:rPr>
      </w:pPr>
      <w:r w:rsidRPr="001C58C6">
        <w:rPr>
          <w:rFonts w:ascii="Calibri" w:hAnsi="Calibri" w:cs="Calibri"/>
          <w:b/>
          <w:color w:val="000000" w:themeColor="text1"/>
        </w:rPr>
        <w:t>Ciljna vrijednost:</w:t>
      </w:r>
      <w:r w:rsidRPr="001C58C6">
        <w:rPr>
          <w:rFonts w:ascii="Calibri" w:hAnsi="Calibri" w:cs="Calibri"/>
          <w:color w:val="000000" w:themeColor="text1"/>
        </w:rPr>
        <w:t xml:space="preserve"> Do kraja 2029. godine obezbijeđeni pouzdani i uporedivi podaci za sve zone kvaliteta vazduha, redovno ažuriran inventar emisija i javno dostupne informacije o sprovođenju Strategije.</w:t>
      </w:r>
    </w:p>
    <w:p w14:paraId="01E28228" w14:textId="77777777" w:rsidR="006E191C" w:rsidRPr="001C58C6" w:rsidRDefault="006E191C" w:rsidP="006E191C">
      <w:pPr>
        <w:rPr>
          <w:rFonts w:ascii="Calibri" w:hAnsi="Calibri" w:cs="Calibri"/>
          <w:color w:val="000000" w:themeColor="text1"/>
        </w:rPr>
      </w:pPr>
    </w:p>
    <w:p w14:paraId="69A7E2B7" w14:textId="77777777" w:rsidR="006E191C" w:rsidRPr="001C58C6" w:rsidRDefault="006E191C" w:rsidP="006E191C">
      <w:pPr>
        <w:rPr>
          <w:rFonts w:ascii="Calibri" w:hAnsi="Calibri" w:cs="Calibri"/>
          <w:color w:val="000000" w:themeColor="text1"/>
        </w:rPr>
      </w:pPr>
      <w:r w:rsidRPr="001C58C6">
        <w:rPr>
          <w:rFonts w:ascii="Calibri" w:hAnsi="Calibri" w:cs="Calibri"/>
          <w:b/>
          <w:color w:val="000000" w:themeColor="text1"/>
        </w:rPr>
        <w:t>Ključne aktivnosti koje doprinose ostvarenju operativnog cilja:</w:t>
      </w:r>
      <w:r w:rsidRPr="001C58C6">
        <w:rPr>
          <w:rFonts w:ascii="Calibri" w:hAnsi="Calibri" w:cs="Calibri"/>
          <w:color w:val="000000" w:themeColor="text1"/>
        </w:rPr>
        <w:t xml:space="preserve"> unapređenje državne mreže monitoringa, QA/QC procedura, inventara emisija i projekcija, digitalizacija podataka i jačanje kapaciteta Agencije i nadležnih institucija.</w:t>
      </w:r>
    </w:p>
    <w:p w14:paraId="68B16A6F" w14:textId="77777777" w:rsidR="006E191C" w:rsidRPr="001C58C6" w:rsidRDefault="006E191C" w:rsidP="006E191C">
      <w:pPr>
        <w:rPr>
          <w:rFonts w:ascii="Calibri" w:hAnsi="Calibri" w:cs="Calibri"/>
          <w:color w:val="000000" w:themeColor="text1"/>
        </w:rPr>
      </w:pPr>
    </w:p>
    <w:p w14:paraId="794D2100" w14:textId="77777777" w:rsidR="006E191C" w:rsidRPr="001C58C6" w:rsidRDefault="006E191C" w:rsidP="006E191C">
      <w:pPr>
        <w:rPr>
          <w:rFonts w:ascii="Calibri" w:hAnsi="Calibri" w:cs="Calibri"/>
          <w:color w:val="000000" w:themeColor="text1"/>
        </w:rPr>
      </w:pPr>
      <w:r w:rsidRPr="001C58C6">
        <w:rPr>
          <w:rFonts w:ascii="Calibri" w:hAnsi="Calibri" w:cs="Calibri"/>
          <w:b/>
          <w:color w:val="000000" w:themeColor="text1"/>
        </w:rPr>
        <w:t>Izazovi u ostvarivanju operativnog cilja:</w:t>
      </w:r>
      <w:r w:rsidRPr="001C58C6">
        <w:rPr>
          <w:rFonts w:ascii="Calibri" w:hAnsi="Calibri" w:cs="Calibri"/>
          <w:color w:val="000000" w:themeColor="text1"/>
        </w:rPr>
        <w:t xml:space="preserve"> tehnička složenost mjerenja i validacije, potreba za redovnim održavanjem opreme, nedostatak kadra, zavisnost od podataka drugih sektora i potreba za stabilnim finansiranjem.</w:t>
      </w:r>
    </w:p>
    <w:p w14:paraId="1EF806CC" w14:textId="77777777" w:rsidR="006E191C" w:rsidRPr="001C58C6" w:rsidRDefault="006E191C" w:rsidP="006E191C">
      <w:pPr>
        <w:rPr>
          <w:rFonts w:ascii="Calibri" w:hAnsi="Calibri" w:cs="Calibri"/>
          <w:color w:val="000000" w:themeColor="text1"/>
        </w:rPr>
      </w:pPr>
    </w:p>
    <w:p w14:paraId="2C297516" w14:textId="77777777" w:rsidR="006E191C" w:rsidRPr="001C58C6" w:rsidRDefault="006E191C" w:rsidP="006E191C">
      <w:pPr>
        <w:rPr>
          <w:rFonts w:ascii="Calibri" w:hAnsi="Calibri" w:cs="Calibri"/>
          <w:b/>
          <w:color w:val="000000" w:themeColor="text1"/>
        </w:rPr>
      </w:pPr>
      <w:r w:rsidRPr="001C58C6">
        <w:rPr>
          <w:rFonts w:ascii="Calibri" w:hAnsi="Calibri" w:cs="Calibri"/>
          <w:b/>
          <w:color w:val="000000" w:themeColor="text1"/>
        </w:rPr>
        <w:t>OPERATIVNI CILJ 2.B: Unapređenje saradnje između relevantnih institucija, jedinica lokalne samouprave, civilnog sektora i stručne javnosti</w:t>
      </w:r>
    </w:p>
    <w:p w14:paraId="4D7D9094" w14:textId="77777777" w:rsidR="006E191C" w:rsidRPr="001C58C6" w:rsidRDefault="006E191C" w:rsidP="006E191C">
      <w:pPr>
        <w:rPr>
          <w:rFonts w:ascii="Calibri" w:hAnsi="Calibri" w:cs="Calibri"/>
          <w:color w:val="000000" w:themeColor="text1"/>
        </w:rPr>
      </w:pPr>
    </w:p>
    <w:p w14:paraId="65205175" w14:textId="77777777" w:rsidR="006E191C" w:rsidRPr="001C58C6" w:rsidRDefault="006E191C" w:rsidP="006E191C">
      <w:pPr>
        <w:rPr>
          <w:rFonts w:ascii="Calibri" w:hAnsi="Calibri" w:cs="Calibri"/>
          <w:color w:val="000000" w:themeColor="text1"/>
        </w:rPr>
      </w:pPr>
      <w:r w:rsidRPr="001C58C6">
        <w:rPr>
          <w:rFonts w:ascii="Calibri" w:hAnsi="Calibri" w:cs="Calibri"/>
          <w:color w:val="000000" w:themeColor="text1"/>
        </w:rPr>
        <w:t>Efikasno upravljanje kvalitetom vazduha zahtijeva koordinaciju između nacionalnog i lokalnog nivoa, sektorskih resora, stručnih institucija, privrede, civilnog društva i javnosti. Cilj je da se obezbijedi redovno praćenje realizacije mjera i pravovremeno rješavanje problema u sprovođenju.</w:t>
      </w:r>
    </w:p>
    <w:p w14:paraId="23E1F196" w14:textId="77777777" w:rsidR="006E191C" w:rsidRPr="001C58C6" w:rsidRDefault="006E191C" w:rsidP="006E191C">
      <w:pPr>
        <w:rPr>
          <w:rFonts w:ascii="Calibri" w:hAnsi="Calibri" w:cs="Calibri"/>
          <w:color w:val="000000" w:themeColor="text1"/>
        </w:rPr>
      </w:pPr>
      <w:r w:rsidRPr="001C58C6">
        <w:rPr>
          <w:rFonts w:ascii="Calibri" w:hAnsi="Calibri" w:cs="Calibri"/>
          <w:color w:val="000000" w:themeColor="text1"/>
        </w:rPr>
        <w:t>Indikator operativnog cilja: Uspostavljeno i funkcionalno koordinaciono tijelo, broj održanih sastanaka, broj pripremljenih izvještaja i broj zajednički realizovanih aktivnosti sa lokalnim samoupravama i drugim akterima.</w:t>
      </w:r>
    </w:p>
    <w:p w14:paraId="2DFDD98A" w14:textId="77777777" w:rsidR="006E191C" w:rsidRPr="001C58C6" w:rsidRDefault="006E191C" w:rsidP="006E191C">
      <w:pPr>
        <w:pStyle w:val="ListParagraph"/>
        <w:numPr>
          <w:ilvl w:val="0"/>
          <w:numId w:val="111"/>
        </w:numPr>
        <w:rPr>
          <w:rFonts w:ascii="Calibri" w:hAnsi="Calibri" w:cs="Calibri"/>
          <w:color w:val="000000" w:themeColor="text1"/>
        </w:rPr>
      </w:pPr>
      <w:r w:rsidRPr="001C58C6">
        <w:rPr>
          <w:rFonts w:ascii="Calibri" w:hAnsi="Calibri" w:cs="Calibri"/>
          <w:b/>
          <w:color w:val="000000" w:themeColor="text1"/>
        </w:rPr>
        <w:t xml:space="preserve">Polazna vrijednost: </w:t>
      </w:r>
      <w:r w:rsidRPr="001C58C6">
        <w:rPr>
          <w:rFonts w:ascii="Calibri" w:hAnsi="Calibri" w:cs="Calibri"/>
          <w:color w:val="000000" w:themeColor="text1"/>
        </w:rPr>
        <w:t>Koordinacija postoji kroz redovne nadležnosti institucija, ali nije dovoljno institucionalizovana za potrebe praćenja realizacije Strategije.</w:t>
      </w:r>
    </w:p>
    <w:p w14:paraId="7E8F58FF" w14:textId="77777777" w:rsidR="006E191C" w:rsidRPr="001C58C6" w:rsidRDefault="006E191C" w:rsidP="006E191C">
      <w:pPr>
        <w:pStyle w:val="ListParagraph"/>
        <w:numPr>
          <w:ilvl w:val="0"/>
          <w:numId w:val="111"/>
        </w:numPr>
        <w:rPr>
          <w:rFonts w:ascii="Calibri" w:hAnsi="Calibri" w:cs="Calibri"/>
          <w:color w:val="000000" w:themeColor="text1"/>
        </w:rPr>
      </w:pPr>
      <w:r w:rsidRPr="001C58C6">
        <w:rPr>
          <w:rFonts w:ascii="Calibri" w:hAnsi="Calibri" w:cs="Calibri"/>
          <w:b/>
          <w:color w:val="000000" w:themeColor="text1"/>
        </w:rPr>
        <w:t>Prelazna vrijednost:</w:t>
      </w:r>
      <w:r w:rsidRPr="001C58C6">
        <w:rPr>
          <w:rFonts w:ascii="Calibri" w:hAnsi="Calibri" w:cs="Calibri"/>
          <w:color w:val="000000" w:themeColor="text1"/>
        </w:rPr>
        <w:t xml:space="preserve"> Do kraja 2027. godine uspostavljeno koordinaciono tijelo i održani početni sastanci radi praćenja Akcionog plana i usklađivanja sektorskih aktivnosti.</w:t>
      </w:r>
    </w:p>
    <w:p w14:paraId="5C5634FB" w14:textId="77777777" w:rsidR="006E191C" w:rsidRPr="001C58C6" w:rsidRDefault="006E191C" w:rsidP="006E191C">
      <w:pPr>
        <w:pStyle w:val="ListParagraph"/>
        <w:numPr>
          <w:ilvl w:val="0"/>
          <w:numId w:val="111"/>
        </w:numPr>
        <w:rPr>
          <w:rFonts w:ascii="Calibri" w:hAnsi="Calibri" w:cs="Calibri"/>
          <w:color w:val="000000" w:themeColor="text1"/>
        </w:rPr>
      </w:pPr>
      <w:r w:rsidRPr="001C58C6">
        <w:rPr>
          <w:rFonts w:ascii="Calibri" w:hAnsi="Calibri" w:cs="Calibri"/>
          <w:b/>
          <w:color w:val="000000" w:themeColor="text1"/>
        </w:rPr>
        <w:t xml:space="preserve">Ciljna vrijednost: </w:t>
      </w:r>
      <w:r w:rsidRPr="001C58C6">
        <w:rPr>
          <w:rFonts w:ascii="Calibri" w:hAnsi="Calibri" w:cs="Calibri"/>
          <w:color w:val="000000" w:themeColor="text1"/>
        </w:rPr>
        <w:t>Do kraja 2029. godine koordinaciono tijelo redovno prati sprovođenje Strategije, priprema izvještaje i predlaže korektivne mjere, uz uključivanje lokalnih samouprava, civilnog sektora i stručne javnosti.</w:t>
      </w:r>
    </w:p>
    <w:p w14:paraId="723B753F" w14:textId="77777777" w:rsidR="006E191C" w:rsidRPr="001C58C6" w:rsidRDefault="006E191C" w:rsidP="006E191C">
      <w:pPr>
        <w:rPr>
          <w:rFonts w:ascii="Calibri" w:hAnsi="Calibri" w:cs="Calibri"/>
          <w:color w:val="000000" w:themeColor="text1"/>
        </w:rPr>
      </w:pPr>
    </w:p>
    <w:p w14:paraId="6E0DD996" w14:textId="77777777" w:rsidR="006E191C" w:rsidRPr="001C58C6" w:rsidRDefault="006E191C" w:rsidP="006E191C">
      <w:pPr>
        <w:rPr>
          <w:rFonts w:ascii="Calibri" w:hAnsi="Calibri" w:cs="Calibri"/>
          <w:color w:val="000000" w:themeColor="text1"/>
        </w:rPr>
      </w:pPr>
      <w:r w:rsidRPr="001C58C6">
        <w:rPr>
          <w:rFonts w:ascii="Calibri" w:hAnsi="Calibri" w:cs="Calibri"/>
          <w:b/>
          <w:color w:val="000000" w:themeColor="text1"/>
        </w:rPr>
        <w:t>Ključne aktivnosti koje doprinose ostvarenju operativnog cilja:</w:t>
      </w:r>
      <w:r w:rsidRPr="001C58C6">
        <w:rPr>
          <w:rFonts w:ascii="Calibri" w:hAnsi="Calibri" w:cs="Calibri"/>
          <w:color w:val="000000" w:themeColor="text1"/>
        </w:rPr>
        <w:t xml:space="preserve"> uspostavljanje koordinacionog tijela, izrada izvještaja, javne konsultacije, razmjena podataka i jačanje saradnje sa lokalnim samoupravama i sektorima koji utiču na emisije.</w:t>
      </w:r>
    </w:p>
    <w:p w14:paraId="24613852" w14:textId="77777777" w:rsidR="006E191C" w:rsidRPr="001C58C6" w:rsidRDefault="006E191C" w:rsidP="006E191C">
      <w:pPr>
        <w:rPr>
          <w:rFonts w:ascii="Calibri" w:hAnsi="Calibri" w:cs="Calibri"/>
          <w:color w:val="000000" w:themeColor="text1"/>
        </w:rPr>
      </w:pPr>
    </w:p>
    <w:p w14:paraId="40BA59C3" w14:textId="77777777" w:rsidR="006E191C" w:rsidRPr="001C58C6" w:rsidRDefault="006E191C" w:rsidP="006E191C">
      <w:pPr>
        <w:rPr>
          <w:rFonts w:ascii="Calibri" w:hAnsi="Calibri" w:cs="Calibri"/>
          <w:color w:val="000000" w:themeColor="text1"/>
        </w:rPr>
      </w:pPr>
      <w:r w:rsidRPr="001C58C6">
        <w:rPr>
          <w:rFonts w:ascii="Calibri" w:hAnsi="Calibri" w:cs="Calibri"/>
          <w:b/>
          <w:color w:val="000000" w:themeColor="text1"/>
        </w:rPr>
        <w:t>Izazovi u ostvarivanju operativnog cilja:</w:t>
      </w:r>
      <w:r w:rsidRPr="001C58C6">
        <w:rPr>
          <w:rFonts w:ascii="Calibri" w:hAnsi="Calibri" w:cs="Calibri"/>
          <w:color w:val="000000" w:themeColor="text1"/>
        </w:rPr>
        <w:t xml:space="preserve"> preklapanje nadležnosti, različiti kapaciteti lokalnih samouprava, nedostatak finansijskih i kadrovskih resursa i potreba za kontinuiranom komunikacijom između sektora.</w:t>
      </w:r>
    </w:p>
    <w:p w14:paraId="48125B9E" w14:textId="77777777" w:rsidR="006E191C" w:rsidRPr="001C58C6" w:rsidRDefault="006E191C" w:rsidP="006E191C">
      <w:pPr>
        <w:rPr>
          <w:rFonts w:ascii="Calibri" w:hAnsi="Calibri" w:cs="Calibri"/>
          <w:color w:val="000000" w:themeColor="text1"/>
        </w:rPr>
      </w:pPr>
    </w:p>
    <w:p w14:paraId="035184B5" w14:textId="77777777" w:rsidR="006E191C" w:rsidRPr="001C58C6" w:rsidRDefault="006E191C" w:rsidP="006E191C">
      <w:pPr>
        <w:rPr>
          <w:rFonts w:ascii="Calibri" w:hAnsi="Calibri" w:cs="Calibri"/>
          <w:b/>
          <w:color w:val="000000" w:themeColor="text1"/>
        </w:rPr>
      </w:pPr>
      <w:r w:rsidRPr="001C58C6">
        <w:rPr>
          <w:rFonts w:ascii="Calibri" w:hAnsi="Calibri" w:cs="Calibri"/>
          <w:b/>
          <w:color w:val="000000" w:themeColor="text1"/>
        </w:rPr>
        <w:t>OPERATIVNI CILJ 2.C: Dalje usklađivanje sa strožim standardima kvaliteta vazduha</w:t>
      </w:r>
    </w:p>
    <w:p w14:paraId="695CD218" w14:textId="77777777" w:rsidR="006E191C" w:rsidRPr="001C58C6" w:rsidRDefault="006E191C" w:rsidP="006E191C">
      <w:pPr>
        <w:rPr>
          <w:rFonts w:ascii="Calibri" w:hAnsi="Calibri" w:cs="Calibri"/>
          <w:color w:val="000000" w:themeColor="text1"/>
        </w:rPr>
      </w:pPr>
    </w:p>
    <w:p w14:paraId="28F4C15B" w14:textId="77777777" w:rsidR="006E191C" w:rsidRPr="001C58C6" w:rsidRDefault="006E191C" w:rsidP="006E191C">
      <w:pPr>
        <w:rPr>
          <w:rFonts w:ascii="Calibri" w:hAnsi="Calibri" w:cs="Calibri"/>
          <w:color w:val="000000" w:themeColor="text1"/>
        </w:rPr>
      </w:pPr>
      <w:r w:rsidRPr="001C58C6">
        <w:rPr>
          <w:rFonts w:ascii="Calibri" w:hAnsi="Calibri" w:cs="Calibri"/>
          <w:color w:val="000000" w:themeColor="text1"/>
        </w:rPr>
        <w:t>Novi standardi EU u oblasti kvaliteta vazduha zahtijevaju postepeno usklađivanje zakonodavstva, metodologija, planova kvaliteta vazduha i institucionalnih kapaciteta. Cilj je da se Crna Gora pripremi za primjenu strožih graničnih vrijednosti i zahtjeva za planiranje i izvještavanje od 2030. godine.</w:t>
      </w:r>
    </w:p>
    <w:p w14:paraId="50AA9A59" w14:textId="77777777" w:rsidR="006E191C" w:rsidRPr="001C58C6" w:rsidRDefault="006E191C" w:rsidP="006E191C">
      <w:pPr>
        <w:rPr>
          <w:rFonts w:ascii="Calibri" w:hAnsi="Calibri" w:cs="Calibri"/>
          <w:color w:val="000000" w:themeColor="text1"/>
        </w:rPr>
      </w:pPr>
      <w:r w:rsidRPr="001C58C6">
        <w:rPr>
          <w:rFonts w:ascii="Calibri" w:hAnsi="Calibri" w:cs="Calibri"/>
          <w:color w:val="000000" w:themeColor="text1"/>
        </w:rPr>
        <w:t>Indikator operativnog cilja: Broj pripremljenih ili donijetih propisa, metodologija, planova i mapa puta za primjenu strožih standarda kvaliteta vazduha i obaveza iz pravne tekovine EU.</w:t>
      </w:r>
    </w:p>
    <w:p w14:paraId="3BF01D73" w14:textId="7D8A415D" w:rsidR="006E191C" w:rsidRPr="001C58C6" w:rsidRDefault="006E191C" w:rsidP="006E191C">
      <w:pPr>
        <w:pStyle w:val="ListParagraph"/>
        <w:numPr>
          <w:ilvl w:val="0"/>
          <w:numId w:val="112"/>
        </w:numPr>
        <w:rPr>
          <w:rFonts w:ascii="Calibri" w:hAnsi="Calibri" w:cs="Calibri"/>
          <w:color w:val="000000" w:themeColor="text1"/>
        </w:rPr>
      </w:pPr>
      <w:r w:rsidRPr="001C58C6">
        <w:rPr>
          <w:rFonts w:ascii="Calibri" w:hAnsi="Calibri" w:cs="Calibri"/>
          <w:b/>
          <w:color w:val="000000" w:themeColor="text1"/>
        </w:rPr>
        <w:t>Polazna vrijednost:</w:t>
      </w:r>
      <w:r w:rsidRPr="001C58C6">
        <w:rPr>
          <w:rFonts w:ascii="Calibri" w:hAnsi="Calibri" w:cs="Calibri"/>
          <w:color w:val="000000" w:themeColor="text1"/>
        </w:rPr>
        <w:t xml:space="preserve"> Nacionalni sistem je djelimično usklađen sa važećim EU okvirom, dok je potrebno dalje usklađivanje sa Direktivom (EU) 2024/2881 i zahtjevima iz NEC okvira.</w:t>
      </w:r>
    </w:p>
    <w:p w14:paraId="05A6ABCF" w14:textId="77777777" w:rsidR="006E191C" w:rsidRPr="001C58C6" w:rsidRDefault="006E191C" w:rsidP="006E191C">
      <w:pPr>
        <w:pStyle w:val="ListParagraph"/>
        <w:numPr>
          <w:ilvl w:val="0"/>
          <w:numId w:val="112"/>
        </w:numPr>
        <w:rPr>
          <w:rFonts w:ascii="Calibri" w:hAnsi="Calibri" w:cs="Calibri"/>
          <w:color w:val="000000" w:themeColor="text1"/>
        </w:rPr>
      </w:pPr>
      <w:r w:rsidRPr="001C58C6">
        <w:rPr>
          <w:rFonts w:ascii="Calibri" w:hAnsi="Calibri" w:cs="Calibri"/>
          <w:b/>
          <w:color w:val="000000" w:themeColor="text1"/>
        </w:rPr>
        <w:t>Prelazna vrijednost:</w:t>
      </w:r>
      <w:r w:rsidRPr="001C58C6">
        <w:rPr>
          <w:rFonts w:ascii="Calibri" w:hAnsi="Calibri" w:cs="Calibri"/>
          <w:color w:val="000000" w:themeColor="text1"/>
        </w:rPr>
        <w:t xml:space="preserve"> Do kraja 2027. godine pripremljene izmjene propisa i metodoloških dokumenata neophodnih za dalje usklađivanje, uključujući mapu puta za dostizanje strožih graničnih vrijednosti gdje je potrebno.</w:t>
      </w:r>
    </w:p>
    <w:p w14:paraId="6619CE4F" w14:textId="77777777" w:rsidR="006E191C" w:rsidRPr="001C58C6" w:rsidRDefault="006E191C" w:rsidP="006E191C">
      <w:pPr>
        <w:pStyle w:val="ListParagraph"/>
        <w:numPr>
          <w:ilvl w:val="0"/>
          <w:numId w:val="112"/>
        </w:numPr>
        <w:rPr>
          <w:rFonts w:ascii="Calibri" w:hAnsi="Calibri" w:cs="Calibri"/>
          <w:color w:val="000000" w:themeColor="text1"/>
        </w:rPr>
      </w:pPr>
      <w:r w:rsidRPr="001C58C6">
        <w:rPr>
          <w:rFonts w:ascii="Calibri" w:hAnsi="Calibri" w:cs="Calibri"/>
          <w:b/>
          <w:color w:val="000000" w:themeColor="text1"/>
        </w:rPr>
        <w:lastRenderedPageBreak/>
        <w:t>Ciljna vrijednost:</w:t>
      </w:r>
      <w:r w:rsidRPr="001C58C6">
        <w:rPr>
          <w:rFonts w:ascii="Calibri" w:hAnsi="Calibri" w:cs="Calibri"/>
          <w:color w:val="000000" w:themeColor="text1"/>
        </w:rPr>
        <w:t xml:space="preserve"> Do kraja 2029. godine uspostavljen pravni i institucionalni okvir koji omogućava primjenu strožih standarda kvaliteta vazduha i izvještavanje u skladu sa zahtjevima EU.</w:t>
      </w:r>
    </w:p>
    <w:p w14:paraId="070C89B0" w14:textId="77777777" w:rsidR="006E191C" w:rsidRPr="001C58C6" w:rsidRDefault="006E191C" w:rsidP="006E191C">
      <w:pPr>
        <w:rPr>
          <w:rFonts w:ascii="Calibri" w:hAnsi="Calibri" w:cs="Calibri"/>
          <w:color w:val="000000" w:themeColor="text1"/>
        </w:rPr>
      </w:pPr>
      <w:r w:rsidRPr="001C58C6">
        <w:rPr>
          <w:rFonts w:ascii="Calibri" w:hAnsi="Calibri" w:cs="Calibri"/>
          <w:b/>
          <w:color w:val="000000" w:themeColor="text1"/>
        </w:rPr>
        <w:t>Ključne aktivnosti koje doprinose ostvarenju operativnog cilja:</w:t>
      </w:r>
      <w:r w:rsidRPr="001C58C6">
        <w:rPr>
          <w:rFonts w:ascii="Calibri" w:hAnsi="Calibri" w:cs="Calibri"/>
          <w:color w:val="000000" w:themeColor="text1"/>
        </w:rPr>
        <w:t xml:space="preserve"> analiza usklađenosti, priprema propisa, ažuriranje planova kvaliteta vazduha, usklađivanje metodologija monitoringa i izvještavanja, jačanje administrativnih kapaciteta.</w:t>
      </w:r>
    </w:p>
    <w:p w14:paraId="070AE860" w14:textId="77777777" w:rsidR="006E191C" w:rsidRPr="001C58C6" w:rsidRDefault="006E191C" w:rsidP="006E191C">
      <w:pPr>
        <w:rPr>
          <w:rFonts w:ascii="Calibri" w:hAnsi="Calibri" w:cs="Calibri"/>
          <w:color w:val="000000" w:themeColor="text1"/>
        </w:rPr>
      </w:pPr>
    </w:p>
    <w:p w14:paraId="488170A2" w14:textId="77777777" w:rsidR="006E191C" w:rsidRPr="001C58C6" w:rsidRDefault="006E191C" w:rsidP="006E191C">
      <w:pPr>
        <w:rPr>
          <w:rFonts w:ascii="Calibri" w:hAnsi="Calibri" w:cs="Calibri"/>
          <w:color w:val="000000" w:themeColor="text1"/>
        </w:rPr>
      </w:pPr>
      <w:r w:rsidRPr="001C58C6">
        <w:rPr>
          <w:rFonts w:ascii="Calibri" w:hAnsi="Calibri" w:cs="Calibri"/>
          <w:b/>
          <w:color w:val="000000" w:themeColor="text1"/>
        </w:rPr>
        <w:t>Izazovi u ostvarivanju operativnog cilja:</w:t>
      </w:r>
      <w:r w:rsidRPr="001C58C6">
        <w:rPr>
          <w:rFonts w:ascii="Calibri" w:hAnsi="Calibri" w:cs="Calibri"/>
          <w:color w:val="000000" w:themeColor="text1"/>
        </w:rPr>
        <w:t xml:space="preserve"> dinamika usvajanja propisa, zahtjevnost novih standarda, potreba za dodatnim finansiranjem monitoringa i mjera, kao i potreba za koordinacijom sa energetskom, saobraćajnom, poljoprivrednom i socijalnom politikom.</w:t>
      </w:r>
    </w:p>
    <w:p w14:paraId="085300DD" w14:textId="301DD62C" w:rsidR="00EA6FF9" w:rsidRPr="001C58C6" w:rsidRDefault="00EA6FF9" w:rsidP="00E53052">
      <w:pPr>
        <w:pStyle w:val="Heading1"/>
        <w:numPr>
          <w:ilvl w:val="0"/>
          <w:numId w:val="11"/>
        </w:numPr>
        <w:rPr>
          <w:rFonts w:ascii="Calibri" w:hAnsi="Calibri" w:cs="Calibri"/>
          <w:color w:val="000000" w:themeColor="text1"/>
        </w:rPr>
      </w:pPr>
      <w:bookmarkStart w:id="62" w:name="_Toc233584613"/>
      <w:bookmarkStart w:id="63" w:name="_Toc233711739"/>
      <w:bookmarkEnd w:id="62"/>
      <w:r w:rsidRPr="001C58C6">
        <w:rPr>
          <w:rFonts w:ascii="Calibri" w:hAnsi="Calibri" w:cs="Calibri"/>
          <w:color w:val="000000" w:themeColor="text1"/>
        </w:rPr>
        <w:t xml:space="preserve">OPIS KLJUČNIH </w:t>
      </w:r>
      <w:r w:rsidR="00033BB7">
        <w:rPr>
          <w:rFonts w:ascii="Calibri" w:hAnsi="Calibri" w:cs="Calibri"/>
          <w:color w:val="000000" w:themeColor="text1"/>
        </w:rPr>
        <w:t>MJERA</w:t>
      </w:r>
      <w:r w:rsidR="00033BB7" w:rsidRPr="001C58C6">
        <w:rPr>
          <w:rFonts w:ascii="Calibri" w:hAnsi="Calibri" w:cs="Calibri"/>
          <w:color w:val="000000" w:themeColor="text1"/>
        </w:rPr>
        <w:t xml:space="preserve"> </w:t>
      </w:r>
      <w:r w:rsidRPr="001C58C6">
        <w:rPr>
          <w:rFonts w:ascii="Calibri" w:hAnsi="Calibri" w:cs="Calibri"/>
          <w:color w:val="000000" w:themeColor="text1"/>
        </w:rPr>
        <w:t>ZA SPROVOĐENJE OPERATIVNIH CILJEVA</w:t>
      </w:r>
      <w:bookmarkEnd w:id="61"/>
      <w:bookmarkEnd w:id="63"/>
    </w:p>
    <w:p w14:paraId="1875D236" w14:textId="77777777" w:rsidR="00E630B7" w:rsidRDefault="00E630B7" w:rsidP="00E630B7">
      <w:pPr>
        <w:rPr>
          <w:rFonts w:ascii="Calibri" w:hAnsi="Calibri" w:cs="Calibri"/>
          <w:i/>
          <w:iCs/>
          <w:color w:val="000000" w:themeColor="text1"/>
        </w:rPr>
      </w:pPr>
      <w:r w:rsidRPr="001C58C6">
        <w:rPr>
          <w:rFonts w:ascii="Calibri" w:hAnsi="Calibri" w:cs="Calibri"/>
          <w:i/>
          <w:iCs/>
          <w:color w:val="000000" w:themeColor="text1"/>
        </w:rPr>
        <w:t xml:space="preserve">Ključne aktivnosti za sprovođenje operativnih ciljeva izdvojene su iz liste razmatranih mjera na osnovu modeliranja efektivnosti mjera sprovedene uz pomoć LEAP softvera. </w:t>
      </w:r>
    </w:p>
    <w:p w14:paraId="2B105B16" w14:textId="2642F23C" w:rsidR="00033BB7" w:rsidRPr="001C58C6" w:rsidRDefault="00C7424E" w:rsidP="00E630B7">
      <w:pPr>
        <w:rPr>
          <w:rFonts w:ascii="Calibri" w:hAnsi="Calibri" w:cs="Calibri"/>
          <w:i/>
          <w:iCs/>
          <w:color w:val="000000" w:themeColor="text1"/>
        </w:rPr>
      </w:pPr>
      <w:r>
        <w:rPr>
          <w:rFonts w:ascii="Calibri" w:hAnsi="Calibri" w:cs="Calibri"/>
          <w:i/>
          <w:iCs/>
          <w:color w:val="000000" w:themeColor="text1"/>
        </w:rPr>
        <w:t>Mjere</w:t>
      </w:r>
      <w:r w:rsidR="00033BB7" w:rsidRPr="00033BB7">
        <w:rPr>
          <w:rFonts w:ascii="Calibri" w:hAnsi="Calibri" w:cs="Calibri"/>
          <w:i/>
          <w:iCs/>
          <w:color w:val="000000" w:themeColor="text1"/>
        </w:rPr>
        <w:t xml:space="preserve"> u ovom poglavlju predstavljaju ključne intervencije kojima se ostvaruju operativni ciljevi Strategije. Njihova razrada predstavlja osnov za Akcioni plan i Program mjera.</w:t>
      </w:r>
    </w:p>
    <w:p w14:paraId="7B0E2B91" w14:textId="77777777" w:rsidR="0094151F" w:rsidRPr="001C58C6" w:rsidRDefault="0094151F" w:rsidP="00E630B7">
      <w:pPr>
        <w:rPr>
          <w:rFonts w:ascii="Calibri" w:hAnsi="Calibri" w:cs="Calibri"/>
          <w:i/>
          <w:iCs/>
          <w:color w:val="000000" w:themeColor="text1"/>
        </w:rPr>
      </w:pPr>
    </w:p>
    <w:p w14:paraId="69AA6497" w14:textId="77777777" w:rsidR="00E630B7" w:rsidRPr="001C58C6" w:rsidRDefault="00E630B7" w:rsidP="00E630B7">
      <w:pPr>
        <w:rPr>
          <w:rFonts w:ascii="Calibri" w:hAnsi="Calibri" w:cs="Calibri"/>
          <w:color w:val="000000" w:themeColor="text1"/>
        </w:rPr>
      </w:pPr>
      <w:r w:rsidRPr="001C58C6">
        <w:rPr>
          <w:rFonts w:ascii="Calibri" w:hAnsi="Calibri" w:cs="Calibri"/>
          <w:color w:val="000000" w:themeColor="text1"/>
        </w:rPr>
        <w:t xml:space="preserve">Rezultati modeliranja za scenario sa postojećim mjerama predstavljeni su u sljedećoj tabeli:  </w:t>
      </w:r>
    </w:p>
    <w:p w14:paraId="48E1EC11" w14:textId="77777777" w:rsidR="00E630B7" w:rsidRPr="001C58C6" w:rsidRDefault="00E630B7" w:rsidP="00E630B7">
      <w:pPr>
        <w:pStyle w:val="Caption"/>
        <w:keepNext/>
        <w:rPr>
          <w:rFonts w:ascii="Calibri" w:hAnsi="Calibri" w:cs="Calibri"/>
          <w:color w:val="000000" w:themeColor="text1"/>
        </w:rPr>
      </w:pPr>
      <w:bookmarkStart w:id="64" w:name="_Toc233584680"/>
      <w:r w:rsidRPr="001C58C6">
        <w:rPr>
          <w:rFonts w:ascii="Calibri" w:hAnsi="Calibri" w:cs="Calibri"/>
          <w:color w:val="000000" w:themeColor="text1"/>
        </w:rPr>
        <w:t>T</w:t>
      </w:r>
      <w:r w:rsidRPr="001C58C6">
        <w:rPr>
          <w:rFonts w:ascii="Calibri" w:hAnsi="Calibri" w:cs="Calibri"/>
          <w:i/>
          <w:iCs/>
          <w:color w:val="000000" w:themeColor="text1"/>
          <w:sz w:val="20"/>
          <w:szCs w:val="20"/>
        </w:rPr>
        <w:t xml:space="preserve">abela </w:t>
      </w:r>
      <w:r w:rsidRPr="001C58C6">
        <w:rPr>
          <w:rFonts w:ascii="Calibri" w:hAnsi="Calibri" w:cs="Calibri"/>
          <w:i/>
          <w:iCs/>
          <w:color w:val="000000" w:themeColor="text1"/>
          <w:sz w:val="20"/>
          <w:szCs w:val="20"/>
        </w:rPr>
        <w:fldChar w:fldCharType="begin"/>
      </w:r>
      <w:r w:rsidRPr="001C58C6">
        <w:rPr>
          <w:rFonts w:ascii="Calibri" w:hAnsi="Calibri" w:cs="Calibri"/>
          <w:i/>
          <w:iCs/>
          <w:color w:val="000000" w:themeColor="text1"/>
          <w:sz w:val="20"/>
          <w:szCs w:val="20"/>
        </w:rPr>
        <w:instrText xml:space="preserve"> SEQ Tabela \* ARABIC </w:instrText>
      </w:r>
      <w:r w:rsidRPr="001C58C6">
        <w:rPr>
          <w:rFonts w:ascii="Calibri" w:hAnsi="Calibri" w:cs="Calibri"/>
          <w:i/>
          <w:iCs/>
          <w:color w:val="000000" w:themeColor="text1"/>
          <w:sz w:val="20"/>
          <w:szCs w:val="20"/>
        </w:rPr>
        <w:fldChar w:fldCharType="separate"/>
      </w:r>
      <w:r w:rsidR="00752282" w:rsidRPr="001C58C6">
        <w:rPr>
          <w:rFonts w:ascii="Calibri" w:hAnsi="Calibri" w:cs="Calibri"/>
          <w:i/>
          <w:iCs/>
          <w:color w:val="000000" w:themeColor="text1"/>
          <w:sz w:val="20"/>
          <w:szCs w:val="20"/>
        </w:rPr>
        <w:t>5</w:t>
      </w:r>
      <w:r w:rsidRPr="001C58C6">
        <w:rPr>
          <w:rFonts w:ascii="Calibri" w:hAnsi="Calibri" w:cs="Calibri"/>
          <w:i/>
          <w:iCs/>
          <w:color w:val="000000" w:themeColor="text1"/>
          <w:sz w:val="20"/>
          <w:szCs w:val="20"/>
        </w:rPr>
        <w:fldChar w:fldCharType="end"/>
      </w:r>
      <w:r w:rsidRPr="001C58C6">
        <w:rPr>
          <w:rFonts w:ascii="Calibri" w:hAnsi="Calibri" w:cs="Calibri"/>
          <w:i/>
          <w:iCs/>
          <w:color w:val="000000" w:themeColor="text1"/>
          <w:sz w:val="20"/>
          <w:szCs w:val="20"/>
        </w:rPr>
        <w:t xml:space="preserve"> – Godišnje uštede u emisijama u odnosu na scenario sa postojećim mjerama u kt/god.</w:t>
      </w:r>
      <w:bookmarkEnd w:id="64"/>
    </w:p>
    <w:tbl>
      <w:tblPr>
        <w:tblStyle w:val="TableGrid"/>
        <w:tblW w:w="0" w:type="auto"/>
        <w:tblLayout w:type="fixed"/>
        <w:tblLook w:val="04A0" w:firstRow="1" w:lastRow="0" w:firstColumn="1" w:lastColumn="0" w:noHBand="0" w:noVBand="1"/>
      </w:tblPr>
      <w:tblGrid>
        <w:gridCol w:w="3823"/>
        <w:gridCol w:w="708"/>
        <w:gridCol w:w="1134"/>
        <w:gridCol w:w="709"/>
        <w:gridCol w:w="709"/>
        <w:gridCol w:w="709"/>
        <w:gridCol w:w="1224"/>
      </w:tblGrid>
      <w:tr w:rsidR="00E630B7" w:rsidRPr="001C58C6" w14:paraId="080A0A92" w14:textId="77777777" w:rsidTr="00E40401">
        <w:trPr>
          <w:trHeight w:val="288"/>
        </w:trPr>
        <w:tc>
          <w:tcPr>
            <w:tcW w:w="3823" w:type="dxa"/>
            <w:noWrap/>
            <w:hideMark/>
          </w:tcPr>
          <w:p w14:paraId="1E2A21A4" w14:textId="77777777" w:rsidR="00E630B7" w:rsidRPr="001C58C6" w:rsidRDefault="00E630B7" w:rsidP="00E40401">
            <w:pPr>
              <w:rPr>
                <w:rFonts w:ascii="Calibri" w:hAnsi="Calibri" w:cs="Calibri"/>
                <w:color w:val="000000" w:themeColor="text1"/>
                <w:sz w:val="20"/>
              </w:rPr>
            </w:pPr>
          </w:p>
        </w:tc>
        <w:tc>
          <w:tcPr>
            <w:tcW w:w="708" w:type="dxa"/>
            <w:noWrap/>
            <w:hideMark/>
          </w:tcPr>
          <w:p w14:paraId="515965C5"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NOx</w:t>
            </w:r>
          </w:p>
        </w:tc>
        <w:tc>
          <w:tcPr>
            <w:tcW w:w="1134" w:type="dxa"/>
            <w:noWrap/>
            <w:hideMark/>
          </w:tcPr>
          <w:p w14:paraId="6DA2248F"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NMVOC</w:t>
            </w:r>
          </w:p>
        </w:tc>
        <w:tc>
          <w:tcPr>
            <w:tcW w:w="709" w:type="dxa"/>
            <w:noWrap/>
            <w:hideMark/>
          </w:tcPr>
          <w:p w14:paraId="006174AB"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SOx</w:t>
            </w:r>
          </w:p>
        </w:tc>
        <w:tc>
          <w:tcPr>
            <w:tcW w:w="709" w:type="dxa"/>
            <w:noWrap/>
            <w:hideMark/>
          </w:tcPr>
          <w:p w14:paraId="35C57B32"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NH3</w:t>
            </w:r>
          </w:p>
        </w:tc>
        <w:tc>
          <w:tcPr>
            <w:tcW w:w="709" w:type="dxa"/>
            <w:noWrap/>
            <w:hideMark/>
          </w:tcPr>
          <w:p w14:paraId="7413F40B"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PM25</w:t>
            </w:r>
          </w:p>
        </w:tc>
        <w:tc>
          <w:tcPr>
            <w:tcW w:w="1224" w:type="dxa"/>
            <w:noWrap/>
            <w:hideMark/>
          </w:tcPr>
          <w:p w14:paraId="3C865224"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Napomena</w:t>
            </w:r>
          </w:p>
        </w:tc>
      </w:tr>
      <w:tr w:rsidR="00E630B7" w:rsidRPr="001C58C6" w14:paraId="1DDBB7FA" w14:textId="77777777" w:rsidTr="00E40401">
        <w:trPr>
          <w:trHeight w:val="288"/>
        </w:trPr>
        <w:tc>
          <w:tcPr>
            <w:tcW w:w="3823" w:type="dxa"/>
            <w:noWrap/>
            <w:hideMark/>
          </w:tcPr>
          <w:p w14:paraId="04442E34"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M1. Rekonstrukcija TE Pljevlja i plan budućeg angažovanja</w:t>
            </w:r>
          </w:p>
        </w:tc>
        <w:tc>
          <w:tcPr>
            <w:tcW w:w="708" w:type="dxa"/>
            <w:noWrap/>
            <w:hideMark/>
          </w:tcPr>
          <w:p w14:paraId="46AD25FB" w14:textId="77777777" w:rsidR="00E630B7" w:rsidRPr="001C58C6" w:rsidRDefault="00E630B7" w:rsidP="00E40401">
            <w:pPr>
              <w:rPr>
                <w:rFonts w:ascii="Calibri" w:hAnsi="Calibri" w:cs="Calibri"/>
                <w:b/>
                <w:bCs/>
                <w:color w:val="000000" w:themeColor="text1"/>
                <w:sz w:val="20"/>
              </w:rPr>
            </w:pPr>
            <w:r w:rsidRPr="001C58C6">
              <w:rPr>
                <w:rFonts w:ascii="Calibri" w:hAnsi="Calibri" w:cs="Calibri"/>
                <w:b/>
                <w:bCs/>
                <w:color w:val="000000" w:themeColor="text1"/>
                <w:sz w:val="20"/>
              </w:rPr>
              <w:t>5.4</w:t>
            </w:r>
          </w:p>
        </w:tc>
        <w:tc>
          <w:tcPr>
            <w:tcW w:w="1134" w:type="dxa"/>
            <w:noWrap/>
            <w:hideMark/>
          </w:tcPr>
          <w:p w14:paraId="7B96E4A6"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0.01</w:t>
            </w:r>
          </w:p>
        </w:tc>
        <w:tc>
          <w:tcPr>
            <w:tcW w:w="709" w:type="dxa"/>
            <w:noWrap/>
            <w:hideMark/>
          </w:tcPr>
          <w:p w14:paraId="66CEA5AB" w14:textId="77777777" w:rsidR="00E630B7" w:rsidRPr="001C58C6" w:rsidRDefault="00E630B7" w:rsidP="00E40401">
            <w:pPr>
              <w:rPr>
                <w:rFonts w:ascii="Calibri" w:hAnsi="Calibri" w:cs="Calibri"/>
                <w:b/>
                <w:bCs/>
                <w:color w:val="000000" w:themeColor="text1"/>
                <w:sz w:val="20"/>
              </w:rPr>
            </w:pPr>
            <w:r w:rsidRPr="001C58C6">
              <w:rPr>
                <w:rFonts w:ascii="Calibri" w:hAnsi="Calibri" w:cs="Calibri"/>
                <w:b/>
                <w:bCs/>
                <w:color w:val="000000" w:themeColor="text1"/>
                <w:sz w:val="20"/>
              </w:rPr>
              <w:t>73</w:t>
            </w:r>
          </w:p>
        </w:tc>
        <w:tc>
          <w:tcPr>
            <w:tcW w:w="709" w:type="dxa"/>
            <w:noWrap/>
            <w:hideMark/>
          </w:tcPr>
          <w:p w14:paraId="20B68A95" w14:textId="77777777" w:rsidR="00E630B7" w:rsidRPr="001C58C6" w:rsidRDefault="00E630B7" w:rsidP="00E40401">
            <w:pPr>
              <w:rPr>
                <w:rFonts w:ascii="Calibri" w:hAnsi="Calibri" w:cs="Calibri"/>
                <w:color w:val="000000" w:themeColor="text1"/>
                <w:sz w:val="20"/>
              </w:rPr>
            </w:pPr>
          </w:p>
        </w:tc>
        <w:tc>
          <w:tcPr>
            <w:tcW w:w="709" w:type="dxa"/>
            <w:noWrap/>
            <w:hideMark/>
          </w:tcPr>
          <w:p w14:paraId="15EF3A77"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0.06</w:t>
            </w:r>
          </w:p>
        </w:tc>
        <w:tc>
          <w:tcPr>
            <w:tcW w:w="1224" w:type="dxa"/>
            <w:noWrap/>
            <w:hideMark/>
          </w:tcPr>
          <w:p w14:paraId="15A2B3E3" w14:textId="77777777" w:rsidR="00E630B7" w:rsidRPr="001C58C6" w:rsidRDefault="00E630B7" w:rsidP="00E40401">
            <w:pPr>
              <w:rPr>
                <w:rFonts w:ascii="Calibri" w:hAnsi="Calibri" w:cs="Calibri"/>
                <w:color w:val="000000" w:themeColor="text1"/>
                <w:sz w:val="20"/>
              </w:rPr>
            </w:pPr>
          </w:p>
        </w:tc>
      </w:tr>
      <w:tr w:rsidR="00E630B7" w:rsidRPr="001C58C6" w14:paraId="43A920AF" w14:textId="77777777" w:rsidTr="00E40401">
        <w:trPr>
          <w:trHeight w:val="288"/>
        </w:trPr>
        <w:tc>
          <w:tcPr>
            <w:tcW w:w="3823" w:type="dxa"/>
            <w:noWrap/>
            <w:hideMark/>
          </w:tcPr>
          <w:p w14:paraId="112DA141"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M2. Nove OIE elektrane (vjetar, solar)</w:t>
            </w:r>
          </w:p>
        </w:tc>
        <w:tc>
          <w:tcPr>
            <w:tcW w:w="708" w:type="dxa"/>
            <w:noWrap/>
            <w:hideMark/>
          </w:tcPr>
          <w:p w14:paraId="1E8FED44"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0.08</w:t>
            </w:r>
          </w:p>
        </w:tc>
        <w:tc>
          <w:tcPr>
            <w:tcW w:w="1134" w:type="dxa"/>
            <w:noWrap/>
            <w:hideMark/>
          </w:tcPr>
          <w:p w14:paraId="128E1B74" w14:textId="77777777" w:rsidR="00E630B7" w:rsidRPr="001C58C6" w:rsidRDefault="00E630B7" w:rsidP="00E40401">
            <w:pPr>
              <w:rPr>
                <w:rFonts w:ascii="Calibri" w:hAnsi="Calibri" w:cs="Calibri"/>
                <w:b/>
                <w:bCs/>
                <w:color w:val="000000" w:themeColor="text1"/>
                <w:sz w:val="20"/>
              </w:rPr>
            </w:pPr>
            <w:r w:rsidRPr="001C58C6">
              <w:rPr>
                <w:rFonts w:ascii="Calibri" w:hAnsi="Calibri" w:cs="Calibri"/>
                <w:b/>
                <w:bCs/>
                <w:color w:val="000000" w:themeColor="text1"/>
                <w:sz w:val="20"/>
              </w:rPr>
              <w:t>0.73</w:t>
            </w:r>
          </w:p>
        </w:tc>
        <w:tc>
          <w:tcPr>
            <w:tcW w:w="709" w:type="dxa"/>
            <w:noWrap/>
            <w:hideMark/>
          </w:tcPr>
          <w:p w14:paraId="70BFEB22"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0.2</w:t>
            </w:r>
          </w:p>
        </w:tc>
        <w:tc>
          <w:tcPr>
            <w:tcW w:w="709" w:type="dxa"/>
            <w:noWrap/>
            <w:hideMark/>
          </w:tcPr>
          <w:p w14:paraId="0DAC67D3"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0.01</w:t>
            </w:r>
          </w:p>
        </w:tc>
        <w:tc>
          <w:tcPr>
            <w:tcW w:w="709" w:type="dxa"/>
            <w:noWrap/>
            <w:hideMark/>
          </w:tcPr>
          <w:p w14:paraId="2A17AF7E" w14:textId="77777777" w:rsidR="00E630B7" w:rsidRPr="001C58C6" w:rsidRDefault="00E630B7" w:rsidP="00E40401">
            <w:pPr>
              <w:rPr>
                <w:rFonts w:ascii="Calibri" w:hAnsi="Calibri" w:cs="Calibri"/>
                <w:b/>
                <w:bCs/>
                <w:color w:val="000000" w:themeColor="text1"/>
                <w:sz w:val="20"/>
              </w:rPr>
            </w:pPr>
            <w:r w:rsidRPr="001C58C6">
              <w:rPr>
                <w:rFonts w:ascii="Calibri" w:hAnsi="Calibri" w:cs="Calibri"/>
                <w:b/>
                <w:bCs/>
                <w:color w:val="000000" w:themeColor="text1"/>
                <w:sz w:val="20"/>
              </w:rPr>
              <w:t>0.69</w:t>
            </w:r>
          </w:p>
        </w:tc>
        <w:tc>
          <w:tcPr>
            <w:tcW w:w="1224" w:type="dxa"/>
            <w:noWrap/>
            <w:hideMark/>
          </w:tcPr>
          <w:p w14:paraId="69B44432" w14:textId="77777777" w:rsidR="00E630B7" w:rsidRPr="001C58C6" w:rsidRDefault="00E630B7" w:rsidP="00E40401">
            <w:pPr>
              <w:rPr>
                <w:rFonts w:ascii="Calibri" w:hAnsi="Calibri" w:cs="Calibri"/>
                <w:color w:val="000000" w:themeColor="text1"/>
                <w:sz w:val="20"/>
              </w:rPr>
            </w:pPr>
          </w:p>
        </w:tc>
      </w:tr>
      <w:tr w:rsidR="00E630B7" w:rsidRPr="001C58C6" w14:paraId="2CFCE941" w14:textId="77777777" w:rsidTr="00E40401">
        <w:trPr>
          <w:trHeight w:val="288"/>
        </w:trPr>
        <w:tc>
          <w:tcPr>
            <w:tcW w:w="3823" w:type="dxa"/>
            <w:noWrap/>
            <w:hideMark/>
          </w:tcPr>
          <w:p w14:paraId="4A57B057"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M3. Aukcije za OIE i dodatni kapaciteti</w:t>
            </w:r>
          </w:p>
        </w:tc>
        <w:tc>
          <w:tcPr>
            <w:tcW w:w="708" w:type="dxa"/>
            <w:noWrap/>
            <w:hideMark/>
          </w:tcPr>
          <w:p w14:paraId="2114E07C"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0.1</w:t>
            </w:r>
          </w:p>
        </w:tc>
        <w:tc>
          <w:tcPr>
            <w:tcW w:w="1134" w:type="dxa"/>
            <w:noWrap/>
            <w:hideMark/>
          </w:tcPr>
          <w:p w14:paraId="38F4B795" w14:textId="77777777" w:rsidR="00E630B7" w:rsidRPr="001C58C6" w:rsidRDefault="00E630B7" w:rsidP="00E40401">
            <w:pPr>
              <w:rPr>
                <w:rFonts w:ascii="Calibri" w:hAnsi="Calibri" w:cs="Calibri"/>
                <w:b/>
                <w:bCs/>
                <w:color w:val="000000" w:themeColor="text1"/>
                <w:sz w:val="20"/>
              </w:rPr>
            </w:pPr>
            <w:r w:rsidRPr="001C58C6">
              <w:rPr>
                <w:rFonts w:ascii="Calibri" w:hAnsi="Calibri" w:cs="Calibri"/>
                <w:b/>
                <w:bCs/>
                <w:color w:val="000000" w:themeColor="text1"/>
                <w:sz w:val="20"/>
              </w:rPr>
              <w:t>0.97</w:t>
            </w:r>
          </w:p>
        </w:tc>
        <w:tc>
          <w:tcPr>
            <w:tcW w:w="709" w:type="dxa"/>
            <w:noWrap/>
            <w:hideMark/>
          </w:tcPr>
          <w:p w14:paraId="1F33B45C"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0.2</w:t>
            </w:r>
          </w:p>
        </w:tc>
        <w:tc>
          <w:tcPr>
            <w:tcW w:w="709" w:type="dxa"/>
            <w:noWrap/>
            <w:hideMark/>
          </w:tcPr>
          <w:p w14:paraId="1D9AF01C"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0.01</w:t>
            </w:r>
          </w:p>
        </w:tc>
        <w:tc>
          <w:tcPr>
            <w:tcW w:w="709" w:type="dxa"/>
            <w:noWrap/>
            <w:hideMark/>
          </w:tcPr>
          <w:p w14:paraId="5BFA2EF9" w14:textId="77777777" w:rsidR="00E630B7" w:rsidRPr="001C58C6" w:rsidRDefault="00E630B7" w:rsidP="00E40401">
            <w:pPr>
              <w:rPr>
                <w:rFonts w:ascii="Calibri" w:hAnsi="Calibri" w:cs="Calibri"/>
                <w:b/>
                <w:bCs/>
                <w:color w:val="000000" w:themeColor="text1"/>
                <w:sz w:val="20"/>
              </w:rPr>
            </w:pPr>
            <w:r w:rsidRPr="001C58C6">
              <w:rPr>
                <w:rFonts w:ascii="Calibri" w:hAnsi="Calibri" w:cs="Calibri"/>
                <w:b/>
                <w:bCs/>
                <w:color w:val="000000" w:themeColor="text1"/>
                <w:sz w:val="20"/>
              </w:rPr>
              <w:t>0.99</w:t>
            </w:r>
          </w:p>
        </w:tc>
        <w:tc>
          <w:tcPr>
            <w:tcW w:w="1224" w:type="dxa"/>
            <w:noWrap/>
            <w:hideMark/>
          </w:tcPr>
          <w:p w14:paraId="27E8E744" w14:textId="77777777" w:rsidR="00E630B7" w:rsidRPr="001C58C6" w:rsidRDefault="00E630B7" w:rsidP="00E40401">
            <w:pPr>
              <w:rPr>
                <w:rFonts w:ascii="Calibri" w:hAnsi="Calibri" w:cs="Calibri"/>
                <w:color w:val="000000" w:themeColor="text1"/>
                <w:sz w:val="20"/>
              </w:rPr>
            </w:pPr>
          </w:p>
        </w:tc>
      </w:tr>
      <w:tr w:rsidR="00E630B7" w:rsidRPr="001C58C6" w14:paraId="078484E9" w14:textId="77777777" w:rsidTr="00E40401">
        <w:trPr>
          <w:trHeight w:val="288"/>
        </w:trPr>
        <w:tc>
          <w:tcPr>
            <w:tcW w:w="3823" w:type="dxa"/>
            <w:noWrap/>
            <w:hideMark/>
          </w:tcPr>
          <w:p w14:paraId="7D8D3C60"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M4. Razvoj ETS/CP mehanizama</w:t>
            </w:r>
          </w:p>
        </w:tc>
        <w:tc>
          <w:tcPr>
            <w:tcW w:w="708" w:type="dxa"/>
            <w:noWrap/>
            <w:hideMark/>
          </w:tcPr>
          <w:p w14:paraId="2E521FF1" w14:textId="77777777" w:rsidR="00E630B7" w:rsidRPr="001C58C6" w:rsidRDefault="00E630B7" w:rsidP="00E40401">
            <w:pPr>
              <w:rPr>
                <w:rFonts w:ascii="Calibri" w:hAnsi="Calibri" w:cs="Calibri"/>
                <w:color w:val="000000" w:themeColor="text1"/>
                <w:sz w:val="20"/>
              </w:rPr>
            </w:pPr>
          </w:p>
        </w:tc>
        <w:tc>
          <w:tcPr>
            <w:tcW w:w="1134" w:type="dxa"/>
            <w:noWrap/>
            <w:hideMark/>
          </w:tcPr>
          <w:p w14:paraId="1FA03E23" w14:textId="77777777" w:rsidR="00E630B7" w:rsidRPr="001C58C6" w:rsidRDefault="00E630B7" w:rsidP="00E40401">
            <w:pPr>
              <w:rPr>
                <w:rFonts w:ascii="Calibri" w:hAnsi="Calibri" w:cs="Calibri"/>
                <w:color w:val="000000" w:themeColor="text1"/>
                <w:sz w:val="20"/>
              </w:rPr>
            </w:pPr>
          </w:p>
        </w:tc>
        <w:tc>
          <w:tcPr>
            <w:tcW w:w="709" w:type="dxa"/>
            <w:noWrap/>
            <w:hideMark/>
          </w:tcPr>
          <w:p w14:paraId="617C9988" w14:textId="77777777" w:rsidR="00E630B7" w:rsidRPr="001C58C6" w:rsidRDefault="00E630B7" w:rsidP="00E40401">
            <w:pPr>
              <w:rPr>
                <w:rFonts w:ascii="Calibri" w:hAnsi="Calibri" w:cs="Calibri"/>
                <w:color w:val="000000" w:themeColor="text1"/>
                <w:sz w:val="20"/>
              </w:rPr>
            </w:pPr>
          </w:p>
        </w:tc>
        <w:tc>
          <w:tcPr>
            <w:tcW w:w="709" w:type="dxa"/>
            <w:noWrap/>
            <w:hideMark/>
          </w:tcPr>
          <w:p w14:paraId="041AE7ED" w14:textId="77777777" w:rsidR="00E630B7" w:rsidRPr="001C58C6" w:rsidRDefault="00E630B7" w:rsidP="00E40401">
            <w:pPr>
              <w:rPr>
                <w:rFonts w:ascii="Calibri" w:hAnsi="Calibri" w:cs="Calibri"/>
                <w:color w:val="000000" w:themeColor="text1"/>
                <w:sz w:val="20"/>
              </w:rPr>
            </w:pPr>
          </w:p>
        </w:tc>
        <w:tc>
          <w:tcPr>
            <w:tcW w:w="709" w:type="dxa"/>
            <w:noWrap/>
            <w:hideMark/>
          </w:tcPr>
          <w:p w14:paraId="174029B2" w14:textId="77777777" w:rsidR="00E630B7" w:rsidRPr="001C58C6" w:rsidRDefault="00E630B7" w:rsidP="00E40401">
            <w:pPr>
              <w:rPr>
                <w:rFonts w:ascii="Calibri" w:hAnsi="Calibri" w:cs="Calibri"/>
                <w:color w:val="000000" w:themeColor="text1"/>
                <w:sz w:val="20"/>
              </w:rPr>
            </w:pPr>
          </w:p>
        </w:tc>
        <w:tc>
          <w:tcPr>
            <w:tcW w:w="1224" w:type="dxa"/>
            <w:noWrap/>
            <w:hideMark/>
          </w:tcPr>
          <w:p w14:paraId="138C46CB"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Efekat je obuhvaćen mjerom M1</w:t>
            </w:r>
          </w:p>
        </w:tc>
      </w:tr>
      <w:tr w:rsidR="00E630B7" w:rsidRPr="001C58C6" w14:paraId="61FB4FFE" w14:textId="77777777" w:rsidTr="00E40401">
        <w:trPr>
          <w:trHeight w:val="288"/>
        </w:trPr>
        <w:tc>
          <w:tcPr>
            <w:tcW w:w="3823" w:type="dxa"/>
            <w:noWrap/>
            <w:hideMark/>
          </w:tcPr>
          <w:p w14:paraId="01EB83BD"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M5. Obnova malih hidroelektrana</w:t>
            </w:r>
          </w:p>
        </w:tc>
        <w:tc>
          <w:tcPr>
            <w:tcW w:w="708" w:type="dxa"/>
            <w:noWrap/>
            <w:hideMark/>
          </w:tcPr>
          <w:p w14:paraId="432999C4" w14:textId="77777777" w:rsidR="00E630B7" w:rsidRPr="001C58C6" w:rsidRDefault="00E630B7" w:rsidP="00E40401">
            <w:pPr>
              <w:rPr>
                <w:rFonts w:ascii="Calibri" w:hAnsi="Calibri" w:cs="Calibri"/>
                <w:color w:val="000000" w:themeColor="text1"/>
                <w:sz w:val="20"/>
              </w:rPr>
            </w:pPr>
          </w:p>
        </w:tc>
        <w:tc>
          <w:tcPr>
            <w:tcW w:w="1134" w:type="dxa"/>
            <w:noWrap/>
            <w:hideMark/>
          </w:tcPr>
          <w:p w14:paraId="2DFCBF36" w14:textId="77777777" w:rsidR="00E630B7" w:rsidRPr="001C58C6" w:rsidRDefault="00E630B7" w:rsidP="00E40401">
            <w:pPr>
              <w:rPr>
                <w:rFonts w:ascii="Calibri" w:hAnsi="Calibri" w:cs="Calibri"/>
                <w:color w:val="000000" w:themeColor="text1"/>
                <w:sz w:val="20"/>
              </w:rPr>
            </w:pPr>
          </w:p>
        </w:tc>
        <w:tc>
          <w:tcPr>
            <w:tcW w:w="709" w:type="dxa"/>
            <w:noWrap/>
            <w:hideMark/>
          </w:tcPr>
          <w:p w14:paraId="54403E47" w14:textId="77777777" w:rsidR="00E630B7" w:rsidRPr="001C58C6" w:rsidRDefault="00E630B7" w:rsidP="00E40401">
            <w:pPr>
              <w:rPr>
                <w:rFonts w:ascii="Calibri" w:hAnsi="Calibri" w:cs="Calibri"/>
                <w:color w:val="000000" w:themeColor="text1"/>
                <w:sz w:val="20"/>
              </w:rPr>
            </w:pPr>
          </w:p>
        </w:tc>
        <w:tc>
          <w:tcPr>
            <w:tcW w:w="709" w:type="dxa"/>
            <w:noWrap/>
            <w:hideMark/>
          </w:tcPr>
          <w:p w14:paraId="3FA20475" w14:textId="77777777" w:rsidR="00E630B7" w:rsidRPr="001C58C6" w:rsidRDefault="00E630B7" w:rsidP="00E40401">
            <w:pPr>
              <w:rPr>
                <w:rFonts w:ascii="Calibri" w:hAnsi="Calibri" w:cs="Calibri"/>
                <w:color w:val="000000" w:themeColor="text1"/>
                <w:sz w:val="20"/>
              </w:rPr>
            </w:pPr>
          </w:p>
        </w:tc>
        <w:tc>
          <w:tcPr>
            <w:tcW w:w="709" w:type="dxa"/>
            <w:noWrap/>
            <w:hideMark/>
          </w:tcPr>
          <w:p w14:paraId="4591CE1A" w14:textId="77777777" w:rsidR="00E630B7" w:rsidRPr="001C58C6" w:rsidRDefault="00E630B7" w:rsidP="00E40401">
            <w:pPr>
              <w:rPr>
                <w:rFonts w:ascii="Calibri" w:hAnsi="Calibri" w:cs="Calibri"/>
                <w:color w:val="000000" w:themeColor="text1"/>
                <w:sz w:val="20"/>
              </w:rPr>
            </w:pPr>
          </w:p>
        </w:tc>
        <w:tc>
          <w:tcPr>
            <w:tcW w:w="1224" w:type="dxa"/>
            <w:noWrap/>
            <w:hideMark/>
          </w:tcPr>
          <w:p w14:paraId="059C8DDF"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Efekat je obuhvaćen mjerom M2</w:t>
            </w:r>
          </w:p>
        </w:tc>
      </w:tr>
      <w:tr w:rsidR="00E630B7" w:rsidRPr="001C58C6" w14:paraId="24DB0D15" w14:textId="77777777" w:rsidTr="00E40401">
        <w:trPr>
          <w:trHeight w:val="288"/>
        </w:trPr>
        <w:tc>
          <w:tcPr>
            <w:tcW w:w="3823" w:type="dxa"/>
            <w:noWrap/>
            <w:hideMark/>
          </w:tcPr>
          <w:p w14:paraId="0138B505"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M6. Daljinsko grijanje u Pljevljima</w:t>
            </w:r>
          </w:p>
        </w:tc>
        <w:tc>
          <w:tcPr>
            <w:tcW w:w="708" w:type="dxa"/>
            <w:noWrap/>
            <w:hideMark/>
          </w:tcPr>
          <w:p w14:paraId="778529F3"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0.09</w:t>
            </w:r>
          </w:p>
        </w:tc>
        <w:tc>
          <w:tcPr>
            <w:tcW w:w="1134" w:type="dxa"/>
            <w:noWrap/>
            <w:hideMark/>
          </w:tcPr>
          <w:p w14:paraId="4AA744C4" w14:textId="77777777" w:rsidR="00E630B7" w:rsidRPr="001C58C6" w:rsidRDefault="00E630B7" w:rsidP="00E40401">
            <w:pPr>
              <w:rPr>
                <w:rFonts w:ascii="Calibri" w:hAnsi="Calibri" w:cs="Calibri"/>
                <w:b/>
                <w:bCs/>
                <w:color w:val="000000" w:themeColor="text1"/>
                <w:sz w:val="20"/>
              </w:rPr>
            </w:pPr>
            <w:r w:rsidRPr="001C58C6">
              <w:rPr>
                <w:rFonts w:ascii="Calibri" w:hAnsi="Calibri" w:cs="Calibri"/>
                <w:b/>
                <w:bCs/>
                <w:color w:val="000000" w:themeColor="text1"/>
                <w:sz w:val="20"/>
              </w:rPr>
              <w:t>0.77</w:t>
            </w:r>
          </w:p>
        </w:tc>
        <w:tc>
          <w:tcPr>
            <w:tcW w:w="709" w:type="dxa"/>
            <w:noWrap/>
            <w:hideMark/>
          </w:tcPr>
          <w:p w14:paraId="0E05F164"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0.3</w:t>
            </w:r>
          </w:p>
        </w:tc>
        <w:tc>
          <w:tcPr>
            <w:tcW w:w="709" w:type="dxa"/>
            <w:noWrap/>
            <w:hideMark/>
          </w:tcPr>
          <w:p w14:paraId="150A492C"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0.01</w:t>
            </w:r>
          </w:p>
        </w:tc>
        <w:tc>
          <w:tcPr>
            <w:tcW w:w="709" w:type="dxa"/>
            <w:noWrap/>
            <w:hideMark/>
          </w:tcPr>
          <w:p w14:paraId="46A5C72B" w14:textId="77777777" w:rsidR="00E630B7" w:rsidRPr="001C58C6" w:rsidRDefault="00E630B7" w:rsidP="00E40401">
            <w:pPr>
              <w:rPr>
                <w:rFonts w:ascii="Calibri" w:hAnsi="Calibri" w:cs="Calibri"/>
                <w:b/>
                <w:bCs/>
                <w:color w:val="000000" w:themeColor="text1"/>
                <w:sz w:val="20"/>
              </w:rPr>
            </w:pPr>
            <w:r w:rsidRPr="001C58C6">
              <w:rPr>
                <w:rFonts w:ascii="Calibri" w:hAnsi="Calibri" w:cs="Calibri"/>
                <w:b/>
                <w:bCs/>
                <w:color w:val="000000" w:themeColor="text1"/>
                <w:sz w:val="20"/>
              </w:rPr>
              <w:t>0.73</w:t>
            </w:r>
          </w:p>
        </w:tc>
        <w:tc>
          <w:tcPr>
            <w:tcW w:w="1224" w:type="dxa"/>
            <w:noWrap/>
            <w:hideMark/>
          </w:tcPr>
          <w:p w14:paraId="60D6A093" w14:textId="77777777" w:rsidR="00E630B7" w:rsidRPr="001C58C6" w:rsidRDefault="00E630B7" w:rsidP="00E40401">
            <w:pPr>
              <w:rPr>
                <w:rFonts w:ascii="Calibri" w:hAnsi="Calibri" w:cs="Calibri"/>
                <w:color w:val="000000" w:themeColor="text1"/>
                <w:sz w:val="20"/>
              </w:rPr>
            </w:pPr>
          </w:p>
        </w:tc>
      </w:tr>
      <w:tr w:rsidR="00E630B7" w:rsidRPr="001C58C6" w14:paraId="550B6F0D" w14:textId="77777777" w:rsidTr="00E40401">
        <w:trPr>
          <w:trHeight w:val="288"/>
        </w:trPr>
        <w:tc>
          <w:tcPr>
            <w:tcW w:w="3823" w:type="dxa"/>
            <w:noWrap/>
            <w:hideMark/>
          </w:tcPr>
          <w:p w14:paraId="0291A4C4"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M7. Energetska efikasnost u zgradama</w:t>
            </w:r>
          </w:p>
        </w:tc>
        <w:tc>
          <w:tcPr>
            <w:tcW w:w="708" w:type="dxa"/>
            <w:noWrap/>
            <w:hideMark/>
          </w:tcPr>
          <w:p w14:paraId="286AA748"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0.05</w:t>
            </w:r>
          </w:p>
        </w:tc>
        <w:tc>
          <w:tcPr>
            <w:tcW w:w="1134" w:type="dxa"/>
            <w:noWrap/>
            <w:hideMark/>
          </w:tcPr>
          <w:p w14:paraId="1EA031DA" w14:textId="77777777" w:rsidR="00E630B7" w:rsidRPr="001C58C6" w:rsidRDefault="00E630B7" w:rsidP="00E40401">
            <w:pPr>
              <w:rPr>
                <w:rFonts w:ascii="Calibri" w:hAnsi="Calibri" w:cs="Calibri"/>
                <w:b/>
                <w:bCs/>
                <w:color w:val="000000" w:themeColor="text1"/>
                <w:sz w:val="20"/>
              </w:rPr>
            </w:pPr>
            <w:r w:rsidRPr="001C58C6">
              <w:rPr>
                <w:rFonts w:ascii="Calibri" w:hAnsi="Calibri" w:cs="Calibri"/>
                <w:b/>
                <w:bCs/>
                <w:color w:val="000000" w:themeColor="text1"/>
                <w:sz w:val="20"/>
              </w:rPr>
              <w:t>0.56</w:t>
            </w:r>
          </w:p>
        </w:tc>
        <w:tc>
          <w:tcPr>
            <w:tcW w:w="709" w:type="dxa"/>
            <w:noWrap/>
            <w:hideMark/>
          </w:tcPr>
          <w:p w14:paraId="02A547A0"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0.18</w:t>
            </w:r>
          </w:p>
        </w:tc>
        <w:tc>
          <w:tcPr>
            <w:tcW w:w="709" w:type="dxa"/>
            <w:noWrap/>
            <w:hideMark/>
          </w:tcPr>
          <w:p w14:paraId="19B966EC"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0.01</w:t>
            </w:r>
          </w:p>
        </w:tc>
        <w:tc>
          <w:tcPr>
            <w:tcW w:w="709" w:type="dxa"/>
            <w:noWrap/>
            <w:hideMark/>
          </w:tcPr>
          <w:p w14:paraId="78AE1C23" w14:textId="77777777" w:rsidR="00E630B7" w:rsidRPr="001C58C6" w:rsidRDefault="00E630B7" w:rsidP="00E40401">
            <w:pPr>
              <w:rPr>
                <w:rFonts w:ascii="Calibri" w:hAnsi="Calibri" w:cs="Calibri"/>
                <w:b/>
                <w:bCs/>
                <w:color w:val="000000" w:themeColor="text1"/>
                <w:sz w:val="20"/>
              </w:rPr>
            </w:pPr>
            <w:r w:rsidRPr="001C58C6">
              <w:rPr>
                <w:rFonts w:ascii="Calibri" w:hAnsi="Calibri" w:cs="Calibri"/>
                <w:b/>
                <w:bCs/>
                <w:color w:val="000000" w:themeColor="text1"/>
                <w:sz w:val="20"/>
              </w:rPr>
              <w:t>0.69</w:t>
            </w:r>
          </w:p>
        </w:tc>
        <w:tc>
          <w:tcPr>
            <w:tcW w:w="1224" w:type="dxa"/>
            <w:noWrap/>
            <w:hideMark/>
          </w:tcPr>
          <w:p w14:paraId="4A7A6898" w14:textId="77777777" w:rsidR="00E630B7" w:rsidRPr="001C58C6" w:rsidRDefault="00E630B7" w:rsidP="00E40401">
            <w:pPr>
              <w:rPr>
                <w:rFonts w:ascii="Calibri" w:hAnsi="Calibri" w:cs="Calibri"/>
                <w:color w:val="000000" w:themeColor="text1"/>
                <w:sz w:val="20"/>
              </w:rPr>
            </w:pPr>
          </w:p>
        </w:tc>
      </w:tr>
      <w:tr w:rsidR="00E630B7" w:rsidRPr="001C58C6" w14:paraId="7F1B4EAE" w14:textId="77777777" w:rsidTr="00E40401">
        <w:trPr>
          <w:trHeight w:val="288"/>
        </w:trPr>
        <w:tc>
          <w:tcPr>
            <w:tcW w:w="3823" w:type="dxa"/>
            <w:noWrap/>
            <w:hideMark/>
          </w:tcPr>
          <w:p w14:paraId="32B02BC7"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M8. Promocija e-mobilnosti</w:t>
            </w:r>
          </w:p>
        </w:tc>
        <w:tc>
          <w:tcPr>
            <w:tcW w:w="708" w:type="dxa"/>
            <w:noWrap/>
            <w:hideMark/>
          </w:tcPr>
          <w:p w14:paraId="2B8C33E8"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0.18</w:t>
            </w:r>
          </w:p>
        </w:tc>
        <w:tc>
          <w:tcPr>
            <w:tcW w:w="1134" w:type="dxa"/>
            <w:noWrap/>
            <w:hideMark/>
          </w:tcPr>
          <w:p w14:paraId="3CB0111D"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0.03</w:t>
            </w:r>
          </w:p>
        </w:tc>
        <w:tc>
          <w:tcPr>
            <w:tcW w:w="709" w:type="dxa"/>
            <w:noWrap/>
            <w:hideMark/>
          </w:tcPr>
          <w:p w14:paraId="498D6A77" w14:textId="77777777" w:rsidR="00E630B7" w:rsidRPr="001C58C6" w:rsidRDefault="00E630B7" w:rsidP="00E40401">
            <w:pPr>
              <w:rPr>
                <w:rFonts w:ascii="Calibri" w:hAnsi="Calibri" w:cs="Calibri"/>
                <w:color w:val="000000" w:themeColor="text1"/>
                <w:sz w:val="20"/>
              </w:rPr>
            </w:pPr>
          </w:p>
        </w:tc>
        <w:tc>
          <w:tcPr>
            <w:tcW w:w="709" w:type="dxa"/>
            <w:noWrap/>
            <w:hideMark/>
          </w:tcPr>
          <w:p w14:paraId="513A2468"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0.003</w:t>
            </w:r>
          </w:p>
        </w:tc>
        <w:tc>
          <w:tcPr>
            <w:tcW w:w="709" w:type="dxa"/>
            <w:noWrap/>
            <w:hideMark/>
          </w:tcPr>
          <w:p w14:paraId="3E938711"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0.01</w:t>
            </w:r>
          </w:p>
        </w:tc>
        <w:tc>
          <w:tcPr>
            <w:tcW w:w="1224" w:type="dxa"/>
            <w:noWrap/>
            <w:hideMark/>
          </w:tcPr>
          <w:p w14:paraId="3CB1767C" w14:textId="77777777" w:rsidR="00E630B7" w:rsidRPr="001C58C6" w:rsidRDefault="00E630B7" w:rsidP="00E40401">
            <w:pPr>
              <w:rPr>
                <w:rFonts w:ascii="Calibri" w:hAnsi="Calibri" w:cs="Calibri"/>
                <w:color w:val="000000" w:themeColor="text1"/>
                <w:sz w:val="20"/>
              </w:rPr>
            </w:pPr>
          </w:p>
        </w:tc>
      </w:tr>
      <w:tr w:rsidR="00E630B7" w:rsidRPr="001C58C6" w14:paraId="6E6DB195" w14:textId="77777777" w:rsidTr="00E40401">
        <w:trPr>
          <w:trHeight w:val="288"/>
        </w:trPr>
        <w:tc>
          <w:tcPr>
            <w:tcW w:w="3823" w:type="dxa"/>
            <w:noWrap/>
            <w:hideMark/>
          </w:tcPr>
          <w:p w14:paraId="55A66F08"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M9. Uvođenje obaveznog udjela biogoriva</w:t>
            </w:r>
          </w:p>
        </w:tc>
        <w:tc>
          <w:tcPr>
            <w:tcW w:w="708" w:type="dxa"/>
            <w:noWrap/>
            <w:hideMark/>
          </w:tcPr>
          <w:p w14:paraId="6CFE6FA1"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0.42</w:t>
            </w:r>
          </w:p>
        </w:tc>
        <w:tc>
          <w:tcPr>
            <w:tcW w:w="1134" w:type="dxa"/>
            <w:noWrap/>
            <w:hideMark/>
          </w:tcPr>
          <w:p w14:paraId="780D58A3"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0.08</w:t>
            </w:r>
          </w:p>
        </w:tc>
        <w:tc>
          <w:tcPr>
            <w:tcW w:w="709" w:type="dxa"/>
            <w:noWrap/>
            <w:hideMark/>
          </w:tcPr>
          <w:p w14:paraId="330E6DCF" w14:textId="77777777" w:rsidR="00E630B7" w:rsidRPr="001C58C6" w:rsidRDefault="00E630B7" w:rsidP="00E40401">
            <w:pPr>
              <w:rPr>
                <w:rFonts w:ascii="Calibri" w:hAnsi="Calibri" w:cs="Calibri"/>
                <w:color w:val="000000" w:themeColor="text1"/>
                <w:sz w:val="20"/>
              </w:rPr>
            </w:pPr>
          </w:p>
        </w:tc>
        <w:tc>
          <w:tcPr>
            <w:tcW w:w="709" w:type="dxa"/>
            <w:noWrap/>
            <w:hideMark/>
          </w:tcPr>
          <w:p w14:paraId="4B977D22"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0.01</w:t>
            </w:r>
          </w:p>
        </w:tc>
        <w:tc>
          <w:tcPr>
            <w:tcW w:w="709" w:type="dxa"/>
            <w:noWrap/>
            <w:hideMark/>
          </w:tcPr>
          <w:p w14:paraId="0DA86084"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0.03</w:t>
            </w:r>
          </w:p>
        </w:tc>
        <w:tc>
          <w:tcPr>
            <w:tcW w:w="1224" w:type="dxa"/>
            <w:noWrap/>
            <w:hideMark/>
          </w:tcPr>
          <w:p w14:paraId="0F8B4F4B" w14:textId="77777777" w:rsidR="00E630B7" w:rsidRPr="001C58C6" w:rsidRDefault="00E630B7" w:rsidP="00E40401">
            <w:pPr>
              <w:rPr>
                <w:rFonts w:ascii="Calibri" w:hAnsi="Calibri" w:cs="Calibri"/>
                <w:color w:val="000000" w:themeColor="text1"/>
                <w:sz w:val="20"/>
              </w:rPr>
            </w:pPr>
          </w:p>
        </w:tc>
      </w:tr>
      <w:tr w:rsidR="00E630B7" w:rsidRPr="001C58C6" w14:paraId="486C335A" w14:textId="77777777" w:rsidTr="00E40401">
        <w:trPr>
          <w:trHeight w:val="288"/>
        </w:trPr>
        <w:tc>
          <w:tcPr>
            <w:tcW w:w="3823" w:type="dxa"/>
            <w:noWrap/>
            <w:hideMark/>
          </w:tcPr>
          <w:p w14:paraId="014289F5"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M10. Zabrana uvoza vozila Euro 4 i nižeg standarda</w:t>
            </w:r>
          </w:p>
        </w:tc>
        <w:tc>
          <w:tcPr>
            <w:tcW w:w="708" w:type="dxa"/>
            <w:noWrap/>
            <w:hideMark/>
          </w:tcPr>
          <w:p w14:paraId="70B333F9"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0.09</w:t>
            </w:r>
          </w:p>
        </w:tc>
        <w:tc>
          <w:tcPr>
            <w:tcW w:w="1134" w:type="dxa"/>
            <w:noWrap/>
            <w:hideMark/>
          </w:tcPr>
          <w:p w14:paraId="25DDCB99"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0.02</w:t>
            </w:r>
          </w:p>
        </w:tc>
        <w:tc>
          <w:tcPr>
            <w:tcW w:w="709" w:type="dxa"/>
            <w:noWrap/>
            <w:hideMark/>
          </w:tcPr>
          <w:p w14:paraId="48D8806D" w14:textId="77777777" w:rsidR="00E630B7" w:rsidRPr="001C58C6" w:rsidRDefault="00E630B7" w:rsidP="00E40401">
            <w:pPr>
              <w:rPr>
                <w:rFonts w:ascii="Calibri" w:hAnsi="Calibri" w:cs="Calibri"/>
                <w:color w:val="000000" w:themeColor="text1"/>
                <w:sz w:val="20"/>
              </w:rPr>
            </w:pPr>
          </w:p>
        </w:tc>
        <w:tc>
          <w:tcPr>
            <w:tcW w:w="709" w:type="dxa"/>
            <w:noWrap/>
            <w:hideMark/>
          </w:tcPr>
          <w:p w14:paraId="34C3B941"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0.001</w:t>
            </w:r>
          </w:p>
        </w:tc>
        <w:tc>
          <w:tcPr>
            <w:tcW w:w="709" w:type="dxa"/>
            <w:noWrap/>
            <w:hideMark/>
          </w:tcPr>
          <w:p w14:paraId="53A6BC6B"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0.01</w:t>
            </w:r>
          </w:p>
        </w:tc>
        <w:tc>
          <w:tcPr>
            <w:tcW w:w="1224" w:type="dxa"/>
            <w:noWrap/>
            <w:hideMark/>
          </w:tcPr>
          <w:p w14:paraId="3E972B7D" w14:textId="77777777" w:rsidR="00E630B7" w:rsidRPr="001C58C6" w:rsidRDefault="00E630B7" w:rsidP="00E40401">
            <w:pPr>
              <w:rPr>
                <w:rFonts w:ascii="Calibri" w:hAnsi="Calibri" w:cs="Calibri"/>
                <w:color w:val="000000" w:themeColor="text1"/>
                <w:sz w:val="20"/>
              </w:rPr>
            </w:pPr>
          </w:p>
        </w:tc>
      </w:tr>
      <w:tr w:rsidR="00E630B7" w:rsidRPr="001C58C6" w14:paraId="54791E02" w14:textId="77777777" w:rsidTr="00E40401">
        <w:trPr>
          <w:trHeight w:val="288"/>
        </w:trPr>
        <w:tc>
          <w:tcPr>
            <w:tcW w:w="3823" w:type="dxa"/>
            <w:noWrap/>
            <w:hideMark/>
          </w:tcPr>
          <w:p w14:paraId="79FACE78"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M11. Upravljanje stajskim đubrivom i organska poljoprivreda</w:t>
            </w:r>
          </w:p>
        </w:tc>
        <w:tc>
          <w:tcPr>
            <w:tcW w:w="708" w:type="dxa"/>
            <w:noWrap/>
            <w:hideMark/>
          </w:tcPr>
          <w:p w14:paraId="25CFDC70" w14:textId="77777777" w:rsidR="00E630B7" w:rsidRPr="001C58C6" w:rsidRDefault="00E630B7" w:rsidP="00E40401">
            <w:pPr>
              <w:rPr>
                <w:rFonts w:ascii="Calibri" w:hAnsi="Calibri" w:cs="Calibri"/>
                <w:color w:val="000000" w:themeColor="text1"/>
                <w:sz w:val="20"/>
              </w:rPr>
            </w:pPr>
          </w:p>
        </w:tc>
        <w:tc>
          <w:tcPr>
            <w:tcW w:w="1134" w:type="dxa"/>
            <w:noWrap/>
            <w:hideMark/>
          </w:tcPr>
          <w:p w14:paraId="32487E7E" w14:textId="77777777" w:rsidR="00E630B7" w:rsidRPr="001C58C6" w:rsidRDefault="00E630B7" w:rsidP="00E40401">
            <w:pPr>
              <w:rPr>
                <w:rFonts w:ascii="Calibri" w:hAnsi="Calibri" w:cs="Calibri"/>
                <w:color w:val="000000" w:themeColor="text1"/>
                <w:sz w:val="20"/>
              </w:rPr>
            </w:pPr>
          </w:p>
        </w:tc>
        <w:tc>
          <w:tcPr>
            <w:tcW w:w="709" w:type="dxa"/>
            <w:noWrap/>
            <w:hideMark/>
          </w:tcPr>
          <w:p w14:paraId="22297E65" w14:textId="77777777" w:rsidR="00E630B7" w:rsidRPr="001C58C6" w:rsidRDefault="00E630B7" w:rsidP="00E40401">
            <w:pPr>
              <w:rPr>
                <w:rFonts w:ascii="Calibri" w:hAnsi="Calibri" w:cs="Calibri"/>
                <w:color w:val="000000" w:themeColor="text1"/>
                <w:sz w:val="20"/>
              </w:rPr>
            </w:pPr>
          </w:p>
        </w:tc>
        <w:tc>
          <w:tcPr>
            <w:tcW w:w="709" w:type="dxa"/>
            <w:noWrap/>
            <w:hideMark/>
          </w:tcPr>
          <w:p w14:paraId="2CE29B45" w14:textId="77777777" w:rsidR="00E630B7" w:rsidRPr="001C58C6" w:rsidRDefault="00E630B7" w:rsidP="00E40401">
            <w:pPr>
              <w:rPr>
                <w:rFonts w:ascii="Calibri" w:hAnsi="Calibri" w:cs="Calibri"/>
                <w:color w:val="000000" w:themeColor="text1"/>
                <w:sz w:val="20"/>
              </w:rPr>
            </w:pPr>
          </w:p>
        </w:tc>
        <w:tc>
          <w:tcPr>
            <w:tcW w:w="709" w:type="dxa"/>
            <w:noWrap/>
            <w:hideMark/>
          </w:tcPr>
          <w:p w14:paraId="0C6B70D9" w14:textId="77777777" w:rsidR="00E630B7" w:rsidRPr="001C58C6" w:rsidRDefault="00E630B7" w:rsidP="00E40401">
            <w:pPr>
              <w:rPr>
                <w:rFonts w:ascii="Calibri" w:hAnsi="Calibri" w:cs="Calibri"/>
                <w:color w:val="000000" w:themeColor="text1"/>
                <w:sz w:val="20"/>
              </w:rPr>
            </w:pPr>
          </w:p>
        </w:tc>
        <w:tc>
          <w:tcPr>
            <w:tcW w:w="1224" w:type="dxa"/>
            <w:noWrap/>
            <w:hideMark/>
          </w:tcPr>
          <w:p w14:paraId="10D4F2F3"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Mjera pripada WEM scenariju</w:t>
            </w:r>
          </w:p>
        </w:tc>
      </w:tr>
      <w:tr w:rsidR="00E630B7" w:rsidRPr="001C58C6" w14:paraId="7A2F05C7" w14:textId="77777777" w:rsidTr="00E40401">
        <w:trPr>
          <w:trHeight w:val="288"/>
        </w:trPr>
        <w:tc>
          <w:tcPr>
            <w:tcW w:w="3823" w:type="dxa"/>
            <w:noWrap/>
            <w:hideMark/>
          </w:tcPr>
          <w:p w14:paraId="45810260"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M12. Smanjenje biootpada i povećanje priključenosti na kanalizaciju</w:t>
            </w:r>
          </w:p>
        </w:tc>
        <w:tc>
          <w:tcPr>
            <w:tcW w:w="708" w:type="dxa"/>
            <w:noWrap/>
            <w:hideMark/>
          </w:tcPr>
          <w:p w14:paraId="0144F9F1" w14:textId="77777777" w:rsidR="00E630B7" w:rsidRPr="001C58C6" w:rsidRDefault="00E630B7" w:rsidP="00E40401">
            <w:pPr>
              <w:rPr>
                <w:rFonts w:ascii="Calibri" w:hAnsi="Calibri" w:cs="Calibri"/>
                <w:color w:val="000000" w:themeColor="text1"/>
                <w:sz w:val="20"/>
              </w:rPr>
            </w:pPr>
          </w:p>
        </w:tc>
        <w:tc>
          <w:tcPr>
            <w:tcW w:w="1134" w:type="dxa"/>
            <w:noWrap/>
            <w:hideMark/>
          </w:tcPr>
          <w:p w14:paraId="4E353697" w14:textId="77777777" w:rsidR="00E630B7" w:rsidRPr="001C58C6" w:rsidRDefault="00E630B7" w:rsidP="00E40401">
            <w:pPr>
              <w:rPr>
                <w:rFonts w:ascii="Calibri" w:hAnsi="Calibri" w:cs="Calibri"/>
                <w:color w:val="000000" w:themeColor="text1"/>
                <w:sz w:val="20"/>
              </w:rPr>
            </w:pPr>
          </w:p>
        </w:tc>
        <w:tc>
          <w:tcPr>
            <w:tcW w:w="709" w:type="dxa"/>
            <w:noWrap/>
            <w:hideMark/>
          </w:tcPr>
          <w:p w14:paraId="6A7C26DB" w14:textId="77777777" w:rsidR="00E630B7" w:rsidRPr="001C58C6" w:rsidRDefault="00E630B7" w:rsidP="00E40401">
            <w:pPr>
              <w:rPr>
                <w:rFonts w:ascii="Calibri" w:hAnsi="Calibri" w:cs="Calibri"/>
                <w:color w:val="000000" w:themeColor="text1"/>
                <w:sz w:val="20"/>
              </w:rPr>
            </w:pPr>
          </w:p>
        </w:tc>
        <w:tc>
          <w:tcPr>
            <w:tcW w:w="709" w:type="dxa"/>
            <w:noWrap/>
            <w:hideMark/>
          </w:tcPr>
          <w:p w14:paraId="37EB895C" w14:textId="77777777" w:rsidR="00E630B7" w:rsidRPr="001C58C6" w:rsidRDefault="00E630B7" w:rsidP="00E40401">
            <w:pPr>
              <w:rPr>
                <w:rFonts w:ascii="Calibri" w:hAnsi="Calibri" w:cs="Calibri"/>
                <w:color w:val="000000" w:themeColor="text1"/>
                <w:sz w:val="20"/>
              </w:rPr>
            </w:pPr>
          </w:p>
        </w:tc>
        <w:tc>
          <w:tcPr>
            <w:tcW w:w="709" w:type="dxa"/>
            <w:noWrap/>
            <w:hideMark/>
          </w:tcPr>
          <w:p w14:paraId="6201542E" w14:textId="77777777" w:rsidR="00E630B7" w:rsidRPr="001C58C6" w:rsidRDefault="00E630B7" w:rsidP="00E40401">
            <w:pPr>
              <w:rPr>
                <w:rFonts w:ascii="Calibri" w:hAnsi="Calibri" w:cs="Calibri"/>
                <w:color w:val="000000" w:themeColor="text1"/>
                <w:sz w:val="20"/>
              </w:rPr>
            </w:pPr>
          </w:p>
        </w:tc>
        <w:tc>
          <w:tcPr>
            <w:tcW w:w="1224" w:type="dxa"/>
            <w:noWrap/>
            <w:hideMark/>
          </w:tcPr>
          <w:p w14:paraId="680746AB" w14:textId="77777777" w:rsidR="00E630B7" w:rsidRPr="001C58C6" w:rsidRDefault="00E630B7" w:rsidP="00E40401">
            <w:pPr>
              <w:rPr>
                <w:rFonts w:ascii="Calibri" w:hAnsi="Calibri" w:cs="Calibri"/>
                <w:color w:val="000000" w:themeColor="text1"/>
                <w:sz w:val="20"/>
              </w:rPr>
            </w:pPr>
            <w:r w:rsidRPr="001C58C6">
              <w:rPr>
                <w:rFonts w:ascii="Calibri" w:hAnsi="Calibri" w:cs="Calibri"/>
                <w:color w:val="000000" w:themeColor="text1"/>
                <w:sz w:val="20"/>
              </w:rPr>
              <w:t>Mjera pripada WEM scenariju</w:t>
            </w:r>
          </w:p>
        </w:tc>
      </w:tr>
    </w:tbl>
    <w:p w14:paraId="78FDA690" w14:textId="77777777" w:rsidR="00E630B7" w:rsidRPr="001C58C6" w:rsidRDefault="00E630B7" w:rsidP="00E630B7">
      <w:pPr>
        <w:rPr>
          <w:rFonts w:ascii="Calibri" w:hAnsi="Calibri" w:cs="Calibri"/>
          <w:color w:val="000000" w:themeColor="text1"/>
        </w:rPr>
      </w:pPr>
      <w:r w:rsidRPr="001C58C6">
        <w:rPr>
          <w:rFonts w:ascii="Calibri" w:hAnsi="Calibri" w:cs="Calibri"/>
          <w:color w:val="000000" w:themeColor="text1"/>
        </w:rPr>
        <w:t>Izvor: Proračun obrađivača Napomena: crvenim slovima obilježene su mjere koje imaju najveći doprinos uštedi emisija</w:t>
      </w:r>
    </w:p>
    <w:p w14:paraId="35EBEB82" w14:textId="77777777" w:rsidR="00E630B7" w:rsidRPr="001C58C6" w:rsidRDefault="00E630B7" w:rsidP="00E630B7">
      <w:pPr>
        <w:rPr>
          <w:rFonts w:ascii="Calibri" w:hAnsi="Calibri" w:cs="Calibri"/>
          <w:b/>
          <w:bCs/>
          <w:color w:val="000000" w:themeColor="text1"/>
        </w:rPr>
      </w:pPr>
      <w:r w:rsidRPr="001C58C6">
        <w:rPr>
          <w:rFonts w:ascii="Calibri" w:hAnsi="Calibri" w:cs="Calibri"/>
          <w:b/>
          <w:bCs/>
          <w:color w:val="000000" w:themeColor="text1"/>
        </w:rPr>
        <w:lastRenderedPageBreak/>
        <w:t>1.A - smanjenje koncentracija suspendovanih čestica i sadržaja benzo(a)pirena u Sjevernoj zoni kvaliteta vazduha</w:t>
      </w:r>
    </w:p>
    <w:p w14:paraId="36B6A42F" w14:textId="77777777" w:rsidR="00E630B7" w:rsidRPr="001C58C6" w:rsidRDefault="00E630B7" w:rsidP="00E630B7">
      <w:pPr>
        <w:rPr>
          <w:rFonts w:ascii="Calibri" w:hAnsi="Calibri" w:cs="Calibri"/>
          <w:b/>
          <w:bCs/>
          <w:color w:val="000000" w:themeColor="text1"/>
        </w:rPr>
      </w:pPr>
    </w:p>
    <w:p w14:paraId="17C55D44" w14:textId="77777777" w:rsidR="00E630B7" w:rsidRPr="001C58C6" w:rsidRDefault="00E630B7" w:rsidP="00E630B7">
      <w:pPr>
        <w:rPr>
          <w:rFonts w:ascii="Calibri" w:hAnsi="Calibri" w:cs="Calibri"/>
          <w:color w:val="000000" w:themeColor="text1"/>
        </w:rPr>
      </w:pPr>
      <w:r w:rsidRPr="001C58C6">
        <w:rPr>
          <w:rFonts w:ascii="Calibri" w:hAnsi="Calibri" w:cs="Calibri"/>
          <w:color w:val="000000" w:themeColor="text1"/>
        </w:rPr>
        <w:t xml:space="preserve">U skladu sa Tabelom 5, smanjenju emisija suspendovanih čestica najviše doprinose paketi mjera M2, M3, M6 i M7. Ovi paketi odnose se na: </w:t>
      </w:r>
    </w:p>
    <w:p w14:paraId="0997CA68" w14:textId="77777777" w:rsidR="00E630B7" w:rsidRPr="001C58C6" w:rsidRDefault="00E630B7" w:rsidP="00E630B7">
      <w:pPr>
        <w:rPr>
          <w:rFonts w:ascii="Calibri" w:hAnsi="Calibri" w:cs="Calibri"/>
          <w:color w:val="000000" w:themeColor="text1"/>
        </w:rPr>
      </w:pPr>
    </w:p>
    <w:p w14:paraId="1F3C9CF3" w14:textId="77777777" w:rsidR="00E630B7" w:rsidRPr="001C58C6" w:rsidRDefault="00E630B7" w:rsidP="00E630B7">
      <w:pPr>
        <w:pStyle w:val="ListParagraph"/>
        <w:numPr>
          <w:ilvl w:val="0"/>
          <w:numId w:val="3"/>
        </w:numPr>
        <w:rPr>
          <w:rFonts w:ascii="Calibri" w:hAnsi="Calibri" w:cs="Calibri"/>
          <w:color w:val="000000" w:themeColor="text1"/>
        </w:rPr>
      </w:pPr>
      <w:r w:rsidRPr="001C58C6">
        <w:rPr>
          <w:rFonts w:ascii="Calibri" w:hAnsi="Calibri" w:cs="Calibri"/>
          <w:color w:val="000000" w:themeColor="text1"/>
        </w:rPr>
        <w:t>M2 Nove OIE elektrane (vjetroelektrane, solarne)</w:t>
      </w:r>
    </w:p>
    <w:p w14:paraId="735DCD59" w14:textId="77777777" w:rsidR="00E630B7" w:rsidRPr="001C58C6" w:rsidRDefault="00E630B7" w:rsidP="00E630B7">
      <w:pPr>
        <w:pStyle w:val="ListParagraph"/>
        <w:numPr>
          <w:ilvl w:val="0"/>
          <w:numId w:val="3"/>
        </w:numPr>
        <w:rPr>
          <w:rFonts w:ascii="Calibri" w:hAnsi="Calibri" w:cs="Calibri"/>
          <w:color w:val="000000" w:themeColor="text1"/>
        </w:rPr>
      </w:pPr>
      <w:r w:rsidRPr="001C58C6">
        <w:rPr>
          <w:rFonts w:ascii="Calibri" w:hAnsi="Calibri" w:cs="Calibri"/>
          <w:color w:val="000000" w:themeColor="text1"/>
        </w:rPr>
        <w:t>M3 Aukcije za OIE i dodatni kapaciteti</w:t>
      </w:r>
    </w:p>
    <w:p w14:paraId="709BBC93" w14:textId="77777777" w:rsidR="00E630B7" w:rsidRPr="001C58C6" w:rsidRDefault="00E630B7" w:rsidP="00E630B7">
      <w:pPr>
        <w:pStyle w:val="ListParagraph"/>
        <w:numPr>
          <w:ilvl w:val="0"/>
          <w:numId w:val="3"/>
        </w:numPr>
        <w:rPr>
          <w:rFonts w:ascii="Calibri" w:hAnsi="Calibri" w:cs="Calibri"/>
          <w:color w:val="000000" w:themeColor="text1"/>
        </w:rPr>
      </w:pPr>
      <w:r w:rsidRPr="001C58C6">
        <w:rPr>
          <w:rFonts w:ascii="Calibri" w:hAnsi="Calibri" w:cs="Calibri"/>
          <w:color w:val="000000" w:themeColor="text1"/>
        </w:rPr>
        <w:t>M6 Daljinsko grijanje u Pljevljima</w:t>
      </w:r>
    </w:p>
    <w:p w14:paraId="219E4D50" w14:textId="77777777" w:rsidR="00E630B7" w:rsidRPr="001C58C6" w:rsidRDefault="00E630B7" w:rsidP="00E630B7">
      <w:pPr>
        <w:pStyle w:val="ListParagraph"/>
        <w:numPr>
          <w:ilvl w:val="0"/>
          <w:numId w:val="3"/>
        </w:numPr>
        <w:rPr>
          <w:rFonts w:ascii="Calibri" w:hAnsi="Calibri" w:cs="Calibri"/>
          <w:color w:val="000000" w:themeColor="text1"/>
        </w:rPr>
      </w:pPr>
      <w:r w:rsidRPr="001C58C6">
        <w:rPr>
          <w:rFonts w:ascii="Calibri" w:hAnsi="Calibri" w:cs="Calibri"/>
          <w:color w:val="000000" w:themeColor="text1"/>
        </w:rPr>
        <w:t>M7 Energetska efikasnost u zgradama</w:t>
      </w:r>
    </w:p>
    <w:p w14:paraId="5108BDEB" w14:textId="77777777" w:rsidR="00E630B7" w:rsidRPr="001C58C6" w:rsidRDefault="00E630B7" w:rsidP="00E630B7">
      <w:pPr>
        <w:rPr>
          <w:rFonts w:ascii="Calibri" w:hAnsi="Calibri" w:cs="Calibri"/>
          <w:b/>
          <w:bCs/>
          <w:color w:val="000000" w:themeColor="text1"/>
        </w:rPr>
      </w:pPr>
    </w:p>
    <w:p w14:paraId="576AC1A0" w14:textId="77777777" w:rsidR="00E630B7" w:rsidRPr="001C58C6" w:rsidRDefault="00E630B7" w:rsidP="00E630B7">
      <w:pPr>
        <w:rPr>
          <w:rFonts w:ascii="Calibri" w:hAnsi="Calibri" w:cs="Calibri"/>
          <w:color w:val="000000" w:themeColor="text1"/>
        </w:rPr>
      </w:pPr>
      <w:r w:rsidRPr="001C58C6">
        <w:rPr>
          <w:rFonts w:ascii="Calibri" w:hAnsi="Calibri" w:cs="Calibri"/>
          <w:color w:val="000000" w:themeColor="text1"/>
        </w:rPr>
        <w:t xml:space="preserve">Smanjenje emisija suspendovanih čestica svakako će dovesti do smanjenja njihovih koncentracija u ambijentalnom vazduhu i održivog poboljšanja kvaliteta vazduha, postepeno na duži period. </w:t>
      </w:r>
    </w:p>
    <w:p w14:paraId="35930E7D" w14:textId="77777777" w:rsidR="00E630B7" w:rsidRPr="001C58C6" w:rsidRDefault="00E630B7" w:rsidP="00E630B7">
      <w:pPr>
        <w:rPr>
          <w:rFonts w:ascii="Calibri" w:hAnsi="Calibri" w:cs="Calibri"/>
          <w:color w:val="000000" w:themeColor="text1"/>
        </w:rPr>
      </w:pPr>
    </w:p>
    <w:p w14:paraId="659F9272" w14:textId="77777777" w:rsidR="00E630B7" w:rsidRPr="001C58C6" w:rsidRDefault="00E630B7" w:rsidP="00E630B7">
      <w:pPr>
        <w:rPr>
          <w:rFonts w:ascii="Calibri" w:hAnsi="Calibri" w:cs="Calibri"/>
          <w:color w:val="000000" w:themeColor="text1"/>
        </w:rPr>
      </w:pPr>
      <w:r w:rsidRPr="001C58C6">
        <w:rPr>
          <w:rFonts w:ascii="Calibri" w:hAnsi="Calibri" w:cs="Calibri"/>
          <w:color w:val="000000" w:themeColor="text1"/>
        </w:rPr>
        <w:t xml:space="preserve">- Uvođenje novih obnovljivih izvora energije kroz pakete mjera M2 i M3 u procesu dekarbonizacije energetskog sektora sukcesivno dovodi do eliminacije upotrebe fosilnih goriva u proizvodnji energije čime se znatno pozitivno utiče na kvalitet vazduha. </w:t>
      </w:r>
    </w:p>
    <w:p w14:paraId="35C212BB" w14:textId="77777777" w:rsidR="00806123" w:rsidRPr="001C58C6" w:rsidRDefault="00806123" w:rsidP="00E630B7">
      <w:pPr>
        <w:rPr>
          <w:rFonts w:ascii="Calibri" w:hAnsi="Calibri" w:cs="Calibri"/>
          <w:color w:val="000000" w:themeColor="text1"/>
        </w:rPr>
      </w:pPr>
    </w:p>
    <w:p w14:paraId="71555850" w14:textId="77777777" w:rsidR="00E630B7" w:rsidRPr="001C58C6" w:rsidRDefault="00E630B7" w:rsidP="00E630B7">
      <w:pPr>
        <w:rPr>
          <w:rFonts w:ascii="Calibri" w:hAnsi="Calibri" w:cs="Calibri"/>
          <w:color w:val="000000" w:themeColor="text1"/>
        </w:rPr>
      </w:pPr>
      <w:r w:rsidRPr="001C58C6">
        <w:rPr>
          <w:rFonts w:ascii="Calibri" w:hAnsi="Calibri" w:cs="Calibri"/>
          <w:color w:val="000000" w:themeColor="text1"/>
        </w:rPr>
        <w:t>- Razvoj sistema daljinskog grijanja u Pljevljima je mjera sa visokim potencijalom smanjenja emisija suspendovanih čestica na lokalnom nivou, kroz zamjenu velikog broja malih individualnih izvora emisija jednim zbirnim kontrolisanim izvorom. Ova mjera je odavno planirano rješenje zagađenja vazduha u Pljevljima, međutim kroz dugoročno odlaganje realizacije projekta ona dobija status propuštene šanse koja je stanovnicima opštine Pljevlja donijela brojne ekološke i zdravstvene probleme. U skladu sa ciljevima Crne Gore vezanim za energetiku i klimu (NEKP, Strategija niskokarbonskog razvoja</w:t>
      </w:r>
      <w:r w:rsidR="00E6082F" w:rsidRPr="001C58C6">
        <w:rPr>
          <w:rFonts w:ascii="Calibri" w:hAnsi="Calibri" w:cs="Calibri"/>
          <w:color w:val="000000" w:themeColor="text1"/>
        </w:rPr>
        <w:t>)</w:t>
      </w:r>
      <w:r w:rsidRPr="001C58C6">
        <w:rPr>
          <w:rFonts w:ascii="Calibri" w:hAnsi="Calibri" w:cs="Calibri"/>
          <w:color w:val="000000" w:themeColor="text1"/>
        </w:rPr>
        <w:t xml:space="preserve"> izvor toplotne energije za sistem daljinskog grijanja (TE Pljevlja) imaće ograničen vijek (10-15 godina), što nameće pažljivo planiranje razvoja ovog sistema sa alternativnim izvorom toplote, što bi opravdalo investiciju i ohrabrilo građane Pljevalja da se priključe na sistem daljinskog grijanja. </w:t>
      </w:r>
    </w:p>
    <w:p w14:paraId="7229E0BB" w14:textId="77777777" w:rsidR="0094151F" w:rsidRPr="001C58C6" w:rsidRDefault="0094151F" w:rsidP="00E630B7">
      <w:pPr>
        <w:rPr>
          <w:rFonts w:ascii="Calibri" w:hAnsi="Calibri" w:cs="Calibri"/>
          <w:color w:val="000000" w:themeColor="text1"/>
        </w:rPr>
      </w:pPr>
    </w:p>
    <w:p w14:paraId="4B9F66E3" w14:textId="77777777" w:rsidR="00E630B7" w:rsidRPr="001C58C6" w:rsidRDefault="00E630B7" w:rsidP="00E630B7">
      <w:pPr>
        <w:rPr>
          <w:rFonts w:ascii="Calibri" w:hAnsi="Calibri" w:cs="Calibri"/>
          <w:color w:val="000000" w:themeColor="text1"/>
        </w:rPr>
      </w:pPr>
      <w:r w:rsidRPr="001C58C6">
        <w:rPr>
          <w:rFonts w:ascii="Calibri" w:hAnsi="Calibri" w:cs="Calibri"/>
          <w:color w:val="000000" w:themeColor="text1"/>
        </w:rPr>
        <w:t xml:space="preserve">- Paket mjera poboljšanja energetske efiksanosti u zgradama je dugoročni program planiran kroz Reformsku agendu i NEKP i između ostalog obuhvata sprovođenje sveobuhvatnog Programa za renoviranje javnih i privatnih zgrada u rudarskom regionu Pljevlja, koji nudi finansijska rješenja za energetsku efikasnost i zamjenu grejnih sistema na bazi fosilnih goriva. Mjere energetske efikasnosti i obnove javnih i privatnih zgrada će se u narednom periodu sprovoditi na cijeloj teritoriji Crne Gore. </w:t>
      </w:r>
    </w:p>
    <w:p w14:paraId="3D3ADD2B" w14:textId="77777777" w:rsidR="00E630B7" w:rsidRPr="001C58C6" w:rsidRDefault="00E630B7" w:rsidP="00E630B7">
      <w:pPr>
        <w:rPr>
          <w:rFonts w:ascii="Calibri" w:hAnsi="Calibri" w:cs="Calibri"/>
          <w:color w:val="000000" w:themeColor="text1"/>
        </w:rPr>
      </w:pPr>
    </w:p>
    <w:p w14:paraId="16439822" w14:textId="77777777" w:rsidR="00E630B7" w:rsidRPr="001C58C6" w:rsidRDefault="00E630B7" w:rsidP="00E630B7">
      <w:pPr>
        <w:rPr>
          <w:rFonts w:ascii="Calibri" w:hAnsi="Calibri" w:cs="Calibri"/>
          <w:b/>
          <w:bCs/>
          <w:color w:val="000000" w:themeColor="text1"/>
        </w:rPr>
      </w:pPr>
      <w:r w:rsidRPr="001C58C6">
        <w:rPr>
          <w:rFonts w:ascii="Calibri" w:hAnsi="Calibri" w:cs="Calibri"/>
          <w:b/>
          <w:bCs/>
          <w:color w:val="000000" w:themeColor="text1"/>
        </w:rPr>
        <w:t>1.B - smanjenje sadržaja benzo(a)pirena u suspendovanim česticama u Centralnoj zoni kvaliteta vazduha;</w:t>
      </w:r>
    </w:p>
    <w:p w14:paraId="3A301E34" w14:textId="77777777" w:rsidR="00E630B7" w:rsidRPr="001C58C6" w:rsidRDefault="00E630B7" w:rsidP="00E630B7">
      <w:pPr>
        <w:rPr>
          <w:rFonts w:ascii="Calibri" w:hAnsi="Calibri" w:cs="Calibri"/>
          <w:b/>
          <w:bCs/>
          <w:color w:val="000000" w:themeColor="text1"/>
        </w:rPr>
      </w:pPr>
    </w:p>
    <w:p w14:paraId="6303802A" w14:textId="77777777" w:rsidR="00E630B7" w:rsidRPr="001C58C6" w:rsidRDefault="00E630B7" w:rsidP="00E630B7">
      <w:pPr>
        <w:rPr>
          <w:rFonts w:ascii="Calibri" w:hAnsi="Calibri" w:cs="Calibri"/>
          <w:color w:val="000000" w:themeColor="text1"/>
        </w:rPr>
      </w:pPr>
      <w:r w:rsidRPr="001C58C6">
        <w:rPr>
          <w:rFonts w:ascii="Calibri" w:hAnsi="Calibri" w:cs="Calibri"/>
          <w:color w:val="000000" w:themeColor="text1"/>
        </w:rPr>
        <w:t xml:space="preserve">S obzirom na to da se benzo(a)piren u vazduhu pojavljuje u sadržaju suspendovanih čestica, Cilj 1.B. postići će se kroz primjenu istih mjera koje su predviđene za ispunjenje cilja 1.A., s tim da mjera M6 (sistem daljinskog grijanja u Pljevljima) neće imati uticaja na centralnu zonu kvaliteta vazduha. Shodno tome, u skladu sa procjenjenom efektivnošću mjera, odabrani paketi mjera za ovaj operativni cilj su: </w:t>
      </w:r>
    </w:p>
    <w:p w14:paraId="1858ABD8" w14:textId="77777777" w:rsidR="00E630B7" w:rsidRPr="001C58C6" w:rsidRDefault="00E630B7" w:rsidP="00E630B7">
      <w:pPr>
        <w:rPr>
          <w:rFonts w:ascii="Calibri" w:hAnsi="Calibri" w:cs="Calibri"/>
          <w:color w:val="000000" w:themeColor="text1"/>
        </w:rPr>
      </w:pPr>
    </w:p>
    <w:p w14:paraId="1CC5361E" w14:textId="77777777" w:rsidR="00E630B7" w:rsidRPr="001C58C6" w:rsidRDefault="00E630B7" w:rsidP="00E630B7">
      <w:pPr>
        <w:pStyle w:val="ListParagraph"/>
        <w:numPr>
          <w:ilvl w:val="0"/>
          <w:numId w:val="3"/>
        </w:numPr>
        <w:rPr>
          <w:rFonts w:ascii="Calibri" w:hAnsi="Calibri" w:cs="Calibri"/>
          <w:color w:val="000000" w:themeColor="text1"/>
        </w:rPr>
      </w:pPr>
      <w:r w:rsidRPr="001C58C6">
        <w:rPr>
          <w:rFonts w:ascii="Calibri" w:hAnsi="Calibri" w:cs="Calibri"/>
          <w:color w:val="000000" w:themeColor="text1"/>
        </w:rPr>
        <w:t>M2 Nove OIE elektrane (vjetroelektrane, solarne)</w:t>
      </w:r>
    </w:p>
    <w:p w14:paraId="54B9DCA9" w14:textId="77777777" w:rsidR="00E630B7" w:rsidRPr="001C58C6" w:rsidRDefault="00E630B7" w:rsidP="00E630B7">
      <w:pPr>
        <w:pStyle w:val="ListParagraph"/>
        <w:numPr>
          <w:ilvl w:val="0"/>
          <w:numId w:val="3"/>
        </w:numPr>
        <w:rPr>
          <w:rFonts w:ascii="Calibri" w:hAnsi="Calibri" w:cs="Calibri"/>
          <w:color w:val="000000" w:themeColor="text1"/>
        </w:rPr>
      </w:pPr>
      <w:r w:rsidRPr="001C58C6">
        <w:rPr>
          <w:rFonts w:ascii="Calibri" w:hAnsi="Calibri" w:cs="Calibri"/>
          <w:color w:val="000000" w:themeColor="text1"/>
        </w:rPr>
        <w:lastRenderedPageBreak/>
        <w:t>M3 Aukcije za OIE i dodatni kapaciteti</w:t>
      </w:r>
    </w:p>
    <w:p w14:paraId="79532F56" w14:textId="77777777" w:rsidR="00E630B7" w:rsidRPr="001C58C6" w:rsidRDefault="00E630B7" w:rsidP="00E630B7">
      <w:pPr>
        <w:pStyle w:val="ListParagraph"/>
        <w:numPr>
          <w:ilvl w:val="0"/>
          <w:numId w:val="3"/>
        </w:numPr>
        <w:rPr>
          <w:rFonts w:ascii="Calibri" w:hAnsi="Calibri" w:cs="Calibri"/>
          <w:color w:val="000000" w:themeColor="text1"/>
        </w:rPr>
      </w:pPr>
      <w:r w:rsidRPr="001C58C6">
        <w:rPr>
          <w:rFonts w:ascii="Calibri" w:hAnsi="Calibri" w:cs="Calibri"/>
          <w:color w:val="000000" w:themeColor="text1"/>
        </w:rPr>
        <w:t>M7 Energetska efikasnost u zgradama</w:t>
      </w:r>
    </w:p>
    <w:p w14:paraId="074BDE52" w14:textId="77777777" w:rsidR="00E630B7" w:rsidRPr="001C58C6" w:rsidRDefault="00E630B7" w:rsidP="00E630B7">
      <w:pPr>
        <w:rPr>
          <w:rFonts w:ascii="Calibri" w:hAnsi="Calibri" w:cs="Calibri"/>
          <w:color w:val="000000" w:themeColor="text1"/>
        </w:rPr>
      </w:pPr>
    </w:p>
    <w:p w14:paraId="049CAECF" w14:textId="77777777" w:rsidR="00E630B7" w:rsidRPr="001C58C6" w:rsidRDefault="00E630B7" w:rsidP="00E630B7">
      <w:pPr>
        <w:rPr>
          <w:rFonts w:ascii="Calibri" w:hAnsi="Calibri" w:cs="Calibri"/>
          <w:b/>
          <w:bCs/>
          <w:color w:val="000000" w:themeColor="text1"/>
        </w:rPr>
      </w:pPr>
      <w:r w:rsidRPr="001C58C6">
        <w:rPr>
          <w:rFonts w:ascii="Calibri" w:hAnsi="Calibri" w:cs="Calibri"/>
          <w:b/>
          <w:bCs/>
          <w:color w:val="000000" w:themeColor="text1"/>
        </w:rPr>
        <w:t>1.C - smanjenje emisija zagađujućih materija (NOx, SO2, NMVOC, NH3 i PM2.5).</w:t>
      </w:r>
    </w:p>
    <w:p w14:paraId="09EAE576" w14:textId="77777777" w:rsidR="00E630B7" w:rsidRPr="001C58C6" w:rsidRDefault="00E630B7" w:rsidP="00E630B7">
      <w:pPr>
        <w:rPr>
          <w:rFonts w:ascii="Calibri" w:hAnsi="Calibri" w:cs="Calibri"/>
          <w:b/>
          <w:bCs/>
          <w:color w:val="000000" w:themeColor="text1"/>
        </w:rPr>
      </w:pPr>
    </w:p>
    <w:p w14:paraId="1371A46E" w14:textId="77777777" w:rsidR="00E630B7" w:rsidRPr="001C58C6" w:rsidRDefault="00E630B7" w:rsidP="00E630B7">
      <w:pPr>
        <w:rPr>
          <w:rFonts w:ascii="Calibri" w:hAnsi="Calibri" w:cs="Calibri"/>
          <w:color w:val="000000" w:themeColor="text1"/>
        </w:rPr>
      </w:pPr>
      <w:r w:rsidRPr="001C58C6">
        <w:rPr>
          <w:rFonts w:ascii="Calibri" w:hAnsi="Calibri" w:cs="Calibri"/>
          <w:color w:val="000000" w:themeColor="text1"/>
        </w:rPr>
        <w:t xml:space="preserve">Postizanje cilja 1.C ostvaruje se sinergijski sa postizanjem ciljeva 1.A i 1.B kada su u pitanju emisije suspendovanih čestica, doprinoseći istovremeno smanjenju emisija nemetanskih lako isparljivih organskih jedinjenja (NMVOC), kroz sprovođenje mjera iz paketa M2, M3, M6 i M7. </w:t>
      </w:r>
    </w:p>
    <w:p w14:paraId="09BDCB28" w14:textId="77777777" w:rsidR="00E630B7" w:rsidRPr="001C58C6" w:rsidRDefault="00E630B7" w:rsidP="00E630B7">
      <w:pPr>
        <w:rPr>
          <w:rFonts w:ascii="Calibri" w:hAnsi="Calibri" w:cs="Calibri"/>
          <w:color w:val="000000" w:themeColor="text1"/>
        </w:rPr>
      </w:pPr>
    </w:p>
    <w:p w14:paraId="5127840A" w14:textId="77777777" w:rsidR="00E630B7" w:rsidRPr="001C58C6" w:rsidRDefault="00E630B7" w:rsidP="00E630B7">
      <w:pPr>
        <w:rPr>
          <w:rFonts w:ascii="Calibri" w:hAnsi="Calibri" w:cs="Calibri"/>
          <w:color w:val="000000" w:themeColor="text1"/>
        </w:rPr>
      </w:pPr>
      <w:r w:rsidRPr="001C58C6">
        <w:rPr>
          <w:rFonts w:ascii="Calibri" w:hAnsi="Calibri" w:cs="Calibri"/>
          <w:color w:val="000000" w:themeColor="text1"/>
        </w:rPr>
        <w:t>Ključna mjera za smanjenje emisija NOx i SO</w:t>
      </w:r>
      <w:r w:rsidRPr="001C58C6">
        <w:rPr>
          <w:rFonts w:ascii="Calibri" w:hAnsi="Calibri" w:cs="Calibri"/>
          <w:color w:val="000000" w:themeColor="text1"/>
          <w:vertAlign w:val="subscript"/>
        </w:rPr>
        <w:t xml:space="preserve">2 </w:t>
      </w:r>
      <w:r w:rsidRPr="001C58C6">
        <w:rPr>
          <w:rFonts w:ascii="Calibri" w:hAnsi="Calibri" w:cs="Calibri"/>
          <w:color w:val="000000" w:themeColor="text1"/>
        </w:rPr>
        <w:t xml:space="preserve">je rekonstrukcija TE Pljevlja (M1). U prvim danima probnog rada potvrđena su očekivana smanjenja emisija NOx, dok je rad TE Pljevlja bez funkcionalnog sistema za odsumporavanje otpadnog gasa doveo do visokih koncentracija sumpor-dioksida. Dalje funkcionisanje termoelektrane uslovljeno je strogim poštovanjem propisanih emisijskih standarda. </w:t>
      </w:r>
    </w:p>
    <w:p w14:paraId="74014A8C" w14:textId="77777777" w:rsidR="00E630B7" w:rsidRPr="001C58C6" w:rsidRDefault="00E630B7" w:rsidP="00E630B7">
      <w:pPr>
        <w:rPr>
          <w:rFonts w:ascii="Calibri" w:hAnsi="Calibri" w:cs="Calibri"/>
          <w:color w:val="000000" w:themeColor="text1"/>
        </w:rPr>
      </w:pPr>
    </w:p>
    <w:p w14:paraId="7095D1AC" w14:textId="77777777" w:rsidR="00E630B7" w:rsidRPr="001C58C6" w:rsidRDefault="00E630B7" w:rsidP="00E630B7">
      <w:pPr>
        <w:rPr>
          <w:rFonts w:ascii="Calibri" w:hAnsi="Calibri" w:cs="Calibri"/>
          <w:color w:val="000000" w:themeColor="text1"/>
        </w:rPr>
      </w:pPr>
      <w:r w:rsidRPr="001C58C6">
        <w:rPr>
          <w:rFonts w:ascii="Calibri" w:hAnsi="Calibri" w:cs="Calibri"/>
          <w:color w:val="000000" w:themeColor="text1"/>
        </w:rPr>
        <w:t xml:space="preserve">Projekcije su pokazale da među planiranim mjerama nema ključnog uticaja na emisije amonijaka koje uglavnom potiču iz sektora poljoprivrede. Postignuta smanjenja emisija amonijaka u proteklom periodu uglavnom se odnose na smanjenje stočnog fonda. Dalja smanjenja emisija amonijaka sprovodiće se i kroz primjenu obaveznih mjera u skladu sa Direktivom (EU) 2016/2284. </w:t>
      </w:r>
    </w:p>
    <w:p w14:paraId="3E999438" w14:textId="77777777" w:rsidR="00E630B7" w:rsidRPr="001C58C6" w:rsidRDefault="00E630B7" w:rsidP="00E630B7">
      <w:pPr>
        <w:rPr>
          <w:rFonts w:ascii="Calibri" w:hAnsi="Calibri" w:cs="Calibri"/>
          <w:b/>
          <w:bCs/>
          <w:color w:val="000000" w:themeColor="text1"/>
        </w:rPr>
      </w:pPr>
    </w:p>
    <w:p w14:paraId="24D7EF01" w14:textId="77777777" w:rsidR="00E630B7" w:rsidRPr="001C58C6" w:rsidRDefault="00E630B7" w:rsidP="00E630B7">
      <w:pPr>
        <w:rPr>
          <w:rFonts w:ascii="Calibri" w:hAnsi="Calibri" w:cs="Calibri"/>
          <w:b/>
          <w:bCs/>
          <w:color w:val="000000" w:themeColor="text1"/>
        </w:rPr>
      </w:pPr>
      <w:r w:rsidRPr="001C58C6">
        <w:rPr>
          <w:rFonts w:ascii="Calibri" w:hAnsi="Calibri" w:cs="Calibri"/>
          <w:b/>
          <w:bCs/>
          <w:color w:val="000000" w:themeColor="text1"/>
        </w:rPr>
        <w:t xml:space="preserve">2.A – poboljšanje kvaliteta podataka o kvalitetu vazduha i emisijama zagađujućih materija u vazduh; </w:t>
      </w:r>
    </w:p>
    <w:p w14:paraId="0AF8B7DB" w14:textId="77777777" w:rsidR="00E630B7" w:rsidRPr="001C58C6" w:rsidRDefault="00E630B7" w:rsidP="00E630B7">
      <w:pPr>
        <w:rPr>
          <w:rFonts w:ascii="Calibri" w:hAnsi="Calibri" w:cs="Calibri"/>
          <w:b/>
          <w:bCs/>
          <w:color w:val="000000" w:themeColor="text1"/>
        </w:rPr>
      </w:pPr>
    </w:p>
    <w:p w14:paraId="02B212C5" w14:textId="77777777" w:rsidR="00E630B7" w:rsidRPr="001C58C6" w:rsidRDefault="00E630B7" w:rsidP="00E630B7">
      <w:pPr>
        <w:rPr>
          <w:rFonts w:ascii="Calibri" w:hAnsi="Calibri" w:cs="Calibri"/>
          <w:color w:val="000000" w:themeColor="text1"/>
        </w:rPr>
      </w:pPr>
      <w:r w:rsidRPr="001C58C6">
        <w:rPr>
          <w:rFonts w:ascii="Calibri" w:hAnsi="Calibri" w:cs="Calibri"/>
          <w:color w:val="000000" w:themeColor="text1"/>
        </w:rPr>
        <w:t xml:space="preserve">Mjere za postizanje operativnih ciljeva vezanih za strateški cilj 2 - unapređenje praćenja i upravljanja kvalitetom vazduha po svojoj prirodi, načinu sprovođenja i praćenju rezultata u velikoj mjeri se razlikuju od mjera za postizanje strateškog cilja 1 koji se odnosi na poboljšanje kvaliteta vazduha u Crnoj Gori, ali u krajnjoj liniji znatno doprinosi ostvarenju ovog cilja. </w:t>
      </w:r>
    </w:p>
    <w:p w14:paraId="0486CA9D" w14:textId="77777777" w:rsidR="00E630B7" w:rsidRPr="001C58C6" w:rsidRDefault="00E630B7" w:rsidP="00E630B7">
      <w:pPr>
        <w:rPr>
          <w:rFonts w:ascii="Calibri" w:hAnsi="Calibri" w:cs="Calibri"/>
          <w:color w:val="000000" w:themeColor="text1"/>
        </w:rPr>
      </w:pPr>
    </w:p>
    <w:p w14:paraId="4217A19C" w14:textId="5A8F71F8" w:rsidR="00E630B7" w:rsidRPr="001C58C6" w:rsidRDefault="00E630B7" w:rsidP="00E630B7">
      <w:pPr>
        <w:rPr>
          <w:rFonts w:ascii="Calibri" w:hAnsi="Calibri" w:cs="Calibri"/>
          <w:color w:val="000000" w:themeColor="text1"/>
        </w:rPr>
      </w:pPr>
      <w:r w:rsidRPr="001C58C6">
        <w:rPr>
          <w:rFonts w:ascii="Calibri" w:hAnsi="Calibri" w:cs="Calibri"/>
          <w:color w:val="000000" w:themeColor="text1"/>
        </w:rPr>
        <w:t>Iako se pobiljšanjem kvaliteta podataka ne može direktno uticati na zagađenje vazduha, poboljšanje kvaliteta podataka doprinijeće boljem planiranju u narednom periodu i olakšati praćenje efekata mjera za smanjenje zagađenja. Aktivnosti na poboljšanju podataka usko su povezane sa procesom izgradnje institucionalnih kapaciteta i dalje harmonizacije pravnog i strateškog okvira sa zahtjevima EU. Predviđene mjere vezane su za ispunjavanje obaveza koje proističu iz Direktive (EU) 2024/288</w:t>
      </w:r>
      <w:r w:rsidR="00C7424E">
        <w:rPr>
          <w:rFonts w:ascii="Calibri" w:hAnsi="Calibri" w:cs="Calibri"/>
          <w:color w:val="000000" w:themeColor="text1"/>
        </w:rPr>
        <w:t>1</w:t>
      </w:r>
      <w:r w:rsidRPr="001C58C6">
        <w:rPr>
          <w:rFonts w:ascii="Calibri" w:hAnsi="Calibri" w:cs="Calibri"/>
          <w:color w:val="000000" w:themeColor="text1"/>
        </w:rPr>
        <w:t xml:space="preserve"> i Direktive (EU) 2016/2284: </w:t>
      </w:r>
    </w:p>
    <w:p w14:paraId="1F9FAD77" w14:textId="77777777" w:rsidR="00E630B7" w:rsidRPr="001C58C6" w:rsidRDefault="00E630B7" w:rsidP="00E630B7">
      <w:pPr>
        <w:rPr>
          <w:rFonts w:ascii="Calibri" w:hAnsi="Calibri" w:cs="Calibri"/>
          <w:color w:val="000000" w:themeColor="text1"/>
        </w:rPr>
      </w:pPr>
    </w:p>
    <w:p w14:paraId="4BCE6394" w14:textId="1CF0CEBF" w:rsidR="004068D0" w:rsidRPr="001C58C6" w:rsidRDefault="004068D0" w:rsidP="004068D0">
      <w:pPr>
        <w:pStyle w:val="ListParagraph"/>
        <w:numPr>
          <w:ilvl w:val="0"/>
          <w:numId w:val="3"/>
        </w:numPr>
        <w:rPr>
          <w:rFonts w:ascii="Calibri" w:hAnsi="Calibri" w:cs="Calibri"/>
          <w:color w:val="000000" w:themeColor="text1"/>
        </w:rPr>
      </w:pPr>
      <w:r w:rsidRPr="001C58C6">
        <w:rPr>
          <w:rFonts w:ascii="Calibri" w:hAnsi="Calibri" w:cs="Calibri"/>
          <w:color w:val="000000" w:themeColor="text1"/>
        </w:rPr>
        <w:t>Unapređenje pravnog okvira kroz potpunu transpoziciju Direktive (EU) 2024/2881 i Direktive (EU) 2016/2284;</w:t>
      </w:r>
    </w:p>
    <w:p w14:paraId="47CF0B31" w14:textId="5A9C58D7" w:rsidR="00E630B7" w:rsidRPr="001C58C6" w:rsidRDefault="00E630B7" w:rsidP="00E630B7">
      <w:pPr>
        <w:pStyle w:val="ListParagraph"/>
        <w:numPr>
          <w:ilvl w:val="0"/>
          <w:numId w:val="3"/>
        </w:numPr>
        <w:rPr>
          <w:rFonts w:ascii="Calibri" w:hAnsi="Calibri" w:cs="Calibri"/>
          <w:color w:val="000000" w:themeColor="text1"/>
        </w:rPr>
      </w:pPr>
      <w:r w:rsidRPr="001C58C6">
        <w:rPr>
          <w:rFonts w:ascii="Calibri" w:hAnsi="Calibri" w:cs="Calibri"/>
          <w:color w:val="000000" w:themeColor="text1"/>
        </w:rPr>
        <w:t xml:space="preserve">Preispitivanje zona kvaliteta vazduha u skladu sa članom 7 Direktive (EU) 2024/288 i unapređenje mreže za praćenje kvaliteta vazduha u skladu sa izvršenim preispitivanjem; </w:t>
      </w:r>
    </w:p>
    <w:p w14:paraId="6CED3C40" w14:textId="77777777" w:rsidR="00E630B7" w:rsidRPr="001C58C6" w:rsidRDefault="00E630B7" w:rsidP="00E630B7">
      <w:pPr>
        <w:pStyle w:val="ListParagraph"/>
        <w:numPr>
          <w:ilvl w:val="0"/>
          <w:numId w:val="3"/>
        </w:numPr>
        <w:rPr>
          <w:rFonts w:ascii="Calibri" w:hAnsi="Calibri" w:cs="Calibri"/>
          <w:color w:val="000000" w:themeColor="text1"/>
        </w:rPr>
      </w:pPr>
      <w:r w:rsidRPr="001C58C6">
        <w:rPr>
          <w:rFonts w:ascii="Calibri" w:hAnsi="Calibri" w:cs="Calibri"/>
          <w:color w:val="000000" w:themeColor="text1"/>
        </w:rPr>
        <w:t xml:space="preserve">Uvođenje prakse modeliranja kvaliteta vazduha kroz dodjelu zakonskih nadležnosti i izgradnju kapaciteta (SHMZ); </w:t>
      </w:r>
    </w:p>
    <w:p w14:paraId="642D6134" w14:textId="4D5658D9" w:rsidR="00E630B7" w:rsidRPr="001C58C6" w:rsidRDefault="00E630B7" w:rsidP="00E630B7">
      <w:pPr>
        <w:pStyle w:val="ListParagraph"/>
        <w:numPr>
          <w:ilvl w:val="0"/>
          <w:numId w:val="3"/>
        </w:numPr>
        <w:rPr>
          <w:rFonts w:ascii="Calibri" w:hAnsi="Calibri" w:cs="Calibri"/>
          <w:color w:val="000000" w:themeColor="text1"/>
        </w:rPr>
      </w:pPr>
      <w:r w:rsidRPr="001C58C6">
        <w:rPr>
          <w:rFonts w:ascii="Calibri" w:hAnsi="Calibri" w:cs="Calibri"/>
          <w:color w:val="000000" w:themeColor="text1"/>
        </w:rPr>
        <w:t xml:space="preserve">Unapređenje izvještavanja o emisijama zagađujućih materija u vazduh u skladu sa zahtjevima Direktive (EU) 2016/2284 uključujući izvještavanje o </w:t>
      </w:r>
      <w:r w:rsidR="00C7424E">
        <w:rPr>
          <w:rFonts w:ascii="Calibri" w:hAnsi="Calibri" w:cs="Calibri"/>
          <w:color w:val="000000" w:themeColor="text1"/>
        </w:rPr>
        <w:t>projekcijama</w:t>
      </w:r>
      <w:r w:rsidRPr="001C58C6">
        <w:rPr>
          <w:rFonts w:ascii="Calibri" w:hAnsi="Calibri" w:cs="Calibri"/>
          <w:color w:val="000000" w:themeColor="text1"/>
        </w:rPr>
        <w:t xml:space="preserve"> i disagregiranim inventarima emisija; </w:t>
      </w:r>
    </w:p>
    <w:p w14:paraId="3BF6EEC5" w14:textId="77777777" w:rsidR="00E630B7" w:rsidRPr="001C58C6" w:rsidRDefault="00E630B7" w:rsidP="00E630B7">
      <w:pPr>
        <w:pStyle w:val="ListParagraph"/>
        <w:numPr>
          <w:ilvl w:val="0"/>
          <w:numId w:val="3"/>
        </w:numPr>
        <w:rPr>
          <w:rFonts w:ascii="Calibri" w:hAnsi="Calibri" w:cs="Calibri"/>
          <w:color w:val="000000" w:themeColor="text1"/>
        </w:rPr>
      </w:pPr>
      <w:r w:rsidRPr="001C58C6">
        <w:rPr>
          <w:rFonts w:ascii="Calibri" w:hAnsi="Calibri" w:cs="Calibri"/>
          <w:color w:val="000000" w:themeColor="text1"/>
        </w:rPr>
        <w:t xml:space="preserve">Uspostavljanje praćenje uticaja zagađenja vazduha na ekosisteme u skladu sa zahtjevima Direktive (EU) 2016/2284. </w:t>
      </w:r>
    </w:p>
    <w:p w14:paraId="0B32BE1B" w14:textId="77777777" w:rsidR="00E630B7" w:rsidRPr="001C58C6" w:rsidRDefault="00E630B7" w:rsidP="00E630B7">
      <w:pPr>
        <w:rPr>
          <w:rFonts w:ascii="Calibri" w:hAnsi="Calibri" w:cs="Calibri"/>
          <w:b/>
          <w:bCs/>
          <w:color w:val="000000" w:themeColor="text1"/>
        </w:rPr>
      </w:pPr>
    </w:p>
    <w:p w14:paraId="34B3D0AD" w14:textId="77777777" w:rsidR="00E630B7" w:rsidRPr="001C58C6" w:rsidRDefault="00E630B7" w:rsidP="00E630B7">
      <w:pPr>
        <w:rPr>
          <w:rFonts w:ascii="Calibri" w:hAnsi="Calibri" w:cs="Calibri"/>
          <w:b/>
          <w:bCs/>
          <w:color w:val="000000" w:themeColor="text1"/>
        </w:rPr>
      </w:pPr>
      <w:r w:rsidRPr="001C58C6">
        <w:rPr>
          <w:rFonts w:ascii="Calibri" w:hAnsi="Calibri" w:cs="Calibri"/>
          <w:b/>
          <w:bCs/>
          <w:color w:val="000000" w:themeColor="text1"/>
        </w:rPr>
        <w:t xml:space="preserve">2.B – unapređenje saradnje između relevantnih institucija, jedinica lokalne samouprave, civilnog sektora i stručne javnosti; </w:t>
      </w:r>
    </w:p>
    <w:p w14:paraId="71593F88" w14:textId="77777777" w:rsidR="00E630B7" w:rsidRPr="001C58C6" w:rsidRDefault="00E630B7" w:rsidP="00E630B7">
      <w:pPr>
        <w:rPr>
          <w:rFonts w:ascii="Calibri" w:hAnsi="Calibri" w:cs="Calibri"/>
          <w:b/>
          <w:bCs/>
          <w:color w:val="000000" w:themeColor="text1"/>
        </w:rPr>
      </w:pPr>
      <w:r w:rsidRPr="001C58C6">
        <w:rPr>
          <w:rFonts w:ascii="Calibri" w:hAnsi="Calibri" w:cs="Calibri"/>
          <w:color w:val="000000" w:themeColor="text1"/>
        </w:rPr>
        <w:t xml:space="preserve">Unapređenje saradnje između relevantnih institucija jedinica lokalne samouprave, civilnog sektora i stručne javnosti obrađeno je u Poglavlju 4.1 ovog dokumenta kroz preporuku za uspostavljanje koordinacionog tijela za sprovođenje ove strategije. </w:t>
      </w:r>
    </w:p>
    <w:p w14:paraId="07E73793" w14:textId="77777777" w:rsidR="00E630B7" w:rsidRPr="001C58C6" w:rsidRDefault="00E630B7" w:rsidP="00E630B7">
      <w:pPr>
        <w:rPr>
          <w:rFonts w:ascii="Calibri" w:hAnsi="Calibri" w:cs="Calibri"/>
          <w:b/>
          <w:bCs/>
          <w:color w:val="000000" w:themeColor="text1"/>
        </w:rPr>
      </w:pPr>
    </w:p>
    <w:p w14:paraId="4C4BBCEC" w14:textId="77777777" w:rsidR="00E630B7" w:rsidRPr="001C58C6" w:rsidRDefault="00E630B7" w:rsidP="00E630B7">
      <w:pPr>
        <w:rPr>
          <w:rFonts w:ascii="Calibri" w:hAnsi="Calibri" w:cs="Calibri"/>
          <w:color w:val="000000" w:themeColor="text1"/>
        </w:rPr>
      </w:pPr>
      <w:r w:rsidRPr="001C58C6">
        <w:rPr>
          <w:rFonts w:ascii="Calibri" w:hAnsi="Calibri" w:cs="Calibri"/>
          <w:b/>
          <w:bCs/>
          <w:color w:val="000000" w:themeColor="text1"/>
        </w:rPr>
        <w:t>2.C – dalje usklađivanje sa strožim standardima kvaliteta vazduha.</w:t>
      </w:r>
      <w:r w:rsidRPr="001C58C6">
        <w:rPr>
          <w:rFonts w:ascii="Calibri" w:hAnsi="Calibri" w:cs="Calibri"/>
          <w:color w:val="000000" w:themeColor="text1"/>
        </w:rPr>
        <w:t xml:space="preserve"> </w:t>
      </w:r>
    </w:p>
    <w:p w14:paraId="109B7E42" w14:textId="77777777" w:rsidR="00E630B7" w:rsidRPr="001C58C6" w:rsidRDefault="00E630B7" w:rsidP="00E630B7">
      <w:pPr>
        <w:rPr>
          <w:rFonts w:ascii="Calibri" w:hAnsi="Calibri" w:cs="Calibri"/>
          <w:color w:val="000000" w:themeColor="text1"/>
        </w:rPr>
      </w:pPr>
    </w:p>
    <w:p w14:paraId="38475942" w14:textId="77777777" w:rsidR="00E630B7" w:rsidRPr="001C58C6" w:rsidRDefault="00E630B7" w:rsidP="00E630B7">
      <w:pPr>
        <w:rPr>
          <w:rFonts w:ascii="Calibri" w:hAnsi="Calibri" w:cs="Calibri"/>
          <w:color w:val="000000" w:themeColor="text1"/>
        </w:rPr>
      </w:pPr>
      <w:r w:rsidRPr="001C58C6">
        <w:rPr>
          <w:rFonts w:ascii="Calibri" w:hAnsi="Calibri" w:cs="Calibri"/>
          <w:color w:val="000000" w:themeColor="text1"/>
        </w:rPr>
        <w:t xml:space="preserve">Dalje usklađivanje sa strožim standardima kvaliteta vazduha postići će se kroz sljedeće aktivnosti: </w:t>
      </w:r>
    </w:p>
    <w:p w14:paraId="2438040F" w14:textId="77777777" w:rsidR="00E630B7" w:rsidRPr="001C58C6" w:rsidRDefault="00E630B7" w:rsidP="00E630B7">
      <w:pPr>
        <w:rPr>
          <w:rFonts w:ascii="Calibri" w:hAnsi="Calibri" w:cs="Calibri"/>
          <w:color w:val="000000" w:themeColor="text1"/>
        </w:rPr>
      </w:pPr>
    </w:p>
    <w:p w14:paraId="14006714" w14:textId="049B61B1" w:rsidR="00E630B7" w:rsidRPr="001C58C6" w:rsidRDefault="00E630B7" w:rsidP="00E630B7">
      <w:pPr>
        <w:pStyle w:val="ListParagraph"/>
        <w:numPr>
          <w:ilvl w:val="0"/>
          <w:numId w:val="3"/>
        </w:numPr>
        <w:rPr>
          <w:rFonts w:ascii="Calibri" w:hAnsi="Calibri" w:cs="Calibri"/>
          <w:color w:val="000000" w:themeColor="text1"/>
        </w:rPr>
      </w:pPr>
      <w:r w:rsidRPr="001C58C6">
        <w:rPr>
          <w:rFonts w:ascii="Calibri" w:hAnsi="Calibri" w:cs="Calibri"/>
          <w:color w:val="000000" w:themeColor="text1"/>
        </w:rPr>
        <w:t xml:space="preserve">Unapređenje pravnog okvira kroz potpunu transpoziciju Direktive (EU) </w:t>
      </w:r>
      <w:r w:rsidR="00C7424E">
        <w:rPr>
          <w:rFonts w:ascii="Calibri" w:hAnsi="Calibri" w:cs="Calibri"/>
          <w:color w:val="000000" w:themeColor="text1"/>
        </w:rPr>
        <w:t>2024/2881</w:t>
      </w:r>
      <w:r w:rsidRPr="001C58C6">
        <w:rPr>
          <w:rFonts w:ascii="Calibri" w:hAnsi="Calibri" w:cs="Calibri"/>
          <w:color w:val="000000" w:themeColor="text1"/>
        </w:rPr>
        <w:t xml:space="preserve">; </w:t>
      </w:r>
    </w:p>
    <w:p w14:paraId="6E7F2382" w14:textId="57FF6325" w:rsidR="00E630B7" w:rsidRPr="001C58C6" w:rsidRDefault="00E630B7" w:rsidP="00E630B7">
      <w:pPr>
        <w:pStyle w:val="ListParagraph"/>
        <w:numPr>
          <w:ilvl w:val="0"/>
          <w:numId w:val="3"/>
        </w:numPr>
        <w:rPr>
          <w:rFonts w:ascii="Calibri" w:hAnsi="Calibri" w:cs="Calibri"/>
          <w:color w:val="000000" w:themeColor="text1"/>
        </w:rPr>
      </w:pPr>
      <w:r w:rsidRPr="001C58C6">
        <w:rPr>
          <w:rFonts w:ascii="Calibri" w:hAnsi="Calibri" w:cs="Calibri"/>
          <w:color w:val="000000" w:themeColor="text1"/>
        </w:rPr>
        <w:t xml:space="preserve">Korišćenje mehanizma odlaganja primjene strožih standarda u skladu sa članom 18 Direktive (EU) </w:t>
      </w:r>
      <w:r w:rsidR="00C7424E">
        <w:rPr>
          <w:rFonts w:ascii="Calibri" w:hAnsi="Calibri" w:cs="Calibri"/>
          <w:color w:val="000000" w:themeColor="text1"/>
        </w:rPr>
        <w:t>2024/2881</w:t>
      </w:r>
      <w:r w:rsidRPr="001C58C6">
        <w:rPr>
          <w:rFonts w:ascii="Calibri" w:hAnsi="Calibri" w:cs="Calibri"/>
          <w:color w:val="000000" w:themeColor="text1"/>
        </w:rPr>
        <w:t xml:space="preserve"> u slučajevima gdje je to potrebno i opravdano; </w:t>
      </w:r>
    </w:p>
    <w:p w14:paraId="1E8229BD" w14:textId="7B8B63D8" w:rsidR="00E630B7" w:rsidRPr="001C58C6" w:rsidRDefault="00E630B7" w:rsidP="00E630B7">
      <w:pPr>
        <w:pStyle w:val="ListParagraph"/>
        <w:numPr>
          <w:ilvl w:val="0"/>
          <w:numId w:val="3"/>
        </w:numPr>
        <w:rPr>
          <w:rFonts w:ascii="Calibri" w:hAnsi="Calibri" w:cs="Calibri"/>
          <w:color w:val="000000" w:themeColor="text1"/>
        </w:rPr>
      </w:pPr>
      <w:r w:rsidRPr="001C58C6">
        <w:rPr>
          <w:rFonts w:ascii="Calibri" w:hAnsi="Calibri" w:cs="Calibri"/>
          <w:color w:val="000000" w:themeColor="text1"/>
        </w:rPr>
        <w:t xml:space="preserve">Sprovođenje specifičnog plana za implementaciju Direktive (EU) </w:t>
      </w:r>
      <w:r w:rsidR="00C7424E">
        <w:rPr>
          <w:rFonts w:ascii="Calibri" w:hAnsi="Calibri" w:cs="Calibri"/>
          <w:color w:val="000000" w:themeColor="text1"/>
        </w:rPr>
        <w:t>2024/2881</w:t>
      </w:r>
      <w:r w:rsidRPr="001C58C6">
        <w:rPr>
          <w:rFonts w:ascii="Calibri" w:hAnsi="Calibri" w:cs="Calibri"/>
          <w:color w:val="000000" w:themeColor="text1"/>
        </w:rPr>
        <w:t>;</w:t>
      </w:r>
      <w:r w:rsidRPr="001C58C6">
        <w:rPr>
          <w:rStyle w:val="FootnoteReference"/>
          <w:rFonts w:ascii="Calibri" w:hAnsi="Calibri" w:cs="Calibri"/>
          <w:color w:val="000000" w:themeColor="text1"/>
        </w:rPr>
        <w:footnoteReference w:id="23"/>
      </w:r>
    </w:p>
    <w:p w14:paraId="028806B7" w14:textId="77777777" w:rsidR="00E630B7" w:rsidRPr="001C58C6" w:rsidRDefault="00E630B7" w:rsidP="00E630B7">
      <w:pPr>
        <w:pStyle w:val="ListParagraph"/>
        <w:numPr>
          <w:ilvl w:val="0"/>
          <w:numId w:val="3"/>
        </w:numPr>
        <w:rPr>
          <w:rFonts w:ascii="Calibri" w:hAnsi="Calibri" w:cs="Calibri"/>
          <w:color w:val="000000" w:themeColor="text1"/>
        </w:rPr>
      </w:pPr>
      <w:r w:rsidRPr="001C58C6">
        <w:rPr>
          <w:rFonts w:ascii="Calibri" w:hAnsi="Calibri" w:cs="Calibri"/>
          <w:color w:val="000000" w:themeColor="text1"/>
        </w:rPr>
        <w:t xml:space="preserve">Izrada mape puta za postizanje strožih graničnih odnosno ciljnih vrijednosti koje se ne mogu dostići do 2030. godine; </w:t>
      </w:r>
    </w:p>
    <w:p w14:paraId="37763FCC" w14:textId="77777777" w:rsidR="00E630B7" w:rsidRPr="001C58C6" w:rsidRDefault="00E630B7" w:rsidP="00E630B7">
      <w:pPr>
        <w:pStyle w:val="ListParagraph"/>
        <w:numPr>
          <w:ilvl w:val="0"/>
          <w:numId w:val="3"/>
        </w:numPr>
        <w:rPr>
          <w:rFonts w:ascii="Calibri" w:hAnsi="Calibri" w:cs="Calibri"/>
          <w:color w:val="000000" w:themeColor="text1"/>
        </w:rPr>
      </w:pPr>
      <w:r w:rsidRPr="001C58C6">
        <w:rPr>
          <w:rFonts w:ascii="Calibri" w:hAnsi="Calibri" w:cs="Calibri"/>
          <w:color w:val="000000" w:themeColor="text1"/>
        </w:rPr>
        <w:t xml:space="preserve">Izrada lokalnih planova zaštite životne sredine u skladu sa Zakonom o životnoj sredini sa obaveznim mjerama zaštite vazduha usklađenim sa planovima kvaliteta vazduha za zone kvaliteta vazduha. </w:t>
      </w:r>
    </w:p>
    <w:p w14:paraId="4E7A3A1F" w14:textId="77777777" w:rsidR="00333BE7" w:rsidRPr="001C58C6" w:rsidRDefault="00333BE7" w:rsidP="00E53052">
      <w:pPr>
        <w:pStyle w:val="Heading1"/>
        <w:numPr>
          <w:ilvl w:val="0"/>
          <w:numId w:val="11"/>
        </w:numPr>
        <w:rPr>
          <w:rFonts w:ascii="Calibri" w:hAnsi="Calibri" w:cs="Calibri"/>
          <w:color w:val="000000" w:themeColor="text1"/>
        </w:rPr>
      </w:pPr>
      <w:bookmarkStart w:id="65" w:name="_Toc223515623"/>
      <w:bookmarkStart w:id="66" w:name="_Toc223515624"/>
      <w:bookmarkStart w:id="67" w:name="_Toc220070422"/>
      <w:bookmarkStart w:id="68" w:name="_Toc233711740"/>
      <w:bookmarkEnd w:id="65"/>
      <w:bookmarkEnd w:id="66"/>
      <w:r w:rsidRPr="001C58C6">
        <w:rPr>
          <w:rFonts w:ascii="Calibri" w:hAnsi="Calibri" w:cs="Calibri"/>
          <w:color w:val="000000" w:themeColor="text1"/>
        </w:rPr>
        <w:t>OPIS AKTIVNOSTI NADLEŽNIH ORGANA I TIJELA ZA PRAĆENJE SPROVOĐENJA STRATEGIJE</w:t>
      </w:r>
      <w:bookmarkEnd w:id="67"/>
      <w:bookmarkEnd w:id="68"/>
    </w:p>
    <w:p w14:paraId="42148CE8" w14:textId="77777777" w:rsidR="0082216D" w:rsidRPr="001C58C6" w:rsidRDefault="0082216D" w:rsidP="0082216D">
      <w:pPr>
        <w:rPr>
          <w:rFonts w:ascii="Calibri" w:hAnsi="Calibri" w:cs="Calibri"/>
          <w:color w:val="000000" w:themeColor="text1"/>
        </w:rPr>
      </w:pPr>
    </w:p>
    <w:p w14:paraId="296E6B5C" w14:textId="77777777" w:rsidR="00935DD0" w:rsidRPr="001C58C6" w:rsidRDefault="00935DD0" w:rsidP="00935DD0">
      <w:pPr>
        <w:rPr>
          <w:rFonts w:ascii="Calibri" w:hAnsi="Calibri" w:cs="Calibri"/>
          <w:color w:val="000000" w:themeColor="text1"/>
        </w:rPr>
      </w:pPr>
      <w:r w:rsidRPr="001C58C6">
        <w:rPr>
          <w:rFonts w:ascii="Calibri" w:hAnsi="Calibri" w:cs="Calibri"/>
          <w:color w:val="000000" w:themeColor="text1"/>
        </w:rPr>
        <w:t>Efikasno sprovođenje Strategije upravljanja kvalitetom vazduha zahtijeva jasno definisane uloge, odgovornosti, mehanizme koordinacije i praćenja, kao i dosljedno izvještavanje. Ovim poglavljem precizno se definišu nadležnosti na nacionalnom i lokalnom nivou, kao i procedure koje obezbjeđuju usklađenost sa evropskim zahtjevima i nacionalnim zakonodavstvom.</w:t>
      </w:r>
    </w:p>
    <w:p w14:paraId="0C19826A" w14:textId="77777777" w:rsidR="00935DD0" w:rsidRPr="001C58C6" w:rsidRDefault="00935DD0" w:rsidP="0033245A">
      <w:pPr>
        <w:pStyle w:val="Heading3"/>
        <w:rPr>
          <w:rFonts w:ascii="Calibri" w:hAnsi="Calibri" w:cs="Calibri"/>
          <w:color w:val="000000" w:themeColor="text1"/>
        </w:rPr>
      </w:pPr>
      <w:bookmarkStart w:id="69" w:name="_Toc217387921"/>
      <w:bookmarkStart w:id="70" w:name="_Toc217388065"/>
      <w:bookmarkStart w:id="71" w:name="_Toc220070423"/>
      <w:bookmarkStart w:id="72" w:name="_Toc233711741"/>
      <w:r w:rsidRPr="001C58C6">
        <w:rPr>
          <w:rFonts w:ascii="Calibri" w:hAnsi="Calibri" w:cs="Calibri"/>
          <w:color w:val="000000" w:themeColor="text1"/>
        </w:rPr>
        <w:t>Ministarstvo ekologije, održivog razvoja i razvoja sjevera</w:t>
      </w:r>
      <w:bookmarkEnd w:id="69"/>
      <w:bookmarkEnd w:id="70"/>
      <w:bookmarkEnd w:id="71"/>
      <w:bookmarkEnd w:id="72"/>
    </w:p>
    <w:p w14:paraId="49ACD5C1" w14:textId="77777777" w:rsidR="00935DD0" w:rsidRPr="001C58C6" w:rsidRDefault="00935DD0" w:rsidP="00935DD0">
      <w:pPr>
        <w:rPr>
          <w:rFonts w:ascii="Calibri" w:hAnsi="Calibri" w:cs="Calibri"/>
          <w:color w:val="000000" w:themeColor="text1"/>
        </w:rPr>
      </w:pPr>
      <w:r w:rsidRPr="001C58C6">
        <w:rPr>
          <w:rFonts w:ascii="Calibri" w:hAnsi="Calibri" w:cs="Calibri"/>
          <w:color w:val="000000" w:themeColor="text1"/>
        </w:rPr>
        <w:t>Ministarstvo ekologije, održivog razvoja i razvoja sjevera ima ključnu ulogu u koordinaciji i nadzoru nad sprovođenjem ove Strategije. U okviru svojih nadležnosti Ministarstvo:</w:t>
      </w:r>
    </w:p>
    <w:p w14:paraId="06911E44" w14:textId="77777777" w:rsidR="00935DD0" w:rsidRPr="001C58C6" w:rsidRDefault="00935DD0" w:rsidP="00E53052">
      <w:pPr>
        <w:pStyle w:val="ListParagraph"/>
        <w:numPr>
          <w:ilvl w:val="0"/>
          <w:numId w:val="20"/>
        </w:numPr>
        <w:rPr>
          <w:rFonts w:ascii="Calibri" w:hAnsi="Calibri" w:cs="Calibri"/>
          <w:color w:val="000000" w:themeColor="text1"/>
        </w:rPr>
      </w:pPr>
      <w:r w:rsidRPr="001C58C6">
        <w:rPr>
          <w:rFonts w:ascii="Calibri" w:hAnsi="Calibri" w:cs="Calibri"/>
          <w:color w:val="000000" w:themeColor="text1"/>
        </w:rPr>
        <w:t>koordiniše sprovođenje Strategije i Akcionog plana;</w:t>
      </w:r>
    </w:p>
    <w:p w14:paraId="0842BF51" w14:textId="77777777" w:rsidR="00935DD0" w:rsidRPr="001C58C6" w:rsidRDefault="00935DD0" w:rsidP="00E53052">
      <w:pPr>
        <w:pStyle w:val="ListParagraph"/>
        <w:numPr>
          <w:ilvl w:val="0"/>
          <w:numId w:val="20"/>
        </w:numPr>
        <w:rPr>
          <w:rFonts w:ascii="Calibri" w:hAnsi="Calibri" w:cs="Calibri"/>
          <w:color w:val="000000" w:themeColor="text1"/>
        </w:rPr>
      </w:pPr>
      <w:r w:rsidRPr="001C58C6">
        <w:rPr>
          <w:rFonts w:ascii="Calibri" w:hAnsi="Calibri" w:cs="Calibri"/>
          <w:color w:val="000000" w:themeColor="text1"/>
        </w:rPr>
        <w:t>obezbjeđuje horizontalnu koordinaciju između resornih ministarstava, Agencije za zaštitu životne sredine, Eko fonda, lokalnih samouprava, zdravstvenih institucija i drugih aktera;</w:t>
      </w:r>
    </w:p>
    <w:p w14:paraId="03B24B24" w14:textId="77777777" w:rsidR="00935DD0" w:rsidRPr="001C58C6" w:rsidRDefault="00935DD0" w:rsidP="00E53052">
      <w:pPr>
        <w:pStyle w:val="ListParagraph"/>
        <w:numPr>
          <w:ilvl w:val="0"/>
          <w:numId w:val="20"/>
        </w:numPr>
        <w:rPr>
          <w:rFonts w:ascii="Calibri" w:hAnsi="Calibri" w:cs="Calibri"/>
          <w:color w:val="000000" w:themeColor="text1"/>
        </w:rPr>
      </w:pPr>
      <w:r w:rsidRPr="001C58C6">
        <w:rPr>
          <w:rFonts w:ascii="Calibri" w:hAnsi="Calibri" w:cs="Calibri"/>
          <w:color w:val="000000" w:themeColor="text1"/>
        </w:rPr>
        <w:t>predlaže i sprovodi izmjene propisa u oblasti kvaliteta vazduha;</w:t>
      </w:r>
    </w:p>
    <w:p w14:paraId="69F946D8" w14:textId="77777777" w:rsidR="00935DD0" w:rsidRPr="001C58C6" w:rsidRDefault="00935DD0" w:rsidP="00E53052">
      <w:pPr>
        <w:pStyle w:val="ListParagraph"/>
        <w:numPr>
          <w:ilvl w:val="0"/>
          <w:numId w:val="20"/>
        </w:numPr>
        <w:rPr>
          <w:rFonts w:ascii="Calibri" w:hAnsi="Calibri" w:cs="Calibri"/>
          <w:color w:val="000000" w:themeColor="text1"/>
        </w:rPr>
      </w:pPr>
      <w:r w:rsidRPr="001C58C6">
        <w:rPr>
          <w:rFonts w:ascii="Calibri" w:hAnsi="Calibri" w:cs="Calibri"/>
          <w:color w:val="000000" w:themeColor="text1"/>
        </w:rPr>
        <w:t>prati sprovođenje planova kvaliteta vazduha u zonama i na lokalnom nivou;</w:t>
      </w:r>
    </w:p>
    <w:p w14:paraId="1B1FB11A" w14:textId="77777777" w:rsidR="00935DD0" w:rsidRPr="001C58C6" w:rsidRDefault="00935DD0" w:rsidP="00E53052">
      <w:pPr>
        <w:pStyle w:val="ListParagraph"/>
        <w:numPr>
          <w:ilvl w:val="0"/>
          <w:numId w:val="20"/>
        </w:numPr>
        <w:rPr>
          <w:rFonts w:ascii="Calibri" w:hAnsi="Calibri" w:cs="Calibri"/>
          <w:color w:val="000000" w:themeColor="text1"/>
        </w:rPr>
      </w:pPr>
      <w:r w:rsidRPr="001C58C6">
        <w:rPr>
          <w:rFonts w:ascii="Calibri" w:hAnsi="Calibri" w:cs="Calibri"/>
          <w:color w:val="000000" w:themeColor="text1"/>
        </w:rPr>
        <w:t>osigurava sprovođenje obaveza koje proističu iz procesa pristupanja EU i međunarodnih sporazuma;</w:t>
      </w:r>
    </w:p>
    <w:p w14:paraId="29D9E3C0" w14:textId="77777777" w:rsidR="00935DD0" w:rsidRPr="001C58C6" w:rsidRDefault="00935DD0" w:rsidP="00E53052">
      <w:pPr>
        <w:pStyle w:val="ListParagraph"/>
        <w:numPr>
          <w:ilvl w:val="0"/>
          <w:numId w:val="20"/>
        </w:numPr>
        <w:rPr>
          <w:rFonts w:ascii="Calibri" w:hAnsi="Calibri" w:cs="Calibri"/>
          <w:color w:val="000000" w:themeColor="text1"/>
        </w:rPr>
      </w:pPr>
      <w:r w:rsidRPr="001C58C6">
        <w:rPr>
          <w:rFonts w:ascii="Calibri" w:hAnsi="Calibri" w:cs="Calibri"/>
          <w:color w:val="000000" w:themeColor="text1"/>
        </w:rPr>
        <w:t>obezbjeđuje integraciju politike kvaliteta vazduha sa energetskom, saobraćajnom, zdravstvenom i socijalnom politikom;</w:t>
      </w:r>
    </w:p>
    <w:p w14:paraId="27030429" w14:textId="77777777" w:rsidR="00935DD0" w:rsidRPr="001C58C6" w:rsidRDefault="00935DD0" w:rsidP="00E53052">
      <w:pPr>
        <w:pStyle w:val="ListParagraph"/>
        <w:numPr>
          <w:ilvl w:val="0"/>
          <w:numId w:val="20"/>
        </w:numPr>
        <w:rPr>
          <w:rFonts w:ascii="Calibri" w:hAnsi="Calibri" w:cs="Calibri"/>
          <w:color w:val="000000" w:themeColor="text1"/>
        </w:rPr>
      </w:pPr>
      <w:r w:rsidRPr="001C58C6">
        <w:rPr>
          <w:rFonts w:ascii="Calibri" w:hAnsi="Calibri" w:cs="Calibri"/>
          <w:color w:val="000000" w:themeColor="text1"/>
        </w:rPr>
        <w:lastRenderedPageBreak/>
        <w:t>organizuje redovne koordinacione sastanke sa ključnim institucijama.</w:t>
      </w:r>
    </w:p>
    <w:p w14:paraId="39C35058" w14:textId="73D871C7" w:rsidR="00935DD0" w:rsidRPr="001C58C6" w:rsidRDefault="00935DD0" w:rsidP="00935DD0">
      <w:pPr>
        <w:rPr>
          <w:rFonts w:ascii="Calibri" w:hAnsi="Calibri" w:cs="Calibri"/>
          <w:color w:val="000000" w:themeColor="text1"/>
        </w:rPr>
      </w:pPr>
      <w:r w:rsidRPr="001C58C6">
        <w:rPr>
          <w:rFonts w:ascii="Calibri" w:hAnsi="Calibri" w:cs="Calibri"/>
          <w:color w:val="000000" w:themeColor="text1"/>
        </w:rPr>
        <w:t>Ministarstvo je nadležno za ukupno fun</w:t>
      </w:r>
      <w:r w:rsidR="003B196E">
        <w:rPr>
          <w:rFonts w:ascii="Calibri" w:hAnsi="Calibri" w:cs="Calibri"/>
          <w:color w:val="000000" w:themeColor="text1"/>
        </w:rPr>
        <w:t>k</w:t>
      </w:r>
      <w:r w:rsidRPr="001C58C6">
        <w:rPr>
          <w:rFonts w:ascii="Calibri" w:hAnsi="Calibri" w:cs="Calibri"/>
          <w:color w:val="000000" w:themeColor="text1"/>
        </w:rPr>
        <w:t>cionalno upravljanje sprovođenjem Strategije i nosilac je institucionalne odgovornosti za postizanje njenih ciljeva.</w:t>
      </w:r>
    </w:p>
    <w:p w14:paraId="14EE0355" w14:textId="77777777" w:rsidR="00935DD0" w:rsidRPr="001C58C6" w:rsidRDefault="00935DD0" w:rsidP="0033245A">
      <w:pPr>
        <w:pStyle w:val="Heading3"/>
        <w:rPr>
          <w:rFonts w:ascii="Calibri" w:hAnsi="Calibri" w:cs="Calibri"/>
          <w:color w:val="000000" w:themeColor="text1"/>
        </w:rPr>
      </w:pPr>
      <w:bookmarkStart w:id="73" w:name="_Toc217387922"/>
      <w:bookmarkStart w:id="74" w:name="_Toc217388066"/>
      <w:bookmarkStart w:id="75" w:name="_Toc220070424"/>
      <w:bookmarkStart w:id="76" w:name="_Toc233711742"/>
      <w:r w:rsidRPr="001C58C6">
        <w:rPr>
          <w:rFonts w:ascii="Calibri" w:hAnsi="Calibri" w:cs="Calibri"/>
          <w:color w:val="000000" w:themeColor="text1"/>
        </w:rPr>
        <w:t>Agencija za zaštitu životne sredine</w:t>
      </w:r>
      <w:bookmarkEnd w:id="73"/>
      <w:bookmarkEnd w:id="74"/>
      <w:bookmarkEnd w:id="75"/>
      <w:bookmarkEnd w:id="76"/>
    </w:p>
    <w:p w14:paraId="0A0292AC" w14:textId="77777777" w:rsidR="00935DD0" w:rsidRPr="001C58C6" w:rsidRDefault="00935DD0" w:rsidP="00935DD0">
      <w:pPr>
        <w:rPr>
          <w:rFonts w:ascii="Calibri" w:hAnsi="Calibri" w:cs="Calibri"/>
          <w:color w:val="000000" w:themeColor="text1"/>
        </w:rPr>
      </w:pPr>
      <w:r w:rsidRPr="001C58C6">
        <w:rPr>
          <w:rFonts w:ascii="Calibri" w:hAnsi="Calibri" w:cs="Calibri"/>
          <w:color w:val="000000" w:themeColor="text1"/>
        </w:rPr>
        <w:t>Agencija za zaštitu životne sredine (EPA) ima centralnu tehničku i stručnu ulogu u sistemu upravljanja kvalitetom vazduha. Njene ključne aktivnosti su:</w:t>
      </w:r>
    </w:p>
    <w:p w14:paraId="1FC18C34" w14:textId="77777777" w:rsidR="00935DD0" w:rsidRPr="001C58C6" w:rsidRDefault="00935DD0" w:rsidP="00E53052">
      <w:pPr>
        <w:pStyle w:val="ListParagraph"/>
        <w:numPr>
          <w:ilvl w:val="0"/>
          <w:numId w:val="21"/>
        </w:numPr>
        <w:rPr>
          <w:rFonts w:ascii="Calibri" w:hAnsi="Calibri" w:cs="Calibri"/>
          <w:color w:val="000000" w:themeColor="text1"/>
        </w:rPr>
      </w:pPr>
      <w:r w:rsidRPr="001C58C6">
        <w:rPr>
          <w:rFonts w:ascii="Calibri" w:hAnsi="Calibri" w:cs="Calibri"/>
          <w:color w:val="000000" w:themeColor="text1"/>
        </w:rPr>
        <w:t>upravljanje državnom mrežom za praćenje kvaliteta vazduha;</w:t>
      </w:r>
    </w:p>
    <w:p w14:paraId="5F2C77D0" w14:textId="77777777" w:rsidR="00935DD0" w:rsidRPr="001C58C6" w:rsidRDefault="00935DD0" w:rsidP="00E53052">
      <w:pPr>
        <w:pStyle w:val="ListParagraph"/>
        <w:numPr>
          <w:ilvl w:val="0"/>
          <w:numId w:val="21"/>
        </w:numPr>
        <w:rPr>
          <w:rFonts w:ascii="Calibri" w:hAnsi="Calibri" w:cs="Calibri"/>
          <w:color w:val="000000" w:themeColor="text1"/>
        </w:rPr>
      </w:pPr>
      <w:r w:rsidRPr="001C58C6">
        <w:rPr>
          <w:rFonts w:ascii="Calibri" w:hAnsi="Calibri" w:cs="Calibri"/>
          <w:color w:val="000000" w:themeColor="text1"/>
        </w:rPr>
        <w:t>obezbjeđivanje kontinuiranog i pouzdanog monitoringa zagađujućih materija;</w:t>
      </w:r>
    </w:p>
    <w:p w14:paraId="47FD46FF" w14:textId="77777777" w:rsidR="00935DD0" w:rsidRPr="001C58C6" w:rsidRDefault="00935DD0" w:rsidP="00E53052">
      <w:pPr>
        <w:pStyle w:val="ListParagraph"/>
        <w:numPr>
          <w:ilvl w:val="0"/>
          <w:numId w:val="21"/>
        </w:numPr>
        <w:rPr>
          <w:rFonts w:ascii="Calibri" w:hAnsi="Calibri" w:cs="Calibri"/>
          <w:color w:val="000000" w:themeColor="text1"/>
        </w:rPr>
      </w:pPr>
      <w:r w:rsidRPr="001C58C6">
        <w:rPr>
          <w:rFonts w:ascii="Calibri" w:hAnsi="Calibri" w:cs="Calibri"/>
          <w:color w:val="000000" w:themeColor="text1"/>
        </w:rPr>
        <w:t>sprovođenje sistema osiguranja i kontrole kvaliteta podataka;</w:t>
      </w:r>
    </w:p>
    <w:p w14:paraId="5A9975B5" w14:textId="77777777" w:rsidR="00935DD0" w:rsidRPr="001C58C6" w:rsidRDefault="00935DD0" w:rsidP="00E53052">
      <w:pPr>
        <w:pStyle w:val="ListParagraph"/>
        <w:numPr>
          <w:ilvl w:val="0"/>
          <w:numId w:val="21"/>
        </w:numPr>
        <w:rPr>
          <w:rFonts w:ascii="Calibri" w:hAnsi="Calibri" w:cs="Calibri"/>
          <w:color w:val="000000" w:themeColor="text1"/>
        </w:rPr>
      </w:pPr>
      <w:r w:rsidRPr="001C58C6">
        <w:rPr>
          <w:rFonts w:ascii="Calibri" w:hAnsi="Calibri" w:cs="Calibri"/>
          <w:color w:val="000000" w:themeColor="text1"/>
        </w:rPr>
        <w:t>redovno izvještavanje javnosti u realnom vremenu;</w:t>
      </w:r>
    </w:p>
    <w:p w14:paraId="4C458F1F" w14:textId="77777777" w:rsidR="00935DD0" w:rsidRPr="001C58C6" w:rsidRDefault="00935DD0" w:rsidP="00E53052">
      <w:pPr>
        <w:pStyle w:val="ListParagraph"/>
        <w:numPr>
          <w:ilvl w:val="0"/>
          <w:numId w:val="21"/>
        </w:numPr>
        <w:rPr>
          <w:rFonts w:ascii="Calibri" w:hAnsi="Calibri" w:cs="Calibri"/>
          <w:color w:val="000000" w:themeColor="text1"/>
        </w:rPr>
      </w:pPr>
      <w:r w:rsidRPr="001C58C6">
        <w:rPr>
          <w:rFonts w:ascii="Calibri" w:hAnsi="Calibri" w:cs="Calibri"/>
          <w:color w:val="000000" w:themeColor="text1"/>
        </w:rPr>
        <w:t>priprema godišnjih izvještaja o kvalitetu vazduha;</w:t>
      </w:r>
    </w:p>
    <w:p w14:paraId="23908775" w14:textId="77777777" w:rsidR="00935DD0" w:rsidRPr="001C58C6" w:rsidRDefault="00935DD0" w:rsidP="00E53052">
      <w:pPr>
        <w:pStyle w:val="ListParagraph"/>
        <w:numPr>
          <w:ilvl w:val="0"/>
          <w:numId w:val="21"/>
        </w:numPr>
        <w:rPr>
          <w:rFonts w:ascii="Calibri" w:hAnsi="Calibri" w:cs="Calibri"/>
          <w:color w:val="000000" w:themeColor="text1"/>
        </w:rPr>
      </w:pPr>
      <w:r w:rsidRPr="001C58C6">
        <w:rPr>
          <w:rFonts w:ascii="Calibri" w:hAnsi="Calibri" w:cs="Calibri"/>
          <w:color w:val="000000" w:themeColor="text1"/>
        </w:rPr>
        <w:t>izrada i ažuriranje inventara emisija zagađujućih materija u vazduh;</w:t>
      </w:r>
    </w:p>
    <w:p w14:paraId="7AA95C42" w14:textId="77777777" w:rsidR="00935DD0" w:rsidRPr="001C58C6" w:rsidRDefault="00935DD0" w:rsidP="00E53052">
      <w:pPr>
        <w:pStyle w:val="ListParagraph"/>
        <w:numPr>
          <w:ilvl w:val="0"/>
          <w:numId w:val="21"/>
        </w:numPr>
        <w:rPr>
          <w:rFonts w:ascii="Calibri" w:hAnsi="Calibri" w:cs="Calibri"/>
          <w:color w:val="000000" w:themeColor="text1"/>
        </w:rPr>
      </w:pPr>
      <w:r w:rsidRPr="001C58C6">
        <w:rPr>
          <w:rFonts w:ascii="Calibri" w:hAnsi="Calibri" w:cs="Calibri"/>
          <w:color w:val="000000" w:themeColor="text1"/>
        </w:rPr>
        <w:t>dostavljanje podataka međunarodnim tijelima i evropskim institucijama;</w:t>
      </w:r>
    </w:p>
    <w:p w14:paraId="4E453820" w14:textId="77777777" w:rsidR="00935DD0" w:rsidRPr="001C58C6" w:rsidRDefault="00935DD0" w:rsidP="00E53052">
      <w:pPr>
        <w:pStyle w:val="ListParagraph"/>
        <w:numPr>
          <w:ilvl w:val="0"/>
          <w:numId w:val="21"/>
        </w:numPr>
        <w:rPr>
          <w:rFonts w:ascii="Calibri" w:hAnsi="Calibri" w:cs="Calibri"/>
          <w:color w:val="000000" w:themeColor="text1"/>
        </w:rPr>
      </w:pPr>
      <w:r w:rsidRPr="001C58C6">
        <w:rPr>
          <w:rFonts w:ascii="Calibri" w:hAnsi="Calibri" w:cs="Calibri"/>
          <w:color w:val="000000" w:themeColor="text1"/>
        </w:rPr>
        <w:t>tehnička podrška Ministarstvu i lokalnim samoupravama.</w:t>
      </w:r>
    </w:p>
    <w:p w14:paraId="5087100C" w14:textId="77777777" w:rsidR="00935DD0" w:rsidRPr="001C58C6" w:rsidRDefault="00935DD0" w:rsidP="00935DD0">
      <w:pPr>
        <w:rPr>
          <w:rFonts w:ascii="Calibri" w:hAnsi="Calibri" w:cs="Calibri"/>
          <w:color w:val="000000" w:themeColor="text1"/>
        </w:rPr>
      </w:pPr>
      <w:r w:rsidRPr="001C58C6">
        <w:rPr>
          <w:rFonts w:ascii="Calibri" w:hAnsi="Calibri" w:cs="Calibri"/>
          <w:color w:val="000000" w:themeColor="text1"/>
        </w:rPr>
        <w:t>EPA obezbjeđuje analitičku osnovu za donošenje politika i njihovu evaluaciju.</w:t>
      </w:r>
    </w:p>
    <w:p w14:paraId="687F6FD4" w14:textId="77777777" w:rsidR="00935DD0" w:rsidRPr="001C58C6" w:rsidRDefault="00935DD0" w:rsidP="00935DD0">
      <w:pPr>
        <w:rPr>
          <w:rFonts w:ascii="Calibri" w:hAnsi="Calibri" w:cs="Calibri"/>
          <w:color w:val="000000" w:themeColor="text1"/>
        </w:rPr>
      </w:pPr>
    </w:p>
    <w:p w14:paraId="7BF1FF30" w14:textId="77777777" w:rsidR="00935DD0" w:rsidRPr="001C58C6" w:rsidRDefault="00935DD0" w:rsidP="0033245A">
      <w:pPr>
        <w:pStyle w:val="Heading3"/>
        <w:rPr>
          <w:rFonts w:ascii="Calibri" w:hAnsi="Calibri" w:cs="Calibri"/>
          <w:color w:val="000000" w:themeColor="text1"/>
        </w:rPr>
      </w:pPr>
      <w:bookmarkStart w:id="77" w:name="_Toc220070425"/>
      <w:bookmarkStart w:id="78" w:name="_Toc217387923"/>
      <w:bookmarkStart w:id="79" w:name="_Toc217388067"/>
      <w:bookmarkStart w:id="80" w:name="_Toc233711743"/>
      <w:r w:rsidRPr="001C58C6">
        <w:rPr>
          <w:rFonts w:ascii="Calibri" w:hAnsi="Calibri" w:cs="Calibri"/>
          <w:color w:val="000000" w:themeColor="text1"/>
        </w:rPr>
        <w:t>Lokaln</w:t>
      </w:r>
      <w:r w:rsidR="00CE7D7E" w:rsidRPr="001C58C6">
        <w:rPr>
          <w:rFonts w:ascii="Calibri" w:hAnsi="Calibri" w:cs="Calibri"/>
          <w:color w:val="000000" w:themeColor="text1"/>
        </w:rPr>
        <w:t>e</w:t>
      </w:r>
      <w:r w:rsidRPr="001C58C6">
        <w:rPr>
          <w:rFonts w:ascii="Calibri" w:hAnsi="Calibri" w:cs="Calibri"/>
          <w:color w:val="000000" w:themeColor="text1"/>
        </w:rPr>
        <w:t xml:space="preserve"> samouprav</w:t>
      </w:r>
      <w:r w:rsidR="00CE7D7E" w:rsidRPr="001C58C6">
        <w:rPr>
          <w:rFonts w:ascii="Calibri" w:hAnsi="Calibri" w:cs="Calibri"/>
          <w:color w:val="000000" w:themeColor="text1"/>
        </w:rPr>
        <w:t>e</w:t>
      </w:r>
      <w:bookmarkEnd w:id="77"/>
      <w:bookmarkEnd w:id="80"/>
    </w:p>
    <w:bookmarkEnd w:id="78"/>
    <w:bookmarkEnd w:id="79"/>
    <w:p w14:paraId="0DD7D937" w14:textId="77777777" w:rsidR="00935DD0" w:rsidRPr="001C58C6" w:rsidRDefault="00935DD0" w:rsidP="00935DD0">
      <w:pPr>
        <w:rPr>
          <w:rFonts w:ascii="Calibri" w:hAnsi="Calibri" w:cs="Calibri"/>
          <w:color w:val="000000" w:themeColor="text1"/>
        </w:rPr>
      </w:pPr>
      <w:r w:rsidRPr="001C58C6">
        <w:rPr>
          <w:rFonts w:ascii="Calibri" w:hAnsi="Calibri" w:cs="Calibri"/>
          <w:color w:val="000000" w:themeColor="text1"/>
        </w:rPr>
        <w:t>Jedinice lokalne samouprave imaju ključnu implementacionu ulogu. Njihove obaveze uključuju:</w:t>
      </w:r>
    </w:p>
    <w:p w14:paraId="2CB4C15D" w14:textId="77777777" w:rsidR="00935DD0" w:rsidRPr="001C58C6" w:rsidRDefault="00935DD0" w:rsidP="00E53052">
      <w:pPr>
        <w:pStyle w:val="ListParagraph"/>
        <w:numPr>
          <w:ilvl w:val="0"/>
          <w:numId w:val="22"/>
        </w:numPr>
        <w:rPr>
          <w:rFonts w:ascii="Calibri" w:hAnsi="Calibri" w:cs="Calibri"/>
          <w:color w:val="000000" w:themeColor="text1"/>
        </w:rPr>
      </w:pPr>
      <w:r w:rsidRPr="001C58C6">
        <w:rPr>
          <w:rFonts w:ascii="Calibri" w:hAnsi="Calibri" w:cs="Calibri"/>
          <w:color w:val="000000" w:themeColor="text1"/>
        </w:rPr>
        <w:t>izradu i sprovođenje lokalnih planova kvaliteta vazduha,</w:t>
      </w:r>
    </w:p>
    <w:p w14:paraId="2D6AD0F9" w14:textId="77777777" w:rsidR="00935DD0" w:rsidRPr="001C58C6" w:rsidRDefault="00935DD0" w:rsidP="00E53052">
      <w:pPr>
        <w:pStyle w:val="ListParagraph"/>
        <w:numPr>
          <w:ilvl w:val="0"/>
          <w:numId w:val="22"/>
        </w:numPr>
        <w:rPr>
          <w:rFonts w:ascii="Calibri" w:hAnsi="Calibri" w:cs="Calibri"/>
          <w:color w:val="000000" w:themeColor="text1"/>
        </w:rPr>
      </w:pPr>
      <w:r w:rsidRPr="001C58C6">
        <w:rPr>
          <w:rFonts w:ascii="Calibri" w:hAnsi="Calibri" w:cs="Calibri"/>
          <w:color w:val="000000" w:themeColor="text1"/>
        </w:rPr>
        <w:t>planiranje i sprovođenje mjera u sektorima grijanja, saobraćaja, energetike i urbanizma,</w:t>
      </w:r>
    </w:p>
    <w:p w14:paraId="75DF9F2B" w14:textId="77777777" w:rsidR="00935DD0" w:rsidRPr="001C58C6" w:rsidRDefault="00935DD0" w:rsidP="00E53052">
      <w:pPr>
        <w:pStyle w:val="ListParagraph"/>
        <w:numPr>
          <w:ilvl w:val="0"/>
          <w:numId w:val="22"/>
        </w:numPr>
        <w:rPr>
          <w:rFonts w:ascii="Calibri" w:hAnsi="Calibri" w:cs="Calibri"/>
          <w:color w:val="000000" w:themeColor="text1"/>
        </w:rPr>
      </w:pPr>
      <w:r w:rsidRPr="001C58C6">
        <w:rPr>
          <w:rFonts w:ascii="Calibri" w:hAnsi="Calibri" w:cs="Calibri"/>
          <w:color w:val="000000" w:themeColor="text1"/>
        </w:rPr>
        <w:t>sprovođenje mjera smanjenja emisija u skladu sa zonama kvaliteta vazduha,</w:t>
      </w:r>
    </w:p>
    <w:p w14:paraId="1EEA3619" w14:textId="77777777" w:rsidR="00935DD0" w:rsidRPr="001C58C6" w:rsidRDefault="00935DD0" w:rsidP="00E53052">
      <w:pPr>
        <w:pStyle w:val="ListParagraph"/>
        <w:numPr>
          <w:ilvl w:val="0"/>
          <w:numId w:val="22"/>
        </w:numPr>
        <w:rPr>
          <w:rFonts w:ascii="Calibri" w:hAnsi="Calibri" w:cs="Calibri"/>
          <w:color w:val="000000" w:themeColor="text1"/>
        </w:rPr>
      </w:pPr>
      <w:r w:rsidRPr="001C58C6">
        <w:rPr>
          <w:rFonts w:ascii="Calibri" w:hAnsi="Calibri" w:cs="Calibri"/>
          <w:color w:val="000000" w:themeColor="text1"/>
        </w:rPr>
        <w:t>lokalno izvještavanje i komunikaciju sa stanovništvom,</w:t>
      </w:r>
    </w:p>
    <w:p w14:paraId="1A2A3221" w14:textId="77777777" w:rsidR="00935DD0" w:rsidRPr="001C58C6" w:rsidRDefault="00935DD0" w:rsidP="00E53052">
      <w:pPr>
        <w:pStyle w:val="ListParagraph"/>
        <w:numPr>
          <w:ilvl w:val="0"/>
          <w:numId w:val="22"/>
        </w:numPr>
        <w:rPr>
          <w:rFonts w:ascii="Calibri" w:hAnsi="Calibri" w:cs="Calibri"/>
          <w:color w:val="000000" w:themeColor="text1"/>
        </w:rPr>
      </w:pPr>
      <w:r w:rsidRPr="001C58C6">
        <w:rPr>
          <w:rFonts w:ascii="Calibri" w:hAnsi="Calibri" w:cs="Calibri"/>
          <w:color w:val="000000" w:themeColor="text1"/>
        </w:rPr>
        <w:t>saradnju sa Ministarstvom, EPA i Eko fondom,</w:t>
      </w:r>
    </w:p>
    <w:p w14:paraId="5FD1D5AE" w14:textId="77777777" w:rsidR="00935DD0" w:rsidRPr="001C58C6" w:rsidRDefault="00935DD0" w:rsidP="00E53052">
      <w:pPr>
        <w:pStyle w:val="ListParagraph"/>
        <w:numPr>
          <w:ilvl w:val="0"/>
          <w:numId w:val="22"/>
        </w:numPr>
        <w:rPr>
          <w:rFonts w:ascii="Calibri" w:hAnsi="Calibri" w:cs="Calibri"/>
          <w:color w:val="000000" w:themeColor="text1"/>
        </w:rPr>
      </w:pPr>
      <w:r w:rsidRPr="001C58C6">
        <w:rPr>
          <w:rFonts w:ascii="Calibri" w:hAnsi="Calibri" w:cs="Calibri"/>
          <w:color w:val="000000" w:themeColor="text1"/>
        </w:rPr>
        <w:t>integraciju mjera kvaliteta vazduha u lokalne razvojne dokumente.</w:t>
      </w:r>
    </w:p>
    <w:p w14:paraId="0FFF6F2C" w14:textId="77777777" w:rsidR="00935DD0" w:rsidRPr="001C58C6" w:rsidRDefault="00935DD0" w:rsidP="00935DD0">
      <w:pPr>
        <w:rPr>
          <w:rFonts w:ascii="Calibri" w:hAnsi="Calibri" w:cs="Calibri"/>
          <w:color w:val="000000" w:themeColor="text1"/>
        </w:rPr>
      </w:pPr>
      <w:r w:rsidRPr="001C58C6">
        <w:rPr>
          <w:rFonts w:ascii="Calibri" w:hAnsi="Calibri" w:cs="Calibri"/>
          <w:color w:val="000000" w:themeColor="text1"/>
        </w:rPr>
        <w:t>Lokalne vlasti imaju posebnu odgovornost u zonama gdje su utvrđena prekoračenja graničnih i ciljnih vrijednosti.</w:t>
      </w:r>
    </w:p>
    <w:p w14:paraId="5558A13B" w14:textId="77777777" w:rsidR="00570942" w:rsidRPr="001C58C6" w:rsidRDefault="00935DD0" w:rsidP="0033245A">
      <w:pPr>
        <w:pStyle w:val="Heading3"/>
        <w:rPr>
          <w:rFonts w:ascii="Calibri" w:hAnsi="Calibri" w:cs="Calibri"/>
          <w:color w:val="000000" w:themeColor="text1"/>
        </w:rPr>
      </w:pPr>
      <w:bookmarkStart w:id="81" w:name="_Toc217387924"/>
      <w:bookmarkStart w:id="82" w:name="_Toc217388068"/>
      <w:bookmarkStart w:id="83" w:name="_Toc220070426"/>
      <w:bookmarkStart w:id="84" w:name="_Toc233711744"/>
      <w:r w:rsidRPr="001C58C6">
        <w:rPr>
          <w:rFonts w:ascii="Calibri" w:hAnsi="Calibri" w:cs="Calibri"/>
          <w:color w:val="000000" w:themeColor="text1"/>
        </w:rPr>
        <w:t>Ministarstvo energetike i rudarstva</w:t>
      </w:r>
      <w:bookmarkEnd w:id="81"/>
      <w:bookmarkEnd w:id="82"/>
      <w:bookmarkEnd w:id="83"/>
      <w:bookmarkEnd w:id="84"/>
    </w:p>
    <w:p w14:paraId="442E41C1" w14:textId="77777777" w:rsidR="00935DD0" w:rsidRPr="001C58C6" w:rsidRDefault="00935DD0" w:rsidP="00935DD0">
      <w:pPr>
        <w:rPr>
          <w:rFonts w:ascii="Calibri" w:hAnsi="Calibri" w:cs="Calibri"/>
          <w:color w:val="000000" w:themeColor="text1"/>
        </w:rPr>
      </w:pPr>
      <w:r w:rsidRPr="001C58C6">
        <w:rPr>
          <w:rFonts w:ascii="Calibri" w:hAnsi="Calibri" w:cs="Calibri"/>
          <w:color w:val="000000" w:themeColor="text1"/>
        </w:rPr>
        <w:t>Ministarstvo energetike i rudarstva je odgovorno za sprovođenje politika koje utiču na sektor energetike u dijelu:</w:t>
      </w:r>
    </w:p>
    <w:p w14:paraId="3D9D637A" w14:textId="77777777" w:rsidR="00935DD0" w:rsidRPr="001C58C6" w:rsidRDefault="00935DD0" w:rsidP="00E53052">
      <w:pPr>
        <w:pStyle w:val="ListParagraph"/>
        <w:numPr>
          <w:ilvl w:val="0"/>
          <w:numId w:val="23"/>
        </w:numPr>
        <w:rPr>
          <w:rFonts w:ascii="Calibri" w:hAnsi="Calibri" w:cs="Calibri"/>
          <w:color w:val="000000" w:themeColor="text1"/>
        </w:rPr>
      </w:pPr>
      <w:r w:rsidRPr="001C58C6">
        <w:rPr>
          <w:rFonts w:ascii="Calibri" w:hAnsi="Calibri" w:cs="Calibri"/>
          <w:color w:val="000000" w:themeColor="text1"/>
        </w:rPr>
        <w:t>sprovođenja Nacionalnog energetskog i klimatskog plana,</w:t>
      </w:r>
    </w:p>
    <w:p w14:paraId="59FE1B68" w14:textId="77777777" w:rsidR="00935DD0" w:rsidRPr="001C58C6" w:rsidRDefault="00935DD0" w:rsidP="00E53052">
      <w:pPr>
        <w:pStyle w:val="ListParagraph"/>
        <w:numPr>
          <w:ilvl w:val="0"/>
          <w:numId w:val="23"/>
        </w:numPr>
        <w:rPr>
          <w:rFonts w:ascii="Calibri" w:hAnsi="Calibri" w:cs="Calibri"/>
          <w:color w:val="000000" w:themeColor="text1"/>
        </w:rPr>
      </w:pPr>
      <w:r w:rsidRPr="001C58C6">
        <w:rPr>
          <w:rFonts w:ascii="Calibri" w:hAnsi="Calibri" w:cs="Calibri"/>
          <w:color w:val="000000" w:themeColor="text1"/>
        </w:rPr>
        <w:t>planiranja i realizacije mjera energetske tranzicije,</w:t>
      </w:r>
    </w:p>
    <w:p w14:paraId="046E47B1" w14:textId="77777777" w:rsidR="00935DD0" w:rsidRPr="001C58C6" w:rsidRDefault="00935DD0" w:rsidP="00E53052">
      <w:pPr>
        <w:pStyle w:val="ListParagraph"/>
        <w:numPr>
          <w:ilvl w:val="0"/>
          <w:numId w:val="23"/>
        </w:numPr>
        <w:rPr>
          <w:rFonts w:ascii="Calibri" w:hAnsi="Calibri" w:cs="Calibri"/>
          <w:color w:val="000000" w:themeColor="text1"/>
        </w:rPr>
      </w:pPr>
      <w:r w:rsidRPr="001C58C6">
        <w:rPr>
          <w:rFonts w:ascii="Calibri" w:hAnsi="Calibri" w:cs="Calibri"/>
          <w:color w:val="000000" w:themeColor="text1"/>
        </w:rPr>
        <w:t>praćenja emisija iz energetskog sektora,</w:t>
      </w:r>
    </w:p>
    <w:p w14:paraId="15C0FBCA" w14:textId="77777777" w:rsidR="00935DD0" w:rsidRPr="001C58C6" w:rsidRDefault="00935DD0" w:rsidP="00E53052">
      <w:pPr>
        <w:pStyle w:val="ListParagraph"/>
        <w:numPr>
          <w:ilvl w:val="0"/>
          <w:numId w:val="23"/>
        </w:numPr>
        <w:rPr>
          <w:rFonts w:ascii="Calibri" w:hAnsi="Calibri" w:cs="Calibri"/>
          <w:color w:val="000000" w:themeColor="text1"/>
        </w:rPr>
      </w:pPr>
      <w:r w:rsidRPr="001C58C6">
        <w:rPr>
          <w:rFonts w:ascii="Calibri" w:hAnsi="Calibri" w:cs="Calibri"/>
          <w:color w:val="000000" w:themeColor="text1"/>
        </w:rPr>
        <w:t>unapređenja energetske efikasnosti,</w:t>
      </w:r>
    </w:p>
    <w:p w14:paraId="2788277C" w14:textId="77777777" w:rsidR="00935DD0" w:rsidRPr="001C58C6" w:rsidRDefault="00935DD0" w:rsidP="00E53052">
      <w:pPr>
        <w:pStyle w:val="ListParagraph"/>
        <w:numPr>
          <w:ilvl w:val="0"/>
          <w:numId w:val="23"/>
        </w:numPr>
        <w:rPr>
          <w:rFonts w:ascii="Calibri" w:hAnsi="Calibri" w:cs="Calibri"/>
          <w:color w:val="000000" w:themeColor="text1"/>
        </w:rPr>
      </w:pPr>
      <w:r w:rsidRPr="001C58C6">
        <w:rPr>
          <w:rFonts w:ascii="Calibri" w:hAnsi="Calibri" w:cs="Calibri"/>
          <w:color w:val="000000" w:themeColor="text1"/>
        </w:rPr>
        <w:t>unapređenja sistema grijanja, uključujući razvoj daljinskog grijanja,</w:t>
      </w:r>
    </w:p>
    <w:p w14:paraId="2D5F953E" w14:textId="77777777" w:rsidR="00935DD0" w:rsidRPr="001C58C6" w:rsidRDefault="00935DD0" w:rsidP="00E53052">
      <w:pPr>
        <w:pStyle w:val="ListParagraph"/>
        <w:numPr>
          <w:ilvl w:val="0"/>
          <w:numId w:val="23"/>
        </w:numPr>
        <w:rPr>
          <w:rFonts w:ascii="Calibri" w:hAnsi="Calibri" w:cs="Calibri"/>
          <w:color w:val="000000" w:themeColor="text1"/>
        </w:rPr>
      </w:pPr>
      <w:r w:rsidRPr="001C58C6">
        <w:rPr>
          <w:rFonts w:ascii="Calibri" w:hAnsi="Calibri" w:cs="Calibri"/>
          <w:color w:val="000000" w:themeColor="text1"/>
        </w:rPr>
        <w:t>obezbjeđivanja bezbjednog i ekološki odgovornog rada velikih energetskih postrojenja.</w:t>
      </w:r>
    </w:p>
    <w:p w14:paraId="46ED3328" w14:textId="77777777" w:rsidR="00935DD0" w:rsidRPr="001C58C6" w:rsidRDefault="00935DD0" w:rsidP="00935DD0">
      <w:pPr>
        <w:rPr>
          <w:rFonts w:ascii="Calibri" w:hAnsi="Calibri" w:cs="Calibri"/>
          <w:color w:val="000000" w:themeColor="text1"/>
        </w:rPr>
      </w:pPr>
      <w:r w:rsidRPr="001C58C6">
        <w:rPr>
          <w:rFonts w:ascii="Calibri" w:hAnsi="Calibri" w:cs="Calibri"/>
          <w:color w:val="000000" w:themeColor="text1"/>
        </w:rPr>
        <w:t>Poseban značaj imaju aktivnosti u vezi sa smanjenjem emisija iz termoenergetskih postrojenja i prelaskom na čišće izvore energije.</w:t>
      </w:r>
    </w:p>
    <w:p w14:paraId="14D051E3" w14:textId="77777777" w:rsidR="00935DD0" w:rsidRPr="001C58C6" w:rsidRDefault="00935DD0" w:rsidP="0033245A">
      <w:pPr>
        <w:pStyle w:val="Heading3"/>
        <w:rPr>
          <w:rFonts w:ascii="Calibri" w:hAnsi="Calibri" w:cs="Calibri"/>
          <w:color w:val="000000" w:themeColor="text1"/>
        </w:rPr>
      </w:pPr>
      <w:bookmarkStart w:id="85" w:name="_Toc217387925"/>
      <w:bookmarkStart w:id="86" w:name="_Toc217388069"/>
      <w:bookmarkStart w:id="87" w:name="_Toc220070427"/>
      <w:bookmarkStart w:id="88" w:name="_Toc233711745"/>
      <w:r w:rsidRPr="001C58C6">
        <w:rPr>
          <w:rFonts w:ascii="Calibri" w:hAnsi="Calibri" w:cs="Calibri"/>
          <w:color w:val="000000" w:themeColor="text1"/>
        </w:rPr>
        <w:lastRenderedPageBreak/>
        <w:t>Ministarstvo saobraćaja</w:t>
      </w:r>
      <w:bookmarkEnd w:id="85"/>
      <w:bookmarkEnd w:id="86"/>
      <w:bookmarkEnd w:id="87"/>
      <w:bookmarkEnd w:id="88"/>
    </w:p>
    <w:p w14:paraId="16E22877" w14:textId="77777777" w:rsidR="00935DD0" w:rsidRPr="001C58C6" w:rsidRDefault="00935DD0" w:rsidP="00935DD0">
      <w:pPr>
        <w:rPr>
          <w:rFonts w:ascii="Calibri" w:hAnsi="Calibri" w:cs="Calibri"/>
          <w:color w:val="000000" w:themeColor="text1"/>
        </w:rPr>
      </w:pPr>
      <w:r w:rsidRPr="001C58C6">
        <w:rPr>
          <w:rFonts w:ascii="Calibri" w:hAnsi="Calibri" w:cs="Calibri"/>
          <w:color w:val="000000" w:themeColor="text1"/>
        </w:rPr>
        <w:t>Ministarstvo saobraćaja ima ključnu ulogu u mjerama smanjenja emisija iz saobraćaja i doprinosi realizaciji Strategije kroz:</w:t>
      </w:r>
    </w:p>
    <w:p w14:paraId="7D371D24" w14:textId="77777777" w:rsidR="00935DD0" w:rsidRPr="001C58C6" w:rsidRDefault="00935DD0" w:rsidP="00E53052">
      <w:pPr>
        <w:pStyle w:val="ListParagraph"/>
        <w:numPr>
          <w:ilvl w:val="0"/>
          <w:numId w:val="24"/>
        </w:numPr>
        <w:rPr>
          <w:rFonts w:ascii="Calibri" w:hAnsi="Calibri" w:cs="Calibri"/>
          <w:color w:val="000000" w:themeColor="text1"/>
        </w:rPr>
      </w:pPr>
      <w:r w:rsidRPr="001C58C6">
        <w:rPr>
          <w:rFonts w:ascii="Calibri" w:hAnsi="Calibri" w:cs="Calibri"/>
          <w:color w:val="000000" w:themeColor="text1"/>
        </w:rPr>
        <w:t>unapređenje javnog prevoza,</w:t>
      </w:r>
    </w:p>
    <w:p w14:paraId="4665EBF5" w14:textId="77777777" w:rsidR="00935DD0" w:rsidRPr="001C58C6" w:rsidRDefault="00935DD0" w:rsidP="00E53052">
      <w:pPr>
        <w:pStyle w:val="ListParagraph"/>
        <w:numPr>
          <w:ilvl w:val="0"/>
          <w:numId w:val="24"/>
        </w:numPr>
        <w:rPr>
          <w:rFonts w:ascii="Calibri" w:hAnsi="Calibri" w:cs="Calibri"/>
          <w:color w:val="000000" w:themeColor="text1"/>
        </w:rPr>
      </w:pPr>
      <w:r w:rsidRPr="001C58C6">
        <w:rPr>
          <w:rFonts w:ascii="Calibri" w:hAnsi="Calibri" w:cs="Calibri"/>
          <w:color w:val="000000" w:themeColor="text1"/>
        </w:rPr>
        <w:t>razvoj održive mobilnosti,</w:t>
      </w:r>
    </w:p>
    <w:p w14:paraId="4F19F5D6" w14:textId="77777777" w:rsidR="00935DD0" w:rsidRPr="001C58C6" w:rsidRDefault="00935DD0" w:rsidP="00E53052">
      <w:pPr>
        <w:pStyle w:val="ListParagraph"/>
        <w:numPr>
          <w:ilvl w:val="0"/>
          <w:numId w:val="24"/>
        </w:numPr>
        <w:rPr>
          <w:rFonts w:ascii="Calibri" w:hAnsi="Calibri" w:cs="Calibri"/>
          <w:color w:val="000000" w:themeColor="text1"/>
        </w:rPr>
      </w:pPr>
      <w:r w:rsidRPr="001C58C6">
        <w:rPr>
          <w:rFonts w:ascii="Calibri" w:hAnsi="Calibri" w:cs="Calibri"/>
          <w:color w:val="000000" w:themeColor="text1"/>
        </w:rPr>
        <w:t>regulisanje tehničkih standarda za vozila,</w:t>
      </w:r>
    </w:p>
    <w:p w14:paraId="31F8F8CC" w14:textId="77777777" w:rsidR="00935DD0" w:rsidRPr="001C58C6" w:rsidRDefault="00935DD0" w:rsidP="00E53052">
      <w:pPr>
        <w:pStyle w:val="ListParagraph"/>
        <w:numPr>
          <w:ilvl w:val="0"/>
          <w:numId w:val="24"/>
        </w:numPr>
        <w:rPr>
          <w:rFonts w:ascii="Calibri" w:hAnsi="Calibri" w:cs="Calibri"/>
          <w:color w:val="000000" w:themeColor="text1"/>
        </w:rPr>
      </w:pPr>
      <w:r w:rsidRPr="001C58C6">
        <w:rPr>
          <w:rFonts w:ascii="Calibri" w:hAnsi="Calibri" w:cs="Calibri"/>
          <w:color w:val="000000" w:themeColor="text1"/>
        </w:rPr>
        <w:t>smanjenje udjela vozila sa visokim emisijama,</w:t>
      </w:r>
    </w:p>
    <w:p w14:paraId="376D6CB9" w14:textId="77777777" w:rsidR="00935DD0" w:rsidRPr="001C58C6" w:rsidRDefault="00935DD0" w:rsidP="00E53052">
      <w:pPr>
        <w:pStyle w:val="ListParagraph"/>
        <w:numPr>
          <w:ilvl w:val="0"/>
          <w:numId w:val="24"/>
        </w:numPr>
        <w:rPr>
          <w:rFonts w:ascii="Calibri" w:hAnsi="Calibri" w:cs="Calibri"/>
          <w:color w:val="000000" w:themeColor="text1"/>
        </w:rPr>
      </w:pPr>
      <w:r w:rsidRPr="001C58C6">
        <w:rPr>
          <w:rFonts w:ascii="Calibri" w:hAnsi="Calibri" w:cs="Calibri"/>
          <w:color w:val="000000" w:themeColor="text1"/>
        </w:rPr>
        <w:t>podršku prelasku na čista vozila i e-mobilnost.</w:t>
      </w:r>
    </w:p>
    <w:p w14:paraId="7BF0BB09" w14:textId="77777777" w:rsidR="00935DD0" w:rsidRPr="001C58C6" w:rsidRDefault="00935DD0" w:rsidP="00935DD0">
      <w:pPr>
        <w:rPr>
          <w:rFonts w:ascii="Calibri" w:hAnsi="Calibri" w:cs="Calibri"/>
          <w:color w:val="000000" w:themeColor="text1"/>
        </w:rPr>
      </w:pPr>
      <w:r w:rsidRPr="001C58C6">
        <w:rPr>
          <w:rFonts w:ascii="Calibri" w:hAnsi="Calibri" w:cs="Calibri"/>
          <w:color w:val="000000" w:themeColor="text1"/>
        </w:rPr>
        <w:t>Ove aktivnosti su usklađene sa ciljevima EU politika o kvalitetu vazduha i klimatskoj neutralnosti.</w:t>
      </w:r>
    </w:p>
    <w:p w14:paraId="5D44538F" w14:textId="77777777" w:rsidR="00935DD0" w:rsidRPr="001C58C6" w:rsidRDefault="00935DD0" w:rsidP="0033245A">
      <w:pPr>
        <w:pStyle w:val="Heading3"/>
        <w:rPr>
          <w:rFonts w:ascii="Calibri" w:hAnsi="Calibri" w:cs="Calibri"/>
          <w:color w:val="000000" w:themeColor="text1"/>
        </w:rPr>
      </w:pPr>
      <w:bookmarkStart w:id="89" w:name="_Toc217387926"/>
      <w:bookmarkStart w:id="90" w:name="_Toc217388070"/>
      <w:bookmarkStart w:id="91" w:name="_Toc220070428"/>
      <w:bookmarkStart w:id="92" w:name="_Toc233711746"/>
      <w:r w:rsidRPr="001C58C6">
        <w:rPr>
          <w:rFonts w:ascii="Calibri" w:hAnsi="Calibri" w:cs="Calibri"/>
          <w:color w:val="000000" w:themeColor="text1"/>
        </w:rPr>
        <w:t>Ministarstvo finansija i Ministarstvo evropskih poslova</w:t>
      </w:r>
      <w:bookmarkEnd w:id="89"/>
      <w:bookmarkEnd w:id="90"/>
      <w:bookmarkEnd w:id="91"/>
      <w:bookmarkEnd w:id="92"/>
    </w:p>
    <w:p w14:paraId="21468891" w14:textId="77777777" w:rsidR="00935DD0" w:rsidRPr="001C58C6" w:rsidRDefault="00935DD0" w:rsidP="00935DD0">
      <w:pPr>
        <w:rPr>
          <w:rFonts w:ascii="Calibri" w:hAnsi="Calibri" w:cs="Calibri"/>
          <w:color w:val="000000" w:themeColor="text1"/>
        </w:rPr>
      </w:pPr>
      <w:r w:rsidRPr="001C58C6">
        <w:rPr>
          <w:rFonts w:ascii="Calibri" w:hAnsi="Calibri" w:cs="Calibri"/>
          <w:color w:val="000000" w:themeColor="text1"/>
        </w:rPr>
        <w:t>Ministarstvo finansija:</w:t>
      </w:r>
    </w:p>
    <w:p w14:paraId="29F1E091" w14:textId="77777777" w:rsidR="00935DD0" w:rsidRPr="001C58C6" w:rsidRDefault="00935DD0" w:rsidP="00E53052">
      <w:pPr>
        <w:pStyle w:val="ListParagraph"/>
        <w:numPr>
          <w:ilvl w:val="0"/>
          <w:numId w:val="26"/>
        </w:numPr>
        <w:rPr>
          <w:rFonts w:ascii="Calibri" w:hAnsi="Calibri" w:cs="Calibri"/>
          <w:color w:val="000000" w:themeColor="text1"/>
        </w:rPr>
      </w:pPr>
      <w:r w:rsidRPr="001C58C6">
        <w:rPr>
          <w:rFonts w:ascii="Calibri" w:hAnsi="Calibri" w:cs="Calibri"/>
          <w:color w:val="000000" w:themeColor="text1"/>
        </w:rPr>
        <w:t>obezbjeđuje finansijsku održivost sprovođenja Strategije;</w:t>
      </w:r>
    </w:p>
    <w:p w14:paraId="3F40F5DD" w14:textId="77777777" w:rsidR="00935DD0" w:rsidRPr="001C58C6" w:rsidRDefault="00935DD0" w:rsidP="00E53052">
      <w:pPr>
        <w:pStyle w:val="ListParagraph"/>
        <w:numPr>
          <w:ilvl w:val="0"/>
          <w:numId w:val="26"/>
        </w:numPr>
        <w:rPr>
          <w:rFonts w:ascii="Calibri" w:hAnsi="Calibri" w:cs="Calibri"/>
          <w:color w:val="000000" w:themeColor="text1"/>
        </w:rPr>
      </w:pPr>
      <w:r w:rsidRPr="001C58C6">
        <w:rPr>
          <w:rFonts w:ascii="Calibri" w:hAnsi="Calibri" w:cs="Calibri"/>
          <w:color w:val="000000" w:themeColor="text1"/>
        </w:rPr>
        <w:t>planira i obezbjeđuje sredstva za realizaciju mjera;</w:t>
      </w:r>
    </w:p>
    <w:p w14:paraId="3A24FB4C" w14:textId="77777777" w:rsidR="00935DD0" w:rsidRPr="001C58C6" w:rsidRDefault="00935DD0" w:rsidP="00E53052">
      <w:pPr>
        <w:pStyle w:val="ListParagraph"/>
        <w:numPr>
          <w:ilvl w:val="0"/>
          <w:numId w:val="26"/>
        </w:numPr>
        <w:rPr>
          <w:rFonts w:ascii="Calibri" w:hAnsi="Calibri" w:cs="Calibri"/>
          <w:color w:val="000000" w:themeColor="text1"/>
        </w:rPr>
      </w:pPr>
      <w:r w:rsidRPr="001C58C6">
        <w:rPr>
          <w:rFonts w:ascii="Calibri" w:hAnsi="Calibri" w:cs="Calibri"/>
          <w:color w:val="000000" w:themeColor="text1"/>
        </w:rPr>
        <w:t>podržava fiskalne mehanizme koji doprinose smanjenju emisija.</w:t>
      </w:r>
    </w:p>
    <w:p w14:paraId="37C96E8C" w14:textId="77777777" w:rsidR="00935DD0" w:rsidRPr="001C58C6" w:rsidRDefault="00935DD0" w:rsidP="00935DD0">
      <w:pPr>
        <w:rPr>
          <w:rFonts w:ascii="Calibri" w:hAnsi="Calibri" w:cs="Calibri"/>
          <w:color w:val="000000" w:themeColor="text1"/>
        </w:rPr>
      </w:pPr>
      <w:r w:rsidRPr="001C58C6">
        <w:rPr>
          <w:rFonts w:ascii="Calibri" w:hAnsi="Calibri" w:cs="Calibri"/>
          <w:color w:val="000000" w:themeColor="text1"/>
        </w:rPr>
        <w:t>Ministarstvo evropskih poslova:</w:t>
      </w:r>
    </w:p>
    <w:p w14:paraId="45A2C5D4" w14:textId="77777777" w:rsidR="00935DD0" w:rsidRPr="001C58C6" w:rsidRDefault="00935DD0" w:rsidP="00E53052">
      <w:pPr>
        <w:pStyle w:val="ListParagraph"/>
        <w:numPr>
          <w:ilvl w:val="0"/>
          <w:numId w:val="25"/>
        </w:numPr>
        <w:rPr>
          <w:rFonts w:ascii="Calibri" w:hAnsi="Calibri" w:cs="Calibri"/>
          <w:color w:val="000000" w:themeColor="text1"/>
        </w:rPr>
      </w:pPr>
      <w:r w:rsidRPr="001C58C6">
        <w:rPr>
          <w:rFonts w:ascii="Calibri" w:hAnsi="Calibri" w:cs="Calibri"/>
          <w:color w:val="000000" w:themeColor="text1"/>
        </w:rPr>
        <w:t>koordinira pitanja koja se odnose na poglavlje 27 – životna sredina i klimatske promjene,</w:t>
      </w:r>
    </w:p>
    <w:p w14:paraId="108C2F1C" w14:textId="77777777" w:rsidR="00935DD0" w:rsidRPr="001C58C6" w:rsidRDefault="00935DD0" w:rsidP="00E53052">
      <w:pPr>
        <w:pStyle w:val="ListParagraph"/>
        <w:numPr>
          <w:ilvl w:val="0"/>
          <w:numId w:val="25"/>
        </w:numPr>
        <w:rPr>
          <w:rFonts w:ascii="Calibri" w:hAnsi="Calibri" w:cs="Calibri"/>
          <w:color w:val="000000" w:themeColor="text1"/>
        </w:rPr>
      </w:pPr>
      <w:r w:rsidRPr="001C58C6">
        <w:rPr>
          <w:rFonts w:ascii="Calibri" w:hAnsi="Calibri" w:cs="Calibri"/>
          <w:color w:val="000000" w:themeColor="text1"/>
        </w:rPr>
        <w:t>obezbjeđuje harmonizaciju politike kvaliteta vazduha sa pravnom tekovinom EU.</w:t>
      </w:r>
    </w:p>
    <w:p w14:paraId="6CF7F785" w14:textId="77777777" w:rsidR="00841AA7" w:rsidRPr="001C58C6" w:rsidRDefault="00841AA7" w:rsidP="00841AA7">
      <w:pPr>
        <w:rPr>
          <w:rFonts w:ascii="Calibri" w:hAnsi="Calibri" w:cs="Calibri"/>
          <w:color w:val="000000" w:themeColor="text1"/>
        </w:rPr>
      </w:pPr>
    </w:p>
    <w:p w14:paraId="7FDFABEA" w14:textId="77777777" w:rsidR="00841AA7" w:rsidRPr="001C58C6" w:rsidRDefault="00841AA7" w:rsidP="00A0374C">
      <w:pPr>
        <w:pStyle w:val="Heading3"/>
        <w:rPr>
          <w:rFonts w:ascii="Calibri" w:hAnsi="Calibri" w:cs="Calibri"/>
          <w:color w:val="000000" w:themeColor="text1"/>
        </w:rPr>
      </w:pPr>
      <w:bookmarkStart w:id="93" w:name="_Toc233711747"/>
      <w:r w:rsidRPr="001C58C6">
        <w:rPr>
          <w:rFonts w:ascii="Calibri" w:hAnsi="Calibri" w:cs="Calibri"/>
          <w:color w:val="000000" w:themeColor="text1"/>
        </w:rPr>
        <w:t>Ministarstvo poljoprivrede, šumarstva i vodoprivrede</w:t>
      </w:r>
      <w:bookmarkEnd w:id="93"/>
    </w:p>
    <w:p w14:paraId="42D320ED" w14:textId="77777777" w:rsidR="00800DD4" w:rsidRPr="001C58C6" w:rsidRDefault="00800DD4" w:rsidP="00A0374C">
      <w:pPr>
        <w:rPr>
          <w:rFonts w:ascii="Calibri" w:hAnsi="Calibri" w:cs="Calibri"/>
          <w:color w:val="000000" w:themeColor="text1"/>
        </w:rPr>
      </w:pPr>
      <w:r w:rsidRPr="001C58C6">
        <w:rPr>
          <w:rFonts w:ascii="Calibri" w:hAnsi="Calibri" w:cs="Calibri"/>
          <w:color w:val="000000" w:themeColor="text1"/>
        </w:rPr>
        <w:t>U okviru Strategije upravljanja kvalitetom vazduha, Ministarstvo poljoprivrede, šumarstva i vodoprivrede ima važnu ulogu u sprovođenju mjera koje se odnose na smanjenje emisija iz sektora poljoprivrede, kao i u promociji održivog upravljanja zemljištem i šumskim ekosistemima.</w:t>
      </w:r>
      <w:r w:rsidR="00617B8D" w:rsidRPr="001C58C6">
        <w:rPr>
          <w:rFonts w:ascii="Calibri" w:hAnsi="Calibri" w:cs="Calibri"/>
          <w:color w:val="000000" w:themeColor="text1"/>
        </w:rPr>
        <w:t xml:space="preserve"> Ovo ministarstvo:</w:t>
      </w:r>
    </w:p>
    <w:p w14:paraId="38A2F3BF" w14:textId="77777777" w:rsidR="00800DD4" w:rsidRPr="001C58C6" w:rsidRDefault="00800DD4" w:rsidP="00A0374C">
      <w:pPr>
        <w:pStyle w:val="ListParagraph"/>
        <w:ind w:left="567"/>
        <w:rPr>
          <w:rFonts w:ascii="Calibri" w:hAnsi="Calibri" w:cs="Calibri"/>
          <w:color w:val="000000" w:themeColor="text1"/>
        </w:rPr>
      </w:pPr>
    </w:p>
    <w:p w14:paraId="5E6DC372" w14:textId="77777777" w:rsidR="00841AA7" w:rsidRPr="001C58C6" w:rsidRDefault="00841AA7" w:rsidP="00E53052">
      <w:pPr>
        <w:pStyle w:val="ListParagraph"/>
        <w:numPr>
          <w:ilvl w:val="0"/>
          <w:numId w:val="100"/>
        </w:numPr>
        <w:ind w:left="709"/>
        <w:rPr>
          <w:rFonts w:ascii="Calibri" w:hAnsi="Calibri" w:cs="Calibri"/>
          <w:color w:val="000000" w:themeColor="text1"/>
        </w:rPr>
      </w:pPr>
      <w:r w:rsidRPr="001C58C6">
        <w:rPr>
          <w:rFonts w:ascii="Calibri" w:hAnsi="Calibri" w:cs="Calibri"/>
          <w:color w:val="000000" w:themeColor="text1"/>
        </w:rPr>
        <w:t>učestvuje u sprovođenju mjera koje se odnose na smanjenje emisija iz sektora poljoprivrede, posebno emisija amonijaka (NH₃);</w:t>
      </w:r>
    </w:p>
    <w:p w14:paraId="33EFDD2F" w14:textId="77777777" w:rsidR="00841AA7" w:rsidRPr="001C58C6" w:rsidRDefault="00841AA7" w:rsidP="00E53052">
      <w:pPr>
        <w:pStyle w:val="ListParagraph"/>
        <w:numPr>
          <w:ilvl w:val="0"/>
          <w:numId w:val="100"/>
        </w:numPr>
        <w:ind w:left="709"/>
        <w:rPr>
          <w:rFonts w:ascii="Calibri" w:hAnsi="Calibri" w:cs="Calibri"/>
          <w:color w:val="000000" w:themeColor="text1"/>
        </w:rPr>
      </w:pPr>
      <w:r w:rsidRPr="001C58C6">
        <w:rPr>
          <w:rFonts w:ascii="Calibri" w:hAnsi="Calibri" w:cs="Calibri"/>
          <w:color w:val="000000" w:themeColor="text1"/>
        </w:rPr>
        <w:t>promoviše održive poljoprivredne prakse i efikasno upravljanje stajnjakom i đubrivima;</w:t>
      </w:r>
    </w:p>
    <w:p w14:paraId="140515B7" w14:textId="77777777" w:rsidR="00841AA7" w:rsidRPr="001C58C6" w:rsidRDefault="00841AA7" w:rsidP="00E53052">
      <w:pPr>
        <w:pStyle w:val="ListParagraph"/>
        <w:numPr>
          <w:ilvl w:val="0"/>
          <w:numId w:val="100"/>
        </w:numPr>
        <w:ind w:left="709"/>
        <w:rPr>
          <w:rFonts w:ascii="Calibri" w:hAnsi="Calibri" w:cs="Calibri"/>
          <w:color w:val="000000" w:themeColor="text1"/>
        </w:rPr>
      </w:pPr>
      <w:r w:rsidRPr="001C58C6">
        <w:rPr>
          <w:rFonts w:ascii="Calibri" w:hAnsi="Calibri" w:cs="Calibri"/>
          <w:color w:val="000000" w:themeColor="text1"/>
        </w:rPr>
        <w:t>doprinosi očuvanju i unapređenju šumskih ekosistema koji imaju važnu ulogu u regulaciji kvaliteta vazduha i klimatskih uslova.</w:t>
      </w:r>
    </w:p>
    <w:p w14:paraId="221EC574" w14:textId="77777777" w:rsidR="000755B5" w:rsidRPr="001C58C6" w:rsidRDefault="00935DD0" w:rsidP="0033245A">
      <w:pPr>
        <w:pStyle w:val="Heading3"/>
        <w:rPr>
          <w:rFonts w:ascii="Calibri" w:hAnsi="Calibri" w:cs="Calibri"/>
          <w:color w:val="000000" w:themeColor="text1"/>
        </w:rPr>
      </w:pPr>
      <w:bookmarkStart w:id="94" w:name="_Toc217387927"/>
      <w:bookmarkStart w:id="95" w:name="_Toc217388071"/>
      <w:bookmarkStart w:id="96" w:name="_Toc220070429"/>
      <w:bookmarkStart w:id="97" w:name="_Toc233711748"/>
      <w:r w:rsidRPr="001C58C6">
        <w:rPr>
          <w:rFonts w:ascii="Calibri" w:hAnsi="Calibri" w:cs="Calibri"/>
          <w:color w:val="000000" w:themeColor="text1"/>
        </w:rPr>
        <w:t>Eko fond</w:t>
      </w:r>
      <w:bookmarkEnd w:id="94"/>
      <w:bookmarkEnd w:id="95"/>
      <w:bookmarkEnd w:id="96"/>
      <w:bookmarkEnd w:id="97"/>
    </w:p>
    <w:p w14:paraId="1189C0EB" w14:textId="77777777" w:rsidR="00935DD0" w:rsidRPr="001C58C6" w:rsidRDefault="00935DD0" w:rsidP="00935DD0">
      <w:pPr>
        <w:rPr>
          <w:rFonts w:ascii="Calibri" w:hAnsi="Calibri" w:cs="Calibri"/>
          <w:color w:val="000000" w:themeColor="text1"/>
        </w:rPr>
      </w:pPr>
      <w:r w:rsidRPr="001C58C6">
        <w:rPr>
          <w:rFonts w:ascii="Calibri" w:hAnsi="Calibri" w:cs="Calibri"/>
          <w:color w:val="000000" w:themeColor="text1"/>
        </w:rPr>
        <w:t>Eko fond predstavlja ključni finansijski i implementacioni mehanizam za sprovođenje mjera koje doprinose poboljšanju kvaliteta vazduha. Njegove aktivnosti uključuju:</w:t>
      </w:r>
    </w:p>
    <w:p w14:paraId="6CBABFAD" w14:textId="77777777" w:rsidR="00935DD0" w:rsidRPr="001C58C6" w:rsidRDefault="00935DD0" w:rsidP="00E53052">
      <w:pPr>
        <w:pStyle w:val="ListParagraph"/>
        <w:numPr>
          <w:ilvl w:val="0"/>
          <w:numId w:val="27"/>
        </w:numPr>
        <w:rPr>
          <w:rFonts w:ascii="Calibri" w:hAnsi="Calibri" w:cs="Calibri"/>
          <w:color w:val="000000" w:themeColor="text1"/>
        </w:rPr>
      </w:pPr>
      <w:r w:rsidRPr="001C58C6">
        <w:rPr>
          <w:rFonts w:ascii="Calibri" w:hAnsi="Calibri" w:cs="Calibri"/>
          <w:color w:val="000000" w:themeColor="text1"/>
        </w:rPr>
        <w:t>finansiranje mjera energetske efikasnosti u domaćinstvima i javnim objektima,</w:t>
      </w:r>
    </w:p>
    <w:p w14:paraId="5358348D" w14:textId="77777777" w:rsidR="00935DD0" w:rsidRPr="001C58C6" w:rsidRDefault="00935DD0" w:rsidP="00E53052">
      <w:pPr>
        <w:pStyle w:val="ListParagraph"/>
        <w:numPr>
          <w:ilvl w:val="0"/>
          <w:numId w:val="27"/>
        </w:numPr>
        <w:rPr>
          <w:rFonts w:ascii="Calibri" w:hAnsi="Calibri" w:cs="Calibri"/>
          <w:color w:val="000000" w:themeColor="text1"/>
        </w:rPr>
      </w:pPr>
      <w:r w:rsidRPr="001C58C6">
        <w:rPr>
          <w:rFonts w:ascii="Calibri" w:hAnsi="Calibri" w:cs="Calibri"/>
          <w:color w:val="000000" w:themeColor="text1"/>
        </w:rPr>
        <w:t>programe subvencionisanja zamjene ložišta na čvrsta goriva,</w:t>
      </w:r>
    </w:p>
    <w:p w14:paraId="79E4E3DB" w14:textId="77777777" w:rsidR="00935DD0" w:rsidRPr="001C58C6" w:rsidRDefault="00935DD0" w:rsidP="00E53052">
      <w:pPr>
        <w:pStyle w:val="ListParagraph"/>
        <w:numPr>
          <w:ilvl w:val="0"/>
          <w:numId w:val="27"/>
        </w:numPr>
        <w:rPr>
          <w:rFonts w:ascii="Calibri" w:hAnsi="Calibri" w:cs="Calibri"/>
          <w:color w:val="000000" w:themeColor="text1"/>
        </w:rPr>
      </w:pPr>
      <w:r w:rsidRPr="001C58C6">
        <w:rPr>
          <w:rFonts w:ascii="Calibri" w:hAnsi="Calibri" w:cs="Calibri"/>
          <w:color w:val="000000" w:themeColor="text1"/>
        </w:rPr>
        <w:t>programe uvođenja obnovljivih izvora energije,</w:t>
      </w:r>
    </w:p>
    <w:p w14:paraId="5D063235" w14:textId="77777777" w:rsidR="00935DD0" w:rsidRPr="001C58C6" w:rsidRDefault="00935DD0" w:rsidP="00E53052">
      <w:pPr>
        <w:pStyle w:val="ListParagraph"/>
        <w:numPr>
          <w:ilvl w:val="0"/>
          <w:numId w:val="27"/>
        </w:numPr>
        <w:rPr>
          <w:rFonts w:ascii="Calibri" w:hAnsi="Calibri" w:cs="Calibri"/>
          <w:color w:val="000000" w:themeColor="text1"/>
        </w:rPr>
      </w:pPr>
      <w:r w:rsidRPr="001C58C6">
        <w:rPr>
          <w:rFonts w:ascii="Calibri" w:hAnsi="Calibri" w:cs="Calibri"/>
          <w:color w:val="000000" w:themeColor="text1"/>
        </w:rPr>
        <w:t>podršku projektima lokalnih zajednica,</w:t>
      </w:r>
    </w:p>
    <w:p w14:paraId="51C0F996" w14:textId="77777777" w:rsidR="00935DD0" w:rsidRPr="001C58C6" w:rsidRDefault="00935DD0" w:rsidP="00E53052">
      <w:pPr>
        <w:pStyle w:val="ListParagraph"/>
        <w:numPr>
          <w:ilvl w:val="0"/>
          <w:numId w:val="27"/>
        </w:numPr>
        <w:rPr>
          <w:rFonts w:ascii="Calibri" w:hAnsi="Calibri" w:cs="Calibri"/>
          <w:color w:val="000000" w:themeColor="text1"/>
        </w:rPr>
      </w:pPr>
      <w:r w:rsidRPr="001C58C6">
        <w:rPr>
          <w:rFonts w:ascii="Calibri" w:hAnsi="Calibri" w:cs="Calibri"/>
          <w:color w:val="000000" w:themeColor="text1"/>
        </w:rPr>
        <w:t>sprovođenje javnih poziva i grant programa.</w:t>
      </w:r>
    </w:p>
    <w:p w14:paraId="7333E3A1" w14:textId="77777777" w:rsidR="00935DD0" w:rsidRPr="001C58C6" w:rsidRDefault="00935DD0" w:rsidP="0033245A">
      <w:pPr>
        <w:pStyle w:val="Heading3"/>
        <w:rPr>
          <w:rFonts w:ascii="Calibri" w:hAnsi="Calibri" w:cs="Calibri"/>
          <w:color w:val="000000" w:themeColor="text1"/>
        </w:rPr>
      </w:pPr>
      <w:bookmarkStart w:id="98" w:name="_Toc217387928"/>
      <w:bookmarkStart w:id="99" w:name="_Toc217388072"/>
      <w:bookmarkStart w:id="100" w:name="_Toc220070430"/>
      <w:bookmarkStart w:id="101" w:name="_Toc233711749"/>
      <w:r w:rsidRPr="001C58C6">
        <w:rPr>
          <w:rFonts w:ascii="Calibri" w:hAnsi="Calibri" w:cs="Calibri"/>
          <w:color w:val="000000" w:themeColor="text1"/>
        </w:rPr>
        <w:lastRenderedPageBreak/>
        <w:t>Institucije zdravstvenog sistema</w:t>
      </w:r>
      <w:bookmarkEnd w:id="98"/>
      <w:bookmarkEnd w:id="99"/>
      <w:bookmarkEnd w:id="100"/>
      <w:bookmarkEnd w:id="101"/>
    </w:p>
    <w:p w14:paraId="28B08629" w14:textId="77777777" w:rsidR="00935DD0" w:rsidRPr="001C58C6" w:rsidRDefault="00935DD0" w:rsidP="00935DD0">
      <w:pPr>
        <w:rPr>
          <w:rFonts w:ascii="Calibri" w:hAnsi="Calibri" w:cs="Calibri"/>
          <w:color w:val="000000" w:themeColor="text1"/>
        </w:rPr>
      </w:pPr>
      <w:r w:rsidRPr="001C58C6">
        <w:rPr>
          <w:rFonts w:ascii="Calibri" w:hAnsi="Calibri" w:cs="Calibri"/>
          <w:color w:val="000000" w:themeColor="text1"/>
        </w:rPr>
        <w:t>Institut za javno zdravlje i zdravstvene ustanove imaju značajnu ulogu u:</w:t>
      </w:r>
    </w:p>
    <w:p w14:paraId="17179150" w14:textId="77777777" w:rsidR="00935DD0" w:rsidRPr="001C58C6" w:rsidRDefault="00935DD0" w:rsidP="00E53052">
      <w:pPr>
        <w:pStyle w:val="ListParagraph"/>
        <w:numPr>
          <w:ilvl w:val="0"/>
          <w:numId w:val="28"/>
        </w:numPr>
        <w:rPr>
          <w:rFonts w:ascii="Calibri" w:hAnsi="Calibri" w:cs="Calibri"/>
          <w:color w:val="000000" w:themeColor="text1"/>
        </w:rPr>
      </w:pPr>
      <w:r w:rsidRPr="001C58C6">
        <w:rPr>
          <w:rFonts w:ascii="Calibri" w:hAnsi="Calibri" w:cs="Calibri"/>
          <w:color w:val="000000" w:themeColor="text1"/>
        </w:rPr>
        <w:t>praćenju uticaja zagađenja vazduha na zdravlje stanovništva,</w:t>
      </w:r>
    </w:p>
    <w:p w14:paraId="7E2E694C" w14:textId="77777777" w:rsidR="00935DD0" w:rsidRPr="001C58C6" w:rsidRDefault="00935DD0" w:rsidP="00E53052">
      <w:pPr>
        <w:pStyle w:val="ListParagraph"/>
        <w:numPr>
          <w:ilvl w:val="0"/>
          <w:numId w:val="28"/>
        </w:numPr>
        <w:rPr>
          <w:rFonts w:ascii="Calibri" w:hAnsi="Calibri" w:cs="Calibri"/>
          <w:color w:val="000000" w:themeColor="text1"/>
        </w:rPr>
      </w:pPr>
      <w:r w:rsidRPr="001C58C6">
        <w:rPr>
          <w:rFonts w:ascii="Calibri" w:hAnsi="Calibri" w:cs="Calibri"/>
          <w:color w:val="000000" w:themeColor="text1"/>
        </w:rPr>
        <w:t>procjeni zdravstvenih koristi sprovedenih mjera,</w:t>
      </w:r>
    </w:p>
    <w:p w14:paraId="558A9480" w14:textId="77777777" w:rsidR="00935DD0" w:rsidRPr="001C58C6" w:rsidRDefault="00935DD0" w:rsidP="00E53052">
      <w:pPr>
        <w:pStyle w:val="ListParagraph"/>
        <w:numPr>
          <w:ilvl w:val="0"/>
          <w:numId w:val="28"/>
        </w:numPr>
        <w:rPr>
          <w:rFonts w:ascii="Calibri" w:hAnsi="Calibri" w:cs="Calibri"/>
          <w:color w:val="000000" w:themeColor="text1"/>
        </w:rPr>
      </w:pPr>
      <w:r w:rsidRPr="001C58C6">
        <w:rPr>
          <w:rFonts w:ascii="Calibri" w:hAnsi="Calibri" w:cs="Calibri"/>
          <w:color w:val="000000" w:themeColor="text1"/>
        </w:rPr>
        <w:t>informisanju i savjetovanju javnosti u situacijama povećanog zagađenja,</w:t>
      </w:r>
    </w:p>
    <w:p w14:paraId="406FD122" w14:textId="77777777" w:rsidR="00935DD0" w:rsidRPr="001C58C6" w:rsidRDefault="00935DD0" w:rsidP="00E53052">
      <w:pPr>
        <w:pStyle w:val="ListParagraph"/>
        <w:numPr>
          <w:ilvl w:val="0"/>
          <w:numId w:val="28"/>
        </w:numPr>
        <w:rPr>
          <w:rFonts w:ascii="Calibri" w:hAnsi="Calibri" w:cs="Calibri"/>
          <w:color w:val="000000" w:themeColor="text1"/>
        </w:rPr>
      </w:pPr>
      <w:r w:rsidRPr="001C58C6">
        <w:rPr>
          <w:rFonts w:ascii="Calibri" w:hAnsi="Calibri" w:cs="Calibri"/>
          <w:color w:val="000000" w:themeColor="text1"/>
        </w:rPr>
        <w:t>doprinosu kreiranju politika.</w:t>
      </w:r>
    </w:p>
    <w:p w14:paraId="1CB6EF01" w14:textId="77777777" w:rsidR="00935DD0" w:rsidRPr="001C58C6" w:rsidRDefault="000755B5" w:rsidP="0033245A">
      <w:pPr>
        <w:pStyle w:val="Heading3"/>
        <w:rPr>
          <w:rFonts w:ascii="Calibri" w:hAnsi="Calibri" w:cs="Calibri"/>
          <w:color w:val="000000" w:themeColor="text1"/>
        </w:rPr>
      </w:pPr>
      <w:bookmarkStart w:id="102" w:name="_Toc217387929"/>
      <w:bookmarkStart w:id="103" w:name="_Toc220070431"/>
      <w:bookmarkStart w:id="104" w:name="_Toc233711750"/>
      <w:r w:rsidRPr="001C58C6">
        <w:rPr>
          <w:rFonts w:ascii="Calibri" w:hAnsi="Calibri" w:cs="Calibri"/>
          <w:color w:val="000000" w:themeColor="text1"/>
        </w:rPr>
        <w:t xml:space="preserve">4.1 </w:t>
      </w:r>
      <w:r w:rsidR="00935DD0" w:rsidRPr="001C58C6">
        <w:rPr>
          <w:rFonts w:ascii="Calibri" w:hAnsi="Calibri" w:cs="Calibri"/>
          <w:color w:val="000000" w:themeColor="text1"/>
        </w:rPr>
        <w:t>Koordinaciono tijelo i mehanizam nadzora</w:t>
      </w:r>
      <w:bookmarkEnd w:id="102"/>
      <w:bookmarkEnd w:id="103"/>
      <w:bookmarkEnd w:id="104"/>
    </w:p>
    <w:p w14:paraId="30FBB130" w14:textId="77777777" w:rsidR="000755B5" w:rsidRPr="001C58C6" w:rsidRDefault="000755B5" w:rsidP="00935DD0">
      <w:pPr>
        <w:rPr>
          <w:rFonts w:ascii="Calibri" w:hAnsi="Calibri" w:cs="Calibri"/>
          <w:color w:val="000000" w:themeColor="text1"/>
        </w:rPr>
      </w:pPr>
    </w:p>
    <w:p w14:paraId="42C93E47" w14:textId="77777777" w:rsidR="004068D0" w:rsidRPr="001C58C6" w:rsidRDefault="004068D0" w:rsidP="004068D0">
      <w:pPr>
        <w:pStyle w:val="ListParagraph"/>
        <w:ind w:left="0"/>
        <w:rPr>
          <w:rFonts w:ascii="Calibri" w:hAnsi="Calibri" w:cs="Calibri"/>
          <w:color w:val="000000" w:themeColor="text1"/>
        </w:rPr>
      </w:pPr>
      <w:r w:rsidRPr="001C58C6">
        <w:rPr>
          <w:rFonts w:ascii="Calibri" w:hAnsi="Calibri" w:cs="Calibri"/>
          <w:color w:val="000000" w:themeColor="text1"/>
        </w:rPr>
        <w:t>Za potrebe sistemskog upravljanja sprovođenjem Strategije Vlada Crne Gore, na predlog Ministarstva ekologije, održivog razvoja i razvoja sjevera, može uspostaviti Koordinaciono tijelo za sprovođenje Strategije upravljanja kvalitetom vazduha. Ministarstvo predsjedava radom Koordinacionog tijela, priprema dnevni red, koordinira prikupljanje podataka i obezbjeđuje da se preporuke tijela ugrade u godišnje izvještaje i, po potrebi, u izmjene Akcionog plana. Koordinaciono tijelo čine predstavnici/e:</w:t>
      </w:r>
    </w:p>
    <w:p w14:paraId="3D66FA57" w14:textId="77777777" w:rsidR="00935DD0" w:rsidRPr="001C58C6" w:rsidRDefault="00935DD0" w:rsidP="004068D0">
      <w:pPr>
        <w:pStyle w:val="ListParagraph"/>
        <w:numPr>
          <w:ilvl w:val="0"/>
          <w:numId w:val="29"/>
        </w:numPr>
        <w:rPr>
          <w:rFonts w:ascii="Calibri" w:hAnsi="Calibri" w:cs="Calibri"/>
          <w:color w:val="000000" w:themeColor="text1"/>
        </w:rPr>
      </w:pPr>
      <w:r w:rsidRPr="001C58C6">
        <w:rPr>
          <w:rFonts w:ascii="Calibri" w:hAnsi="Calibri" w:cs="Calibri"/>
          <w:color w:val="000000" w:themeColor="text1"/>
        </w:rPr>
        <w:t>Ministarstva ekologije, održivog razvoja i razvoja sjevera (predsjedavajući),</w:t>
      </w:r>
    </w:p>
    <w:p w14:paraId="329EBF90" w14:textId="77777777" w:rsidR="00935DD0" w:rsidRPr="001C58C6" w:rsidRDefault="00935DD0" w:rsidP="00E53052">
      <w:pPr>
        <w:pStyle w:val="ListParagraph"/>
        <w:numPr>
          <w:ilvl w:val="0"/>
          <w:numId w:val="29"/>
        </w:numPr>
        <w:rPr>
          <w:rFonts w:ascii="Calibri" w:hAnsi="Calibri" w:cs="Calibri"/>
          <w:color w:val="000000" w:themeColor="text1"/>
        </w:rPr>
      </w:pPr>
      <w:r w:rsidRPr="001C58C6">
        <w:rPr>
          <w:rFonts w:ascii="Calibri" w:hAnsi="Calibri" w:cs="Calibri"/>
          <w:color w:val="000000" w:themeColor="text1"/>
        </w:rPr>
        <w:t>Agencije za zaštitu životne sredine,</w:t>
      </w:r>
    </w:p>
    <w:p w14:paraId="0F27B6A1" w14:textId="77777777" w:rsidR="00935DD0" w:rsidRPr="001C58C6" w:rsidRDefault="00935DD0" w:rsidP="00E53052">
      <w:pPr>
        <w:pStyle w:val="ListParagraph"/>
        <w:numPr>
          <w:ilvl w:val="0"/>
          <w:numId w:val="29"/>
        </w:numPr>
        <w:rPr>
          <w:rFonts w:ascii="Calibri" w:hAnsi="Calibri" w:cs="Calibri"/>
          <w:color w:val="000000" w:themeColor="text1"/>
        </w:rPr>
      </w:pPr>
      <w:r w:rsidRPr="001C58C6">
        <w:rPr>
          <w:rFonts w:ascii="Calibri" w:hAnsi="Calibri" w:cs="Calibri"/>
          <w:color w:val="000000" w:themeColor="text1"/>
        </w:rPr>
        <w:t>Ministarstva energetike i rudarstva,</w:t>
      </w:r>
    </w:p>
    <w:p w14:paraId="019604A0" w14:textId="77777777" w:rsidR="00935DD0" w:rsidRPr="001C58C6" w:rsidRDefault="00935DD0" w:rsidP="00E53052">
      <w:pPr>
        <w:pStyle w:val="ListParagraph"/>
        <w:numPr>
          <w:ilvl w:val="0"/>
          <w:numId w:val="29"/>
        </w:numPr>
        <w:rPr>
          <w:rFonts w:ascii="Calibri" w:hAnsi="Calibri" w:cs="Calibri"/>
          <w:color w:val="000000" w:themeColor="text1"/>
        </w:rPr>
      </w:pPr>
      <w:r w:rsidRPr="001C58C6">
        <w:rPr>
          <w:rFonts w:ascii="Calibri" w:hAnsi="Calibri" w:cs="Calibri"/>
          <w:color w:val="000000" w:themeColor="text1"/>
        </w:rPr>
        <w:t>Ministarstva saobraćaja,</w:t>
      </w:r>
    </w:p>
    <w:p w14:paraId="733C2233" w14:textId="77777777" w:rsidR="00935DD0" w:rsidRPr="001C58C6" w:rsidRDefault="00935DD0" w:rsidP="00E53052">
      <w:pPr>
        <w:pStyle w:val="ListParagraph"/>
        <w:numPr>
          <w:ilvl w:val="0"/>
          <w:numId w:val="29"/>
        </w:numPr>
        <w:rPr>
          <w:rFonts w:ascii="Calibri" w:hAnsi="Calibri" w:cs="Calibri"/>
          <w:color w:val="000000" w:themeColor="text1"/>
        </w:rPr>
      </w:pPr>
      <w:r w:rsidRPr="001C58C6">
        <w:rPr>
          <w:rFonts w:ascii="Calibri" w:hAnsi="Calibri" w:cs="Calibri"/>
          <w:color w:val="000000" w:themeColor="text1"/>
        </w:rPr>
        <w:t>Ministarstva finansija,</w:t>
      </w:r>
    </w:p>
    <w:p w14:paraId="64F8E195" w14:textId="77777777" w:rsidR="00935DD0" w:rsidRPr="001C58C6" w:rsidRDefault="00935DD0" w:rsidP="00E53052">
      <w:pPr>
        <w:pStyle w:val="ListParagraph"/>
        <w:numPr>
          <w:ilvl w:val="0"/>
          <w:numId w:val="29"/>
        </w:numPr>
        <w:rPr>
          <w:rFonts w:ascii="Calibri" w:hAnsi="Calibri" w:cs="Calibri"/>
          <w:color w:val="000000" w:themeColor="text1"/>
        </w:rPr>
      </w:pPr>
      <w:r w:rsidRPr="001C58C6">
        <w:rPr>
          <w:rFonts w:ascii="Calibri" w:hAnsi="Calibri" w:cs="Calibri"/>
          <w:color w:val="000000" w:themeColor="text1"/>
        </w:rPr>
        <w:t>Eko fonda,</w:t>
      </w:r>
    </w:p>
    <w:p w14:paraId="3AF2FB74" w14:textId="77777777" w:rsidR="00935DD0" w:rsidRPr="001C58C6" w:rsidRDefault="00935DD0" w:rsidP="00E53052">
      <w:pPr>
        <w:pStyle w:val="ListParagraph"/>
        <w:numPr>
          <w:ilvl w:val="0"/>
          <w:numId w:val="29"/>
        </w:numPr>
        <w:rPr>
          <w:rFonts w:ascii="Calibri" w:hAnsi="Calibri" w:cs="Calibri"/>
          <w:color w:val="000000" w:themeColor="text1"/>
        </w:rPr>
      </w:pPr>
      <w:r w:rsidRPr="001C58C6">
        <w:rPr>
          <w:rFonts w:ascii="Calibri" w:hAnsi="Calibri" w:cs="Calibri"/>
          <w:color w:val="000000" w:themeColor="text1"/>
        </w:rPr>
        <w:t>odabranih lokalnih samouprava,</w:t>
      </w:r>
    </w:p>
    <w:p w14:paraId="16A56151" w14:textId="77777777" w:rsidR="004068D0" w:rsidRPr="001C58C6" w:rsidRDefault="004068D0" w:rsidP="004068D0">
      <w:pPr>
        <w:pStyle w:val="ListParagraph"/>
        <w:numPr>
          <w:ilvl w:val="0"/>
          <w:numId w:val="29"/>
        </w:numPr>
        <w:rPr>
          <w:rFonts w:ascii="Calibri" w:hAnsi="Calibri" w:cs="Calibri"/>
          <w:color w:val="000000" w:themeColor="text1"/>
        </w:rPr>
      </w:pPr>
      <w:r w:rsidRPr="001C58C6">
        <w:rPr>
          <w:rFonts w:ascii="Calibri" w:hAnsi="Calibri" w:cs="Calibri"/>
          <w:color w:val="000000" w:themeColor="text1"/>
        </w:rPr>
        <w:t>nevladinih organizacija, stručne javnosti i organizacija koje zastupaju interese ranjivih grupa,</w:t>
      </w:r>
    </w:p>
    <w:p w14:paraId="61932189" w14:textId="77777777" w:rsidR="004068D0" w:rsidRPr="001C58C6" w:rsidRDefault="004068D0" w:rsidP="004068D0">
      <w:pPr>
        <w:pStyle w:val="ListParagraph"/>
        <w:numPr>
          <w:ilvl w:val="0"/>
          <w:numId w:val="29"/>
        </w:numPr>
        <w:rPr>
          <w:rFonts w:ascii="Calibri" w:hAnsi="Calibri" w:cs="Calibri"/>
          <w:color w:val="000000" w:themeColor="text1"/>
        </w:rPr>
      </w:pPr>
      <w:r w:rsidRPr="001C58C6">
        <w:rPr>
          <w:rFonts w:ascii="Calibri" w:hAnsi="Calibri" w:cs="Calibri"/>
          <w:color w:val="000000" w:themeColor="text1"/>
        </w:rPr>
        <w:t>zdravstvenog sektora, uključujući institucije koje raspolažu podacima relevantnim za praćenje uticaja zagađenja vazduha na zdravlje žena i muškaraca.</w:t>
      </w:r>
    </w:p>
    <w:p w14:paraId="647A7F0D" w14:textId="77777777" w:rsidR="004A553F" w:rsidRPr="001C58C6" w:rsidRDefault="004A553F" w:rsidP="00A0374C">
      <w:pPr>
        <w:pStyle w:val="ListParagraph"/>
        <w:rPr>
          <w:rFonts w:ascii="Calibri" w:hAnsi="Calibri" w:cs="Calibri"/>
          <w:color w:val="000000" w:themeColor="text1"/>
        </w:rPr>
      </w:pPr>
    </w:p>
    <w:p w14:paraId="4A690058" w14:textId="77777777" w:rsidR="00935DD0" w:rsidRPr="001C58C6" w:rsidRDefault="00935DD0" w:rsidP="00935DD0">
      <w:pPr>
        <w:rPr>
          <w:rFonts w:ascii="Calibri" w:hAnsi="Calibri" w:cs="Calibri"/>
          <w:color w:val="000000" w:themeColor="text1"/>
        </w:rPr>
      </w:pPr>
      <w:r w:rsidRPr="001C58C6">
        <w:rPr>
          <w:rFonts w:ascii="Calibri" w:hAnsi="Calibri" w:cs="Calibri"/>
          <w:color w:val="000000" w:themeColor="text1"/>
        </w:rPr>
        <w:t>Koordinaciono tijelo:</w:t>
      </w:r>
    </w:p>
    <w:p w14:paraId="393F1C04" w14:textId="77777777" w:rsidR="00935DD0" w:rsidRPr="001C58C6" w:rsidRDefault="00935DD0" w:rsidP="00E53052">
      <w:pPr>
        <w:pStyle w:val="ListParagraph"/>
        <w:numPr>
          <w:ilvl w:val="0"/>
          <w:numId w:val="30"/>
        </w:numPr>
        <w:rPr>
          <w:rFonts w:ascii="Calibri" w:hAnsi="Calibri" w:cs="Calibri"/>
          <w:color w:val="000000" w:themeColor="text1"/>
        </w:rPr>
      </w:pPr>
      <w:r w:rsidRPr="001C58C6">
        <w:rPr>
          <w:rFonts w:ascii="Calibri" w:hAnsi="Calibri" w:cs="Calibri"/>
          <w:color w:val="000000" w:themeColor="text1"/>
        </w:rPr>
        <w:t>razmatra napredak u sprovođenju mjera,</w:t>
      </w:r>
    </w:p>
    <w:p w14:paraId="45229C72" w14:textId="77777777" w:rsidR="00935DD0" w:rsidRPr="001C58C6" w:rsidRDefault="00935DD0" w:rsidP="00E53052">
      <w:pPr>
        <w:pStyle w:val="ListParagraph"/>
        <w:numPr>
          <w:ilvl w:val="0"/>
          <w:numId w:val="30"/>
        </w:numPr>
        <w:rPr>
          <w:rFonts w:ascii="Calibri" w:hAnsi="Calibri" w:cs="Calibri"/>
          <w:color w:val="000000" w:themeColor="text1"/>
        </w:rPr>
      </w:pPr>
      <w:r w:rsidRPr="001C58C6">
        <w:rPr>
          <w:rFonts w:ascii="Calibri" w:hAnsi="Calibri" w:cs="Calibri"/>
          <w:color w:val="000000" w:themeColor="text1"/>
        </w:rPr>
        <w:t>identifikuje prepreke i predlaže korektivne mjere,</w:t>
      </w:r>
    </w:p>
    <w:p w14:paraId="5BD896D5" w14:textId="77777777" w:rsidR="00935DD0" w:rsidRPr="001C58C6" w:rsidRDefault="00935DD0" w:rsidP="00E53052">
      <w:pPr>
        <w:pStyle w:val="ListParagraph"/>
        <w:numPr>
          <w:ilvl w:val="0"/>
          <w:numId w:val="30"/>
        </w:numPr>
        <w:rPr>
          <w:rFonts w:ascii="Calibri" w:hAnsi="Calibri" w:cs="Calibri"/>
          <w:color w:val="000000" w:themeColor="text1"/>
        </w:rPr>
      </w:pPr>
      <w:r w:rsidRPr="001C58C6">
        <w:rPr>
          <w:rFonts w:ascii="Calibri" w:hAnsi="Calibri" w:cs="Calibri"/>
          <w:color w:val="000000" w:themeColor="text1"/>
        </w:rPr>
        <w:t>obezbjeđuje međusektorsku saradnju,</w:t>
      </w:r>
    </w:p>
    <w:p w14:paraId="1F1F45EB" w14:textId="77777777" w:rsidR="00935DD0" w:rsidRPr="001C58C6" w:rsidRDefault="00935DD0" w:rsidP="00E53052">
      <w:pPr>
        <w:pStyle w:val="ListParagraph"/>
        <w:numPr>
          <w:ilvl w:val="0"/>
          <w:numId w:val="30"/>
        </w:numPr>
        <w:rPr>
          <w:rFonts w:ascii="Calibri" w:hAnsi="Calibri" w:cs="Calibri"/>
          <w:color w:val="000000" w:themeColor="text1"/>
        </w:rPr>
      </w:pPr>
      <w:r w:rsidRPr="001C58C6">
        <w:rPr>
          <w:rFonts w:ascii="Calibri" w:hAnsi="Calibri" w:cs="Calibri"/>
          <w:color w:val="000000" w:themeColor="text1"/>
        </w:rPr>
        <w:t>razmatra godišnje izvještaje i daje preporuke.</w:t>
      </w:r>
    </w:p>
    <w:p w14:paraId="0DCA085D" w14:textId="77777777" w:rsidR="00935DD0" w:rsidRPr="001C58C6" w:rsidRDefault="00935DD0" w:rsidP="00935DD0">
      <w:pPr>
        <w:rPr>
          <w:rFonts w:ascii="Calibri" w:hAnsi="Calibri" w:cs="Calibri"/>
          <w:color w:val="000000" w:themeColor="text1"/>
        </w:rPr>
      </w:pPr>
    </w:p>
    <w:p w14:paraId="1AAF8FE9" w14:textId="77777777" w:rsidR="00935DD0" w:rsidRPr="001C58C6" w:rsidRDefault="000755B5" w:rsidP="00A0374C">
      <w:pPr>
        <w:pStyle w:val="Heading3"/>
        <w:rPr>
          <w:rFonts w:ascii="Calibri" w:hAnsi="Calibri" w:cs="Calibri"/>
          <w:color w:val="000000" w:themeColor="text1"/>
        </w:rPr>
      </w:pPr>
      <w:bookmarkStart w:id="105" w:name="_Toc217387930"/>
      <w:bookmarkStart w:id="106" w:name="_Toc220070432"/>
      <w:bookmarkStart w:id="107" w:name="_Toc233711751"/>
      <w:r w:rsidRPr="001C58C6">
        <w:rPr>
          <w:rFonts w:ascii="Calibri" w:hAnsi="Calibri" w:cs="Calibri"/>
          <w:color w:val="000000" w:themeColor="text1"/>
        </w:rPr>
        <w:t xml:space="preserve">4.2 </w:t>
      </w:r>
      <w:r w:rsidR="00935DD0" w:rsidRPr="001C58C6">
        <w:rPr>
          <w:rFonts w:ascii="Calibri" w:hAnsi="Calibri" w:cs="Calibri"/>
          <w:color w:val="000000" w:themeColor="text1"/>
        </w:rPr>
        <w:t>Izvještavanje i evaluacija</w:t>
      </w:r>
      <w:bookmarkEnd w:id="105"/>
      <w:bookmarkEnd w:id="106"/>
      <w:bookmarkEnd w:id="107"/>
    </w:p>
    <w:p w14:paraId="5C3092FE" w14:textId="77777777" w:rsidR="00C91DC1" w:rsidRPr="001C58C6" w:rsidRDefault="00C91DC1" w:rsidP="00C91DC1">
      <w:pPr>
        <w:rPr>
          <w:rFonts w:ascii="Calibri" w:hAnsi="Calibri" w:cs="Calibri"/>
          <w:color w:val="000000" w:themeColor="text1"/>
        </w:rPr>
      </w:pPr>
    </w:p>
    <w:p w14:paraId="4E8400B3" w14:textId="77777777" w:rsidR="00935DD0" w:rsidRPr="001C58C6" w:rsidRDefault="00935DD0" w:rsidP="00935DD0">
      <w:pPr>
        <w:rPr>
          <w:rFonts w:ascii="Calibri" w:hAnsi="Calibri" w:cs="Calibri"/>
          <w:color w:val="000000" w:themeColor="text1"/>
        </w:rPr>
      </w:pPr>
      <w:r w:rsidRPr="001C58C6">
        <w:rPr>
          <w:rFonts w:ascii="Calibri" w:hAnsi="Calibri" w:cs="Calibri"/>
          <w:color w:val="000000" w:themeColor="text1"/>
        </w:rPr>
        <w:t>U skladu sa Strategijom:</w:t>
      </w:r>
    </w:p>
    <w:p w14:paraId="391BB87B" w14:textId="77777777" w:rsidR="00935DD0" w:rsidRPr="001C58C6" w:rsidRDefault="00935DD0" w:rsidP="00E53052">
      <w:pPr>
        <w:pStyle w:val="ListParagraph"/>
        <w:numPr>
          <w:ilvl w:val="0"/>
          <w:numId w:val="31"/>
        </w:numPr>
        <w:rPr>
          <w:rFonts w:ascii="Calibri" w:hAnsi="Calibri" w:cs="Calibri"/>
          <w:color w:val="000000" w:themeColor="text1"/>
        </w:rPr>
      </w:pPr>
      <w:r w:rsidRPr="001C58C6">
        <w:rPr>
          <w:rFonts w:ascii="Calibri" w:hAnsi="Calibri" w:cs="Calibri"/>
          <w:color w:val="000000" w:themeColor="text1"/>
        </w:rPr>
        <w:t>EPA dostavlja godišnji izvještaj o kvalitetu vazduha;</w:t>
      </w:r>
    </w:p>
    <w:p w14:paraId="77811E46" w14:textId="77777777" w:rsidR="00935DD0" w:rsidRPr="001C58C6" w:rsidRDefault="00935DD0" w:rsidP="00E53052">
      <w:pPr>
        <w:pStyle w:val="ListParagraph"/>
        <w:numPr>
          <w:ilvl w:val="0"/>
          <w:numId w:val="31"/>
        </w:numPr>
        <w:rPr>
          <w:rFonts w:ascii="Calibri" w:hAnsi="Calibri" w:cs="Calibri"/>
          <w:color w:val="000000" w:themeColor="text1"/>
        </w:rPr>
      </w:pPr>
      <w:r w:rsidRPr="001C58C6">
        <w:rPr>
          <w:rFonts w:ascii="Calibri" w:hAnsi="Calibri" w:cs="Calibri"/>
          <w:color w:val="000000" w:themeColor="text1"/>
        </w:rPr>
        <w:t>Ministarstvo priprema konsolidovani izvještaj o napretku u sprovođenju Strategije;</w:t>
      </w:r>
    </w:p>
    <w:p w14:paraId="2F734A3C" w14:textId="77777777" w:rsidR="00935DD0" w:rsidRPr="001C58C6" w:rsidRDefault="00935DD0" w:rsidP="00E53052">
      <w:pPr>
        <w:pStyle w:val="ListParagraph"/>
        <w:numPr>
          <w:ilvl w:val="0"/>
          <w:numId w:val="31"/>
        </w:numPr>
        <w:rPr>
          <w:rFonts w:ascii="Calibri" w:hAnsi="Calibri" w:cs="Calibri"/>
          <w:color w:val="000000" w:themeColor="text1"/>
        </w:rPr>
      </w:pPr>
      <w:r w:rsidRPr="001C58C6">
        <w:rPr>
          <w:rFonts w:ascii="Calibri" w:hAnsi="Calibri" w:cs="Calibri"/>
          <w:color w:val="000000" w:themeColor="text1"/>
        </w:rPr>
        <w:t>lokalne samouprave izvještavaju o sprovođenju lokalnih mjera;</w:t>
      </w:r>
    </w:p>
    <w:p w14:paraId="74F39B5D" w14:textId="77777777" w:rsidR="00935DD0" w:rsidRPr="001C58C6" w:rsidRDefault="00935DD0" w:rsidP="00E53052">
      <w:pPr>
        <w:pStyle w:val="ListParagraph"/>
        <w:numPr>
          <w:ilvl w:val="0"/>
          <w:numId w:val="31"/>
        </w:numPr>
        <w:rPr>
          <w:rFonts w:ascii="Calibri" w:hAnsi="Calibri" w:cs="Calibri"/>
          <w:color w:val="000000" w:themeColor="text1"/>
        </w:rPr>
      </w:pPr>
      <w:r w:rsidRPr="001C58C6">
        <w:rPr>
          <w:rFonts w:ascii="Calibri" w:hAnsi="Calibri" w:cs="Calibri"/>
          <w:color w:val="000000" w:themeColor="text1"/>
        </w:rPr>
        <w:t>koordinaciono tijelo razmatra izvještaje i predlaže korektivne mjere;</w:t>
      </w:r>
    </w:p>
    <w:p w14:paraId="409C2822" w14:textId="77777777" w:rsidR="00935DD0" w:rsidRPr="001C58C6" w:rsidRDefault="00935DD0" w:rsidP="00E53052">
      <w:pPr>
        <w:pStyle w:val="ListParagraph"/>
        <w:numPr>
          <w:ilvl w:val="0"/>
          <w:numId w:val="31"/>
        </w:numPr>
        <w:rPr>
          <w:rFonts w:ascii="Calibri" w:hAnsi="Calibri" w:cs="Calibri"/>
          <w:color w:val="000000" w:themeColor="text1"/>
        </w:rPr>
      </w:pPr>
      <w:r w:rsidRPr="001C58C6">
        <w:rPr>
          <w:rFonts w:ascii="Calibri" w:hAnsi="Calibri" w:cs="Calibri"/>
          <w:color w:val="000000" w:themeColor="text1"/>
        </w:rPr>
        <w:t>izvještaji se objavljuju u cilju transparentnosti.</w:t>
      </w:r>
    </w:p>
    <w:p w14:paraId="41BC892D" w14:textId="77777777" w:rsidR="00C91DC1" w:rsidRPr="001C58C6" w:rsidRDefault="00C91DC1" w:rsidP="0082216D">
      <w:pPr>
        <w:rPr>
          <w:rFonts w:ascii="Calibri" w:hAnsi="Calibri" w:cs="Calibri"/>
          <w:color w:val="000000" w:themeColor="text1"/>
        </w:rPr>
      </w:pPr>
    </w:p>
    <w:p w14:paraId="78E7619B" w14:textId="77777777" w:rsidR="0082216D" w:rsidRPr="001C58C6" w:rsidRDefault="0082216D" w:rsidP="0082216D">
      <w:pPr>
        <w:pStyle w:val="Heading1"/>
        <w:rPr>
          <w:rFonts w:ascii="Calibri" w:hAnsi="Calibri" w:cs="Calibri"/>
          <w:color w:val="000000" w:themeColor="text1"/>
        </w:rPr>
      </w:pPr>
      <w:bookmarkStart w:id="108" w:name="_Toc220070433"/>
      <w:bookmarkStart w:id="109" w:name="_Toc233711752"/>
      <w:r w:rsidRPr="001C58C6">
        <w:rPr>
          <w:rFonts w:ascii="Calibri" w:hAnsi="Calibri" w:cs="Calibri"/>
          <w:color w:val="000000" w:themeColor="text1"/>
        </w:rPr>
        <w:lastRenderedPageBreak/>
        <w:t>5</w:t>
      </w:r>
      <w:r w:rsidR="000B41E7" w:rsidRPr="001C58C6">
        <w:rPr>
          <w:rFonts w:ascii="Calibri" w:hAnsi="Calibri" w:cs="Calibri"/>
          <w:color w:val="000000" w:themeColor="text1"/>
        </w:rPr>
        <w:t>.</w:t>
      </w:r>
      <w:r w:rsidRPr="001C58C6">
        <w:rPr>
          <w:rFonts w:ascii="Calibri" w:hAnsi="Calibri" w:cs="Calibri"/>
          <w:color w:val="000000" w:themeColor="text1"/>
        </w:rPr>
        <w:t xml:space="preserve"> NAČIN IZVJEŠTAVANJA I EVALUACIJE</w:t>
      </w:r>
      <w:bookmarkEnd w:id="108"/>
      <w:bookmarkEnd w:id="109"/>
    </w:p>
    <w:p w14:paraId="5F98647A" w14:textId="77777777" w:rsidR="0063159F" w:rsidRPr="001C58C6" w:rsidRDefault="0063159F" w:rsidP="0063159F">
      <w:pPr>
        <w:rPr>
          <w:rFonts w:ascii="Calibri" w:hAnsi="Calibri" w:cs="Calibri"/>
          <w:color w:val="000000" w:themeColor="text1"/>
        </w:rPr>
      </w:pPr>
    </w:p>
    <w:p w14:paraId="74538F2F" w14:textId="77777777" w:rsidR="00935DD0" w:rsidRDefault="00935DD0" w:rsidP="00935DD0">
      <w:pPr>
        <w:rPr>
          <w:rFonts w:ascii="Calibri" w:hAnsi="Calibri" w:cs="Calibri"/>
          <w:color w:val="000000" w:themeColor="text1"/>
        </w:rPr>
      </w:pPr>
      <w:r w:rsidRPr="001C58C6">
        <w:rPr>
          <w:rFonts w:ascii="Calibri" w:hAnsi="Calibri" w:cs="Calibri"/>
          <w:color w:val="000000" w:themeColor="text1"/>
        </w:rPr>
        <w:t>Efikasno sprovođenje Strategije upravljanja kvalitetom vazduha zasniva se na uspostavljanju jasnog, transparentnog i redovnog sistema izvještavanja i evaluacije. Ovaj sistem obezbjeđuje praćenje napretka u odnosu na definisane strateške i operativne ciljeve, omogućava blagovremeno identifikovanje prepreka u sprovođenju mjera i obezbjeđuje donošenje korektivnih odluka zasnovanih na podacima.</w:t>
      </w:r>
    </w:p>
    <w:p w14:paraId="37BE5C46" w14:textId="77777777" w:rsidR="002A6F1F" w:rsidRPr="001C58C6" w:rsidRDefault="002A6F1F" w:rsidP="00935DD0">
      <w:pPr>
        <w:rPr>
          <w:rFonts w:ascii="Calibri" w:hAnsi="Calibri" w:cs="Calibri"/>
          <w:color w:val="000000" w:themeColor="text1"/>
        </w:rPr>
      </w:pPr>
    </w:p>
    <w:p w14:paraId="44A8E95F" w14:textId="77777777" w:rsidR="000959DD" w:rsidRPr="001C58C6" w:rsidRDefault="000959DD" w:rsidP="000959DD">
      <w:pPr>
        <w:rPr>
          <w:rFonts w:ascii="Calibri" w:hAnsi="Calibri" w:cs="Calibri"/>
          <w:color w:val="000000" w:themeColor="text1"/>
        </w:rPr>
      </w:pPr>
      <w:r w:rsidRPr="001C58C6">
        <w:rPr>
          <w:rFonts w:ascii="Calibri" w:hAnsi="Calibri" w:cs="Calibri"/>
          <w:color w:val="000000" w:themeColor="text1"/>
        </w:rPr>
        <w:t>Potencijalne prepreke u implementaciji Strategije, odnose se na nedovoljne administrativne i tehničke kapacitete nadležnih institucija, ograničena finansijska sredstva za sprovođenje pojedinih mjera, potrebu jačanja međusektorske koordinacije između energetike, saobraćaja, lokalnih samouprava i zaštite životne sredine, kao i moguća kašnjenja u sprovođenju planiranih sektorskih mjera. Ove prepreke ublažavaju se jačanjem institucionalnih kapaciteta, boljom koordinacijom nadležnih organa, pravovremenim planiranjem budžetskih sredstava i korišćenjem dostupnih EU i međunarodnih fondova.</w:t>
      </w:r>
    </w:p>
    <w:p w14:paraId="1F0DBF8D" w14:textId="77777777" w:rsidR="00935DD0" w:rsidRPr="001C58C6" w:rsidRDefault="00935DD0" w:rsidP="00935DD0">
      <w:pPr>
        <w:rPr>
          <w:rFonts w:ascii="Calibri" w:hAnsi="Calibri" w:cs="Calibri"/>
          <w:color w:val="000000" w:themeColor="text1"/>
        </w:rPr>
      </w:pPr>
    </w:p>
    <w:p w14:paraId="6D7A361F" w14:textId="77777777" w:rsidR="00935DD0" w:rsidRPr="001C58C6" w:rsidRDefault="00935DD0" w:rsidP="000B41E7">
      <w:pPr>
        <w:pStyle w:val="Heading2"/>
        <w:rPr>
          <w:rFonts w:ascii="Calibri" w:hAnsi="Calibri" w:cs="Calibri"/>
          <w:color w:val="000000" w:themeColor="text1"/>
        </w:rPr>
      </w:pPr>
      <w:bookmarkStart w:id="110" w:name="_Toc220070434"/>
      <w:bookmarkStart w:id="111" w:name="_Toc233711753"/>
      <w:r w:rsidRPr="001C58C6">
        <w:rPr>
          <w:rFonts w:ascii="Calibri" w:hAnsi="Calibri" w:cs="Calibri"/>
          <w:color w:val="000000" w:themeColor="text1"/>
        </w:rPr>
        <w:t>5.1 Ciljevi sistema izvještavanja i evaluacije</w:t>
      </w:r>
      <w:bookmarkEnd w:id="110"/>
      <w:bookmarkEnd w:id="111"/>
    </w:p>
    <w:p w14:paraId="047B426B" w14:textId="77777777" w:rsidR="000B41E7" w:rsidRPr="001C58C6" w:rsidRDefault="000B41E7" w:rsidP="000B41E7">
      <w:pPr>
        <w:rPr>
          <w:rFonts w:ascii="Calibri" w:hAnsi="Calibri" w:cs="Calibri"/>
          <w:color w:val="000000" w:themeColor="text1"/>
        </w:rPr>
      </w:pPr>
    </w:p>
    <w:p w14:paraId="07AFBFCB" w14:textId="77777777" w:rsidR="00935DD0" w:rsidRPr="001C58C6" w:rsidRDefault="00935DD0" w:rsidP="00935DD0">
      <w:pPr>
        <w:rPr>
          <w:rFonts w:ascii="Calibri" w:hAnsi="Calibri" w:cs="Calibri"/>
          <w:color w:val="000000" w:themeColor="text1"/>
        </w:rPr>
      </w:pPr>
      <w:r w:rsidRPr="001C58C6">
        <w:rPr>
          <w:rFonts w:ascii="Calibri" w:hAnsi="Calibri" w:cs="Calibri"/>
          <w:color w:val="000000" w:themeColor="text1"/>
        </w:rPr>
        <w:t>Sistem izvještavanja i evaluacije uspostavlja se sa ciljem da:</w:t>
      </w:r>
    </w:p>
    <w:p w14:paraId="7C5D75B5" w14:textId="77777777" w:rsidR="00935DD0" w:rsidRPr="001C58C6" w:rsidRDefault="00935DD0" w:rsidP="00E53052">
      <w:pPr>
        <w:numPr>
          <w:ilvl w:val="0"/>
          <w:numId w:val="10"/>
        </w:numPr>
        <w:rPr>
          <w:rFonts w:ascii="Calibri" w:hAnsi="Calibri" w:cs="Calibri"/>
          <w:color w:val="000000" w:themeColor="text1"/>
        </w:rPr>
      </w:pPr>
      <w:r w:rsidRPr="001C58C6">
        <w:rPr>
          <w:rFonts w:ascii="Calibri" w:hAnsi="Calibri" w:cs="Calibri"/>
          <w:color w:val="000000" w:themeColor="text1"/>
        </w:rPr>
        <w:t>obezbijedi redovno praćenje sprovođenja Strategije i Akcionog plana;</w:t>
      </w:r>
    </w:p>
    <w:p w14:paraId="28798BFA" w14:textId="77777777" w:rsidR="00935DD0" w:rsidRPr="001C58C6" w:rsidRDefault="00935DD0" w:rsidP="00E53052">
      <w:pPr>
        <w:numPr>
          <w:ilvl w:val="0"/>
          <w:numId w:val="10"/>
        </w:numPr>
        <w:rPr>
          <w:rFonts w:ascii="Calibri" w:hAnsi="Calibri" w:cs="Calibri"/>
          <w:color w:val="000000" w:themeColor="text1"/>
        </w:rPr>
      </w:pPr>
      <w:r w:rsidRPr="001C58C6">
        <w:rPr>
          <w:rFonts w:ascii="Calibri" w:hAnsi="Calibri" w:cs="Calibri"/>
          <w:color w:val="000000" w:themeColor="text1"/>
        </w:rPr>
        <w:t>osigura transparentnost u pogledu rezultata sprovedenih mjera;</w:t>
      </w:r>
    </w:p>
    <w:p w14:paraId="59FBCCF6" w14:textId="77777777" w:rsidR="00935DD0" w:rsidRPr="001C58C6" w:rsidRDefault="00935DD0" w:rsidP="00E53052">
      <w:pPr>
        <w:numPr>
          <w:ilvl w:val="0"/>
          <w:numId w:val="10"/>
        </w:numPr>
        <w:rPr>
          <w:rFonts w:ascii="Calibri" w:hAnsi="Calibri" w:cs="Calibri"/>
          <w:color w:val="000000" w:themeColor="text1"/>
        </w:rPr>
      </w:pPr>
      <w:r w:rsidRPr="001C58C6">
        <w:rPr>
          <w:rFonts w:ascii="Calibri" w:hAnsi="Calibri" w:cs="Calibri"/>
          <w:color w:val="000000" w:themeColor="text1"/>
        </w:rPr>
        <w:t>omogući procjenu efikasnosti i efektivnosti mjera, posebno u zonama prekoračenja;</w:t>
      </w:r>
    </w:p>
    <w:p w14:paraId="2BF2DCB9" w14:textId="77777777" w:rsidR="00935DD0" w:rsidRPr="001C58C6" w:rsidRDefault="00935DD0" w:rsidP="00E53052">
      <w:pPr>
        <w:numPr>
          <w:ilvl w:val="0"/>
          <w:numId w:val="10"/>
        </w:numPr>
        <w:rPr>
          <w:rFonts w:ascii="Calibri" w:hAnsi="Calibri" w:cs="Calibri"/>
          <w:color w:val="000000" w:themeColor="text1"/>
        </w:rPr>
      </w:pPr>
      <w:r w:rsidRPr="001C58C6">
        <w:rPr>
          <w:rFonts w:ascii="Calibri" w:hAnsi="Calibri" w:cs="Calibri"/>
          <w:color w:val="000000" w:themeColor="text1"/>
        </w:rPr>
        <w:t>pruži osnovu za usklađivanje politika sa novim zahtjevima EU i promjenama u stanju kvaliteta vazduha;</w:t>
      </w:r>
    </w:p>
    <w:p w14:paraId="1F0A7981" w14:textId="77777777" w:rsidR="00935DD0" w:rsidRPr="001C58C6" w:rsidRDefault="00935DD0" w:rsidP="00E53052">
      <w:pPr>
        <w:numPr>
          <w:ilvl w:val="0"/>
          <w:numId w:val="10"/>
        </w:numPr>
        <w:rPr>
          <w:rFonts w:ascii="Calibri" w:hAnsi="Calibri" w:cs="Calibri"/>
          <w:color w:val="000000" w:themeColor="text1"/>
        </w:rPr>
      </w:pPr>
      <w:r w:rsidRPr="001C58C6">
        <w:rPr>
          <w:rFonts w:ascii="Calibri" w:hAnsi="Calibri" w:cs="Calibri"/>
          <w:color w:val="000000" w:themeColor="text1"/>
        </w:rPr>
        <w:t>doprinese donošenju zasnovanih odluka i unapređenju javnih politika;</w:t>
      </w:r>
    </w:p>
    <w:p w14:paraId="6FE40A99" w14:textId="77777777" w:rsidR="00935DD0" w:rsidRPr="001C58C6" w:rsidRDefault="00935DD0" w:rsidP="00E53052">
      <w:pPr>
        <w:numPr>
          <w:ilvl w:val="0"/>
          <w:numId w:val="10"/>
        </w:numPr>
        <w:rPr>
          <w:rFonts w:ascii="Calibri" w:hAnsi="Calibri" w:cs="Calibri"/>
          <w:color w:val="000000" w:themeColor="text1"/>
        </w:rPr>
      </w:pPr>
      <w:r w:rsidRPr="001C58C6">
        <w:rPr>
          <w:rFonts w:ascii="Calibri" w:hAnsi="Calibri" w:cs="Calibri"/>
          <w:color w:val="000000" w:themeColor="text1"/>
        </w:rPr>
        <w:t>informiše javnost, relevantne institucije i međunarodne partnere.</w:t>
      </w:r>
    </w:p>
    <w:p w14:paraId="4E087A0F" w14:textId="77777777" w:rsidR="00A0374C" w:rsidRPr="001C58C6" w:rsidRDefault="00A0374C" w:rsidP="00935DD0">
      <w:pPr>
        <w:rPr>
          <w:rFonts w:ascii="Calibri" w:hAnsi="Calibri" w:cs="Calibri"/>
          <w:color w:val="000000" w:themeColor="text1"/>
        </w:rPr>
      </w:pPr>
    </w:p>
    <w:p w14:paraId="363F7614" w14:textId="77777777" w:rsidR="000B41E7" w:rsidRPr="001C58C6" w:rsidRDefault="00935DD0" w:rsidP="000B41E7">
      <w:pPr>
        <w:pStyle w:val="Heading2"/>
        <w:rPr>
          <w:rFonts w:ascii="Calibri" w:hAnsi="Calibri" w:cs="Calibri"/>
          <w:color w:val="000000" w:themeColor="text1"/>
        </w:rPr>
      </w:pPr>
      <w:bookmarkStart w:id="112" w:name="_Toc220070435"/>
      <w:bookmarkStart w:id="113" w:name="_Toc233711754"/>
      <w:r w:rsidRPr="001C58C6">
        <w:rPr>
          <w:rFonts w:ascii="Calibri" w:hAnsi="Calibri" w:cs="Calibri"/>
          <w:color w:val="000000" w:themeColor="text1"/>
        </w:rPr>
        <w:t>5.2 Subjekti izvještavanja</w:t>
      </w:r>
      <w:bookmarkEnd w:id="112"/>
      <w:bookmarkEnd w:id="113"/>
    </w:p>
    <w:p w14:paraId="3BA1B4EF" w14:textId="77777777" w:rsidR="000B41E7" w:rsidRPr="001C58C6" w:rsidRDefault="000B41E7" w:rsidP="000B41E7">
      <w:pPr>
        <w:rPr>
          <w:rFonts w:ascii="Calibri" w:hAnsi="Calibri" w:cs="Calibri"/>
          <w:color w:val="000000" w:themeColor="text1"/>
        </w:rPr>
      </w:pPr>
    </w:p>
    <w:p w14:paraId="45A6FC3B" w14:textId="77777777" w:rsidR="00935DD0" w:rsidRPr="001C58C6" w:rsidRDefault="00935DD0" w:rsidP="00935DD0">
      <w:pPr>
        <w:rPr>
          <w:rFonts w:ascii="Calibri" w:hAnsi="Calibri" w:cs="Calibri"/>
          <w:color w:val="000000" w:themeColor="text1"/>
        </w:rPr>
      </w:pPr>
      <w:r w:rsidRPr="001C58C6">
        <w:rPr>
          <w:rFonts w:ascii="Calibri" w:hAnsi="Calibri" w:cs="Calibri"/>
          <w:color w:val="000000" w:themeColor="text1"/>
        </w:rPr>
        <w:t>U sistemu izvještavanja učestvuju sljedeće institucije:</w:t>
      </w:r>
    </w:p>
    <w:p w14:paraId="3227413F" w14:textId="77777777" w:rsidR="00935DD0" w:rsidRPr="001C58C6" w:rsidRDefault="00935DD0" w:rsidP="00E53052">
      <w:pPr>
        <w:numPr>
          <w:ilvl w:val="0"/>
          <w:numId w:val="32"/>
        </w:numPr>
        <w:rPr>
          <w:rFonts w:ascii="Calibri" w:hAnsi="Calibri" w:cs="Calibri"/>
          <w:color w:val="000000" w:themeColor="text1"/>
        </w:rPr>
      </w:pPr>
      <w:r w:rsidRPr="001C58C6">
        <w:rPr>
          <w:rFonts w:ascii="Calibri" w:hAnsi="Calibri" w:cs="Calibri"/>
          <w:b/>
          <w:bCs/>
          <w:color w:val="000000" w:themeColor="text1"/>
        </w:rPr>
        <w:t>Agencija za zaštitu životne sredine</w:t>
      </w:r>
      <w:r w:rsidRPr="001C58C6">
        <w:rPr>
          <w:rFonts w:ascii="Calibri" w:hAnsi="Calibri" w:cs="Calibri"/>
          <w:color w:val="000000" w:themeColor="text1"/>
        </w:rPr>
        <w:t xml:space="preserve"> – tehnički i analitički nosilac izvještavanja o kvalitetu vazduha i emisijama;</w:t>
      </w:r>
    </w:p>
    <w:p w14:paraId="26FED140" w14:textId="77777777" w:rsidR="00935DD0" w:rsidRPr="001C58C6" w:rsidRDefault="00935DD0" w:rsidP="00E53052">
      <w:pPr>
        <w:numPr>
          <w:ilvl w:val="0"/>
          <w:numId w:val="32"/>
        </w:numPr>
        <w:rPr>
          <w:rFonts w:ascii="Calibri" w:hAnsi="Calibri" w:cs="Calibri"/>
          <w:color w:val="000000" w:themeColor="text1"/>
        </w:rPr>
      </w:pPr>
      <w:r w:rsidRPr="001C58C6">
        <w:rPr>
          <w:rFonts w:ascii="Calibri" w:hAnsi="Calibri" w:cs="Calibri"/>
          <w:b/>
          <w:bCs/>
          <w:color w:val="000000" w:themeColor="text1"/>
        </w:rPr>
        <w:t>Ministarstvo ekologije, održivog razvoja i razvoja sjevera</w:t>
      </w:r>
      <w:r w:rsidRPr="001C58C6">
        <w:rPr>
          <w:rFonts w:ascii="Calibri" w:hAnsi="Calibri" w:cs="Calibri"/>
          <w:color w:val="000000" w:themeColor="text1"/>
        </w:rPr>
        <w:t xml:space="preserve"> – koordinator procesa izvještavanja i izrade konsolidovanih izvještaja;</w:t>
      </w:r>
    </w:p>
    <w:p w14:paraId="18AE430B" w14:textId="77777777" w:rsidR="00935DD0" w:rsidRPr="001C58C6" w:rsidRDefault="00935DD0" w:rsidP="00E53052">
      <w:pPr>
        <w:numPr>
          <w:ilvl w:val="0"/>
          <w:numId w:val="32"/>
        </w:numPr>
        <w:rPr>
          <w:rFonts w:ascii="Calibri" w:hAnsi="Calibri" w:cs="Calibri"/>
          <w:color w:val="000000" w:themeColor="text1"/>
        </w:rPr>
      </w:pPr>
      <w:r w:rsidRPr="001C58C6">
        <w:rPr>
          <w:rFonts w:ascii="Calibri" w:hAnsi="Calibri" w:cs="Calibri"/>
          <w:b/>
          <w:bCs/>
          <w:color w:val="000000" w:themeColor="text1"/>
        </w:rPr>
        <w:t>Ministarstvo energetike i rudarstva</w:t>
      </w:r>
      <w:r w:rsidRPr="001C58C6">
        <w:rPr>
          <w:rFonts w:ascii="Calibri" w:hAnsi="Calibri" w:cs="Calibri"/>
          <w:color w:val="000000" w:themeColor="text1"/>
        </w:rPr>
        <w:t xml:space="preserve">, </w:t>
      </w:r>
      <w:r w:rsidRPr="001C58C6">
        <w:rPr>
          <w:rFonts w:ascii="Calibri" w:hAnsi="Calibri" w:cs="Calibri"/>
          <w:b/>
          <w:bCs/>
          <w:color w:val="000000" w:themeColor="text1"/>
        </w:rPr>
        <w:t xml:space="preserve">Ministarstvo saobraćaja </w:t>
      </w:r>
      <w:r w:rsidRPr="001C58C6">
        <w:rPr>
          <w:rFonts w:ascii="Calibri" w:hAnsi="Calibri" w:cs="Calibri"/>
          <w:color w:val="000000" w:themeColor="text1"/>
        </w:rPr>
        <w:t>druga resorna ministarstva – izvještavaju o sprovođenju sektorskih mjera;</w:t>
      </w:r>
    </w:p>
    <w:p w14:paraId="704EB8B6" w14:textId="77777777" w:rsidR="00935DD0" w:rsidRPr="001C58C6" w:rsidRDefault="00935DD0" w:rsidP="00E53052">
      <w:pPr>
        <w:numPr>
          <w:ilvl w:val="0"/>
          <w:numId w:val="32"/>
        </w:numPr>
        <w:rPr>
          <w:rFonts w:ascii="Calibri" w:hAnsi="Calibri" w:cs="Calibri"/>
          <w:color w:val="000000" w:themeColor="text1"/>
        </w:rPr>
      </w:pPr>
      <w:r w:rsidRPr="001C58C6">
        <w:rPr>
          <w:rFonts w:ascii="Calibri" w:hAnsi="Calibri" w:cs="Calibri"/>
          <w:b/>
          <w:bCs/>
          <w:color w:val="000000" w:themeColor="text1"/>
        </w:rPr>
        <w:t>Eko fond</w:t>
      </w:r>
      <w:r w:rsidRPr="001C58C6">
        <w:rPr>
          <w:rFonts w:ascii="Calibri" w:hAnsi="Calibri" w:cs="Calibri"/>
          <w:color w:val="000000" w:themeColor="text1"/>
        </w:rPr>
        <w:t xml:space="preserve"> – izvještava o finansijskim programima i realizovanim projektima;</w:t>
      </w:r>
    </w:p>
    <w:p w14:paraId="17111568" w14:textId="77777777" w:rsidR="00935DD0" w:rsidRPr="001C58C6" w:rsidRDefault="00935DD0" w:rsidP="00E53052">
      <w:pPr>
        <w:numPr>
          <w:ilvl w:val="0"/>
          <w:numId w:val="32"/>
        </w:numPr>
        <w:rPr>
          <w:rFonts w:ascii="Calibri" w:hAnsi="Calibri" w:cs="Calibri"/>
          <w:color w:val="000000" w:themeColor="text1"/>
        </w:rPr>
      </w:pPr>
      <w:r w:rsidRPr="001C58C6">
        <w:rPr>
          <w:rFonts w:ascii="Calibri" w:hAnsi="Calibri" w:cs="Calibri"/>
          <w:b/>
          <w:bCs/>
          <w:color w:val="000000" w:themeColor="text1"/>
        </w:rPr>
        <w:t>jedinice lokalne samouprave</w:t>
      </w:r>
      <w:r w:rsidRPr="001C58C6">
        <w:rPr>
          <w:rFonts w:ascii="Calibri" w:hAnsi="Calibri" w:cs="Calibri"/>
          <w:color w:val="000000" w:themeColor="text1"/>
        </w:rPr>
        <w:t xml:space="preserve"> – izvještavaju o sprovođenju lokalnih mjera i planova kvaliteta vazduha;</w:t>
      </w:r>
    </w:p>
    <w:p w14:paraId="056EF0DB" w14:textId="77777777" w:rsidR="00935DD0" w:rsidRPr="001C58C6" w:rsidRDefault="00935DD0" w:rsidP="00E53052">
      <w:pPr>
        <w:numPr>
          <w:ilvl w:val="0"/>
          <w:numId w:val="32"/>
        </w:numPr>
        <w:rPr>
          <w:rFonts w:ascii="Calibri" w:hAnsi="Calibri" w:cs="Calibri"/>
          <w:color w:val="000000" w:themeColor="text1"/>
        </w:rPr>
      </w:pPr>
      <w:r w:rsidRPr="001C58C6">
        <w:rPr>
          <w:rFonts w:ascii="Calibri" w:hAnsi="Calibri" w:cs="Calibri"/>
          <w:b/>
          <w:bCs/>
          <w:color w:val="000000" w:themeColor="text1"/>
        </w:rPr>
        <w:t>Institut za javno zdravlje</w:t>
      </w:r>
      <w:r w:rsidRPr="001C58C6">
        <w:rPr>
          <w:rFonts w:ascii="Calibri" w:hAnsi="Calibri" w:cs="Calibri"/>
          <w:color w:val="000000" w:themeColor="text1"/>
        </w:rPr>
        <w:t xml:space="preserve"> – izvještava o indikatorima uticaja zagađenja vazduha na zdravlje stanovništva.</w:t>
      </w:r>
    </w:p>
    <w:p w14:paraId="0C1AAC45" w14:textId="77777777" w:rsidR="00935DD0" w:rsidRPr="001C58C6" w:rsidRDefault="00935DD0" w:rsidP="00935DD0">
      <w:pPr>
        <w:rPr>
          <w:rFonts w:ascii="Calibri" w:hAnsi="Calibri" w:cs="Calibri"/>
          <w:color w:val="000000" w:themeColor="text1"/>
        </w:rPr>
      </w:pPr>
    </w:p>
    <w:p w14:paraId="764F9B12" w14:textId="77777777" w:rsidR="00935DD0" w:rsidRPr="001C58C6" w:rsidRDefault="00935DD0" w:rsidP="000B41E7">
      <w:pPr>
        <w:pStyle w:val="Heading2"/>
        <w:rPr>
          <w:rFonts w:ascii="Calibri" w:hAnsi="Calibri" w:cs="Calibri"/>
          <w:color w:val="000000" w:themeColor="text1"/>
        </w:rPr>
      </w:pPr>
      <w:bookmarkStart w:id="114" w:name="_Toc220070436"/>
      <w:bookmarkStart w:id="115" w:name="_Toc233711755"/>
      <w:r w:rsidRPr="001C58C6">
        <w:rPr>
          <w:rFonts w:ascii="Calibri" w:hAnsi="Calibri" w:cs="Calibri"/>
          <w:color w:val="000000" w:themeColor="text1"/>
        </w:rPr>
        <w:lastRenderedPageBreak/>
        <w:t>5.3 Vrste i dinamika izvještavanja</w:t>
      </w:r>
      <w:bookmarkEnd w:id="114"/>
      <w:bookmarkEnd w:id="115"/>
    </w:p>
    <w:p w14:paraId="66FCF0BB" w14:textId="77777777" w:rsidR="000B41E7" w:rsidRPr="001C58C6" w:rsidRDefault="000B41E7" w:rsidP="000B41E7">
      <w:pPr>
        <w:rPr>
          <w:rFonts w:ascii="Calibri" w:hAnsi="Calibri" w:cs="Calibri"/>
          <w:color w:val="000000" w:themeColor="text1"/>
        </w:rPr>
      </w:pPr>
    </w:p>
    <w:p w14:paraId="10AC250E" w14:textId="77777777" w:rsidR="00935DD0" w:rsidRPr="001C58C6" w:rsidRDefault="00935DD0" w:rsidP="00935DD0">
      <w:pPr>
        <w:rPr>
          <w:rFonts w:ascii="Calibri" w:hAnsi="Calibri" w:cs="Calibri"/>
          <w:color w:val="000000" w:themeColor="text1"/>
        </w:rPr>
      </w:pPr>
      <w:r w:rsidRPr="001C58C6">
        <w:rPr>
          <w:rFonts w:ascii="Calibri" w:hAnsi="Calibri" w:cs="Calibri"/>
          <w:color w:val="000000" w:themeColor="text1"/>
        </w:rPr>
        <w:t>Sistem izvještavanja obuhvata:</w:t>
      </w:r>
    </w:p>
    <w:p w14:paraId="37164BE0" w14:textId="77777777" w:rsidR="00935DD0" w:rsidRPr="001C58C6" w:rsidRDefault="00935DD0" w:rsidP="00935DD0">
      <w:pPr>
        <w:rPr>
          <w:rFonts w:ascii="Calibri" w:hAnsi="Calibri" w:cs="Calibri"/>
          <w:b/>
          <w:bCs/>
          <w:color w:val="000000" w:themeColor="text1"/>
        </w:rPr>
      </w:pPr>
      <w:r w:rsidRPr="001C58C6">
        <w:rPr>
          <w:rFonts w:ascii="Calibri" w:hAnsi="Calibri" w:cs="Calibri"/>
          <w:b/>
          <w:bCs/>
          <w:color w:val="000000" w:themeColor="text1"/>
        </w:rPr>
        <w:t>a) Redovno godišnje izvještavanje</w:t>
      </w:r>
    </w:p>
    <w:p w14:paraId="6D699648" w14:textId="77777777" w:rsidR="00935DD0" w:rsidRPr="001C58C6" w:rsidRDefault="00935DD0" w:rsidP="00E53052">
      <w:pPr>
        <w:numPr>
          <w:ilvl w:val="0"/>
          <w:numId w:val="35"/>
        </w:numPr>
        <w:rPr>
          <w:rFonts w:ascii="Calibri" w:hAnsi="Calibri" w:cs="Calibri"/>
          <w:color w:val="000000" w:themeColor="text1"/>
        </w:rPr>
      </w:pPr>
      <w:r w:rsidRPr="001C58C6">
        <w:rPr>
          <w:rFonts w:ascii="Calibri" w:hAnsi="Calibri" w:cs="Calibri"/>
          <w:color w:val="000000" w:themeColor="text1"/>
        </w:rPr>
        <w:t>EPA izrađuje Godišnji izvještaj o kvalitetu vazduha i emisijama, sa analizom trendova i prekoračenja;</w:t>
      </w:r>
    </w:p>
    <w:p w14:paraId="06B7340F" w14:textId="77777777" w:rsidR="00935DD0" w:rsidRPr="001C58C6" w:rsidRDefault="00935DD0" w:rsidP="00E53052">
      <w:pPr>
        <w:numPr>
          <w:ilvl w:val="0"/>
          <w:numId w:val="35"/>
        </w:numPr>
        <w:rPr>
          <w:rFonts w:ascii="Calibri" w:hAnsi="Calibri" w:cs="Calibri"/>
          <w:color w:val="000000" w:themeColor="text1"/>
        </w:rPr>
      </w:pPr>
      <w:r w:rsidRPr="001C58C6">
        <w:rPr>
          <w:rFonts w:ascii="Calibri" w:hAnsi="Calibri" w:cs="Calibri"/>
          <w:color w:val="000000" w:themeColor="text1"/>
        </w:rPr>
        <w:t>lokalne samouprave dostavljaju izvještaje o sprovođenju mjera iz lokalnih planova;</w:t>
      </w:r>
    </w:p>
    <w:p w14:paraId="3D54C624" w14:textId="77777777" w:rsidR="00935DD0" w:rsidRPr="001C58C6" w:rsidRDefault="00935DD0" w:rsidP="00E53052">
      <w:pPr>
        <w:numPr>
          <w:ilvl w:val="0"/>
          <w:numId w:val="35"/>
        </w:numPr>
        <w:rPr>
          <w:rFonts w:ascii="Calibri" w:hAnsi="Calibri" w:cs="Calibri"/>
          <w:color w:val="000000" w:themeColor="text1"/>
        </w:rPr>
      </w:pPr>
      <w:r w:rsidRPr="001C58C6">
        <w:rPr>
          <w:rFonts w:ascii="Calibri" w:hAnsi="Calibri" w:cs="Calibri"/>
          <w:color w:val="000000" w:themeColor="text1"/>
        </w:rPr>
        <w:t>resorna ministarstva i Eko fond dostavljaju izvještaje o sprovedenim aktivnostima u svojim nadležnostima;</w:t>
      </w:r>
    </w:p>
    <w:p w14:paraId="784230BC" w14:textId="77777777" w:rsidR="00935DD0" w:rsidRPr="001C58C6" w:rsidRDefault="00935DD0" w:rsidP="00E53052">
      <w:pPr>
        <w:numPr>
          <w:ilvl w:val="0"/>
          <w:numId w:val="35"/>
        </w:numPr>
        <w:rPr>
          <w:rFonts w:ascii="Calibri" w:hAnsi="Calibri" w:cs="Calibri"/>
          <w:color w:val="000000" w:themeColor="text1"/>
        </w:rPr>
      </w:pPr>
      <w:r w:rsidRPr="001C58C6">
        <w:rPr>
          <w:rFonts w:ascii="Calibri" w:hAnsi="Calibri" w:cs="Calibri"/>
          <w:color w:val="000000" w:themeColor="text1"/>
        </w:rPr>
        <w:t>Ministarstvo ekologije, održivog razvoja i razvoja sjevera priprema Konsolidovani godišnji izvještaj o sprovođenju Strategije.</w:t>
      </w:r>
    </w:p>
    <w:p w14:paraId="1E549E73" w14:textId="77777777" w:rsidR="000959DD" w:rsidRPr="001C58C6" w:rsidRDefault="000959DD" w:rsidP="000959DD">
      <w:pPr>
        <w:ind w:left="360"/>
        <w:rPr>
          <w:rFonts w:ascii="Calibri" w:hAnsi="Calibri" w:cs="Calibri"/>
          <w:color w:val="000000" w:themeColor="text1"/>
        </w:rPr>
      </w:pPr>
    </w:p>
    <w:p w14:paraId="2F4F68E3" w14:textId="77777777" w:rsidR="000959DD" w:rsidRPr="001C58C6" w:rsidRDefault="000959DD" w:rsidP="000959DD">
      <w:pPr>
        <w:ind w:left="360"/>
        <w:rPr>
          <w:rFonts w:ascii="Calibri" w:hAnsi="Calibri" w:cs="Calibri"/>
          <w:color w:val="000000" w:themeColor="text1"/>
        </w:rPr>
      </w:pPr>
      <w:r w:rsidRPr="001C58C6">
        <w:rPr>
          <w:rFonts w:ascii="Calibri" w:hAnsi="Calibri" w:cs="Calibri"/>
          <w:color w:val="000000" w:themeColor="text1"/>
        </w:rPr>
        <w:t xml:space="preserve">Konsolidovani godišnji izvještaj Ministarstvo dostavlja Vladi Crne Gore na razmatranje najkasnije do 31. januara tekuće godine za prethodnu godinu, a nakon razmatranja se objavljuje na internet stranici Ministarstva i portalu Vlade. </w:t>
      </w:r>
    </w:p>
    <w:p w14:paraId="14778E68" w14:textId="77777777" w:rsidR="00AD31E0" w:rsidRPr="001C58C6" w:rsidRDefault="00AD31E0">
      <w:pPr>
        <w:rPr>
          <w:rFonts w:ascii="Calibri" w:hAnsi="Calibri" w:cs="Calibri"/>
          <w:color w:val="000000" w:themeColor="text1"/>
        </w:rPr>
      </w:pPr>
    </w:p>
    <w:p w14:paraId="499ED943" w14:textId="77777777" w:rsidR="00AD31E0" w:rsidRPr="001C58C6" w:rsidRDefault="00AD31E0">
      <w:pPr>
        <w:rPr>
          <w:rFonts w:ascii="Calibri" w:hAnsi="Calibri" w:cs="Calibri"/>
          <w:color w:val="000000" w:themeColor="text1"/>
        </w:rPr>
      </w:pPr>
    </w:p>
    <w:p w14:paraId="6E01C2FE" w14:textId="77777777" w:rsidR="00935DD0" w:rsidRPr="001C58C6" w:rsidRDefault="00935DD0" w:rsidP="00935DD0">
      <w:pPr>
        <w:rPr>
          <w:rFonts w:ascii="Calibri" w:hAnsi="Calibri" w:cs="Calibri"/>
          <w:b/>
          <w:bCs/>
          <w:color w:val="000000" w:themeColor="text1"/>
        </w:rPr>
      </w:pPr>
      <w:r w:rsidRPr="001C58C6">
        <w:rPr>
          <w:rFonts w:ascii="Calibri" w:hAnsi="Calibri" w:cs="Calibri"/>
          <w:b/>
          <w:bCs/>
          <w:color w:val="000000" w:themeColor="text1"/>
        </w:rPr>
        <w:t>b) Periodični izvještaji o napretku</w:t>
      </w:r>
    </w:p>
    <w:p w14:paraId="54A27A71" w14:textId="77777777" w:rsidR="00935DD0" w:rsidRPr="001C58C6" w:rsidRDefault="00935DD0" w:rsidP="00E53052">
      <w:pPr>
        <w:pStyle w:val="ListParagraph"/>
        <w:numPr>
          <w:ilvl w:val="0"/>
          <w:numId w:val="34"/>
        </w:numPr>
        <w:rPr>
          <w:rFonts w:ascii="Calibri" w:hAnsi="Calibri" w:cs="Calibri"/>
          <w:color w:val="000000" w:themeColor="text1"/>
        </w:rPr>
      </w:pPr>
      <w:r w:rsidRPr="001C58C6">
        <w:rPr>
          <w:rFonts w:ascii="Calibri" w:hAnsi="Calibri" w:cs="Calibri"/>
          <w:color w:val="000000" w:themeColor="text1"/>
        </w:rPr>
        <w:t>jedna sveobuhvatna procjena napretka vrši se na polovini perioda važenja Strategije;</w:t>
      </w:r>
    </w:p>
    <w:p w14:paraId="784017BD" w14:textId="77777777" w:rsidR="00935DD0" w:rsidRPr="001C58C6" w:rsidRDefault="00935DD0" w:rsidP="00E53052">
      <w:pPr>
        <w:pStyle w:val="ListParagraph"/>
        <w:numPr>
          <w:ilvl w:val="0"/>
          <w:numId w:val="34"/>
        </w:numPr>
        <w:rPr>
          <w:rFonts w:ascii="Calibri" w:hAnsi="Calibri" w:cs="Calibri"/>
          <w:color w:val="000000" w:themeColor="text1"/>
        </w:rPr>
      </w:pPr>
      <w:r w:rsidRPr="001C58C6">
        <w:rPr>
          <w:rFonts w:ascii="Calibri" w:hAnsi="Calibri" w:cs="Calibri"/>
          <w:color w:val="000000" w:themeColor="text1"/>
        </w:rPr>
        <w:t>izvještaj sadrži procjenu ostvarenja ciljeva, procjenu efekata mjera, preporuke i prijedloge korekcija.</w:t>
      </w:r>
    </w:p>
    <w:p w14:paraId="4DDBB3EE" w14:textId="77777777" w:rsidR="00935DD0" w:rsidRPr="001C58C6" w:rsidRDefault="00935DD0" w:rsidP="00935DD0">
      <w:pPr>
        <w:rPr>
          <w:rFonts w:ascii="Calibri" w:hAnsi="Calibri" w:cs="Calibri"/>
          <w:b/>
          <w:bCs/>
          <w:color w:val="000000" w:themeColor="text1"/>
        </w:rPr>
      </w:pPr>
      <w:r w:rsidRPr="001C58C6">
        <w:rPr>
          <w:rFonts w:ascii="Calibri" w:hAnsi="Calibri" w:cs="Calibri"/>
          <w:b/>
          <w:bCs/>
          <w:color w:val="000000" w:themeColor="text1"/>
        </w:rPr>
        <w:t>c) Izvještavanje prema Evropskoj uniji i međunarodnim obavezama</w:t>
      </w:r>
    </w:p>
    <w:p w14:paraId="00929E7C" w14:textId="77777777" w:rsidR="00935DD0" w:rsidRPr="001C58C6" w:rsidRDefault="00935DD0" w:rsidP="00E53052">
      <w:pPr>
        <w:numPr>
          <w:ilvl w:val="0"/>
          <w:numId w:val="33"/>
        </w:numPr>
        <w:rPr>
          <w:rFonts w:ascii="Calibri" w:hAnsi="Calibri" w:cs="Calibri"/>
          <w:color w:val="000000" w:themeColor="text1"/>
        </w:rPr>
      </w:pPr>
      <w:r w:rsidRPr="001C58C6">
        <w:rPr>
          <w:rFonts w:ascii="Calibri" w:hAnsi="Calibri" w:cs="Calibri"/>
          <w:color w:val="000000" w:themeColor="text1"/>
        </w:rPr>
        <w:t>izvještavanje o emisijama, kvalitetu vazduha i sprovođenju mjera vrši se u skladu sa zahtjevima relevantnih EU direktiva i međunarodnih konvencija;</w:t>
      </w:r>
    </w:p>
    <w:p w14:paraId="13D6B98A" w14:textId="77777777" w:rsidR="00935DD0" w:rsidRPr="001C58C6" w:rsidRDefault="00935DD0" w:rsidP="00E53052">
      <w:pPr>
        <w:numPr>
          <w:ilvl w:val="0"/>
          <w:numId w:val="33"/>
        </w:numPr>
        <w:rPr>
          <w:rFonts w:ascii="Calibri" w:hAnsi="Calibri" w:cs="Calibri"/>
          <w:color w:val="000000" w:themeColor="text1"/>
        </w:rPr>
      </w:pPr>
      <w:r w:rsidRPr="001C58C6">
        <w:rPr>
          <w:rFonts w:ascii="Calibri" w:hAnsi="Calibri" w:cs="Calibri"/>
          <w:color w:val="000000" w:themeColor="text1"/>
        </w:rPr>
        <w:t>EPA i Ministarstvo obezbjeđuju blagovremeno dostavljanje podataka Evropskoj komisiji, Evropskoj agenciji za životnu sredinu i drugim tijelima.</w:t>
      </w:r>
    </w:p>
    <w:p w14:paraId="2F98A958" w14:textId="77777777" w:rsidR="00935DD0" w:rsidRPr="001C58C6" w:rsidRDefault="00935DD0" w:rsidP="00935DD0">
      <w:pPr>
        <w:rPr>
          <w:rFonts w:ascii="Calibri" w:hAnsi="Calibri" w:cs="Calibri"/>
          <w:color w:val="000000" w:themeColor="text1"/>
        </w:rPr>
      </w:pPr>
    </w:p>
    <w:p w14:paraId="0EA55B84" w14:textId="77777777" w:rsidR="00935DD0" w:rsidRPr="001C58C6" w:rsidRDefault="00935DD0" w:rsidP="000B41E7">
      <w:pPr>
        <w:pStyle w:val="Heading2"/>
        <w:rPr>
          <w:rFonts w:ascii="Calibri" w:hAnsi="Calibri" w:cs="Calibri"/>
          <w:color w:val="000000" w:themeColor="text1"/>
        </w:rPr>
      </w:pPr>
      <w:bookmarkStart w:id="116" w:name="_Toc220070437"/>
      <w:bookmarkStart w:id="117" w:name="_Toc233711756"/>
      <w:r w:rsidRPr="001C58C6">
        <w:rPr>
          <w:rFonts w:ascii="Calibri" w:hAnsi="Calibri" w:cs="Calibri"/>
          <w:color w:val="000000" w:themeColor="text1"/>
        </w:rPr>
        <w:t>5.4 Evaluacija Strategije</w:t>
      </w:r>
      <w:bookmarkEnd w:id="116"/>
      <w:bookmarkEnd w:id="117"/>
    </w:p>
    <w:p w14:paraId="78B49E2B" w14:textId="77777777" w:rsidR="000B41E7" w:rsidRPr="001C58C6" w:rsidRDefault="000B41E7" w:rsidP="000B41E7">
      <w:pPr>
        <w:rPr>
          <w:rFonts w:ascii="Calibri" w:hAnsi="Calibri" w:cs="Calibri"/>
          <w:color w:val="000000" w:themeColor="text1"/>
        </w:rPr>
      </w:pPr>
    </w:p>
    <w:p w14:paraId="4424DD8E" w14:textId="77777777" w:rsidR="00935DD0" w:rsidRPr="001C58C6" w:rsidRDefault="00935DD0" w:rsidP="00935DD0">
      <w:pPr>
        <w:rPr>
          <w:rFonts w:ascii="Calibri" w:hAnsi="Calibri" w:cs="Calibri"/>
          <w:color w:val="000000" w:themeColor="text1"/>
        </w:rPr>
      </w:pPr>
      <w:r w:rsidRPr="001C58C6">
        <w:rPr>
          <w:rFonts w:ascii="Calibri" w:hAnsi="Calibri" w:cs="Calibri"/>
          <w:color w:val="000000" w:themeColor="text1"/>
        </w:rPr>
        <w:t>Evaluacija se vrši radi procjene:</w:t>
      </w:r>
    </w:p>
    <w:p w14:paraId="55547178" w14:textId="77777777" w:rsidR="00935DD0" w:rsidRPr="001C58C6" w:rsidRDefault="00935DD0" w:rsidP="00E53052">
      <w:pPr>
        <w:numPr>
          <w:ilvl w:val="0"/>
          <w:numId w:val="36"/>
        </w:numPr>
        <w:rPr>
          <w:rFonts w:ascii="Calibri" w:hAnsi="Calibri" w:cs="Calibri"/>
          <w:color w:val="000000" w:themeColor="text1"/>
        </w:rPr>
      </w:pPr>
      <w:r w:rsidRPr="001C58C6">
        <w:rPr>
          <w:rFonts w:ascii="Calibri" w:hAnsi="Calibri" w:cs="Calibri"/>
          <w:color w:val="000000" w:themeColor="text1"/>
        </w:rPr>
        <w:t>u kojoj mjeri su ostvareni strateški i operativni ciljevi;</w:t>
      </w:r>
    </w:p>
    <w:p w14:paraId="2391DD1D" w14:textId="77777777" w:rsidR="00935DD0" w:rsidRPr="001C58C6" w:rsidRDefault="00935DD0" w:rsidP="00E53052">
      <w:pPr>
        <w:numPr>
          <w:ilvl w:val="0"/>
          <w:numId w:val="36"/>
        </w:numPr>
        <w:rPr>
          <w:rFonts w:ascii="Calibri" w:hAnsi="Calibri" w:cs="Calibri"/>
          <w:color w:val="000000" w:themeColor="text1"/>
        </w:rPr>
      </w:pPr>
      <w:r w:rsidRPr="001C58C6">
        <w:rPr>
          <w:rFonts w:ascii="Calibri" w:hAnsi="Calibri" w:cs="Calibri"/>
          <w:color w:val="000000" w:themeColor="text1"/>
        </w:rPr>
        <w:t>koliko su primijenjene mjere dovele do smanjenja koncentracija zagađujućih materija;</w:t>
      </w:r>
    </w:p>
    <w:p w14:paraId="2DDC772E" w14:textId="77777777" w:rsidR="00935DD0" w:rsidRPr="001C58C6" w:rsidRDefault="00935DD0" w:rsidP="00E53052">
      <w:pPr>
        <w:numPr>
          <w:ilvl w:val="0"/>
          <w:numId w:val="36"/>
        </w:numPr>
        <w:rPr>
          <w:rFonts w:ascii="Calibri" w:hAnsi="Calibri" w:cs="Calibri"/>
          <w:color w:val="000000" w:themeColor="text1"/>
        </w:rPr>
      </w:pPr>
      <w:r w:rsidRPr="001C58C6">
        <w:rPr>
          <w:rFonts w:ascii="Calibri" w:hAnsi="Calibri" w:cs="Calibri"/>
          <w:color w:val="000000" w:themeColor="text1"/>
        </w:rPr>
        <w:t>efikasnosti alociranih finansijskih sredstava;</w:t>
      </w:r>
    </w:p>
    <w:p w14:paraId="7DD4EAC9" w14:textId="77777777" w:rsidR="00E630B7" w:rsidRPr="001C58C6" w:rsidRDefault="00935DD0" w:rsidP="00E53052">
      <w:pPr>
        <w:numPr>
          <w:ilvl w:val="0"/>
          <w:numId w:val="36"/>
        </w:numPr>
        <w:rPr>
          <w:rFonts w:ascii="Calibri" w:hAnsi="Calibri" w:cs="Calibri"/>
          <w:color w:val="000000" w:themeColor="text1"/>
        </w:rPr>
      </w:pPr>
      <w:r w:rsidRPr="001C58C6">
        <w:rPr>
          <w:rFonts w:ascii="Calibri" w:hAnsi="Calibri" w:cs="Calibri"/>
          <w:color w:val="000000" w:themeColor="text1"/>
        </w:rPr>
        <w:t>uticaja mjera na zdravlje stanovništva;</w:t>
      </w:r>
    </w:p>
    <w:p w14:paraId="6C40215F" w14:textId="77777777" w:rsidR="00935DD0" w:rsidRPr="001C58C6" w:rsidRDefault="00935DD0" w:rsidP="00E53052">
      <w:pPr>
        <w:numPr>
          <w:ilvl w:val="0"/>
          <w:numId w:val="36"/>
        </w:numPr>
        <w:rPr>
          <w:rFonts w:ascii="Calibri" w:hAnsi="Calibri" w:cs="Calibri"/>
          <w:color w:val="000000" w:themeColor="text1"/>
        </w:rPr>
      </w:pPr>
      <w:r w:rsidRPr="001C58C6">
        <w:rPr>
          <w:rFonts w:ascii="Calibri" w:hAnsi="Calibri" w:cs="Calibri"/>
          <w:color w:val="000000" w:themeColor="text1"/>
        </w:rPr>
        <w:t>potrebe za izmjenama Strategije ili Akcionog plana.</w:t>
      </w:r>
    </w:p>
    <w:p w14:paraId="734D1931" w14:textId="77777777" w:rsidR="00AD31E0" w:rsidRPr="001C58C6" w:rsidRDefault="00AD31E0" w:rsidP="00935DD0">
      <w:pPr>
        <w:rPr>
          <w:rFonts w:ascii="Calibri" w:hAnsi="Calibri" w:cs="Calibri"/>
          <w:color w:val="000000" w:themeColor="text1"/>
        </w:rPr>
      </w:pPr>
    </w:p>
    <w:p w14:paraId="6FCC6B5A" w14:textId="77777777" w:rsidR="000959DD" w:rsidRPr="001C58C6" w:rsidRDefault="000959DD" w:rsidP="000959DD">
      <w:pPr>
        <w:rPr>
          <w:rFonts w:ascii="Calibri" w:hAnsi="Calibri" w:cs="Calibri"/>
          <w:color w:val="000000" w:themeColor="text1"/>
        </w:rPr>
      </w:pPr>
      <w:r w:rsidRPr="001C58C6">
        <w:rPr>
          <w:rFonts w:ascii="Calibri" w:hAnsi="Calibri" w:cs="Calibri"/>
          <w:color w:val="000000" w:themeColor="text1"/>
        </w:rPr>
        <w:t>Finalna ex-post evaluacija Strategije sprovodi se nakon isteka perioda važenja Strategije, u 2029/2030. godini, radi procjene ostvarenja strateških i operativnih ciljeva, efekata mjera na kvalitet vazduha, zdravlje ljudi, biodiverzitet, klimatske ciljeve i rodno prepoznate rizike, kao i efikasnosti utrošenih sredstava. Evaluaciju koordinira Ministarstvo ekologije, održivog razvoja i razvoja sjevera, uz uključivanje Agencije za zaštitu životne sredine, Eko-fonda, resornih ministarstava, lokalnih samouprava i Instituta za javno zdravlje. Za finalnu evaluaciju angažuje se nezavisni evaluator, a sredstva za tu namjenu planiraju se u budžetu Ministarstva ili iz dostupnih donatorskih/IPA sredstava.</w:t>
      </w:r>
    </w:p>
    <w:p w14:paraId="103F53F5" w14:textId="77777777" w:rsidR="00935DD0" w:rsidRPr="001C58C6" w:rsidRDefault="00935DD0" w:rsidP="00935DD0">
      <w:pPr>
        <w:rPr>
          <w:rFonts w:ascii="Calibri" w:hAnsi="Calibri" w:cs="Calibri"/>
          <w:color w:val="000000" w:themeColor="text1"/>
        </w:rPr>
      </w:pPr>
    </w:p>
    <w:p w14:paraId="6884A602" w14:textId="77777777" w:rsidR="00935DD0" w:rsidRPr="001C58C6" w:rsidRDefault="00935DD0" w:rsidP="000B41E7">
      <w:pPr>
        <w:pStyle w:val="Heading2"/>
        <w:rPr>
          <w:rFonts w:ascii="Calibri" w:hAnsi="Calibri" w:cs="Calibri"/>
          <w:color w:val="000000" w:themeColor="text1"/>
        </w:rPr>
      </w:pPr>
      <w:bookmarkStart w:id="118" w:name="_Toc220070438"/>
      <w:bookmarkStart w:id="119" w:name="_Toc233711757"/>
      <w:r w:rsidRPr="001C58C6">
        <w:rPr>
          <w:rFonts w:ascii="Calibri" w:hAnsi="Calibri" w:cs="Calibri"/>
          <w:color w:val="000000" w:themeColor="text1"/>
        </w:rPr>
        <w:lastRenderedPageBreak/>
        <w:t>5.5 Mehanizmi korektivnog djelovanja</w:t>
      </w:r>
      <w:bookmarkEnd w:id="118"/>
      <w:bookmarkEnd w:id="119"/>
    </w:p>
    <w:p w14:paraId="43E189EC" w14:textId="77777777" w:rsidR="000B41E7" w:rsidRPr="001C58C6" w:rsidRDefault="000B41E7" w:rsidP="00935DD0">
      <w:pPr>
        <w:rPr>
          <w:rFonts w:ascii="Calibri" w:hAnsi="Calibri" w:cs="Calibri"/>
          <w:color w:val="000000" w:themeColor="text1"/>
        </w:rPr>
      </w:pPr>
    </w:p>
    <w:p w14:paraId="3E74EB7D" w14:textId="77777777" w:rsidR="00935DD0" w:rsidRPr="001C58C6" w:rsidRDefault="00935DD0" w:rsidP="00935DD0">
      <w:pPr>
        <w:rPr>
          <w:rFonts w:ascii="Calibri" w:hAnsi="Calibri" w:cs="Calibri"/>
          <w:color w:val="000000" w:themeColor="text1"/>
        </w:rPr>
      </w:pPr>
      <w:r w:rsidRPr="001C58C6">
        <w:rPr>
          <w:rFonts w:ascii="Calibri" w:hAnsi="Calibri" w:cs="Calibri"/>
          <w:color w:val="000000" w:themeColor="text1"/>
        </w:rPr>
        <w:t>Ukoliko se kroz izvještavanje i evaluaciju utvrdi da:</w:t>
      </w:r>
    </w:p>
    <w:p w14:paraId="267B0290" w14:textId="77777777" w:rsidR="00935DD0" w:rsidRPr="001C58C6" w:rsidRDefault="00935DD0" w:rsidP="00E53052">
      <w:pPr>
        <w:numPr>
          <w:ilvl w:val="0"/>
          <w:numId w:val="37"/>
        </w:numPr>
        <w:rPr>
          <w:rFonts w:ascii="Calibri" w:hAnsi="Calibri" w:cs="Calibri"/>
          <w:color w:val="000000" w:themeColor="text1"/>
        </w:rPr>
      </w:pPr>
      <w:r w:rsidRPr="001C58C6">
        <w:rPr>
          <w:rFonts w:ascii="Calibri" w:hAnsi="Calibri" w:cs="Calibri"/>
          <w:color w:val="000000" w:themeColor="text1"/>
        </w:rPr>
        <w:t>ciljevi nijesu ostvareni planiranom dinamikom,</w:t>
      </w:r>
    </w:p>
    <w:p w14:paraId="581E1438" w14:textId="77777777" w:rsidR="00935DD0" w:rsidRPr="001C58C6" w:rsidRDefault="00935DD0" w:rsidP="00E53052">
      <w:pPr>
        <w:numPr>
          <w:ilvl w:val="0"/>
          <w:numId w:val="37"/>
        </w:numPr>
        <w:rPr>
          <w:rFonts w:ascii="Calibri" w:hAnsi="Calibri" w:cs="Calibri"/>
          <w:color w:val="000000" w:themeColor="text1"/>
        </w:rPr>
      </w:pPr>
      <w:r w:rsidRPr="001C58C6">
        <w:rPr>
          <w:rFonts w:ascii="Calibri" w:hAnsi="Calibri" w:cs="Calibri"/>
          <w:color w:val="000000" w:themeColor="text1"/>
        </w:rPr>
        <w:t>dolazi do kašnjenja u sprovođenju mjera,</w:t>
      </w:r>
    </w:p>
    <w:p w14:paraId="14FA943E" w14:textId="77777777" w:rsidR="00935DD0" w:rsidRPr="001C58C6" w:rsidRDefault="00935DD0" w:rsidP="00E53052">
      <w:pPr>
        <w:numPr>
          <w:ilvl w:val="0"/>
          <w:numId w:val="37"/>
        </w:numPr>
        <w:rPr>
          <w:rFonts w:ascii="Calibri" w:hAnsi="Calibri" w:cs="Calibri"/>
          <w:color w:val="000000" w:themeColor="text1"/>
        </w:rPr>
      </w:pPr>
      <w:r w:rsidRPr="001C58C6">
        <w:rPr>
          <w:rFonts w:ascii="Calibri" w:hAnsi="Calibri" w:cs="Calibri"/>
          <w:color w:val="000000" w:themeColor="text1"/>
        </w:rPr>
        <w:t>postoje sistemske prepreke u implementaciji,</w:t>
      </w:r>
    </w:p>
    <w:p w14:paraId="6C15D793" w14:textId="77777777" w:rsidR="00935DD0" w:rsidRPr="001C58C6" w:rsidRDefault="00935DD0" w:rsidP="00E53052">
      <w:pPr>
        <w:numPr>
          <w:ilvl w:val="0"/>
          <w:numId w:val="37"/>
        </w:numPr>
        <w:rPr>
          <w:rFonts w:ascii="Calibri" w:hAnsi="Calibri" w:cs="Calibri"/>
          <w:color w:val="000000" w:themeColor="text1"/>
        </w:rPr>
      </w:pPr>
      <w:r w:rsidRPr="001C58C6">
        <w:rPr>
          <w:rFonts w:ascii="Calibri" w:hAnsi="Calibri" w:cs="Calibri"/>
          <w:color w:val="000000" w:themeColor="text1"/>
        </w:rPr>
        <w:t>dolazi do pogoršanja stanja kvaliteta vazduha,</w:t>
      </w:r>
    </w:p>
    <w:p w14:paraId="1CFC266E" w14:textId="77777777" w:rsidR="00935DD0" w:rsidRPr="001C58C6" w:rsidRDefault="00935DD0" w:rsidP="00935DD0">
      <w:pPr>
        <w:rPr>
          <w:rFonts w:ascii="Calibri" w:hAnsi="Calibri" w:cs="Calibri"/>
          <w:color w:val="000000" w:themeColor="text1"/>
        </w:rPr>
      </w:pPr>
      <w:r w:rsidRPr="001C58C6">
        <w:rPr>
          <w:rFonts w:ascii="Calibri" w:hAnsi="Calibri" w:cs="Calibri"/>
          <w:color w:val="000000" w:themeColor="text1"/>
        </w:rPr>
        <w:t>Ministarstvo, u saradnji sa Koordinacionim tijelom, predlaže i sprovodi korektivne mjere, koje mogu uključiti:</w:t>
      </w:r>
    </w:p>
    <w:p w14:paraId="105AFF8A" w14:textId="77777777" w:rsidR="00935DD0" w:rsidRPr="001C58C6" w:rsidRDefault="00935DD0" w:rsidP="00E53052">
      <w:pPr>
        <w:numPr>
          <w:ilvl w:val="0"/>
          <w:numId w:val="38"/>
        </w:numPr>
        <w:rPr>
          <w:rFonts w:ascii="Calibri" w:hAnsi="Calibri" w:cs="Calibri"/>
          <w:color w:val="000000" w:themeColor="text1"/>
        </w:rPr>
      </w:pPr>
      <w:r w:rsidRPr="001C58C6">
        <w:rPr>
          <w:rFonts w:ascii="Calibri" w:hAnsi="Calibri" w:cs="Calibri"/>
          <w:color w:val="000000" w:themeColor="text1"/>
        </w:rPr>
        <w:t>reviziju Akcionog plana;</w:t>
      </w:r>
    </w:p>
    <w:p w14:paraId="0E09FFBE" w14:textId="77777777" w:rsidR="00935DD0" w:rsidRPr="001C58C6" w:rsidRDefault="00935DD0" w:rsidP="00E53052">
      <w:pPr>
        <w:numPr>
          <w:ilvl w:val="0"/>
          <w:numId w:val="38"/>
        </w:numPr>
        <w:rPr>
          <w:rFonts w:ascii="Calibri" w:hAnsi="Calibri" w:cs="Calibri"/>
          <w:color w:val="000000" w:themeColor="text1"/>
        </w:rPr>
      </w:pPr>
      <w:r w:rsidRPr="001C58C6">
        <w:rPr>
          <w:rFonts w:ascii="Calibri" w:hAnsi="Calibri" w:cs="Calibri"/>
          <w:color w:val="000000" w:themeColor="text1"/>
        </w:rPr>
        <w:t>redefinisanje prioriteta;</w:t>
      </w:r>
    </w:p>
    <w:p w14:paraId="30A4CEC0" w14:textId="77777777" w:rsidR="00935DD0" w:rsidRPr="001C58C6" w:rsidRDefault="00935DD0" w:rsidP="00E53052">
      <w:pPr>
        <w:numPr>
          <w:ilvl w:val="0"/>
          <w:numId w:val="38"/>
        </w:numPr>
        <w:rPr>
          <w:rFonts w:ascii="Calibri" w:hAnsi="Calibri" w:cs="Calibri"/>
          <w:color w:val="000000" w:themeColor="text1"/>
        </w:rPr>
      </w:pPr>
      <w:r w:rsidRPr="001C58C6">
        <w:rPr>
          <w:rFonts w:ascii="Calibri" w:hAnsi="Calibri" w:cs="Calibri"/>
          <w:color w:val="000000" w:themeColor="text1"/>
        </w:rPr>
        <w:t>intenziviranje ili prilagođavanje postojećih mjera;</w:t>
      </w:r>
    </w:p>
    <w:p w14:paraId="3D9C7477" w14:textId="77777777" w:rsidR="00935DD0" w:rsidRPr="001C58C6" w:rsidRDefault="00935DD0" w:rsidP="00E53052">
      <w:pPr>
        <w:numPr>
          <w:ilvl w:val="0"/>
          <w:numId w:val="38"/>
        </w:numPr>
        <w:rPr>
          <w:rFonts w:ascii="Calibri" w:hAnsi="Calibri" w:cs="Calibri"/>
          <w:color w:val="000000" w:themeColor="text1"/>
        </w:rPr>
      </w:pPr>
      <w:r w:rsidRPr="001C58C6">
        <w:rPr>
          <w:rFonts w:ascii="Calibri" w:hAnsi="Calibri" w:cs="Calibri"/>
          <w:color w:val="000000" w:themeColor="text1"/>
        </w:rPr>
        <w:t>uvođenje dodatnih intervencija;</w:t>
      </w:r>
    </w:p>
    <w:p w14:paraId="362CD578" w14:textId="77777777" w:rsidR="00935DD0" w:rsidRPr="001C58C6" w:rsidRDefault="00935DD0" w:rsidP="00E53052">
      <w:pPr>
        <w:numPr>
          <w:ilvl w:val="0"/>
          <w:numId w:val="38"/>
        </w:numPr>
        <w:rPr>
          <w:rFonts w:ascii="Calibri" w:hAnsi="Calibri" w:cs="Calibri"/>
          <w:color w:val="000000" w:themeColor="text1"/>
        </w:rPr>
      </w:pPr>
      <w:r w:rsidRPr="001C58C6">
        <w:rPr>
          <w:rFonts w:ascii="Calibri" w:hAnsi="Calibri" w:cs="Calibri"/>
          <w:color w:val="000000" w:themeColor="text1"/>
        </w:rPr>
        <w:t>jačanje finansijskih i institucionalnih kapaciteta.</w:t>
      </w:r>
    </w:p>
    <w:p w14:paraId="71062712" w14:textId="77777777" w:rsidR="00935DD0" w:rsidRPr="001C58C6" w:rsidRDefault="00935DD0" w:rsidP="00935DD0">
      <w:pPr>
        <w:rPr>
          <w:rFonts w:ascii="Calibri" w:hAnsi="Calibri" w:cs="Calibri"/>
          <w:color w:val="000000" w:themeColor="text1"/>
        </w:rPr>
      </w:pPr>
    </w:p>
    <w:p w14:paraId="1415CC83" w14:textId="77777777" w:rsidR="00935DD0" w:rsidRPr="001C58C6" w:rsidRDefault="00935DD0" w:rsidP="000B41E7">
      <w:pPr>
        <w:pStyle w:val="Heading2"/>
        <w:rPr>
          <w:rFonts w:ascii="Calibri" w:hAnsi="Calibri" w:cs="Calibri"/>
          <w:color w:val="000000" w:themeColor="text1"/>
        </w:rPr>
      </w:pPr>
      <w:bookmarkStart w:id="120" w:name="_Toc220070439"/>
      <w:bookmarkStart w:id="121" w:name="_Toc233711758"/>
      <w:r w:rsidRPr="001C58C6">
        <w:rPr>
          <w:rFonts w:ascii="Calibri" w:hAnsi="Calibri" w:cs="Calibri"/>
          <w:color w:val="000000" w:themeColor="text1"/>
        </w:rPr>
        <w:t>5.6 Transparentnost i informisanje javnosti</w:t>
      </w:r>
      <w:bookmarkEnd w:id="120"/>
      <w:bookmarkEnd w:id="121"/>
    </w:p>
    <w:p w14:paraId="23537184" w14:textId="77777777" w:rsidR="000B41E7" w:rsidRPr="001C58C6" w:rsidRDefault="000B41E7" w:rsidP="00935DD0">
      <w:pPr>
        <w:rPr>
          <w:rFonts w:ascii="Calibri" w:hAnsi="Calibri" w:cs="Calibri"/>
          <w:color w:val="000000" w:themeColor="text1"/>
        </w:rPr>
      </w:pPr>
    </w:p>
    <w:p w14:paraId="5336AA12" w14:textId="77777777" w:rsidR="00935DD0" w:rsidRPr="001C58C6" w:rsidRDefault="00935DD0" w:rsidP="00935DD0">
      <w:pPr>
        <w:rPr>
          <w:rFonts w:ascii="Calibri" w:hAnsi="Calibri" w:cs="Calibri"/>
          <w:color w:val="000000" w:themeColor="text1"/>
        </w:rPr>
      </w:pPr>
      <w:r w:rsidRPr="001C58C6">
        <w:rPr>
          <w:rFonts w:ascii="Calibri" w:hAnsi="Calibri" w:cs="Calibri"/>
          <w:color w:val="000000" w:themeColor="text1"/>
        </w:rPr>
        <w:t>Radi osiguranja transparentnosti i povjerenja javnosti:</w:t>
      </w:r>
    </w:p>
    <w:p w14:paraId="73275B90" w14:textId="77777777" w:rsidR="00935DD0" w:rsidRPr="001C58C6" w:rsidRDefault="00935DD0" w:rsidP="00E53052">
      <w:pPr>
        <w:numPr>
          <w:ilvl w:val="0"/>
          <w:numId w:val="39"/>
        </w:numPr>
        <w:rPr>
          <w:rFonts w:ascii="Calibri" w:hAnsi="Calibri" w:cs="Calibri"/>
          <w:color w:val="000000" w:themeColor="text1"/>
        </w:rPr>
      </w:pPr>
      <w:r w:rsidRPr="001C58C6">
        <w:rPr>
          <w:rFonts w:ascii="Calibri" w:hAnsi="Calibri" w:cs="Calibri"/>
          <w:color w:val="000000" w:themeColor="text1"/>
        </w:rPr>
        <w:t>svi godišnji izvještaji, izvještaji o realizaciji akcionih planova, finalna evaluacija i izvještaj sa javne rasprave javno se objavljuju na internet stranici Ministarstva, portalu Vlade i, gdje je primjenljivo, na portalu e-Uprave;</w:t>
      </w:r>
    </w:p>
    <w:p w14:paraId="47F09A26" w14:textId="77777777" w:rsidR="00935DD0" w:rsidRPr="001C58C6" w:rsidRDefault="00935DD0" w:rsidP="00E53052">
      <w:pPr>
        <w:numPr>
          <w:ilvl w:val="0"/>
          <w:numId w:val="39"/>
        </w:numPr>
        <w:rPr>
          <w:rFonts w:ascii="Calibri" w:hAnsi="Calibri" w:cs="Calibri"/>
          <w:color w:val="000000" w:themeColor="text1"/>
        </w:rPr>
      </w:pPr>
      <w:r w:rsidRPr="001C58C6">
        <w:rPr>
          <w:rFonts w:ascii="Calibri" w:hAnsi="Calibri" w:cs="Calibri"/>
          <w:color w:val="000000" w:themeColor="text1"/>
        </w:rPr>
        <w:t>informacije o kvalitetu vazduha dostupne su u realnom vremenu;</w:t>
      </w:r>
    </w:p>
    <w:p w14:paraId="745680F0" w14:textId="77777777" w:rsidR="00935DD0" w:rsidRPr="001C58C6" w:rsidRDefault="00935DD0" w:rsidP="00E53052">
      <w:pPr>
        <w:numPr>
          <w:ilvl w:val="0"/>
          <w:numId w:val="39"/>
        </w:numPr>
        <w:rPr>
          <w:rFonts w:ascii="Calibri" w:hAnsi="Calibri" w:cs="Calibri"/>
          <w:color w:val="000000" w:themeColor="text1"/>
        </w:rPr>
      </w:pPr>
      <w:r w:rsidRPr="001C58C6">
        <w:rPr>
          <w:rFonts w:ascii="Calibri" w:hAnsi="Calibri" w:cs="Calibri"/>
          <w:color w:val="000000" w:themeColor="text1"/>
        </w:rPr>
        <w:t>u slučaju prekoračenja standarda, javnost se blagovremeno informiše, uz preporuke zdravstvenih institucija.</w:t>
      </w:r>
    </w:p>
    <w:p w14:paraId="73B537C3" w14:textId="77777777" w:rsidR="0063159F" w:rsidRPr="001C58C6" w:rsidRDefault="000C2FDE" w:rsidP="00E53052">
      <w:pPr>
        <w:pStyle w:val="Heading1"/>
        <w:numPr>
          <w:ilvl w:val="1"/>
          <w:numId w:val="39"/>
        </w:numPr>
        <w:rPr>
          <w:rFonts w:ascii="Calibri" w:hAnsi="Calibri" w:cs="Calibri"/>
          <w:color w:val="000000" w:themeColor="text1"/>
        </w:rPr>
      </w:pPr>
      <w:bookmarkStart w:id="122" w:name="_Toc233584634"/>
      <w:bookmarkStart w:id="123" w:name="_Toc233711759"/>
      <w:bookmarkEnd w:id="122"/>
      <w:r w:rsidRPr="001C58C6">
        <w:rPr>
          <w:rFonts w:ascii="Calibri" w:hAnsi="Calibri" w:cs="Calibri"/>
          <w:color w:val="000000" w:themeColor="text1"/>
        </w:rPr>
        <w:t>AKCIONI PLAN</w:t>
      </w:r>
      <w:bookmarkEnd w:id="123"/>
      <w:r w:rsidRPr="001C58C6">
        <w:rPr>
          <w:rFonts w:ascii="Calibri" w:hAnsi="Calibri" w:cs="Calibri"/>
          <w:color w:val="000000" w:themeColor="text1"/>
        </w:rPr>
        <w:t xml:space="preserve"> </w:t>
      </w:r>
    </w:p>
    <w:p w14:paraId="0A29207D" w14:textId="77777777" w:rsidR="00617B8D" w:rsidRPr="001C58C6" w:rsidRDefault="00617B8D" w:rsidP="00617B8D">
      <w:pPr>
        <w:rPr>
          <w:rFonts w:ascii="Calibri" w:hAnsi="Calibri" w:cs="Calibri"/>
          <w:color w:val="000000" w:themeColor="text1"/>
        </w:rPr>
      </w:pPr>
    </w:p>
    <w:p w14:paraId="66D01D92" w14:textId="77777777" w:rsidR="000C2FDE" w:rsidRPr="001C58C6" w:rsidRDefault="000C2FDE" w:rsidP="000C2FDE">
      <w:pPr>
        <w:rPr>
          <w:rFonts w:ascii="Calibri" w:hAnsi="Calibri" w:cs="Calibri"/>
          <w:color w:val="000000" w:themeColor="text1"/>
        </w:rPr>
      </w:pPr>
      <w:r w:rsidRPr="001C58C6">
        <w:rPr>
          <w:rFonts w:ascii="Calibri" w:hAnsi="Calibri" w:cs="Calibri"/>
          <w:color w:val="000000" w:themeColor="text1"/>
        </w:rPr>
        <w:t>Akcioni plan za naredni četvorogodišnji period</w:t>
      </w:r>
      <w:r w:rsidR="00C81258" w:rsidRPr="001C58C6">
        <w:rPr>
          <w:rFonts w:ascii="Calibri" w:hAnsi="Calibri" w:cs="Calibri"/>
          <w:color w:val="000000" w:themeColor="text1"/>
        </w:rPr>
        <w:t xml:space="preserve"> 2026 – 2029. </w:t>
      </w:r>
      <w:r w:rsidR="004072BD" w:rsidRPr="001C58C6">
        <w:rPr>
          <w:rFonts w:ascii="Calibri" w:hAnsi="Calibri" w:cs="Calibri"/>
          <w:color w:val="000000" w:themeColor="text1"/>
        </w:rPr>
        <w:t>g</w:t>
      </w:r>
      <w:r w:rsidR="00C81258" w:rsidRPr="001C58C6">
        <w:rPr>
          <w:rFonts w:ascii="Calibri" w:hAnsi="Calibri" w:cs="Calibri"/>
          <w:color w:val="000000" w:themeColor="text1"/>
        </w:rPr>
        <w:t>odina</w:t>
      </w:r>
      <w:r w:rsidR="004072BD" w:rsidRPr="001C58C6">
        <w:rPr>
          <w:rFonts w:ascii="Calibri" w:hAnsi="Calibri" w:cs="Calibri"/>
          <w:color w:val="000000" w:themeColor="text1"/>
        </w:rPr>
        <w:t xml:space="preserve">, </w:t>
      </w:r>
      <w:r w:rsidRPr="001C58C6">
        <w:rPr>
          <w:rFonts w:ascii="Calibri" w:hAnsi="Calibri" w:cs="Calibri"/>
          <w:color w:val="000000" w:themeColor="text1"/>
        </w:rPr>
        <w:t>sadrž</w:t>
      </w:r>
      <w:r w:rsidR="00AD31E0" w:rsidRPr="001C58C6">
        <w:rPr>
          <w:rFonts w:ascii="Calibri" w:hAnsi="Calibri" w:cs="Calibri"/>
          <w:color w:val="000000" w:themeColor="text1"/>
        </w:rPr>
        <w:t>i</w:t>
      </w:r>
      <w:r w:rsidRPr="001C58C6">
        <w:rPr>
          <w:rFonts w:ascii="Calibri" w:hAnsi="Calibri" w:cs="Calibri"/>
          <w:color w:val="000000" w:themeColor="text1"/>
        </w:rPr>
        <w:t xml:space="preserve"> </w:t>
      </w:r>
      <w:r w:rsidR="007803D5" w:rsidRPr="001C58C6">
        <w:rPr>
          <w:rFonts w:ascii="Calibri" w:hAnsi="Calibri" w:cs="Calibri"/>
          <w:color w:val="000000" w:themeColor="text1"/>
        </w:rPr>
        <w:t>sinhronizovani raspored sprovođenja mjera identifikovanih u planovima kvaliteta vazduha za svaku pojedinačnu zonu,</w:t>
      </w:r>
      <w:r w:rsidR="00EC4E22" w:rsidRPr="001C58C6">
        <w:rPr>
          <w:rFonts w:ascii="Calibri" w:hAnsi="Calibri" w:cs="Calibri"/>
          <w:color w:val="000000" w:themeColor="text1"/>
        </w:rPr>
        <w:t xml:space="preserve"> mjera za sprovođenje </w:t>
      </w:r>
      <w:r w:rsidR="007803D5" w:rsidRPr="001C58C6">
        <w:rPr>
          <w:rFonts w:ascii="Calibri" w:hAnsi="Calibri" w:cs="Calibri"/>
          <w:color w:val="000000" w:themeColor="text1"/>
        </w:rPr>
        <w:t>Program</w:t>
      </w:r>
      <w:r w:rsidR="00EC4E22" w:rsidRPr="001C58C6">
        <w:rPr>
          <w:rFonts w:ascii="Calibri" w:hAnsi="Calibri" w:cs="Calibri"/>
          <w:color w:val="000000" w:themeColor="text1"/>
        </w:rPr>
        <w:t xml:space="preserve">a </w:t>
      </w:r>
      <w:r w:rsidR="007803D5" w:rsidRPr="001C58C6">
        <w:rPr>
          <w:rFonts w:ascii="Calibri" w:hAnsi="Calibri" w:cs="Calibri"/>
          <w:color w:val="000000" w:themeColor="text1"/>
        </w:rPr>
        <w:t>smanjenja zagađivanja</w:t>
      </w:r>
      <w:r w:rsidR="00EC4E22" w:rsidRPr="001C58C6">
        <w:rPr>
          <w:rFonts w:ascii="Calibri" w:hAnsi="Calibri" w:cs="Calibri"/>
          <w:color w:val="000000" w:themeColor="text1"/>
        </w:rPr>
        <w:t xml:space="preserve">, kao i mjere za dalje unapređenje </w:t>
      </w:r>
      <w:r w:rsidR="00843336" w:rsidRPr="001C58C6">
        <w:rPr>
          <w:rFonts w:ascii="Calibri" w:hAnsi="Calibri" w:cs="Calibri"/>
          <w:color w:val="000000" w:themeColor="text1"/>
        </w:rPr>
        <w:t xml:space="preserve">praćenja i upravljanja kvalitetom vazduha. </w:t>
      </w:r>
    </w:p>
    <w:p w14:paraId="590B52CA" w14:textId="77777777" w:rsidR="00843336" w:rsidRPr="001C58C6" w:rsidRDefault="0009785D" w:rsidP="000C2FDE">
      <w:pPr>
        <w:rPr>
          <w:rFonts w:ascii="Calibri" w:hAnsi="Calibri" w:cs="Calibri"/>
          <w:color w:val="000000" w:themeColor="text1"/>
        </w:rPr>
      </w:pPr>
      <w:r w:rsidRPr="001C58C6">
        <w:rPr>
          <w:rFonts w:ascii="Calibri" w:hAnsi="Calibri" w:cs="Calibri"/>
          <w:color w:val="000000" w:themeColor="text1"/>
        </w:rPr>
        <w:t>Kao što je navedeno, izbor najefikasnijih mjera za postizanje poboljšanja kvaliteta vazduha, odnosno smanjenja emisija zagađuju</w:t>
      </w:r>
      <w:r w:rsidR="00F447D3" w:rsidRPr="001C58C6">
        <w:rPr>
          <w:rFonts w:ascii="Calibri" w:hAnsi="Calibri" w:cs="Calibri"/>
          <w:color w:val="000000" w:themeColor="text1"/>
        </w:rPr>
        <w:t xml:space="preserve">ćih materija u vazduh konačno će se odrediti na osnovu rezultata modeliranja kvaliteta </w:t>
      </w:r>
      <w:r w:rsidR="00B931B2" w:rsidRPr="001C58C6">
        <w:rPr>
          <w:rFonts w:ascii="Calibri" w:hAnsi="Calibri" w:cs="Calibri"/>
          <w:color w:val="000000" w:themeColor="text1"/>
        </w:rPr>
        <w:t xml:space="preserve">vazduha pomoću LEAP softvera, koje je u toku. </w:t>
      </w:r>
    </w:p>
    <w:p w14:paraId="2273E6AD" w14:textId="77777777" w:rsidR="00B931B2" w:rsidRPr="001C58C6" w:rsidRDefault="00B931B2" w:rsidP="000C2FDE">
      <w:pPr>
        <w:rPr>
          <w:rFonts w:ascii="Calibri" w:hAnsi="Calibri" w:cs="Calibri"/>
          <w:color w:val="000000" w:themeColor="text1"/>
        </w:rPr>
      </w:pPr>
      <w:r w:rsidRPr="001C58C6">
        <w:rPr>
          <w:rFonts w:ascii="Calibri" w:hAnsi="Calibri" w:cs="Calibri"/>
          <w:color w:val="000000" w:themeColor="text1"/>
        </w:rPr>
        <w:t xml:space="preserve">Mjere za dalje unapređenje kvaliteta vazduha sadržaće najmanje: </w:t>
      </w:r>
    </w:p>
    <w:p w14:paraId="536545C6" w14:textId="63374DE5" w:rsidR="00B931B2" w:rsidRPr="001C58C6" w:rsidRDefault="00EE058C" w:rsidP="00E53052">
      <w:pPr>
        <w:pStyle w:val="ListParagraph"/>
        <w:numPr>
          <w:ilvl w:val="0"/>
          <w:numId w:val="40"/>
        </w:numPr>
        <w:spacing w:line="276" w:lineRule="auto"/>
        <w:rPr>
          <w:rFonts w:ascii="Calibri" w:hAnsi="Calibri" w:cs="Calibri"/>
          <w:color w:val="000000" w:themeColor="text1"/>
        </w:rPr>
      </w:pPr>
      <w:r w:rsidRPr="001C58C6">
        <w:rPr>
          <w:rFonts w:ascii="Calibri" w:hAnsi="Calibri" w:cs="Calibri"/>
          <w:color w:val="000000" w:themeColor="text1"/>
        </w:rPr>
        <w:t>Dalje usklađivanje zakonodavstva u oblasti kvaliteta vazduha, postizanjem pune transpozicije Direktive 2016/2284 i Direktive 2024/288</w:t>
      </w:r>
      <w:r w:rsidR="008A61F2" w:rsidRPr="001C58C6">
        <w:rPr>
          <w:rFonts w:ascii="Calibri" w:hAnsi="Calibri" w:cs="Calibri"/>
          <w:color w:val="000000" w:themeColor="text1"/>
        </w:rPr>
        <w:t xml:space="preserve">1; </w:t>
      </w:r>
    </w:p>
    <w:p w14:paraId="6F32AF58" w14:textId="77777777" w:rsidR="00B025CA" w:rsidRPr="001C58C6" w:rsidRDefault="003443DC" w:rsidP="00E53052">
      <w:pPr>
        <w:pStyle w:val="ListParagraph"/>
        <w:numPr>
          <w:ilvl w:val="0"/>
          <w:numId w:val="40"/>
        </w:numPr>
        <w:spacing w:line="276" w:lineRule="auto"/>
        <w:rPr>
          <w:rFonts w:ascii="Calibri" w:hAnsi="Calibri" w:cs="Calibri"/>
          <w:color w:val="000000" w:themeColor="text1"/>
        </w:rPr>
      </w:pPr>
      <w:r w:rsidRPr="001C58C6">
        <w:rPr>
          <w:rFonts w:ascii="Calibri" w:hAnsi="Calibri" w:cs="Calibri"/>
          <w:color w:val="000000" w:themeColor="text1"/>
        </w:rPr>
        <w:t xml:space="preserve">Pristupanje izmjenjenom Geteborškom Protokolu na osnovu utvrđenih obaveznih smanjenja emisija zagađujućih materija; </w:t>
      </w:r>
    </w:p>
    <w:p w14:paraId="067DAAD3" w14:textId="77777777" w:rsidR="008A61F2" w:rsidRPr="001C58C6" w:rsidRDefault="008A61F2" w:rsidP="00E53052">
      <w:pPr>
        <w:pStyle w:val="ListParagraph"/>
        <w:numPr>
          <w:ilvl w:val="0"/>
          <w:numId w:val="40"/>
        </w:numPr>
        <w:spacing w:line="276" w:lineRule="auto"/>
        <w:rPr>
          <w:rFonts w:ascii="Calibri" w:hAnsi="Calibri" w:cs="Calibri"/>
          <w:color w:val="000000" w:themeColor="text1"/>
        </w:rPr>
      </w:pPr>
      <w:r w:rsidRPr="001C58C6">
        <w:rPr>
          <w:rFonts w:ascii="Calibri" w:hAnsi="Calibri" w:cs="Calibri"/>
          <w:color w:val="000000" w:themeColor="text1"/>
        </w:rPr>
        <w:t xml:space="preserve">Dalje unapređenje strateškog okvira kroz razradu planova kvaliteta vazduha na lokalnom nivou u okviru Lokalnih akcionih planova </w:t>
      </w:r>
      <w:r w:rsidR="003C1904" w:rsidRPr="001C58C6">
        <w:rPr>
          <w:rFonts w:ascii="Calibri" w:hAnsi="Calibri" w:cs="Calibri"/>
          <w:color w:val="000000" w:themeColor="text1"/>
        </w:rPr>
        <w:t xml:space="preserve">životne sredine; </w:t>
      </w:r>
    </w:p>
    <w:p w14:paraId="1E0F0AD7" w14:textId="486F4400" w:rsidR="003C1904" w:rsidRPr="001C58C6" w:rsidRDefault="003C1904" w:rsidP="00E53052">
      <w:pPr>
        <w:pStyle w:val="ListParagraph"/>
        <w:numPr>
          <w:ilvl w:val="0"/>
          <w:numId w:val="40"/>
        </w:numPr>
        <w:spacing w:line="276" w:lineRule="auto"/>
        <w:rPr>
          <w:rFonts w:ascii="Calibri" w:hAnsi="Calibri" w:cs="Calibri"/>
          <w:color w:val="000000" w:themeColor="text1"/>
        </w:rPr>
      </w:pPr>
      <w:r w:rsidRPr="001C58C6">
        <w:rPr>
          <w:rFonts w:ascii="Calibri" w:hAnsi="Calibri" w:cs="Calibri"/>
          <w:color w:val="000000" w:themeColor="text1"/>
        </w:rPr>
        <w:t xml:space="preserve">Izradu </w:t>
      </w:r>
      <w:r w:rsidR="00E37A37" w:rsidRPr="001C58C6">
        <w:rPr>
          <w:rFonts w:ascii="Calibri" w:hAnsi="Calibri" w:cs="Calibri"/>
          <w:color w:val="000000" w:themeColor="text1"/>
        </w:rPr>
        <w:t xml:space="preserve">i sprovođenje </w:t>
      </w:r>
      <w:r w:rsidR="009E7338" w:rsidRPr="001C58C6">
        <w:rPr>
          <w:rFonts w:ascii="Calibri" w:hAnsi="Calibri" w:cs="Calibri"/>
          <w:color w:val="000000" w:themeColor="text1"/>
        </w:rPr>
        <w:t xml:space="preserve">plana implementacije Direktive 2024/2881; </w:t>
      </w:r>
    </w:p>
    <w:p w14:paraId="421F97B2" w14:textId="1F70A752" w:rsidR="00E37A37" w:rsidRPr="001C58C6" w:rsidRDefault="00E37A37" w:rsidP="00E53052">
      <w:pPr>
        <w:pStyle w:val="ListParagraph"/>
        <w:numPr>
          <w:ilvl w:val="0"/>
          <w:numId w:val="40"/>
        </w:numPr>
        <w:spacing w:line="276" w:lineRule="auto"/>
        <w:rPr>
          <w:rFonts w:ascii="Calibri" w:hAnsi="Calibri" w:cs="Calibri"/>
          <w:color w:val="000000" w:themeColor="text1"/>
        </w:rPr>
      </w:pPr>
      <w:r w:rsidRPr="001C58C6">
        <w:rPr>
          <w:rFonts w:ascii="Calibri" w:hAnsi="Calibri" w:cs="Calibri"/>
          <w:color w:val="000000" w:themeColor="text1"/>
        </w:rPr>
        <w:t xml:space="preserve">Utvrđivanje mogućnosti primjene derogativnih mehanizama </w:t>
      </w:r>
      <w:r w:rsidR="004E77B5" w:rsidRPr="001C58C6">
        <w:rPr>
          <w:rFonts w:ascii="Calibri" w:hAnsi="Calibri" w:cs="Calibri"/>
          <w:color w:val="000000" w:themeColor="text1"/>
        </w:rPr>
        <w:t>Direktive 2024/2881;</w:t>
      </w:r>
    </w:p>
    <w:p w14:paraId="510B6D57" w14:textId="77777777" w:rsidR="009E7338" w:rsidRPr="001C58C6" w:rsidRDefault="00C675F9" w:rsidP="00E53052">
      <w:pPr>
        <w:pStyle w:val="ListParagraph"/>
        <w:numPr>
          <w:ilvl w:val="0"/>
          <w:numId w:val="40"/>
        </w:numPr>
        <w:spacing w:line="276" w:lineRule="auto"/>
        <w:rPr>
          <w:rFonts w:ascii="Calibri" w:hAnsi="Calibri" w:cs="Calibri"/>
          <w:color w:val="000000" w:themeColor="text1"/>
        </w:rPr>
      </w:pPr>
      <w:r w:rsidRPr="001C58C6">
        <w:rPr>
          <w:rFonts w:ascii="Calibri" w:hAnsi="Calibri" w:cs="Calibri"/>
          <w:color w:val="000000" w:themeColor="text1"/>
        </w:rPr>
        <w:lastRenderedPageBreak/>
        <w:t xml:space="preserve">Preispitivanje zona kvaliteta vazduha </w:t>
      </w:r>
      <w:r w:rsidR="00332317" w:rsidRPr="001C58C6">
        <w:rPr>
          <w:rFonts w:ascii="Calibri" w:hAnsi="Calibri" w:cs="Calibri"/>
          <w:color w:val="000000" w:themeColor="text1"/>
        </w:rPr>
        <w:t xml:space="preserve">odnosno strukture mreže za praćenje kvaliteta vazduha u odnosu na do sada zabilježene koncentracije i granice ocjenjivanja; </w:t>
      </w:r>
    </w:p>
    <w:p w14:paraId="3E6E8F1A" w14:textId="77777777" w:rsidR="00332317" w:rsidRPr="001C58C6" w:rsidRDefault="00B025CA" w:rsidP="00E53052">
      <w:pPr>
        <w:pStyle w:val="ListParagraph"/>
        <w:numPr>
          <w:ilvl w:val="0"/>
          <w:numId w:val="40"/>
        </w:numPr>
        <w:spacing w:line="276" w:lineRule="auto"/>
        <w:rPr>
          <w:rFonts w:ascii="Calibri" w:hAnsi="Calibri" w:cs="Calibri"/>
          <w:color w:val="000000" w:themeColor="text1"/>
        </w:rPr>
      </w:pPr>
      <w:r w:rsidRPr="001C58C6">
        <w:rPr>
          <w:rFonts w:ascii="Calibri" w:hAnsi="Calibri" w:cs="Calibri"/>
          <w:color w:val="000000" w:themeColor="text1"/>
        </w:rPr>
        <w:t xml:space="preserve">Redovno održavanje i kalibraciju mjernih instrumenata; </w:t>
      </w:r>
    </w:p>
    <w:p w14:paraId="3274B2E3" w14:textId="77777777" w:rsidR="00E37A37" w:rsidRPr="001C58C6" w:rsidRDefault="00111286" w:rsidP="00E53052">
      <w:pPr>
        <w:pStyle w:val="ListParagraph"/>
        <w:numPr>
          <w:ilvl w:val="0"/>
          <w:numId w:val="40"/>
        </w:numPr>
        <w:spacing w:line="276" w:lineRule="auto"/>
        <w:rPr>
          <w:rFonts w:ascii="Calibri" w:hAnsi="Calibri" w:cs="Calibri"/>
          <w:color w:val="000000" w:themeColor="text1"/>
        </w:rPr>
      </w:pPr>
      <w:r w:rsidRPr="001C58C6">
        <w:rPr>
          <w:rFonts w:ascii="Calibri" w:hAnsi="Calibri" w:cs="Calibri"/>
          <w:color w:val="000000" w:themeColor="text1"/>
        </w:rPr>
        <w:t xml:space="preserve">Unapređenje kapaciteta za izradu inventara i projekcija emisija zagađujućih materija u vazduh; </w:t>
      </w:r>
    </w:p>
    <w:p w14:paraId="41FF6B28" w14:textId="77777777" w:rsidR="00111286" w:rsidRPr="001C58C6" w:rsidRDefault="00E36058" w:rsidP="00E53052">
      <w:pPr>
        <w:pStyle w:val="ListParagraph"/>
        <w:numPr>
          <w:ilvl w:val="0"/>
          <w:numId w:val="40"/>
        </w:numPr>
        <w:spacing w:line="276" w:lineRule="auto"/>
        <w:rPr>
          <w:rFonts w:ascii="Calibri" w:hAnsi="Calibri" w:cs="Calibri"/>
          <w:color w:val="000000" w:themeColor="text1"/>
        </w:rPr>
      </w:pPr>
      <w:r w:rsidRPr="001C58C6">
        <w:rPr>
          <w:rFonts w:ascii="Calibri" w:hAnsi="Calibri" w:cs="Calibri"/>
          <w:color w:val="000000" w:themeColor="text1"/>
        </w:rPr>
        <w:t xml:space="preserve">Unapređenje kvaliteta podataka o emisijama zagađujućih materija u vazduh. </w:t>
      </w:r>
    </w:p>
    <w:p w14:paraId="7EBEBC50" w14:textId="77777777" w:rsidR="00E630B7" w:rsidRPr="001C58C6" w:rsidRDefault="00E630B7" w:rsidP="00E630B7">
      <w:pPr>
        <w:spacing w:line="276" w:lineRule="auto"/>
        <w:rPr>
          <w:rFonts w:ascii="Calibri" w:hAnsi="Calibri" w:cs="Calibri"/>
          <w:color w:val="000000" w:themeColor="text1"/>
        </w:rPr>
      </w:pPr>
    </w:p>
    <w:p w14:paraId="764B40A5" w14:textId="77777777" w:rsidR="00E630B7" w:rsidRDefault="00E630B7" w:rsidP="00E630B7">
      <w:pPr>
        <w:spacing w:line="276" w:lineRule="auto"/>
        <w:rPr>
          <w:rFonts w:ascii="Calibri" w:hAnsi="Calibri" w:cs="Calibri"/>
          <w:color w:val="000000" w:themeColor="text1"/>
        </w:rPr>
      </w:pPr>
      <w:r w:rsidRPr="001C58C6">
        <w:rPr>
          <w:rFonts w:ascii="Calibri" w:hAnsi="Calibri" w:cs="Calibri"/>
          <w:color w:val="000000" w:themeColor="text1"/>
        </w:rPr>
        <w:t>U tabeli ispod su prikazane mjere grupisane po vremenskim fazama sprovođenja, uz jasno definisane strateške i operativne ciljeve, nadležne institucije, procijenjene troškove i izvore finansiranja, kao i indikatore za praćenje realizacije i efekata primjene mjera.</w:t>
      </w:r>
    </w:p>
    <w:p w14:paraId="5C5AB401" w14:textId="77777777" w:rsidR="00033BB7" w:rsidRDefault="00033BB7" w:rsidP="00E630B7">
      <w:pPr>
        <w:spacing w:line="276" w:lineRule="auto"/>
        <w:rPr>
          <w:rFonts w:ascii="Calibri" w:hAnsi="Calibri" w:cs="Calibri"/>
          <w:color w:val="000000" w:themeColor="text1"/>
        </w:rPr>
      </w:pPr>
    </w:p>
    <w:p w14:paraId="6011BDF7" w14:textId="618A03FE" w:rsidR="00033BB7" w:rsidRPr="001C58C6" w:rsidRDefault="00033BB7" w:rsidP="00E630B7">
      <w:pPr>
        <w:spacing w:line="276" w:lineRule="auto"/>
        <w:rPr>
          <w:rFonts w:ascii="Calibri" w:hAnsi="Calibri" w:cs="Calibri"/>
          <w:color w:val="000000" w:themeColor="text1"/>
        </w:rPr>
      </w:pPr>
      <w:r w:rsidRPr="00033BB7">
        <w:rPr>
          <w:rFonts w:ascii="Calibri" w:hAnsi="Calibri" w:cs="Calibri"/>
          <w:color w:val="000000" w:themeColor="text1"/>
        </w:rPr>
        <w:t>Svaka mjera u Akcionom planu povezana je sa odgovarajućim strateškim i operativnim ciljem Strategije, kao i indikatorom na koji neposredno utiče.</w:t>
      </w:r>
    </w:p>
    <w:p w14:paraId="3FFBF63F" w14:textId="77777777" w:rsidR="00E630B7" w:rsidRPr="001C58C6" w:rsidRDefault="00E630B7" w:rsidP="00E630B7">
      <w:pPr>
        <w:spacing w:line="276" w:lineRule="auto"/>
        <w:rPr>
          <w:rFonts w:ascii="Calibri" w:hAnsi="Calibri" w:cs="Calibri"/>
          <w:color w:val="000000" w:themeColor="text1"/>
        </w:rPr>
      </w:pPr>
    </w:p>
    <w:p w14:paraId="4022B5EA" w14:textId="77777777" w:rsidR="00E630B7" w:rsidRPr="001C58C6" w:rsidRDefault="00E630B7" w:rsidP="00E630B7">
      <w:pPr>
        <w:spacing w:line="276" w:lineRule="auto"/>
        <w:rPr>
          <w:rFonts w:ascii="Calibri" w:hAnsi="Calibri" w:cs="Calibri"/>
          <w:color w:val="000000" w:themeColor="text1"/>
        </w:rPr>
      </w:pPr>
    </w:p>
    <w:p w14:paraId="0EA9A27C" w14:textId="77777777" w:rsidR="00E630B7" w:rsidRPr="001C58C6" w:rsidRDefault="00E630B7" w:rsidP="00E40401">
      <w:pPr>
        <w:rPr>
          <w:rFonts w:ascii="Calibri" w:hAnsi="Calibri" w:cs="Calibri"/>
          <w:color w:val="000000" w:themeColor="text1"/>
        </w:rPr>
        <w:sectPr w:rsidR="00E630B7" w:rsidRPr="001C58C6">
          <w:headerReference w:type="default" r:id="rId24"/>
          <w:footerReference w:type="default" r:id="rId25"/>
          <w:pgSz w:w="11906" w:h="16838"/>
          <w:pgMar w:top="1440" w:right="1440" w:bottom="1440" w:left="1440" w:header="708" w:footer="708" w:gutter="0"/>
          <w:cols w:space="708"/>
          <w:docGrid w:linePitch="360"/>
        </w:sectPr>
      </w:pPr>
    </w:p>
    <w:tbl>
      <w:tblPr>
        <w:tblStyle w:val="GridTable1Light-Accent1"/>
        <w:tblW w:w="0" w:type="auto"/>
        <w:tblLook w:val="04A0" w:firstRow="1" w:lastRow="0" w:firstColumn="1" w:lastColumn="0" w:noHBand="0" w:noVBand="1"/>
      </w:tblPr>
      <w:tblGrid>
        <w:gridCol w:w="883"/>
        <w:gridCol w:w="2345"/>
        <w:gridCol w:w="2110"/>
        <w:gridCol w:w="2135"/>
        <w:gridCol w:w="1747"/>
        <w:gridCol w:w="1783"/>
        <w:gridCol w:w="1874"/>
      </w:tblGrid>
      <w:tr w:rsidR="001C58C6" w:rsidRPr="001C58C6" w14:paraId="6FD3BB2A" w14:textId="77777777" w:rsidTr="00E630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dxa"/>
            <w:vAlign w:val="center"/>
          </w:tcPr>
          <w:p w14:paraId="1CCB25AC" w14:textId="77777777" w:rsidR="00E630B7" w:rsidRPr="001C58C6" w:rsidRDefault="00E630B7" w:rsidP="00743A33">
            <w:pPr>
              <w:contextualSpacing/>
              <w:rPr>
                <w:rFonts w:ascii="Calibri" w:hAnsi="Calibri" w:cs="Calibri"/>
                <w:color w:val="000000" w:themeColor="text1"/>
                <w:sz w:val="20"/>
                <w:szCs w:val="20"/>
              </w:rPr>
            </w:pPr>
          </w:p>
        </w:tc>
        <w:tc>
          <w:tcPr>
            <w:tcW w:w="2345" w:type="dxa"/>
            <w:vAlign w:val="center"/>
          </w:tcPr>
          <w:p w14:paraId="3870FAEC" w14:textId="77777777" w:rsidR="00E630B7" w:rsidRPr="001C58C6" w:rsidRDefault="00E630B7" w:rsidP="00743A33">
            <w:pPr>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Mjera/paket mjera</w:t>
            </w:r>
          </w:p>
        </w:tc>
        <w:tc>
          <w:tcPr>
            <w:tcW w:w="2110" w:type="dxa"/>
            <w:vAlign w:val="center"/>
          </w:tcPr>
          <w:p w14:paraId="6156F57E" w14:textId="77777777" w:rsidR="00E630B7" w:rsidRPr="001C58C6" w:rsidRDefault="00E630B7" w:rsidP="00743A33">
            <w:pPr>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Cilj strateški/operativni (navesti oznaku: 1.A, 1.B, 1.C, 2.A, 2.B ili 2.C)</w:t>
            </w:r>
          </w:p>
        </w:tc>
        <w:tc>
          <w:tcPr>
            <w:tcW w:w="2135" w:type="dxa"/>
            <w:vAlign w:val="center"/>
          </w:tcPr>
          <w:p w14:paraId="6014C0BB" w14:textId="77777777" w:rsidR="00E630B7" w:rsidRPr="001C58C6" w:rsidRDefault="00E630B7" w:rsidP="00743A33">
            <w:pPr>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Nadležni organ</w:t>
            </w:r>
          </w:p>
        </w:tc>
        <w:tc>
          <w:tcPr>
            <w:tcW w:w="1747" w:type="dxa"/>
            <w:vAlign w:val="center"/>
          </w:tcPr>
          <w:p w14:paraId="1732BD99" w14:textId="77777777" w:rsidR="00E630B7" w:rsidRPr="001C58C6" w:rsidRDefault="00E630B7" w:rsidP="00743A33">
            <w:pPr>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Predviđeni troškovi/izvori finansiranja</w:t>
            </w:r>
          </w:p>
        </w:tc>
        <w:tc>
          <w:tcPr>
            <w:tcW w:w="1783" w:type="dxa"/>
            <w:vAlign w:val="center"/>
          </w:tcPr>
          <w:p w14:paraId="10A04D22" w14:textId="77777777" w:rsidR="00E630B7" w:rsidRPr="001C58C6" w:rsidRDefault="00E630B7" w:rsidP="00743A33">
            <w:pPr>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Vremenski period sprovođenja</w:t>
            </w:r>
          </w:p>
        </w:tc>
        <w:tc>
          <w:tcPr>
            <w:tcW w:w="1874" w:type="dxa"/>
            <w:vAlign w:val="center"/>
          </w:tcPr>
          <w:p w14:paraId="70BBCDD1" w14:textId="77777777" w:rsidR="00E630B7" w:rsidRPr="001C58C6" w:rsidRDefault="00E630B7" w:rsidP="00743A33">
            <w:pPr>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Indikatori </w:t>
            </w:r>
          </w:p>
        </w:tc>
      </w:tr>
      <w:tr w:rsidR="001C58C6" w:rsidRPr="001C58C6" w14:paraId="72250BE3" w14:textId="77777777" w:rsidTr="00151D47">
        <w:tc>
          <w:tcPr>
            <w:cnfStyle w:val="001000000000" w:firstRow="0" w:lastRow="0" w:firstColumn="1" w:lastColumn="0" w:oddVBand="0" w:evenVBand="0" w:oddHBand="0" w:evenHBand="0" w:firstRowFirstColumn="0" w:firstRowLastColumn="0" w:lastRowFirstColumn="0" w:lastRowLastColumn="0"/>
            <w:tcW w:w="0" w:type="auto"/>
            <w:gridSpan w:val="7"/>
          </w:tcPr>
          <w:p w14:paraId="28C03E5C" w14:textId="77777777" w:rsidR="00151D47" w:rsidRPr="001C58C6" w:rsidRDefault="00AE44FC">
            <w:pPr>
              <w:rPr>
                <w:rFonts w:ascii="Calibri" w:hAnsi="Calibri" w:cs="Calibri"/>
                <w:color w:val="000000" w:themeColor="text1"/>
                <w:sz w:val="20"/>
                <w:szCs w:val="20"/>
              </w:rPr>
            </w:pPr>
            <w:r w:rsidRPr="001C58C6">
              <w:rPr>
                <w:rFonts w:ascii="Calibri" w:hAnsi="Calibri" w:cs="Calibri"/>
                <w:color w:val="000000" w:themeColor="text1"/>
                <w:sz w:val="20"/>
                <w:szCs w:val="20"/>
              </w:rPr>
              <w:t>Strateški i operativni ciljevi u ovoj tabeli vode</w:t>
            </w:r>
            <w:r w:rsidR="00312BF6" w:rsidRPr="001C58C6">
              <w:rPr>
                <w:rFonts w:ascii="Calibri" w:hAnsi="Calibri" w:cs="Calibri"/>
                <w:color w:val="000000" w:themeColor="text1"/>
                <w:sz w:val="20"/>
                <w:szCs w:val="20"/>
              </w:rPr>
              <w:t xml:space="preserve"> se</w:t>
            </w:r>
            <w:r w:rsidRPr="001C58C6">
              <w:rPr>
                <w:rFonts w:ascii="Calibri" w:hAnsi="Calibri" w:cs="Calibri"/>
                <w:color w:val="000000" w:themeColor="text1"/>
                <w:sz w:val="20"/>
                <w:szCs w:val="20"/>
              </w:rPr>
              <w:t xml:space="preserve"> po oznakama: Strateški cilj 1 - operativni ciljevi 1.A, 1.B i 1.C; Strateški cilj 2 - operativni ciljevi 2.A, 2.B i 2.C. </w:t>
            </w:r>
          </w:p>
        </w:tc>
      </w:tr>
      <w:tr w:rsidR="001C58C6" w:rsidRPr="001C58C6" w14:paraId="20A3447E" w14:textId="77777777" w:rsidTr="00E630B7">
        <w:tc>
          <w:tcPr>
            <w:cnfStyle w:val="001000000000" w:firstRow="0" w:lastRow="0" w:firstColumn="1" w:lastColumn="0" w:oddVBand="0" w:evenVBand="0" w:oddHBand="0" w:evenHBand="0" w:firstRowFirstColumn="0" w:firstRowLastColumn="0" w:lastRowFirstColumn="0" w:lastRowLastColumn="0"/>
            <w:tcW w:w="12877" w:type="dxa"/>
            <w:gridSpan w:val="7"/>
            <w:vAlign w:val="center"/>
          </w:tcPr>
          <w:p w14:paraId="1245F3B6" w14:textId="77777777" w:rsidR="00E630B7" w:rsidRPr="001C58C6" w:rsidRDefault="00E630B7" w:rsidP="00743A33">
            <w:pPr>
              <w:contextualSpacing/>
              <w:rPr>
                <w:rFonts w:ascii="Calibri" w:hAnsi="Calibri" w:cs="Calibri"/>
                <w:color w:val="000000" w:themeColor="text1"/>
                <w:sz w:val="20"/>
                <w:szCs w:val="20"/>
              </w:rPr>
            </w:pPr>
            <w:r w:rsidRPr="001C58C6">
              <w:rPr>
                <w:rFonts w:ascii="Calibri" w:hAnsi="Calibri" w:cs="Calibri"/>
                <w:color w:val="000000" w:themeColor="text1"/>
                <w:sz w:val="20"/>
                <w:szCs w:val="20"/>
              </w:rPr>
              <w:t>Mjere čije je sprovođenje planirano u periodu 2026. – 2027. godina</w:t>
            </w:r>
          </w:p>
        </w:tc>
      </w:tr>
      <w:tr w:rsidR="001C58C6" w:rsidRPr="001C58C6" w14:paraId="3BD8D43D" w14:textId="77777777" w:rsidTr="00E630B7">
        <w:tc>
          <w:tcPr>
            <w:cnfStyle w:val="001000000000" w:firstRow="0" w:lastRow="0" w:firstColumn="1" w:lastColumn="0" w:oddVBand="0" w:evenVBand="0" w:oddHBand="0" w:evenHBand="0" w:firstRowFirstColumn="0" w:firstRowLastColumn="0" w:lastRowFirstColumn="0" w:lastRowLastColumn="0"/>
            <w:tcW w:w="883" w:type="dxa"/>
            <w:vAlign w:val="center"/>
          </w:tcPr>
          <w:p w14:paraId="3287522B" w14:textId="77777777" w:rsidR="00E630B7" w:rsidRPr="001C58C6" w:rsidRDefault="00E630B7" w:rsidP="00E53052">
            <w:pPr>
              <w:pStyle w:val="ListParagraph"/>
              <w:numPr>
                <w:ilvl w:val="0"/>
                <w:numId w:val="50"/>
              </w:numPr>
              <w:jc w:val="left"/>
              <w:rPr>
                <w:rFonts w:ascii="Calibri" w:hAnsi="Calibri" w:cs="Calibri"/>
                <w:color w:val="000000" w:themeColor="text1"/>
                <w:sz w:val="20"/>
                <w:szCs w:val="20"/>
              </w:rPr>
            </w:pPr>
          </w:p>
        </w:tc>
        <w:tc>
          <w:tcPr>
            <w:tcW w:w="2345" w:type="dxa"/>
            <w:vAlign w:val="center"/>
          </w:tcPr>
          <w:p w14:paraId="0C67FE89" w14:textId="77777777" w:rsidR="00E630B7" w:rsidRPr="001C58C6" w:rsidRDefault="00E630B7" w:rsidP="00743A33">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Uspostavljanje koordinacionog tijela za sprovođenje ove strategije. </w:t>
            </w:r>
          </w:p>
        </w:tc>
        <w:tc>
          <w:tcPr>
            <w:tcW w:w="2110" w:type="dxa"/>
            <w:vAlign w:val="center"/>
          </w:tcPr>
          <w:p w14:paraId="0C9C891E"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Cilj 2: Dalje unapređenje praćenja i upravljanja kvalitetom vazduha</w:t>
            </w:r>
          </w:p>
          <w:p w14:paraId="6C44F1FA"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2.B – unapređenje saradnje između relevantnih institucija, jedinica lokalne samouprave, civilnog sektora i stručne javnosti;</w:t>
            </w:r>
          </w:p>
        </w:tc>
        <w:tc>
          <w:tcPr>
            <w:tcW w:w="2135" w:type="dxa"/>
            <w:vAlign w:val="center"/>
          </w:tcPr>
          <w:p w14:paraId="2C03F8DC"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b/>
                <w:bCs/>
                <w:color w:val="000000" w:themeColor="text1"/>
                <w:sz w:val="20"/>
                <w:szCs w:val="20"/>
              </w:rPr>
              <w:t>Ministarstvo ekologije, održivog razvoja i razvoja sjevera</w:t>
            </w:r>
            <w:r w:rsidR="00743A33" w:rsidRPr="001C58C6">
              <w:rPr>
                <w:rFonts w:ascii="Calibri" w:hAnsi="Calibri" w:cs="Calibri"/>
                <w:b/>
                <w:bCs/>
                <w:color w:val="000000" w:themeColor="text1"/>
                <w:sz w:val="20"/>
                <w:szCs w:val="20"/>
              </w:rPr>
              <w:t xml:space="preserve"> (MERS)</w:t>
            </w:r>
          </w:p>
        </w:tc>
        <w:tc>
          <w:tcPr>
            <w:tcW w:w="1747" w:type="dxa"/>
            <w:vAlign w:val="center"/>
          </w:tcPr>
          <w:p w14:paraId="2F6EDF46" w14:textId="77777777" w:rsidR="00E630B7" w:rsidRPr="001C58C6" w:rsidRDefault="00841AA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Nisu predviđena budžetska sredstva</w:t>
            </w:r>
          </w:p>
        </w:tc>
        <w:tc>
          <w:tcPr>
            <w:tcW w:w="1783" w:type="dxa"/>
            <w:vAlign w:val="center"/>
          </w:tcPr>
          <w:p w14:paraId="4B78419E"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2026. – 2027. </w:t>
            </w:r>
          </w:p>
        </w:tc>
        <w:tc>
          <w:tcPr>
            <w:tcW w:w="1874" w:type="dxa"/>
            <w:vAlign w:val="center"/>
          </w:tcPr>
          <w:p w14:paraId="5F7A2549" w14:textId="77777777" w:rsidR="00841AA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Odluka o uspostavljanju koordinacionog tijela</w:t>
            </w:r>
            <w:r w:rsidR="00841AA7" w:rsidRPr="001C58C6">
              <w:rPr>
                <w:rFonts w:ascii="Calibri" w:hAnsi="Calibri" w:cs="Calibri"/>
                <w:color w:val="000000" w:themeColor="text1"/>
                <w:sz w:val="20"/>
                <w:szCs w:val="20"/>
              </w:rPr>
              <w:t xml:space="preserve">, </w:t>
            </w:r>
          </w:p>
          <w:p w14:paraId="41E9F06F" w14:textId="2B135759" w:rsidR="00E630B7" w:rsidRDefault="00841AA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broj sastanaka</w:t>
            </w:r>
            <w:r w:rsidR="00664861">
              <w:rPr>
                <w:rFonts w:ascii="Calibri" w:hAnsi="Calibri" w:cs="Calibri"/>
                <w:color w:val="000000" w:themeColor="text1"/>
                <w:sz w:val="20"/>
                <w:szCs w:val="20"/>
              </w:rPr>
              <w:t>;</w:t>
            </w:r>
          </w:p>
          <w:p w14:paraId="6BF54805" w14:textId="4D3EC344" w:rsidR="00664861" w:rsidRPr="001C58C6" w:rsidRDefault="00664861"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664861">
              <w:rPr>
                <w:rFonts w:ascii="Calibri" w:hAnsi="Calibri" w:cs="Calibri"/>
                <w:color w:val="000000" w:themeColor="text1"/>
                <w:sz w:val="20"/>
                <w:szCs w:val="20"/>
              </w:rPr>
              <w:t>Broj održanih sjednica i procenat realizovanih zaključaka</w:t>
            </w:r>
          </w:p>
        </w:tc>
      </w:tr>
      <w:tr w:rsidR="001C58C6" w:rsidRPr="001C58C6" w14:paraId="7B39016B" w14:textId="77777777" w:rsidTr="00E630B7">
        <w:tc>
          <w:tcPr>
            <w:cnfStyle w:val="001000000000" w:firstRow="0" w:lastRow="0" w:firstColumn="1" w:lastColumn="0" w:oddVBand="0" w:evenVBand="0" w:oddHBand="0" w:evenHBand="0" w:firstRowFirstColumn="0" w:firstRowLastColumn="0" w:lastRowFirstColumn="0" w:lastRowLastColumn="0"/>
            <w:tcW w:w="883" w:type="dxa"/>
            <w:vAlign w:val="center"/>
          </w:tcPr>
          <w:p w14:paraId="0852FBB5" w14:textId="77777777" w:rsidR="00E630B7" w:rsidRPr="001C58C6" w:rsidRDefault="00E630B7" w:rsidP="00E53052">
            <w:pPr>
              <w:pStyle w:val="ListParagraph"/>
              <w:numPr>
                <w:ilvl w:val="0"/>
                <w:numId w:val="50"/>
              </w:numPr>
              <w:jc w:val="left"/>
              <w:rPr>
                <w:rFonts w:ascii="Calibri" w:hAnsi="Calibri" w:cs="Calibri"/>
                <w:color w:val="000000" w:themeColor="text1"/>
                <w:sz w:val="20"/>
                <w:szCs w:val="20"/>
              </w:rPr>
            </w:pPr>
          </w:p>
        </w:tc>
        <w:tc>
          <w:tcPr>
            <w:tcW w:w="2345" w:type="dxa"/>
            <w:vAlign w:val="center"/>
          </w:tcPr>
          <w:p w14:paraId="728F1688" w14:textId="77777777" w:rsidR="00E630B7" w:rsidRPr="001C58C6" w:rsidRDefault="00E630B7" w:rsidP="00743A33">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Izrada plana pravedne tranzicije za region uglja Pljevlja</w:t>
            </w:r>
          </w:p>
        </w:tc>
        <w:tc>
          <w:tcPr>
            <w:tcW w:w="2110" w:type="dxa"/>
            <w:vAlign w:val="center"/>
          </w:tcPr>
          <w:p w14:paraId="7660600E"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Cilj 1: Poboljšanje kvaliteta vazduha</w:t>
            </w:r>
          </w:p>
          <w:p w14:paraId="18167D84" w14:textId="77777777" w:rsidR="00E630B7"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1.A - smanjenje koncentracija suspendovanih čestica i sadržaja benzo(a)pirena u Sjevernoj zoni kvaliteta vazduha;</w:t>
            </w:r>
          </w:p>
          <w:p w14:paraId="6A51F4A4" w14:textId="77510046" w:rsidR="00664861" w:rsidRPr="001C58C6" w:rsidRDefault="00664861"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664861">
              <w:rPr>
                <w:rFonts w:ascii="Calibri" w:hAnsi="Calibri" w:cs="Calibri"/>
                <w:color w:val="000000" w:themeColor="text1"/>
                <w:sz w:val="20"/>
                <w:szCs w:val="20"/>
              </w:rPr>
              <w:t>1.C</w:t>
            </w:r>
            <w:r>
              <w:rPr>
                <w:rFonts w:ascii="Calibri" w:hAnsi="Calibri" w:cs="Calibri"/>
                <w:color w:val="000000" w:themeColor="text1"/>
                <w:sz w:val="20"/>
                <w:szCs w:val="20"/>
              </w:rPr>
              <w:t xml:space="preserve"> -</w:t>
            </w:r>
            <w:r w:rsidRPr="00664861">
              <w:rPr>
                <w:rFonts w:ascii="Calibri" w:hAnsi="Calibri" w:cs="Calibri"/>
                <w:color w:val="000000" w:themeColor="text1"/>
                <w:sz w:val="20"/>
                <w:szCs w:val="20"/>
              </w:rPr>
              <w:t xml:space="preserve"> smanjenje emisija zagađujućih materija (NOx, SO2, VOC, NH3 i PM2.5)</w:t>
            </w:r>
          </w:p>
        </w:tc>
        <w:tc>
          <w:tcPr>
            <w:tcW w:w="2135" w:type="dxa"/>
            <w:vAlign w:val="center"/>
          </w:tcPr>
          <w:p w14:paraId="652325A5"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rPr>
            </w:pPr>
            <w:r w:rsidRPr="001C58C6">
              <w:rPr>
                <w:rFonts w:ascii="Calibri" w:hAnsi="Calibri" w:cs="Calibri"/>
                <w:b/>
                <w:bCs/>
                <w:color w:val="000000" w:themeColor="text1"/>
                <w:sz w:val="20"/>
                <w:szCs w:val="20"/>
              </w:rPr>
              <w:t xml:space="preserve">Generalni sekretarijat Vlade Crne Gore  Nacionalni savjet za održivi razvoj, Ministarstvo </w:t>
            </w:r>
            <w:r w:rsidR="00743A33" w:rsidRPr="001C58C6">
              <w:rPr>
                <w:rFonts w:ascii="Calibri" w:hAnsi="Calibri" w:cs="Calibri"/>
                <w:b/>
                <w:bCs/>
                <w:color w:val="000000" w:themeColor="text1"/>
                <w:sz w:val="20"/>
                <w:szCs w:val="20"/>
              </w:rPr>
              <w:t>e</w:t>
            </w:r>
            <w:r w:rsidRPr="001C58C6">
              <w:rPr>
                <w:rFonts w:ascii="Calibri" w:hAnsi="Calibri" w:cs="Calibri"/>
                <w:b/>
                <w:bCs/>
                <w:color w:val="000000" w:themeColor="text1"/>
                <w:sz w:val="20"/>
                <w:szCs w:val="20"/>
              </w:rPr>
              <w:t>nergetike i rudarstva (MEIR), Ministarstvo ekologije, održivog razvoja i razvoja sjevera</w:t>
            </w:r>
            <w:r w:rsidR="00743A33" w:rsidRPr="001C58C6">
              <w:rPr>
                <w:rFonts w:ascii="Calibri" w:hAnsi="Calibri" w:cs="Calibri"/>
                <w:b/>
                <w:bCs/>
                <w:color w:val="000000" w:themeColor="text1"/>
                <w:sz w:val="20"/>
                <w:szCs w:val="20"/>
              </w:rPr>
              <w:t xml:space="preserve"> (MERS)</w:t>
            </w:r>
            <w:r w:rsidRPr="001C58C6">
              <w:rPr>
                <w:rFonts w:ascii="Calibri" w:hAnsi="Calibri" w:cs="Calibri"/>
                <w:b/>
                <w:bCs/>
                <w:color w:val="000000" w:themeColor="text1"/>
                <w:sz w:val="20"/>
                <w:szCs w:val="20"/>
              </w:rPr>
              <w:t>, Opština Pljevlja, Rudnik Pljevlja, EPCG</w:t>
            </w:r>
          </w:p>
        </w:tc>
        <w:tc>
          <w:tcPr>
            <w:tcW w:w="1747" w:type="dxa"/>
            <w:vAlign w:val="center"/>
          </w:tcPr>
          <w:p w14:paraId="106824A1" w14:textId="77777777" w:rsidR="00800DD4" w:rsidRPr="001C58C6" w:rsidRDefault="00800DD4"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0,2 mil €</w:t>
            </w:r>
          </w:p>
          <w:p w14:paraId="0651E75E" w14:textId="77777777" w:rsidR="00800DD4" w:rsidRPr="001C58C6" w:rsidRDefault="00800DD4"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
          <w:p w14:paraId="0F25C171"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Reformska agenda 2.2.1: </w:t>
            </w:r>
          </w:p>
          <w:p w14:paraId="367AB9AF"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Priprema i usvajanje akcionog plana za prekvalifikaciju i zapošljavanje u pljevaljskom regionu uglja</w:t>
            </w:r>
          </w:p>
        </w:tc>
        <w:tc>
          <w:tcPr>
            <w:tcW w:w="1783" w:type="dxa"/>
            <w:vAlign w:val="center"/>
          </w:tcPr>
          <w:p w14:paraId="1D3239CE"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 2026. – 2027. </w:t>
            </w:r>
          </w:p>
        </w:tc>
        <w:tc>
          <w:tcPr>
            <w:tcW w:w="1874" w:type="dxa"/>
            <w:vAlign w:val="center"/>
          </w:tcPr>
          <w:p w14:paraId="2AE05566" w14:textId="73233779"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Broj prekvalifikovanih /zaposlenih radnika</w:t>
            </w:r>
            <w:r w:rsidR="00C7424E">
              <w:rPr>
                <w:rFonts w:ascii="Calibri" w:hAnsi="Calibri" w:cs="Calibri"/>
                <w:color w:val="000000" w:themeColor="text1"/>
                <w:sz w:val="20"/>
                <w:szCs w:val="20"/>
              </w:rPr>
              <w:t xml:space="preserve">, </w:t>
            </w:r>
            <w:r w:rsidR="00C7424E" w:rsidRPr="00C7424E">
              <w:rPr>
                <w:rFonts w:ascii="Calibri" w:hAnsi="Calibri" w:cs="Calibri"/>
                <w:color w:val="000000" w:themeColor="text1"/>
                <w:sz w:val="20"/>
                <w:szCs w:val="20"/>
              </w:rPr>
              <w:t>broj domaćinstava obuhvaćenih mjerama tranzicije</w:t>
            </w:r>
            <w:r w:rsidRPr="001C58C6">
              <w:rPr>
                <w:rFonts w:ascii="Calibri" w:hAnsi="Calibri" w:cs="Calibri"/>
                <w:color w:val="000000" w:themeColor="text1"/>
                <w:sz w:val="20"/>
                <w:szCs w:val="20"/>
              </w:rPr>
              <w:t xml:space="preserve"> </w:t>
            </w:r>
          </w:p>
        </w:tc>
      </w:tr>
      <w:tr w:rsidR="001C58C6" w:rsidRPr="001C58C6" w14:paraId="4BCEAE20" w14:textId="77777777" w:rsidTr="00E630B7">
        <w:tc>
          <w:tcPr>
            <w:cnfStyle w:val="001000000000" w:firstRow="0" w:lastRow="0" w:firstColumn="1" w:lastColumn="0" w:oddVBand="0" w:evenVBand="0" w:oddHBand="0" w:evenHBand="0" w:firstRowFirstColumn="0" w:firstRowLastColumn="0" w:lastRowFirstColumn="0" w:lastRowLastColumn="0"/>
            <w:tcW w:w="883" w:type="dxa"/>
            <w:vAlign w:val="center"/>
          </w:tcPr>
          <w:p w14:paraId="54F85E21" w14:textId="77777777" w:rsidR="00E630B7" w:rsidRPr="001C58C6" w:rsidRDefault="00E630B7" w:rsidP="00E53052">
            <w:pPr>
              <w:pStyle w:val="ListParagraph"/>
              <w:numPr>
                <w:ilvl w:val="0"/>
                <w:numId w:val="50"/>
              </w:numPr>
              <w:jc w:val="left"/>
              <w:rPr>
                <w:rFonts w:ascii="Calibri" w:hAnsi="Calibri" w:cs="Calibri"/>
                <w:color w:val="000000" w:themeColor="text1"/>
                <w:sz w:val="20"/>
                <w:szCs w:val="20"/>
              </w:rPr>
            </w:pPr>
          </w:p>
        </w:tc>
        <w:tc>
          <w:tcPr>
            <w:tcW w:w="2345" w:type="dxa"/>
            <w:vAlign w:val="center"/>
          </w:tcPr>
          <w:p w14:paraId="5740065B" w14:textId="77777777" w:rsidR="00E630B7" w:rsidRPr="001C58C6" w:rsidRDefault="00E630B7" w:rsidP="00743A33">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Metodologija za definisanje energetski siromašnih grupa i mjera smanjenja energetskog siromaštva</w:t>
            </w:r>
          </w:p>
        </w:tc>
        <w:tc>
          <w:tcPr>
            <w:tcW w:w="2110" w:type="dxa"/>
            <w:vAlign w:val="center"/>
          </w:tcPr>
          <w:p w14:paraId="4E40C040"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Cilj 1: Poboljšanje kvaliteta vazduha</w:t>
            </w:r>
          </w:p>
          <w:p w14:paraId="251C465F"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1.A - smanjenje koncentracija suspendovanih čestica i sadržaja benzo(a)pirena u Sjevernoj zoni kvaliteta vazduha;</w:t>
            </w:r>
          </w:p>
          <w:p w14:paraId="2642320D" w14:textId="77777777" w:rsidR="00E630B7"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1.B - smanjenje sadržaja benzo(a)pirena u </w:t>
            </w:r>
            <w:r w:rsidRPr="001C58C6">
              <w:rPr>
                <w:rFonts w:ascii="Calibri" w:hAnsi="Calibri" w:cs="Calibri"/>
                <w:color w:val="000000" w:themeColor="text1"/>
                <w:sz w:val="20"/>
                <w:szCs w:val="20"/>
              </w:rPr>
              <w:lastRenderedPageBreak/>
              <w:t>suspendovanim česticama u Centralnoj zoni kvaliteta vazduha;</w:t>
            </w:r>
          </w:p>
          <w:p w14:paraId="48C46C4C" w14:textId="0CD5B1A8" w:rsidR="00664861" w:rsidRPr="001C58C6" w:rsidRDefault="00664861"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664861">
              <w:rPr>
                <w:rFonts w:ascii="Calibri" w:hAnsi="Calibri" w:cs="Calibri"/>
                <w:color w:val="000000" w:themeColor="text1"/>
                <w:sz w:val="20"/>
                <w:szCs w:val="20"/>
              </w:rPr>
              <w:t>1.C - smanjenje emisija zagađujućih materija (NOx, SO2, VOC, NH3 i PM2.5)</w:t>
            </w:r>
          </w:p>
        </w:tc>
        <w:tc>
          <w:tcPr>
            <w:tcW w:w="2135" w:type="dxa"/>
            <w:vAlign w:val="center"/>
          </w:tcPr>
          <w:p w14:paraId="327B8BE2"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rPr>
            </w:pPr>
            <w:r w:rsidRPr="001C58C6">
              <w:rPr>
                <w:rFonts w:ascii="Calibri" w:hAnsi="Calibri" w:cs="Calibri"/>
                <w:b/>
                <w:bCs/>
                <w:color w:val="000000" w:themeColor="text1"/>
                <w:sz w:val="20"/>
                <w:szCs w:val="20"/>
              </w:rPr>
              <w:lastRenderedPageBreak/>
              <w:t>Ministarstvo energetike i rudarstva, Ministarstvo socijalnog staranja, brige o porodici i demografije, Eko-fond, Monstat.</w:t>
            </w:r>
          </w:p>
        </w:tc>
        <w:tc>
          <w:tcPr>
            <w:tcW w:w="1747" w:type="dxa"/>
            <w:vAlign w:val="center"/>
          </w:tcPr>
          <w:p w14:paraId="48B222A3" w14:textId="77777777" w:rsidR="00BE32E2" w:rsidRPr="001C58C6" w:rsidRDefault="00800DD4"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40 hilj. €</w:t>
            </w:r>
          </w:p>
          <w:p w14:paraId="74E79044" w14:textId="77777777" w:rsidR="00800DD4" w:rsidRPr="001C58C6" w:rsidRDefault="00800DD4"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
          <w:p w14:paraId="729684B9"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Reformska agenda mjera 2.1.2</w:t>
            </w:r>
          </w:p>
        </w:tc>
        <w:tc>
          <w:tcPr>
            <w:tcW w:w="1783" w:type="dxa"/>
            <w:vAlign w:val="center"/>
          </w:tcPr>
          <w:p w14:paraId="136EAF83"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2026. – 2027. </w:t>
            </w:r>
          </w:p>
        </w:tc>
        <w:tc>
          <w:tcPr>
            <w:tcW w:w="1874" w:type="dxa"/>
            <w:vAlign w:val="center"/>
          </w:tcPr>
          <w:p w14:paraId="184FE346"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Izrađena metodologija i Program za ublažavanje energetskog siromaštva</w:t>
            </w:r>
          </w:p>
        </w:tc>
      </w:tr>
      <w:tr w:rsidR="001C58C6" w:rsidRPr="001C58C6" w14:paraId="3F245592" w14:textId="77777777" w:rsidTr="00E630B7">
        <w:tc>
          <w:tcPr>
            <w:cnfStyle w:val="001000000000" w:firstRow="0" w:lastRow="0" w:firstColumn="1" w:lastColumn="0" w:oddVBand="0" w:evenVBand="0" w:oddHBand="0" w:evenHBand="0" w:firstRowFirstColumn="0" w:firstRowLastColumn="0" w:lastRowFirstColumn="0" w:lastRowLastColumn="0"/>
            <w:tcW w:w="883" w:type="dxa"/>
            <w:vAlign w:val="center"/>
          </w:tcPr>
          <w:p w14:paraId="52FAD638" w14:textId="77777777" w:rsidR="00E630B7" w:rsidRPr="001C58C6" w:rsidRDefault="00E630B7" w:rsidP="00E53052">
            <w:pPr>
              <w:pStyle w:val="ListParagraph"/>
              <w:numPr>
                <w:ilvl w:val="0"/>
                <w:numId w:val="50"/>
              </w:numPr>
              <w:jc w:val="left"/>
              <w:rPr>
                <w:rFonts w:ascii="Calibri" w:hAnsi="Calibri" w:cs="Calibri"/>
                <w:color w:val="000000" w:themeColor="text1"/>
                <w:sz w:val="20"/>
                <w:szCs w:val="20"/>
              </w:rPr>
            </w:pPr>
          </w:p>
        </w:tc>
        <w:tc>
          <w:tcPr>
            <w:tcW w:w="2345" w:type="dxa"/>
            <w:vAlign w:val="center"/>
          </w:tcPr>
          <w:p w14:paraId="7BF8FEF4" w14:textId="77777777" w:rsidR="00E630B7" w:rsidRPr="001C58C6" w:rsidRDefault="00E630B7" w:rsidP="00743A33">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eastAsia="Aptos" w:hAnsi="Calibri" w:cs="Calibri"/>
                <w:color w:val="000000" w:themeColor="text1"/>
                <w:sz w:val="20"/>
                <w:szCs w:val="20"/>
              </w:rPr>
              <w:t>Obnova malih hidroelektrana</w:t>
            </w:r>
          </w:p>
        </w:tc>
        <w:tc>
          <w:tcPr>
            <w:tcW w:w="2110" w:type="dxa"/>
            <w:vAlign w:val="center"/>
          </w:tcPr>
          <w:p w14:paraId="1A59C3F7"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Cilj 1: Poboljšanje kvaliteta vazduha</w:t>
            </w:r>
          </w:p>
          <w:p w14:paraId="00BF8ECF"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1.C - smanjenje emisija zagađujućih materija (NOx, SO2, VOC, NH3 i PM2.5).</w:t>
            </w:r>
          </w:p>
        </w:tc>
        <w:tc>
          <w:tcPr>
            <w:tcW w:w="2135" w:type="dxa"/>
            <w:vAlign w:val="center"/>
          </w:tcPr>
          <w:p w14:paraId="4FD657E4"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rPr>
            </w:pPr>
            <w:r w:rsidRPr="001C58C6">
              <w:rPr>
                <w:rFonts w:ascii="Calibri" w:hAnsi="Calibri" w:cs="Calibri"/>
                <w:b/>
                <w:bCs/>
                <w:color w:val="000000" w:themeColor="text1"/>
                <w:sz w:val="20"/>
                <w:szCs w:val="20"/>
              </w:rPr>
              <w:t xml:space="preserve">EPCG </w:t>
            </w:r>
          </w:p>
        </w:tc>
        <w:tc>
          <w:tcPr>
            <w:tcW w:w="1747" w:type="dxa"/>
            <w:vAlign w:val="center"/>
          </w:tcPr>
          <w:p w14:paraId="6CF6A49C"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0,8 mil €</w:t>
            </w:r>
          </w:p>
        </w:tc>
        <w:tc>
          <w:tcPr>
            <w:tcW w:w="1783" w:type="dxa"/>
            <w:vAlign w:val="center"/>
          </w:tcPr>
          <w:p w14:paraId="4D15F7B9"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2026. – 2027. </w:t>
            </w:r>
          </w:p>
        </w:tc>
        <w:tc>
          <w:tcPr>
            <w:tcW w:w="1874" w:type="dxa"/>
            <w:vAlign w:val="center"/>
          </w:tcPr>
          <w:p w14:paraId="5ECD4235"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Očekivana smanjenja emisija</w:t>
            </w:r>
          </w:p>
          <w:p w14:paraId="0371C878"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SO₂ − 1 kt; NOₓ − 0,1 kt</w:t>
            </w:r>
          </w:p>
        </w:tc>
      </w:tr>
      <w:tr w:rsidR="001C58C6" w:rsidRPr="001C58C6" w14:paraId="0802902E" w14:textId="77777777" w:rsidTr="00E630B7">
        <w:tc>
          <w:tcPr>
            <w:cnfStyle w:val="001000000000" w:firstRow="0" w:lastRow="0" w:firstColumn="1" w:lastColumn="0" w:oddVBand="0" w:evenVBand="0" w:oddHBand="0" w:evenHBand="0" w:firstRowFirstColumn="0" w:firstRowLastColumn="0" w:lastRowFirstColumn="0" w:lastRowLastColumn="0"/>
            <w:tcW w:w="883" w:type="dxa"/>
            <w:vAlign w:val="center"/>
          </w:tcPr>
          <w:p w14:paraId="6FF3A1CB" w14:textId="77777777" w:rsidR="00E630B7" w:rsidRPr="001C58C6" w:rsidRDefault="00E630B7" w:rsidP="00E53052">
            <w:pPr>
              <w:pStyle w:val="ListParagraph"/>
              <w:numPr>
                <w:ilvl w:val="0"/>
                <w:numId w:val="50"/>
              </w:numPr>
              <w:jc w:val="left"/>
              <w:rPr>
                <w:rFonts w:ascii="Calibri" w:hAnsi="Calibri" w:cs="Calibri"/>
                <w:color w:val="000000" w:themeColor="text1"/>
                <w:sz w:val="20"/>
                <w:szCs w:val="20"/>
              </w:rPr>
            </w:pPr>
          </w:p>
        </w:tc>
        <w:tc>
          <w:tcPr>
            <w:tcW w:w="2345" w:type="dxa"/>
            <w:vAlign w:val="center"/>
          </w:tcPr>
          <w:p w14:paraId="7092EE31" w14:textId="77777777" w:rsidR="00E630B7" w:rsidRPr="001C58C6" w:rsidRDefault="00E630B7" w:rsidP="00743A33">
            <w:pPr>
              <w:contextualSpacing/>
              <w:cnfStyle w:val="000000000000" w:firstRow="0" w:lastRow="0" w:firstColumn="0" w:lastColumn="0" w:oddVBand="0" w:evenVBand="0" w:oddHBand="0" w:evenHBand="0" w:firstRowFirstColumn="0" w:firstRowLastColumn="0" w:lastRowFirstColumn="0" w:lastRowLastColumn="0"/>
              <w:rPr>
                <w:rFonts w:ascii="Calibri" w:eastAsia="Aptos" w:hAnsi="Calibri" w:cs="Calibri"/>
                <w:color w:val="000000" w:themeColor="text1"/>
                <w:sz w:val="20"/>
                <w:szCs w:val="20"/>
              </w:rPr>
            </w:pPr>
            <w:r w:rsidRPr="001C58C6">
              <w:rPr>
                <w:rFonts w:ascii="Calibri" w:hAnsi="Calibri" w:cs="Calibri"/>
                <w:color w:val="000000" w:themeColor="text1"/>
                <w:sz w:val="20"/>
                <w:szCs w:val="20"/>
              </w:rPr>
              <w:t>Praćenje efekata završene ekološke rekonstrukcije TE Pljevlja i planiranje budućeg angažovanja</w:t>
            </w:r>
          </w:p>
        </w:tc>
        <w:tc>
          <w:tcPr>
            <w:tcW w:w="2110" w:type="dxa"/>
            <w:vAlign w:val="center"/>
          </w:tcPr>
          <w:p w14:paraId="4FC8BAF8"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Cilj 1: Poboljšanje kvaliteta vazduha</w:t>
            </w:r>
          </w:p>
          <w:p w14:paraId="62B9AEF5"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1.C - smanjenje emisija zagađujućih materija (NOx, SO2, VOC, NH3 i PM2.5).</w:t>
            </w:r>
          </w:p>
        </w:tc>
        <w:tc>
          <w:tcPr>
            <w:tcW w:w="2135" w:type="dxa"/>
            <w:vAlign w:val="center"/>
          </w:tcPr>
          <w:p w14:paraId="0879D84E"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rPr>
            </w:pPr>
            <w:r w:rsidRPr="001C58C6">
              <w:rPr>
                <w:rFonts w:ascii="Calibri" w:hAnsi="Calibri" w:cs="Calibri"/>
                <w:b/>
                <w:bCs/>
                <w:color w:val="000000" w:themeColor="text1"/>
                <w:sz w:val="20"/>
                <w:szCs w:val="20"/>
              </w:rPr>
              <w:t xml:space="preserve">EPCG, </w:t>
            </w:r>
          </w:p>
          <w:p w14:paraId="456BE002"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rPr>
            </w:pPr>
            <w:r w:rsidRPr="001C58C6">
              <w:rPr>
                <w:rFonts w:ascii="Calibri" w:hAnsi="Calibri" w:cs="Calibri"/>
                <w:b/>
                <w:bCs/>
                <w:color w:val="000000" w:themeColor="text1"/>
                <w:sz w:val="20"/>
                <w:szCs w:val="20"/>
              </w:rPr>
              <w:t>Ministarstvo energetike i rudarstva</w:t>
            </w:r>
          </w:p>
        </w:tc>
        <w:tc>
          <w:tcPr>
            <w:tcW w:w="1747" w:type="dxa"/>
            <w:vAlign w:val="center"/>
          </w:tcPr>
          <w:p w14:paraId="567D84FE"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Projektna sredstva za ekološku rekonstrukciju TE Pljevlja</w:t>
            </w:r>
            <w:r w:rsidR="00312BF6" w:rsidRPr="001C58C6">
              <w:rPr>
                <w:rFonts w:ascii="Calibri" w:hAnsi="Calibri" w:cs="Calibri"/>
                <w:color w:val="000000" w:themeColor="text1"/>
                <w:sz w:val="20"/>
                <w:szCs w:val="20"/>
              </w:rPr>
              <w:t xml:space="preserve"> (54,5 mil  €)</w:t>
            </w:r>
            <w:r w:rsidRPr="001C58C6">
              <w:rPr>
                <w:rFonts w:ascii="Calibri" w:hAnsi="Calibri" w:cs="Calibri"/>
                <w:color w:val="000000" w:themeColor="text1"/>
                <w:sz w:val="20"/>
                <w:szCs w:val="20"/>
              </w:rPr>
              <w:t>; Strategija prati efekte, verifikaciju emisija i izvještavanje, bez dodatnog troška za budžet Strategije.</w:t>
            </w:r>
          </w:p>
        </w:tc>
        <w:tc>
          <w:tcPr>
            <w:tcW w:w="1783" w:type="dxa"/>
            <w:vAlign w:val="center"/>
          </w:tcPr>
          <w:p w14:paraId="2863DD11"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2026-2027: praćenje probnog rada, verifikacija emisija i izvještavanje o efektima završene ekološke rekonstrukcije. -2027.</w:t>
            </w:r>
          </w:p>
        </w:tc>
        <w:tc>
          <w:tcPr>
            <w:tcW w:w="1874" w:type="dxa"/>
            <w:vAlign w:val="center"/>
          </w:tcPr>
          <w:p w14:paraId="1A249205" w14:textId="77777777" w:rsidR="00E630B7" w:rsidRPr="001C58C6" w:rsidRDefault="00312BF6"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Izvještaj o probnom radu; verifikovani podaci o emisijama i ostvarenom smanjenju NOx, NMVOC, SO2 i PM2.5 (očekivano smanjenje nox – 5,4 kt, nmvoc – 0,01 kt, so2 – 73 kt, pm2.5 – 0,06 kt)</w:t>
            </w:r>
          </w:p>
        </w:tc>
      </w:tr>
      <w:tr w:rsidR="001C58C6" w:rsidRPr="001C58C6" w14:paraId="72340956" w14:textId="77777777" w:rsidTr="00E630B7">
        <w:tc>
          <w:tcPr>
            <w:cnfStyle w:val="001000000000" w:firstRow="0" w:lastRow="0" w:firstColumn="1" w:lastColumn="0" w:oddVBand="0" w:evenVBand="0" w:oddHBand="0" w:evenHBand="0" w:firstRowFirstColumn="0" w:firstRowLastColumn="0" w:lastRowFirstColumn="0" w:lastRowLastColumn="0"/>
            <w:tcW w:w="883" w:type="dxa"/>
            <w:vAlign w:val="center"/>
          </w:tcPr>
          <w:p w14:paraId="6561D753" w14:textId="77777777" w:rsidR="00E630B7" w:rsidRPr="001C58C6" w:rsidRDefault="00E630B7" w:rsidP="00E53052">
            <w:pPr>
              <w:pStyle w:val="ListParagraph"/>
              <w:numPr>
                <w:ilvl w:val="0"/>
                <w:numId w:val="50"/>
              </w:numPr>
              <w:jc w:val="left"/>
              <w:rPr>
                <w:rFonts w:ascii="Calibri" w:hAnsi="Calibri" w:cs="Calibri"/>
                <w:color w:val="000000" w:themeColor="text1"/>
                <w:sz w:val="20"/>
                <w:szCs w:val="20"/>
              </w:rPr>
            </w:pPr>
          </w:p>
        </w:tc>
        <w:tc>
          <w:tcPr>
            <w:tcW w:w="2345" w:type="dxa"/>
            <w:vAlign w:val="center"/>
          </w:tcPr>
          <w:p w14:paraId="758E8834" w14:textId="7634D711" w:rsidR="00E630B7" w:rsidRPr="001C58C6" w:rsidRDefault="00E630B7" w:rsidP="00743A33">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Unapređenje pravnog okvira kroz potpunu transpoziciju Direktive (EU) </w:t>
            </w:r>
            <w:r w:rsidR="00C7424E">
              <w:rPr>
                <w:rFonts w:ascii="Calibri" w:hAnsi="Calibri" w:cs="Calibri"/>
                <w:color w:val="000000" w:themeColor="text1"/>
                <w:sz w:val="20"/>
                <w:szCs w:val="20"/>
              </w:rPr>
              <w:t>2024/2881</w:t>
            </w:r>
            <w:r w:rsidRPr="001C58C6">
              <w:rPr>
                <w:rFonts w:ascii="Calibri" w:hAnsi="Calibri" w:cs="Calibri"/>
                <w:color w:val="000000" w:themeColor="text1"/>
                <w:sz w:val="20"/>
                <w:szCs w:val="20"/>
              </w:rPr>
              <w:t xml:space="preserve"> i Direktive (EU) 2016/2284;</w:t>
            </w:r>
          </w:p>
        </w:tc>
        <w:tc>
          <w:tcPr>
            <w:tcW w:w="2110" w:type="dxa"/>
            <w:vAlign w:val="center"/>
          </w:tcPr>
          <w:p w14:paraId="780C3929"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Cilj 2: Dalje unapređenje praćenja i upravljanja kvalitetom vazduha</w:t>
            </w:r>
          </w:p>
          <w:p w14:paraId="07F9C6EB"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2.C – dalje usklađivanje sa strožim standardima kvaliteta vazduha.</w:t>
            </w:r>
          </w:p>
        </w:tc>
        <w:tc>
          <w:tcPr>
            <w:tcW w:w="2135" w:type="dxa"/>
            <w:vAlign w:val="center"/>
          </w:tcPr>
          <w:p w14:paraId="1450E3F0"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rPr>
            </w:pPr>
            <w:r w:rsidRPr="001C58C6">
              <w:rPr>
                <w:rFonts w:ascii="Calibri" w:hAnsi="Calibri" w:cs="Calibri"/>
                <w:b/>
                <w:bCs/>
                <w:color w:val="000000" w:themeColor="text1"/>
                <w:sz w:val="20"/>
                <w:szCs w:val="20"/>
              </w:rPr>
              <w:t>Ministarstvo ekologije, održivog razvoja i razvoja sjevera</w:t>
            </w:r>
          </w:p>
        </w:tc>
        <w:tc>
          <w:tcPr>
            <w:tcW w:w="1747" w:type="dxa"/>
            <w:vAlign w:val="center"/>
          </w:tcPr>
          <w:p w14:paraId="7E453B5C"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IPA projekat</w:t>
            </w:r>
            <w:r w:rsidR="00EA16F8" w:rsidRPr="001C58C6">
              <w:rPr>
                <w:rFonts w:ascii="Calibri" w:hAnsi="Calibri" w:cs="Calibri"/>
                <w:color w:val="000000" w:themeColor="text1"/>
                <w:sz w:val="20"/>
                <w:szCs w:val="20"/>
              </w:rPr>
              <w:t>, budžet nije poznat</w:t>
            </w:r>
          </w:p>
        </w:tc>
        <w:tc>
          <w:tcPr>
            <w:tcW w:w="1783" w:type="dxa"/>
            <w:vAlign w:val="center"/>
          </w:tcPr>
          <w:p w14:paraId="41033C12"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2026. – 2027. </w:t>
            </w:r>
          </w:p>
        </w:tc>
        <w:tc>
          <w:tcPr>
            <w:tcW w:w="1874" w:type="dxa"/>
            <w:vAlign w:val="center"/>
          </w:tcPr>
          <w:p w14:paraId="34245DEC"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Objava Zakona i podzakonskih akata u Službenom listu CG</w:t>
            </w:r>
          </w:p>
        </w:tc>
      </w:tr>
      <w:tr w:rsidR="001C58C6" w:rsidRPr="001C58C6" w14:paraId="17F0EC94" w14:textId="77777777" w:rsidTr="00E630B7">
        <w:tc>
          <w:tcPr>
            <w:cnfStyle w:val="001000000000" w:firstRow="0" w:lastRow="0" w:firstColumn="1" w:lastColumn="0" w:oddVBand="0" w:evenVBand="0" w:oddHBand="0" w:evenHBand="0" w:firstRowFirstColumn="0" w:firstRowLastColumn="0" w:lastRowFirstColumn="0" w:lastRowLastColumn="0"/>
            <w:tcW w:w="12877" w:type="dxa"/>
            <w:gridSpan w:val="7"/>
            <w:vAlign w:val="center"/>
          </w:tcPr>
          <w:p w14:paraId="515729F1" w14:textId="77777777" w:rsidR="00E630B7" w:rsidRPr="001C58C6" w:rsidRDefault="00E630B7" w:rsidP="00743A33">
            <w:pPr>
              <w:contextualSpacing/>
              <w:jc w:val="left"/>
              <w:rPr>
                <w:rFonts w:ascii="Calibri" w:hAnsi="Calibri" w:cs="Calibri"/>
                <w:color w:val="000000" w:themeColor="text1"/>
                <w:sz w:val="20"/>
                <w:szCs w:val="20"/>
              </w:rPr>
            </w:pPr>
            <w:r w:rsidRPr="001C58C6">
              <w:rPr>
                <w:rFonts w:ascii="Calibri" w:hAnsi="Calibri" w:cs="Calibri"/>
                <w:color w:val="000000" w:themeColor="text1"/>
                <w:sz w:val="20"/>
                <w:szCs w:val="20"/>
              </w:rPr>
              <w:t>Mjere prvog akcionog plana koje započinju u periodu 2026-2027, a čiji se završetak ili puni efekat očekuje najkasnije 2028. godine</w:t>
            </w:r>
          </w:p>
        </w:tc>
      </w:tr>
      <w:tr w:rsidR="001C58C6" w:rsidRPr="001C58C6" w14:paraId="58660727" w14:textId="77777777" w:rsidTr="00E630B7">
        <w:tc>
          <w:tcPr>
            <w:cnfStyle w:val="001000000000" w:firstRow="0" w:lastRow="0" w:firstColumn="1" w:lastColumn="0" w:oddVBand="0" w:evenVBand="0" w:oddHBand="0" w:evenHBand="0" w:firstRowFirstColumn="0" w:firstRowLastColumn="0" w:lastRowFirstColumn="0" w:lastRowLastColumn="0"/>
            <w:tcW w:w="883" w:type="dxa"/>
            <w:vAlign w:val="center"/>
          </w:tcPr>
          <w:p w14:paraId="10B09E12" w14:textId="77777777" w:rsidR="00E630B7" w:rsidRPr="001C58C6" w:rsidRDefault="00E630B7" w:rsidP="00E53052">
            <w:pPr>
              <w:pStyle w:val="ListParagraph"/>
              <w:numPr>
                <w:ilvl w:val="0"/>
                <w:numId w:val="50"/>
              </w:numPr>
              <w:jc w:val="left"/>
              <w:rPr>
                <w:rFonts w:ascii="Calibri" w:hAnsi="Calibri" w:cs="Calibri"/>
                <w:color w:val="000000" w:themeColor="text1"/>
                <w:sz w:val="20"/>
                <w:szCs w:val="20"/>
              </w:rPr>
            </w:pPr>
          </w:p>
        </w:tc>
        <w:tc>
          <w:tcPr>
            <w:tcW w:w="2345" w:type="dxa"/>
            <w:vAlign w:val="center"/>
          </w:tcPr>
          <w:p w14:paraId="62ACC3C5" w14:textId="77777777" w:rsidR="00E630B7" w:rsidRPr="001C58C6" w:rsidRDefault="00E630B7" w:rsidP="00743A33">
            <w:pPr>
              <w:contextualSpacing/>
              <w:cnfStyle w:val="000000000000" w:firstRow="0" w:lastRow="0" w:firstColumn="0" w:lastColumn="0" w:oddVBand="0" w:evenVBand="0" w:oddHBand="0" w:evenHBand="0" w:firstRowFirstColumn="0" w:firstRowLastColumn="0" w:lastRowFirstColumn="0" w:lastRowLastColumn="0"/>
              <w:rPr>
                <w:rFonts w:ascii="Calibri" w:eastAsia="Aptos" w:hAnsi="Calibri" w:cs="Calibri"/>
                <w:color w:val="000000" w:themeColor="text1"/>
                <w:sz w:val="20"/>
                <w:szCs w:val="20"/>
              </w:rPr>
            </w:pPr>
            <w:r w:rsidRPr="001C58C6">
              <w:rPr>
                <w:rFonts w:ascii="Calibri" w:hAnsi="Calibri" w:cs="Calibri"/>
                <w:color w:val="000000" w:themeColor="text1"/>
                <w:sz w:val="20"/>
                <w:szCs w:val="20"/>
              </w:rPr>
              <w:t>Finansijski podsticaji za građane i građanke/privatna domaćinstva (za ulaganja u energetsku efikasnost i smanjenje energetskog siromaštva)</w:t>
            </w:r>
          </w:p>
        </w:tc>
        <w:tc>
          <w:tcPr>
            <w:tcW w:w="2110" w:type="dxa"/>
            <w:vAlign w:val="center"/>
          </w:tcPr>
          <w:p w14:paraId="18DF555B"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Cilj 1: Poboljšanje kvaliteta vazduha</w:t>
            </w:r>
          </w:p>
          <w:p w14:paraId="4ADA300B"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1.A - smanjenje koncentracija suspendovanih čestica i sadržaja benzo(a)pirena u </w:t>
            </w:r>
            <w:r w:rsidRPr="001C58C6">
              <w:rPr>
                <w:rFonts w:ascii="Calibri" w:hAnsi="Calibri" w:cs="Calibri"/>
                <w:color w:val="000000" w:themeColor="text1"/>
                <w:sz w:val="20"/>
                <w:szCs w:val="20"/>
              </w:rPr>
              <w:lastRenderedPageBreak/>
              <w:t>Sjevernoj zoni kvaliteta vazduha;</w:t>
            </w:r>
          </w:p>
          <w:p w14:paraId="670D6CA9" w14:textId="77777777" w:rsidR="00E630B7"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1.B - smanjenje sadržaja benzo(a)pirena u suspendovanim česticama u Centralnoj zoni kvaliteta vazduha;</w:t>
            </w:r>
          </w:p>
          <w:p w14:paraId="2F71E160" w14:textId="6384619E" w:rsidR="00664861" w:rsidRPr="001C58C6" w:rsidRDefault="00664861"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664861">
              <w:rPr>
                <w:rFonts w:ascii="Calibri" w:hAnsi="Calibri" w:cs="Calibri"/>
                <w:color w:val="000000" w:themeColor="text1"/>
                <w:sz w:val="20"/>
                <w:szCs w:val="20"/>
              </w:rPr>
              <w:t>1.C - smanjenje emisija zagađujućih materija (NOx, SO2, VOC, NH3 i PM2.5)</w:t>
            </w:r>
          </w:p>
        </w:tc>
        <w:tc>
          <w:tcPr>
            <w:tcW w:w="2135" w:type="dxa"/>
            <w:vAlign w:val="center"/>
          </w:tcPr>
          <w:p w14:paraId="3EDFEF60"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rPr>
            </w:pPr>
            <w:r w:rsidRPr="001C58C6">
              <w:rPr>
                <w:rFonts w:ascii="Calibri" w:hAnsi="Calibri" w:cs="Calibri"/>
                <w:b/>
                <w:bCs/>
                <w:color w:val="000000" w:themeColor="text1"/>
                <w:sz w:val="20"/>
                <w:szCs w:val="20"/>
              </w:rPr>
              <w:lastRenderedPageBreak/>
              <w:t>Ministarstvo energetike i rudarstva</w:t>
            </w:r>
          </w:p>
          <w:p w14:paraId="2FEF0500"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b/>
                <w:bCs/>
                <w:color w:val="000000" w:themeColor="text1"/>
                <w:sz w:val="20"/>
                <w:szCs w:val="20"/>
              </w:rPr>
              <w:t>Eko fond</w:t>
            </w:r>
            <w:r w:rsidRPr="001C58C6">
              <w:rPr>
                <w:rFonts w:ascii="Calibri" w:hAnsi="Calibri" w:cs="Calibri"/>
                <w:color w:val="000000" w:themeColor="text1"/>
                <w:sz w:val="20"/>
                <w:szCs w:val="20"/>
              </w:rPr>
              <w:t xml:space="preserve"> uz podršku UNDP,</w:t>
            </w:r>
          </w:p>
          <w:p w14:paraId="7F9FA3A4"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rPr>
            </w:pPr>
            <w:r w:rsidRPr="001C58C6">
              <w:rPr>
                <w:rFonts w:ascii="Calibri" w:hAnsi="Calibri" w:cs="Calibri"/>
                <w:color w:val="000000" w:themeColor="text1"/>
                <w:sz w:val="20"/>
                <w:szCs w:val="20"/>
              </w:rPr>
              <w:t xml:space="preserve">lokalni distributeri i instalateri EE opreme, </w:t>
            </w:r>
            <w:r w:rsidRPr="001C58C6">
              <w:rPr>
                <w:rFonts w:ascii="Calibri" w:hAnsi="Calibri" w:cs="Calibri"/>
                <w:color w:val="000000" w:themeColor="text1"/>
                <w:sz w:val="20"/>
                <w:szCs w:val="20"/>
              </w:rPr>
              <w:lastRenderedPageBreak/>
              <w:t>lokalne komercijalne banke</w:t>
            </w:r>
          </w:p>
        </w:tc>
        <w:tc>
          <w:tcPr>
            <w:tcW w:w="1747" w:type="dxa"/>
            <w:vAlign w:val="center"/>
          </w:tcPr>
          <w:p w14:paraId="2A55D832"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lastRenderedPageBreak/>
              <w:t>8,8 mil €, od čega 2.8 mil za opštinu Pljevlja</w:t>
            </w:r>
          </w:p>
        </w:tc>
        <w:tc>
          <w:tcPr>
            <w:tcW w:w="1783" w:type="dxa"/>
            <w:vAlign w:val="center"/>
          </w:tcPr>
          <w:p w14:paraId="3A53B554"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2026. – 2028.</w:t>
            </w:r>
          </w:p>
        </w:tc>
        <w:tc>
          <w:tcPr>
            <w:tcW w:w="1874" w:type="dxa"/>
            <w:vAlign w:val="center"/>
          </w:tcPr>
          <w:p w14:paraId="38603613"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Utrošena sredstva, broj domacinstava koji je učestvovao u programu</w:t>
            </w:r>
            <w:r w:rsidR="00EA16F8" w:rsidRPr="001C58C6">
              <w:rPr>
                <w:rFonts w:ascii="Calibri" w:hAnsi="Calibri" w:cs="Calibri"/>
                <w:color w:val="000000" w:themeColor="text1"/>
                <w:sz w:val="20"/>
                <w:szCs w:val="20"/>
              </w:rPr>
              <w:t>,</w:t>
            </w:r>
          </w:p>
          <w:p w14:paraId="5E075995" w14:textId="77777777" w:rsidR="00EA16F8" w:rsidRPr="001C58C6" w:rsidRDefault="00800DD4"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udio</w:t>
            </w:r>
            <w:r w:rsidR="00EA16F8" w:rsidRPr="001C58C6">
              <w:rPr>
                <w:rFonts w:ascii="Calibri" w:hAnsi="Calibri" w:cs="Calibri"/>
                <w:color w:val="000000" w:themeColor="text1"/>
                <w:sz w:val="20"/>
                <w:szCs w:val="20"/>
              </w:rPr>
              <w:t xml:space="preserve"> domaćinstava koji koriste čistije </w:t>
            </w:r>
            <w:r w:rsidR="00EA16F8" w:rsidRPr="001C58C6">
              <w:rPr>
                <w:rFonts w:ascii="Calibri" w:hAnsi="Calibri" w:cs="Calibri"/>
                <w:color w:val="000000" w:themeColor="text1"/>
                <w:sz w:val="20"/>
                <w:szCs w:val="20"/>
              </w:rPr>
              <w:lastRenderedPageBreak/>
              <w:t>izvore energije za grijanje (cilj: do 70% u privatnim zgradama);</w:t>
            </w:r>
          </w:p>
          <w:p w14:paraId="5B048B6F" w14:textId="1E049038" w:rsidR="00C7424E" w:rsidRPr="001C58C6" w:rsidRDefault="00E630B7" w:rsidP="00C7424E">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Postignut stepen energetske efikasnosti / smanjene energetske potrebe</w:t>
            </w:r>
          </w:p>
        </w:tc>
      </w:tr>
      <w:tr w:rsidR="001C58C6" w:rsidRPr="001C58C6" w14:paraId="12E7CE0D" w14:textId="77777777" w:rsidTr="00E630B7">
        <w:tc>
          <w:tcPr>
            <w:cnfStyle w:val="001000000000" w:firstRow="0" w:lastRow="0" w:firstColumn="1" w:lastColumn="0" w:oddVBand="0" w:evenVBand="0" w:oddHBand="0" w:evenHBand="0" w:firstRowFirstColumn="0" w:firstRowLastColumn="0" w:lastRowFirstColumn="0" w:lastRowLastColumn="0"/>
            <w:tcW w:w="883" w:type="dxa"/>
            <w:vAlign w:val="center"/>
          </w:tcPr>
          <w:p w14:paraId="5D2D373C" w14:textId="77777777" w:rsidR="00E630B7" w:rsidRPr="001C58C6" w:rsidRDefault="00E630B7" w:rsidP="00E53052">
            <w:pPr>
              <w:pStyle w:val="ListParagraph"/>
              <w:numPr>
                <w:ilvl w:val="0"/>
                <w:numId w:val="50"/>
              </w:numPr>
              <w:jc w:val="left"/>
              <w:rPr>
                <w:rFonts w:ascii="Calibri" w:hAnsi="Calibri" w:cs="Calibri"/>
                <w:color w:val="000000" w:themeColor="text1"/>
                <w:sz w:val="20"/>
                <w:szCs w:val="20"/>
              </w:rPr>
            </w:pPr>
          </w:p>
        </w:tc>
        <w:tc>
          <w:tcPr>
            <w:tcW w:w="2345" w:type="dxa"/>
            <w:vAlign w:val="center"/>
          </w:tcPr>
          <w:p w14:paraId="2AACF15C" w14:textId="7CE0F06F" w:rsidR="00E630B7" w:rsidRPr="001C58C6" w:rsidRDefault="00E630B7" w:rsidP="00743A33">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Preispitivanje zona kvaliteta vazduha u skladu sa članom 7 Direktive (EU) </w:t>
            </w:r>
            <w:r w:rsidR="00C7424E">
              <w:rPr>
                <w:rFonts w:ascii="Calibri" w:hAnsi="Calibri" w:cs="Calibri"/>
                <w:color w:val="000000" w:themeColor="text1"/>
                <w:sz w:val="20"/>
                <w:szCs w:val="20"/>
              </w:rPr>
              <w:t>2024/2881</w:t>
            </w:r>
            <w:r w:rsidRPr="001C58C6">
              <w:rPr>
                <w:rFonts w:ascii="Calibri" w:hAnsi="Calibri" w:cs="Calibri"/>
                <w:color w:val="000000" w:themeColor="text1"/>
                <w:sz w:val="20"/>
                <w:szCs w:val="20"/>
              </w:rPr>
              <w:t xml:space="preserve"> i preporuke za unapređenje mreže za praćenje kvaliteta vazduha u skladu sa izvršenim preispitivanjem; </w:t>
            </w:r>
          </w:p>
        </w:tc>
        <w:tc>
          <w:tcPr>
            <w:tcW w:w="2110" w:type="dxa"/>
            <w:vAlign w:val="center"/>
          </w:tcPr>
          <w:p w14:paraId="47B413DD"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Cilj 2: Dalje unapređenje praćenja i upravljanja kvalitetom vazduha</w:t>
            </w:r>
          </w:p>
          <w:p w14:paraId="626ADD06"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2.A – poboljšanje kvaliteta podataka o kvalitetu vazduha i emisijama zagađujućih materija u vazduh; </w:t>
            </w:r>
          </w:p>
        </w:tc>
        <w:tc>
          <w:tcPr>
            <w:tcW w:w="2135" w:type="dxa"/>
            <w:vAlign w:val="center"/>
          </w:tcPr>
          <w:p w14:paraId="38AE23EB"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rPr>
            </w:pPr>
            <w:r w:rsidRPr="001C58C6">
              <w:rPr>
                <w:rFonts w:ascii="Calibri" w:hAnsi="Calibri" w:cs="Calibri"/>
                <w:b/>
                <w:bCs/>
                <w:color w:val="000000" w:themeColor="text1"/>
                <w:sz w:val="20"/>
                <w:szCs w:val="20"/>
              </w:rPr>
              <w:t>Ministarstvo ekologije, održivog razvoja i razvoja sjevera, Agencija za zaštitu životne sredine</w:t>
            </w:r>
          </w:p>
        </w:tc>
        <w:tc>
          <w:tcPr>
            <w:tcW w:w="1747" w:type="dxa"/>
            <w:vAlign w:val="center"/>
          </w:tcPr>
          <w:p w14:paraId="0BA4C810" w14:textId="77777777" w:rsidR="00E630B7" w:rsidRPr="001C58C6" w:rsidRDefault="00E63EF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50,000-100,000 €</w:t>
            </w:r>
          </w:p>
        </w:tc>
        <w:tc>
          <w:tcPr>
            <w:tcW w:w="1783" w:type="dxa"/>
            <w:vAlign w:val="center"/>
          </w:tcPr>
          <w:p w14:paraId="4B9BD18C"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2026. – 2028. </w:t>
            </w:r>
          </w:p>
          <w:p w14:paraId="33C2C97E"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
        </w:tc>
        <w:tc>
          <w:tcPr>
            <w:tcW w:w="1874" w:type="dxa"/>
            <w:vAlign w:val="center"/>
          </w:tcPr>
          <w:p w14:paraId="52B8B440"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Izvještaj o izvršenom ispitivanju sa preporukama o unapređenju mreže</w:t>
            </w:r>
          </w:p>
        </w:tc>
      </w:tr>
      <w:tr w:rsidR="001C58C6" w:rsidRPr="001C58C6" w14:paraId="7D5EF437" w14:textId="77777777" w:rsidTr="00E630B7">
        <w:tc>
          <w:tcPr>
            <w:cnfStyle w:val="001000000000" w:firstRow="0" w:lastRow="0" w:firstColumn="1" w:lastColumn="0" w:oddVBand="0" w:evenVBand="0" w:oddHBand="0" w:evenHBand="0" w:firstRowFirstColumn="0" w:firstRowLastColumn="0" w:lastRowFirstColumn="0" w:lastRowLastColumn="0"/>
            <w:tcW w:w="883" w:type="dxa"/>
            <w:vAlign w:val="center"/>
          </w:tcPr>
          <w:p w14:paraId="61D8712F" w14:textId="77777777" w:rsidR="00E630B7" w:rsidRPr="001C58C6" w:rsidRDefault="00E630B7" w:rsidP="00E53052">
            <w:pPr>
              <w:pStyle w:val="ListParagraph"/>
              <w:numPr>
                <w:ilvl w:val="0"/>
                <w:numId w:val="50"/>
              </w:numPr>
              <w:jc w:val="left"/>
              <w:rPr>
                <w:rFonts w:ascii="Calibri" w:hAnsi="Calibri" w:cs="Calibri"/>
                <w:color w:val="000000" w:themeColor="text1"/>
                <w:sz w:val="20"/>
                <w:szCs w:val="20"/>
              </w:rPr>
            </w:pPr>
          </w:p>
        </w:tc>
        <w:tc>
          <w:tcPr>
            <w:tcW w:w="2345" w:type="dxa"/>
            <w:vAlign w:val="center"/>
          </w:tcPr>
          <w:p w14:paraId="477AF536" w14:textId="5C74CD5B" w:rsidR="00E630B7" w:rsidRPr="001C58C6" w:rsidRDefault="00E630B7" w:rsidP="00A0374C">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Unapređenje izvještavanja o emisijama zagađujućih materija u vazduh u skladu sa zahtjevima Direktive (EU) 2016/2284 uključujući izvještavanje o </w:t>
            </w:r>
            <w:r w:rsidR="00C7424E">
              <w:rPr>
                <w:rFonts w:ascii="Calibri" w:hAnsi="Calibri" w:cs="Calibri"/>
                <w:color w:val="000000" w:themeColor="text1"/>
                <w:sz w:val="20"/>
                <w:szCs w:val="20"/>
              </w:rPr>
              <w:t>projekcijama</w:t>
            </w:r>
            <w:r w:rsidRPr="001C58C6">
              <w:rPr>
                <w:rFonts w:ascii="Calibri" w:hAnsi="Calibri" w:cs="Calibri"/>
                <w:color w:val="000000" w:themeColor="text1"/>
                <w:sz w:val="20"/>
                <w:szCs w:val="20"/>
              </w:rPr>
              <w:t xml:space="preserve"> i disagregiranim </w:t>
            </w:r>
            <w:r w:rsidR="00E63EF7" w:rsidRPr="001C58C6">
              <w:rPr>
                <w:rFonts w:ascii="Calibri" w:hAnsi="Calibri" w:cs="Calibri"/>
                <w:color w:val="000000" w:themeColor="text1"/>
                <w:sz w:val="20"/>
                <w:szCs w:val="20"/>
              </w:rPr>
              <w:t>i</w:t>
            </w:r>
            <w:r w:rsidRPr="001C58C6">
              <w:rPr>
                <w:rFonts w:ascii="Calibri" w:hAnsi="Calibri" w:cs="Calibri"/>
                <w:color w:val="000000" w:themeColor="text1"/>
                <w:sz w:val="20"/>
                <w:szCs w:val="20"/>
              </w:rPr>
              <w:t>nventarima emisija;</w:t>
            </w:r>
          </w:p>
        </w:tc>
        <w:tc>
          <w:tcPr>
            <w:tcW w:w="2110" w:type="dxa"/>
            <w:vAlign w:val="center"/>
          </w:tcPr>
          <w:p w14:paraId="531DE9FD"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Cilj 2: Dalje unapređenje praćenja i upravljanja kvalitetom vazduha</w:t>
            </w:r>
          </w:p>
          <w:p w14:paraId="3DA672CA"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2.A – poboljšanje kvaliteta podataka o kvalitetu vazduha i emisijama zagađujućih materija u vazduh; </w:t>
            </w:r>
          </w:p>
        </w:tc>
        <w:tc>
          <w:tcPr>
            <w:tcW w:w="2135" w:type="dxa"/>
            <w:vAlign w:val="center"/>
          </w:tcPr>
          <w:p w14:paraId="358E8E18"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rPr>
            </w:pPr>
            <w:r w:rsidRPr="001C58C6">
              <w:rPr>
                <w:rFonts w:ascii="Calibri" w:hAnsi="Calibri" w:cs="Calibri"/>
                <w:b/>
                <w:bCs/>
                <w:color w:val="000000" w:themeColor="text1"/>
                <w:sz w:val="20"/>
                <w:szCs w:val="20"/>
              </w:rPr>
              <w:t>Agencija za zaštitu životne sredine</w:t>
            </w:r>
          </w:p>
        </w:tc>
        <w:tc>
          <w:tcPr>
            <w:tcW w:w="1747" w:type="dxa"/>
            <w:vAlign w:val="center"/>
          </w:tcPr>
          <w:p w14:paraId="38EDF8F9"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IPA projekat</w:t>
            </w:r>
          </w:p>
        </w:tc>
        <w:tc>
          <w:tcPr>
            <w:tcW w:w="1783" w:type="dxa"/>
            <w:vAlign w:val="center"/>
          </w:tcPr>
          <w:p w14:paraId="1C754286"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2026. – 2028. </w:t>
            </w:r>
          </w:p>
        </w:tc>
        <w:tc>
          <w:tcPr>
            <w:tcW w:w="1874" w:type="dxa"/>
            <w:vAlign w:val="center"/>
          </w:tcPr>
          <w:p w14:paraId="5985CEE4"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Inventari emisija dostavljeni kroz CLRTAP/EIONET</w:t>
            </w:r>
          </w:p>
        </w:tc>
      </w:tr>
      <w:tr w:rsidR="001C58C6" w:rsidRPr="001C58C6" w14:paraId="2D1E88EE" w14:textId="77777777" w:rsidTr="00E630B7">
        <w:tc>
          <w:tcPr>
            <w:cnfStyle w:val="001000000000" w:firstRow="0" w:lastRow="0" w:firstColumn="1" w:lastColumn="0" w:oddVBand="0" w:evenVBand="0" w:oddHBand="0" w:evenHBand="0" w:firstRowFirstColumn="0" w:firstRowLastColumn="0" w:lastRowFirstColumn="0" w:lastRowLastColumn="0"/>
            <w:tcW w:w="12877" w:type="dxa"/>
            <w:gridSpan w:val="7"/>
            <w:vAlign w:val="center"/>
          </w:tcPr>
          <w:p w14:paraId="3ECBD7B1" w14:textId="77777777" w:rsidR="00E630B7" w:rsidRPr="001C58C6" w:rsidRDefault="00E630B7" w:rsidP="00743A33">
            <w:pPr>
              <w:contextualSpacing/>
              <w:jc w:val="left"/>
              <w:rPr>
                <w:rFonts w:ascii="Calibri" w:hAnsi="Calibri" w:cs="Calibri"/>
                <w:color w:val="000000" w:themeColor="text1"/>
                <w:sz w:val="20"/>
                <w:szCs w:val="20"/>
              </w:rPr>
            </w:pPr>
            <w:r w:rsidRPr="001C58C6">
              <w:rPr>
                <w:rFonts w:ascii="Calibri" w:hAnsi="Calibri" w:cs="Calibri"/>
                <w:color w:val="000000" w:themeColor="text1"/>
                <w:sz w:val="20"/>
                <w:szCs w:val="20"/>
              </w:rPr>
              <w:t>Mjere prvog akcionog plana koje započinju u periodu 2027, uz obavezu provjere i ažuriranja kroz drugi akcioni plan</w:t>
            </w:r>
          </w:p>
        </w:tc>
      </w:tr>
      <w:tr w:rsidR="001C58C6" w:rsidRPr="001C58C6" w14:paraId="534EF1BB" w14:textId="77777777" w:rsidTr="00E630B7">
        <w:tc>
          <w:tcPr>
            <w:cnfStyle w:val="001000000000" w:firstRow="0" w:lastRow="0" w:firstColumn="1" w:lastColumn="0" w:oddVBand="0" w:evenVBand="0" w:oddHBand="0" w:evenHBand="0" w:firstRowFirstColumn="0" w:firstRowLastColumn="0" w:lastRowFirstColumn="0" w:lastRowLastColumn="0"/>
            <w:tcW w:w="883" w:type="dxa"/>
            <w:vAlign w:val="center"/>
          </w:tcPr>
          <w:p w14:paraId="0777CDF5" w14:textId="77777777" w:rsidR="00E630B7" w:rsidRPr="001C58C6" w:rsidRDefault="00E630B7" w:rsidP="00E53052">
            <w:pPr>
              <w:pStyle w:val="ListParagraph"/>
              <w:numPr>
                <w:ilvl w:val="0"/>
                <w:numId w:val="50"/>
              </w:numPr>
              <w:jc w:val="left"/>
              <w:rPr>
                <w:rFonts w:ascii="Calibri" w:hAnsi="Calibri" w:cs="Calibri"/>
                <w:color w:val="000000" w:themeColor="text1"/>
                <w:sz w:val="20"/>
                <w:szCs w:val="20"/>
              </w:rPr>
            </w:pPr>
          </w:p>
        </w:tc>
        <w:tc>
          <w:tcPr>
            <w:tcW w:w="2345" w:type="dxa"/>
            <w:vAlign w:val="center"/>
          </w:tcPr>
          <w:p w14:paraId="1A24EC06" w14:textId="77777777" w:rsidR="00E630B7" w:rsidRPr="001C58C6" w:rsidRDefault="00E630B7" w:rsidP="00743A33">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Uvođenje prakse modeliranja kvaliteta vazduha kroz dodjelu zakonskih nadležnosti i izgradnju kapaciteta (SHMZ);</w:t>
            </w:r>
          </w:p>
        </w:tc>
        <w:tc>
          <w:tcPr>
            <w:tcW w:w="2110" w:type="dxa"/>
            <w:vAlign w:val="center"/>
          </w:tcPr>
          <w:p w14:paraId="157F689D"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Cilj 2: Dalje unapređenje praćenja i upravljanja kvalitetom vazduha</w:t>
            </w:r>
          </w:p>
          <w:p w14:paraId="53DD1EFC"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2.A – poboljšanje kvaliteta podataka o kvalitetu vazduha i emisijama zagađujućih materija u vazduh; </w:t>
            </w:r>
          </w:p>
        </w:tc>
        <w:tc>
          <w:tcPr>
            <w:tcW w:w="2135" w:type="dxa"/>
            <w:vAlign w:val="center"/>
          </w:tcPr>
          <w:p w14:paraId="64FA7C1E"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rPr>
            </w:pPr>
            <w:r w:rsidRPr="001C58C6">
              <w:rPr>
                <w:rFonts w:ascii="Calibri" w:hAnsi="Calibri" w:cs="Calibri"/>
                <w:b/>
                <w:bCs/>
                <w:color w:val="000000" w:themeColor="text1"/>
                <w:sz w:val="20"/>
                <w:szCs w:val="20"/>
              </w:rPr>
              <w:t>Zavod za hidrometeorologiju i seizmologiju (ZHMS)</w:t>
            </w:r>
          </w:p>
        </w:tc>
        <w:tc>
          <w:tcPr>
            <w:tcW w:w="1747" w:type="dxa"/>
            <w:vAlign w:val="center"/>
          </w:tcPr>
          <w:p w14:paraId="78786B2E"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IPA projekat </w:t>
            </w:r>
          </w:p>
        </w:tc>
        <w:tc>
          <w:tcPr>
            <w:tcW w:w="1783" w:type="dxa"/>
            <w:vAlign w:val="center"/>
          </w:tcPr>
          <w:p w14:paraId="3EB4AD36"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2027. – 2028. </w:t>
            </w:r>
          </w:p>
        </w:tc>
        <w:tc>
          <w:tcPr>
            <w:tcW w:w="1874" w:type="dxa"/>
            <w:vAlign w:val="center"/>
          </w:tcPr>
          <w:p w14:paraId="3465C0DE"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Objava Zakona o zaštiti vazduha u Sl. Listu Crne Gore </w:t>
            </w:r>
          </w:p>
          <w:p w14:paraId="3EA4CCBB"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Broj obučenih izvršilaca</w:t>
            </w:r>
          </w:p>
        </w:tc>
      </w:tr>
      <w:tr w:rsidR="001C58C6" w:rsidRPr="001C58C6" w14:paraId="2668368B" w14:textId="77777777" w:rsidTr="00E630B7">
        <w:tc>
          <w:tcPr>
            <w:cnfStyle w:val="001000000000" w:firstRow="0" w:lastRow="0" w:firstColumn="1" w:lastColumn="0" w:oddVBand="0" w:evenVBand="0" w:oddHBand="0" w:evenHBand="0" w:firstRowFirstColumn="0" w:firstRowLastColumn="0" w:lastRowFirstColumn="0" w:lastRowLastColumn="0"/>
            <w:tcW w:w="883" w:type="dxa"/>
            <w:vAlign w:val="center"/>
          </w:tcPr>
          <w:p w14:paraId="169C7DEF" w14:textId="77777777" w:rsidR="00E630B7" w:rsidRPr="001C58C6" w:rsidRDefault="00E630B7" w:rsidP="00E53052">
            <w:pPr>
              <w:pStyle w:val="ListParagraph"/>
              <w:numPr>
                <w:ilvl w:val="0"/>
                <w:numId w:val="50"/>
              </w:numPr>
              <w:jc w:val="left"/>
              <w:rPr>
                <w:rFonts w:ascii="Calibri" w:hAnsi="Calibri" w:cs="Calibri"/>
                <w:color w:val="000000" w:themeColor="text1"/>
                <w:sz w:val="20"/>
                <w:szCs w:val="20"/>
              </w:rPr>
            </w:pPr>
          </w:p>
        </w:tc>
        <w:tc>
          <w:tcPr>
            <w:tcW w:w="2345" w:type="dxa"/>
            <w:vAlign w:val="center"/>
          </w:tcPr>
          <w:p w14:paraId="0C97FBFD" w14:textId="77777777" w:rsidR="00E630B7" w:rsidRPr="001C58C6" w:rsidRDefault="00E630B7" w:rsidP="00743A33">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Uspostavljanje praćenja uticaja zagađenja vazduha na ekosisteme u skladu sa zahtjevima Direktive (EU) 2016/2284. </w:t>
            </w:r>
          </w:p>
        </w:tc>
        <w:tc>
          <w:tcPr>
            <w:tcW w:w="2110" w:type="dxa"/>
            <w:vAlign w:val="center"/>
          </w:tcPr>
          <w:p w14:paraId="3DAADB4C"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Cilj 2: Dalje unapređenje praćenja i upravljanja kvalitetom vazduha</w:t>
            </w:r>
          </w:p>
          <w:p w14:paraId="09CB7F36" w14:textId="77777777" w:rsidR="00E630B7"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2.A – poboljšanje kvaliteta podataka o kvalitetu vazduha i emisijama zagađujućih materija u vazduh; </w:t>
            </w:r>
          </w:p>
          <w:p w14:paraId="5EABC9E6" w14:textId="0083CBBB" w:rsidR="00664861" w:rsidRPr="001C58C6" w:rsidRDefault="00664861"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664861">
              <w:rPr>
                <w:rFonts w:ascii="Calibri" w:hAnsi="Calibri" w:cs="Calibri"/>
                <w:color w:val="000000" w:themeColor="text1"/>
                <w:sz w:val="20"/>
                <w:szCs w:val="20"/>
              </w:rPr>
              <w:t>2.C – dalje usklađivanje sa strožim standardima kvaliteta vazduha.</w:t>
            </w:r>
          </w:p>
        </w:tc>
        <w:tc>
          <w:tcPr>
            <w:tcW w:w="2135" w:type="dxa"/>
            <w:vAlign w:val="center"/>
          </w:tcPr>
          <w:p w14:paraId="7F6D6DD8"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rPr>
            </w:pPr>
            <w:r w:rsidRPr="001C58C6">
              <w:rPr>
                <w:rFonts w:ascii="Calibri" w:hAnsi="Calibri" w:cs="Calibri"/>
                <w:b/>
                <w:bCs/>
                <w:color w:val="000000" w:themeColor="text1"/>
                <w:sz w:val="20"/>
                <w:szCs w:val="20"/>
              </w:rPr>
              <w:t>Agencija za zaštitu životne sredine</w:t>
            </w:r>
          </w:p>
        </w:tc>
        <w:tc>
          <w:tcPr>
            <w:tcW w:w="1747" w:type="dxa"/>
            <w:vAlign w:val="center"/>
          </w:tcPr>
          <w:p w14:paraId="241BE9E3"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nije procjenjeno</w:t>
            </w:r>
          </w:p>
        </w:tc>
        <w:tc>
          <w:tcPr>
            <w:tcW w:w="1783" w:type="dxa"/>
            <w:vAlign w:val="center"/>
          </w:tcPr>
          <w:p w14:paraId="5DE86B07"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2027. – 2028. </w:t>
            </w:r>
          </w:p>
        </w:tc>
        <w:tc>
          <w:tcPr>
            <w:tcW w:w="1874" w:type="dxa"/>
            <w:vAlign w:val="center"/>
          </w:tcPr>
          <w:p w14:paraId="385EC2E9"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Izvještaji o uticaju zagađenja vazduha na ekosisteme</w:t>
            </w:r>
          </w:p>
        </w:tc>
      </w:tr>
      <w:tr w:rsidR="001C58C6" w:rsidRPr="001C58C6" w14:paraId="2A138412" w14:textId="77777777" w:rsidTr="00E630B7">
        <w:tc>
          <w:tcPr>
            <w:cnfStyle w:val="001000000000" w:firstRow="0" w:lastRow="0" w:firstColumn="1" w:lastColumn="0" w:oddVBand="0" w:evenVBand="0" w:oddHBand="0" w:evenHBand="0" w:firstRowFirstColumn="0" w:firstRowLastColumn="0" w:lastRowFirstColumn="0" w:lastRowLastColumn="0"/>
            <w:tcW w:w="883" w:type="dxa"/>
            <w:vAlign w:val="center"/>
          </w:tcPr>
          <w:p w14:paraId="07013A6E" w14:textId="77777777" w:rsidR="00E630B7" w:rsidRPr="001C58C6" w:rsidRDefault="00E630B7" w:rsidP="00E53052">
            <w:pPr>
              <w:pStyle w:val="ListParagraph"/>
              <w:numPr>
                <w:ilvl w:val="0"/>
                <w:numId w:val="50"/>
              </w:numPr>
              <w:jc w:val="left"/>
              <w:rPr>
                <w:rFonts w:ascii="Calibri" w:hAnsi="Calibri" w:cs="Calibri"/>
                <w:color w:val="000000" w:themeColor="text1"/>
                <w:sz w:val="20"/>
                <w:szCs w:val="20"/>
              </w:rPr>
            </w:pPr>
          </w:p>
        </w:tc>
        <w:tc>
          <w:tcPr>
            <w:tcW w:w="2345" w:type="dxa"/>
            <w:vAlign w:val="center"/>
          </w:tcPr>
          <w:p w14:paraId="552B4FD2" w14:textId="77777777" w:rsidR="00E630B7" w:rsidRPr="001C58C6" w:rsidRDefault="00E630B7" w:rsidP="00743A33">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Korišćenje derogativnih mehanizama i priprema mape puta za postizanje strožih standarda kvaliteta vazduha</w:t>
            </w:r>
          </w:p>
        </w:tc>
        <w:tc>
          <w:tcPr>
            <w:tcW w:w="2110" w:type="dxa"/>
            <w:vAlign w:val="center"/>
          </w:tcPr>
          <w:p w14:paraId="79A21E87"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Cilj 2: Dalje unapređenje praćenja i upravljanja kvalitetom vazduha</w:t>
            </w:r>
          </w:p>
          <w:p w14:paraId="5B7A08D1"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2.C – dalje usklađivanje sa strožim standardima kvaliteta vazduha.</w:t>
            </w:r>
          </w:p>
        </w:tc>
        <w:tc>
          <w:tcPr>
            <w:tcW w:w="2135" w:type="dxa"/>
            <w:vAlign w:val="center"/>
          </w:tcPr>
          <w:p w14:paraId="73B129CA"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rPr>
            </w:pPr>
            <w:r w:rsidRPr="001C58C6">
              <w:rPr>
                <w:rFonts w:ascii="Calibri" w:hAnsi="Calibri" w:cs="Calibri"/>
                <w:b/>
                <w:bCs/>
                <w:color w:val="000000" w:themeColor="text1"/>
                <w:sz w:val="20"/>
                <w:szCs w:val="20"/>
              </w:rPr>
              <w:t>Ministarstvo ekologije, održivog razvoja i razvoja sjevera</w:t>
            </w:r>
          </w:p>
        </w:tc>
        <w:tc>
          <w:tcPr>
            <w:tcW w:w="1747" w:type="dxa"/>
            <w:vAlign w:val="center"/>
          </w:tcPr>
          <w:p w14:paraId="6E9D31DA"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50,000 €</w:t>
            </w:r>
          </w:p>
        </w:tc>
        <w:tc>
          <w:tcPr>
            <w:tcW w:w="1783" w:type="dxa"/>
            <w:vAlign w:val="center"/>
          </w:tcPr>
          <w:p w14:paraId="1F8E619F"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2027. – 2028. </w:t>
            </w:r>
          </w:p>
        </w:tc>
        <w:tc>
          <w:tcPr>
            <w:tcW w:w="1874" w:type="dxa"/>
            <w:vAlign w:val="center"/>
          </w:tcPr>
          <w:p w14:paraId="3443DA1E"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Izrađena mapa puta </w:t>
            </w:r>
          </w:p>
        </w:tc>
      </w:tr>
      <w:tr w:rsidR="001C58C6" w:rsidRPr="001C58C6" w14:paraId="060C3398" w14:textId="77777777" w:rsidTr="00E630B7">
        <w:tc>
          <w:tcPr>
            <w:cnfStyle w:val="001000000000" w:firstRow="0" w:lastRow="0" w:firstColumn="1" w:lastColumn="0" w:oddVBand="0" w:evenVBand="0" w:oddHBand="0" w:evenHBand="0" w:firstRowFirstColumn="0" w:firstRowLastColumn="0" w:lastRowFirstColumn="0" w:lastRowLastColumn="0"/>
            <w:tcW w:w="883" w:type="dxa"/>
            <w:vAlign w:val="center"/>
          </w:tcPr>
          <w:p w14:paraId="49BE71D7" w14:textId="77777777" w:rsidR="00E630B7" w:rsidRPr="001C58C6" w:rsidRDefault="00E630B7" w:rsidP="00E53052">
            <w:pPr>
              <w:pStyle w:val="ListParagraph"/>
              <w:numPr>
                <w:ilvl w:val="0"/>
                <w:numId w:val="50"/>
              </w:numPr>
              <w:jc w:val="left"/>
              <w:rPr>
                <w:rFonts w:ascii="Calibri" w:hAnsi="Calibri" w:cs="Calibri"/>
                <w:color w:val="000000" w:themeColor="text1"/>
                <w:sz w:val="20"/>
                <w:szCs w:val="20"/>
              </w:rPr>
            </w:pPr>
          </w:p>
        </w:tc>
        <w:tc>
          <w:tcPr>
            <w:tcW w:w="2345" w:type="dxa"/>
            <w:vAlign w:val="center"/>
          </w:tcPr>
          <w:p w14:paraId="2A223400" w14:textId="07F6FFCB" w:rsidR="00E630B7" w:rsidRPr="001C58C6" w:rsidRDefault="00E630B7" w:rsidP="00743A33">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Sprovođenje specifičnog plana za implementaciju Direktive (EU) </w:t>
            </w:r>
            <w:r w:rsidR="00C7424E">
              <w:rPr>
                <w:rFonts w:ascii="Calibri" w:hAnsi="Calibri" w:cs="Calibri"/>
                <w:color w:val="000000" w:themeColor="text1"/>
                <w:sz w:val="20"/>
                <w:szCs w:val="20"/>
              </w:rPr>
              <w:t>2024/2881</w:t>
            </w:r>
          </w:p>
        </w:tc>
        <w:tc>
          <w:tcPr>
            <w:tcW w:w="2110" w:type="dxa"/>
            <w:vAlign w:val="center"/>
          </w:tcPr>
          <w:p w14:paraId="7D31B73E"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Cilj 2: Dalje unapređenje praćenja i upravljanja kvalitetom vazduha</w:t>
            </w:r>
          </w:p>
          <w:p w14:paraId="774FBE28"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2.C – dalje usklađivanje sa strožim standardima kvaliteta vazduha.</w:t>
            </w:r>
          </w:p>
        </w:tc>
        <w:tc>
          <w:tcPr>
            <w:tcW w:w="2135" w:type="dxa"/>
            <w:vAlign w:val="center"/>
          </w:tcPr>
          <w:p w14:paraId="493EEF74"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rPr>
            </w:pPr>
            <w:r w:rsidRPr="001C58C6">
              <w:rPr>
                <w:rFonts w:ascii="Calibri" w:hAnsi="Calibri" w:cs="Calibri"/>
                <w:b/>
                <w:bCs/>
                <w:color w:val="000000" w:themeColor="text1"/>
                <w:sz w:val="20"/>
                <w:szCs w:val="20"/>
              </w:rPr>
              <w:t>Ministarstvo ekologije, održivog razvoja i razvoja sjevera, Agencija za zaštitu životne sredine, ZHMS</w:t>
            </w:r>
          </w:p>
        </w:tc>
        <w:tc>
          <w:tcPr>
            <w:tcW w:w="1747" w:type="dxa"/>
            <w:vAlign w:val="center"/>
          </w:tcPr>
          <w:p w14:paraId="0E7516C7"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U skladu sa izrađenim planom</w:t>
            </w:r>
          </w:p>
        </w:tc>
        <w:tc>
          <w:tcPr>
            <w:tcW w:w="1783" w:type="dxa"/>
            <w:vAlign w:val="center"/>
          </w:tcPr>
          <w:p w14:paraId="3CF77768"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2027. – 2028. </w:t>
            </w:r>
          </w:p>
        </w:tc>
        <w:tc>
          <w:tcPr>
            <w:tcW w:w="1874" w:type="dxa"/>
            <w:vAlign w:val="center"/>
          </w:tcPr>
          <w:p w14:paraId="7CACA393"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Izvještaj o sprovođenju plana</w:t>
            </w:r>
          </w:p>
        </w:tc>
      </w:tr>
      <w:tr w:rsidR="001C58C6" w:rsidRPr="001C58C6" w14:paraId="7A873F43" w14:textId="77777777" w:rsidTr="00E630B7">
        <w:tc>
          <w:tcPr>
            <w:cnfStyle w:val="001000000000" w:firstRow="0" w:lastRow="0" w:firstColumn="1" w:lastColumn="0" w:oddVBand="0" w:evenVBand="0" w:oddHBand="0" w:evenHBand="0" w:firstRowFirstColumn="0" w:firstRowLastColumn="0" w:lastRowFirstColumn="0" w:lastRowLastColumn="0"/>
            <w:tcW w:w="883" w:type="dxa"/>
            <w:vAlign w:val="center"/>
          </w:tcPr>
          <w:p w14:paraId="1D2404FE" w14:textId="77777777" w:rsidR="00E630B7" w:rsidRPr="001C58C6" w:rsidRDefault="00E630B7" w:rsidP="00E53052">
            <w:pPr>
              <w:pStyle w:val="ListParagraph"/>
              <w:numPr>
                <w:ilvl w:val="0"/>
                <w:numId w:val="50"/>
              </w:numPr>
              <w:jc w:val="left"/>
              <w:rPr>
                <w:rFonts w:ascii="Calibri" w:hAnsi="Calibri" w:cs="Calibri"/>
                <w:color w:val="000000" w:themeColor="text1"/>
                <w:sz w:val="20"/>
                <w:szCs w:val="20"/>
              </w:rPr>
            </w:pPr>
          </w:p>
        </w:tc>
        <w:tc>
          <w:tcPr>
            <w:tcW w:w="2345" w:type="dxa"/>
            <w:vAlign w:val="center"/>
          </w:tcPr>
          <w:p w14:paraId="09E055A6" w14:textId="29BFB928" w:rsidR="00E630B7" w:rsidRPr="001C58C6" w:rsidRDefault="00E630B7" w:rsidP="00743A33">
            <w:pPr>
              <w:spacing w:before="100" w:beforeAutospacing="1"/>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Korišćenje mehanizma odlaganja primjene strožih standarda u skladu sa članom 18 Direktive (EU) </w:t>
            </w:r>
            <w:r w:rsidR="00C7424E">
              <w:rPr>
                <w:rFonts w:ascii="Calibri" w:hAnsi="Calibri" w:cs="Calibri"/>
                <w:color w:val="000000" w:themeColor="text1"/>
                <w:sz w:val="20"/>
                <w:szCs w:val="20"/>
              </w:rPr>
              <w:t>2024/2881</w:t>
            </w:r>
            <w:r w:rsidRPr="001C58C6">
              <w:rPr>
                <w:rFonts w:ascii="Calibri" w:hAnsi="Calibri" w:cs="Calibri"/>
                <w:color w:val="000000" w:themeColor="text1"/>
                <w:sz w:val="20"/>
                <w:szCs w:val="20"/>
              </w:rPr>
              <w:t xml:space="preserve"> u slučajevima gdje je to potrebno i opravdano; </w:t>
            </w:r>
          </w:p>
          <w:p w14:paraId="7E427ED1" w14:textId="77777777" w:rsidR="00E630B7" w:rsidRPr="001C58C6" w:rsidRDefault="00E630B7" w:rsidP="00743A33">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
        </w:tc>
        <w:tc>
          <w:tcPr>
            <w:tcW w:w="2110" w:type="dxa"/>
            <w:vAlign w:val="center"/>
          </w:tcPr>
          <w:p w14:paraId="58081CFF"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Cilj 2: Dalje unapređenje praćenja i upravljanja kvalitetom vazduha</w:t>
            </w:r>
          </w:p>
          <w:p w14:paraId="4A4D5341"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2.C – dalje usklađivanje sa strožim standardima kvaliteta vazduha.</w:t>
            </w:r>
          </w:p>
        </w:tc>
        <w:tc>
          <w:tcPr>
            <w:tcW w:w="2135" w:type="dxa"/>
            <w:vAlign w:val="center"/>
          </w:tcPr>
          <w:p w14:paraId="137FBEAE"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rPr>
            </w:pPr>
            <w:r w:rsidRPr="001C58C6">
              <w:rPr>
                <w:rFonts w:ascii="Calibri" w:hAnsi="Calibri" w:cs="Calibri"/>
                <w:b/>
                <w:bCs/>
                <w:color w:val="000000" w:themeColor="text1"/>
                <w:sz w:val="20"/>
                <w:szCs w:val="20"/>
              </w:rPr>
              <w:t>Ministarstvo ekologije, održivog razvoja i razvoja sjevera</w:t>
            </w:r>
          </w:p>
          <w:p w14:paraId="26C2D96D"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rPr>
            </w:pPr>
          </w:p>
        </w:tc>
        <w:tc>
          <w:tcPr>
            <w:tcW w:w="1747" w:type="dxa"/>
            <w:vAlign w:val="center"/>
          </w:tcPr>
          <w:p w14:paraId="1C1BF7A0"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nije procjenjeno</w:t>
            </w:r>
          </w:p>
        </w:tc>
        <w:tc>
          <w:tcPr>
            <w:tcW w:w="1783" w:type="dxa"/>
            <w:vAlign w:val="center"/>
          </w:tcPr>
          <w:p w14:paraId="77F78479"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2027. – 2028. </w:t>
            </w:r>
          </w:p>
        </w:tc>
        <w:tc>
          <w:tcPr>
            <w:tcW w:w="1874" w:type="dxa"/>
            <w:vAlign w:val="center"/>
          </w:tcPr>
          <w:p w14:paraId="6DA1FD81" w14:textId="3B2F060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Pripremljena analiza u skladu sa članom 18 Direktive (EU) </w:t>
            </w:r>
            <w:r w:rsidR="00C7424E">
              <w:rPr>
                <w:rFonts w:ascii="Calibri" w:hAnsi="Calibri" w:cs="Calibri"/>
                <w:color w:val="000000" w:themeColor="text1"/>
                <w:sz w:val="20"/>
                <w:szCs w:val="20"/>
              </w:rPr>
              <w:t>2024/2881</w:t>
            </w:r>
          </w:p>
        </w:tc>
      </w:tr>
      <w:tr w:rsidR="001C58C6" w:rsidRPr="001C58C6" w14:paraId="6AEF536A" w14:textId="77777777" w:rsidTr="00E630B7">
        <w:tc>
          <w:tcPr>
            <w:cnfStyle w:val="001000000000" w:firstRow="0" w:lastRow="0" w:firstColumn="1" w:lastColumn="0" w:oddVBand="0" w:evenVBand="0" w:oddHBand="0" w:evenHBand="0" w:firstRowFirstColumn="0" w:firstRowLastColumn="0" w:lastRowFirstColumn="0" w:lastRowLastColumn="0"/>
            <w:tcW w:w="12877" w:type="dxa"/>
            <w:gridSpan w:val="7"/>
            <w:vAlign w:val="center"/>
          </w:tcPr>
          <w:p w14:paraId="3192E1DB" w14:textId="77777777" w:rsidR="00E630B7" w:rsidRPr="001C58C6" w:rsidRDefault="00E630B7" w:rsidP="00743A33">
            <w:pPr>
              <w:contextualSpacing/>
              <w:jc w:val="left"/>
              <w:rPr>
                <w:rFonts w:ascii="Calibri" w:hAnsi="Calibri" w:cs="Calibri"/>
                <w:color w:val="000000" w:themeColor="text1"/>
                <w:sz w:val="20"/>
                <w:szCs w:val="20"/>
              </w:rPr>
            </w:pPr>
            <w:r w:rsidRPr="001C58C6">
              <w:rPr>
                <w:rFonts w:ascii="Calibri" w:hAnsi="Calibri" w:cs="Calibri"/>
                <w:color w:val="000000" w:themeColor="text1"/>
                <w:sz w:val="20"/>
                <w:szCs w:val="20"/>
              </w:rPr>
              <w:t>Okvirne mjere za drugi akcioni plan za period 2028-2029. godina</w:t>
            </w:r>
          </w:p>
        </w:tc>
      </w:tr>
      <w:tr w:rsidR="001C58C6" w:rsidRPr="001C58C6" w14:paraId="7B1E0D8B" w14:textId="77777777" w:rsidTr="00E630B7">
        <w:tc>
          <w:tcPr>
            <w:cnfStyle w:val="001000000000" w:firstRow="0" w:lastRow="0" w:firstColumn="1" w:lastColumn="0" w:oddVBand="0" w:evenVBand="0" w:oddHBand="0" w:evenHBand="0" w:firstRowFirstColumn="0" w:firstRowLastColumn="0" w:lastRowFirstColumn="0" w:lastRowLastColumn="0"/>
            <w:tcW w:w="883" w:type="dxa"/>
            <w:vAlign w:val="center"/>
          </w:tcPr>
          <w:p w14:paraId="7A6006EF" w14:textId="77777777" w:rsidR="00E630B7" w:rsidRPr="001C58C6" w:rsidRDefault="00E630B7" w:rsidP="00E53052">
            <w:pPr>
              <w:pStyle w:val="ListParagraph"/>
              <w:numPr>
                <w:ilvl w:val="0"/>
                <w:numId w:val="50"/>
              </w:numPr>
              <w:jc w:val="left"/>
              <w:rPr>
                <w:rFonts w:ascii="Calibri" w:hAnsi="Calibri" w:cs="Calibri"/>
                <w:color w:val="000000" w:themeColor="text1"/>
                <w:sz w:val="20"/>
                <w:szCs w:val="20"/>
              </w:rPr>
            </w:pPr>
          </w:p>
        </w:tc>
        <w:tc>
          <w:tcPr>
            <w:tcW w:w="2345" w:type="dxa"/>
            <w:vAlign w:val="center"/>
          </w:tcPr>
          <w:p w14:paraId="50F701B9" w14:textId="77777777" w:rsidR="00E630B7" w:rsidRPr="001C58C6" w:rsidRDefault="00E630B7" w:rsidP="00743A33">
            <w:pPr>
              <w:spacing w:before="100" w:beforeAutospacing="1"/>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eastAsia="Aptos" w:hAnsi="Calibri" w:cs="Calibri"/>
                <w:color w:val="000000" w:themeColor="text1"/>
                <w:sz w:val="20"/>
                <w:szCs w:val="20"/>
              </w:rPr>
              <w:t>Paket obaveznih mjera za smanjenje emisija amonijaka</w:t>
            </w:r>
            <w:r w:rsidRPr="001C58C6">
              <w:rPr>
                <w:rStyle w:val="FootnoteReference"/>
                <w:rFonts w:ascii="Calibri" w:eastAsia="Aptos" w:hAnsi="Calibri" w:cs="Calibri"/>
                <w:color w:val="000000" w:themeColor="text1"/>
                <w:sz w:val="20"/>
                <w:szCs w:val="20"/>
              </w:rPr>
              <w:footnoteReference w:id="24"/>
            </w:r>
          </w:p>
        </w:tc>
        <w:tc>
          <w:tcPr>
            <w:tcW w:w="2110" w:type="dxa"/>
            <w:vAlign w:val="center"/>
          </w:tcPr>
          <w:p w14:paraId="2F09FCA3"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Cilj 1: Poboljšanje kvaliteta vazduha</w:t>
            </w:r>
          </w:p>
          <w:p w14:paraId="2D2DB84E"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lastRenderedPageBreak/>
              <w:t>1.C - smanjenje emisija zagađujućih materija (NOx, SO2, VOC, NH3 i PM2.5).</w:t>
            </w:r>
          </w:p>
        </w:tc>
        <w:tc>
          <w:tcPr>
            <w:tcW w:w="2135" w:type="dxa"/>
            <w:vAlign w:val="center"/>
          </w:tcPr>
          <w:p w14:paraId="4E045FED"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rPr>
            </w:pPr>
            <w:r w:rsidRPr="001C58C6">
              <w:rPr>
                <w:rFonts w:ascii="Calibri" w:hAnsi="Calibri" w:cs="Calibri"/>
                <w:color w:val="000000" w:themeColor="text1"/>
                <w:sz w:val="20"/>
                <w:szCs w:val="20"/>
              </w:rPr>
              <w:lastRenderedPageBreak/>
              <w:t>Ministarstvo poljoprivrede, šumarstva i vodoprivrede</w:t>
            </w:r>
          </w:p>
          <w:p w14:paraId="18E0EDE7"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rPr>
            </w:pPr>
            <w:r w:rsidRPr="001C58C6">
              <w:rPr>
                <w:rFonts w:ascii="Calibri" w:hAnsi="Calibri" w:cs="Calibri"/>
                <w:b/>
                <w:bCs/>
                <w:color w:val="000000" w:themeColor="text1"/>
                <w:sz w:val="20"/>
                <w:szCs w:val="20"/>
              </w:rPr>
              <w:lastRenderedPageBreak/>
              <w:t>Ministarstvo ekologije, održivog razvoja i razvoja sjevera</w:t>
            </w:r>
          </w:p>
        </w:tc>
        <w:tc>
          <w:tcPr>
            <w:tcW w:w="1747" w:type="dxa"/>
            <w:vAlign w:val="center"/>
          </w:tcPr>
          <w:p w14:paraId="0813727D"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lastRenderedPageBreak/>
              <w:t>IPARD gdje je primjenljivo</w:t>
            </w:r>
          </w:p>
        </w:tc>
        <w:tc>
          <w:tcPr>
            <w:tcW w:w="1783" w:type="dxa"/>
            <w:vAlign w:val="center"/>
          </w:tcPr>
          <w:p w14:paraId="6D1BE865"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2028. – 2029. </w:t>
            </w:r>
          </w:p>
        </w:tc>
        <w:tc>
          <w:tcPr>
            <w:tcW w:w="1874" w:type="dxa"/>
            <w:vAlign w:val="center"/>
          </w:tcPr>
          <w:p w14:paraId="62AF535D"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Izvještaj o sprovođenju mjera</w:t>
            </w:r>
          </w:p>
        </w:tc>
      </w:tr>
      <w:tr w:rsidR="001C58C6" w:rsidRPr="001C58C6" w14:paraId="350A5719" w14:textId="77777777" w:rsidTr="00E630B7">
        <w:tc>
          <w:tcPr>
            <w:cnfStyle w:val="001000000000" w:firstRow="0" w:lastRow="0" w:firstColumn="1" w:lastColumn="0" w:oddVBand="0" w:evenVBand="0" w:oddHBand="0" w:evenHBand="0" w:firstRowFirstColumn="0" w:firstRowLastColumn="0" w:lastRowFirstColumn="0" w:lastRowLastColumn="0"/>
            <w:tcW w:w="883" w:type="dxa"/>
            <w:vAlign w:val="center"/>
          </w:tcPr>
          <w:p w14:paraId="4AFA89E0" w14:textId="77777777" w:rsidR="00E630B7" w:rsidRPr="001C58C6" w:rsidRDefault="00E630B7" w:rsidP="00E53052">
            <w:pPr>
              <w:pStyle w:val="ListParagraph"/>
              <w:numPr>
                <w:ilvl w:val="0"/>
                <w:numId w:val="50"/>
              </w:numPr>
              <w:jc w:val="left"/>
              <w:rPr>
                <w:rFonts w:ascii="Calibri" w:hAnsi="Calibri" w:cs="Calibri"/>
                <w:color w:val="000000" w:themeColor="text1"/>
                <w:sz w:val="20"/>
                <w:szCs w:val="20"/>
              </w:rPr>
            </w:pPr>
          </w:p>
        </w:tc>
        <w:tc>
          <w:tcPr>
            <w:tcW w:w="2345" w:type="dxa"/>
            <w:vAlign w:val="center"/>
          </w:tcPr>
          <w:p w14:paraId="0888444C" w14:textId="77777777" w:rsidR="00E630B7" w:rsidRPr="001C58C6" w:rsidRDefault="00DF071E" w:rsidP="00743A33">
            <w:pPr>
              <w:spacing w:before="100" w:beforeAutospacing="1"/>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Sprovođenje rodno senzitivnih kampanja za podizanje svijesti javnosti</w:t>
            </w:r>
          </w:p>
        </w:tc>
        <w:tc>
          <w:tcPr>
            <w:tcW w:w="2110" w:type="dxa"/>
            <w:vAlign w:val="center"/>
          </w:tcPr>
          <w:p w14:paraId="6EB0DCFE" w14:textId="77777777" w:rsidR="00DF071E" w:rsidRPr="001C58C6" w:rsidRDefault="00DF071E" w:rsidP="00DF071E">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Cilj 2: Dalje unapređenje praćenja i upravljanja kvalitetom vazduha</w:t>
            </w:r>
          </w:p>
          <w:p w14:paraId="121ADDC2" w14:textId="0A4D87BD" w:rsidR="00E630B7" w:rsidRPr="001C58C6" w:rsidRDefault="00664861" w:rsidP="00DF071E">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 xml:space="preserve">2.B - </w:t>
            </w:r>
            <w:r w:rsidRPr="00664861">
              <w:rPr>
                <w:rFonts w:ascii="Calibri" w:hAnsi="Calibri" w:cs="Calibri"/>
                <w:color w:val="000000" w:themeColor="text1"/>
                <w:sz w:val="20"/>
                <w:szCs w:val="20"/>
              </w:rPr>
              <w:t>unapređenje saradnje između relevantnih institucija, jedinica lokalne samouprave, civilnog sektora i stručne javnosti</w:t>
            </w:r>
          </w:p>
        </w:tc>
        <w:tc>
          <w:tcPr>
            <w:tcW w:w="2135" w:type="dxa"/>
            <w:vAlign w:val="center"/>
          </w:tcPr>
          <w:p w14:paraId="2BBA1B18" w14:textId="77777777" w:rsidR="003B4C03" w:rsidRPr="001C58C6" w:rsidRDefault="003B4C03" w:rsidP="003B4C0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rPr>
            </w:pPr>
            <w:r w:rsidRPr="001C58C6">
              <w:rPr>
                <w:rFonts w:ascii="Calibri" w:hAnsi="Calibri" w:cs="Calibri"/>
                <w:b/>
                <w:bCs/>
                <w:color w:val="000000" w:themeColor="text1"/>
                <w:sz w:val="20"/>
                <w:szCs w:val="20"/>
              </w:rPr>
              <w:t>Agencija za zaštitu životne sredine</w:t>
            </w:r>
          </w:p>
          <w:p w14:paraId="1DAE235D" w14:textId="77777777" w:rsidR="003B4C03" w:rsidRPr="001C58C6" w:rsidRDefault="003B4C03" w:rsidP="003B4C0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rPr>
            </w:pPr>
            <w:r w:rsidRPr="001C58C6">
              <w:rPr>
                <w:rFonts w:ascii="Calibri" w:hAnsi="Calibri" w:cs="Calibri"/>
                <w:b/>
                <w:bCs/>
                <w:color w:val="000000" w:themeColor="text1"/>
                <w:sz w:val="20"/>
                <w:szCs w:val="20"/>
              </w:rPr>
              <w:t>Jedinice lokalne samouprave</w:t>
            </w:r>
          </w:p>
          <w:p w14:paraId="3C8F70BD" w14:textId="77777777" w:rsidR="00E630B7" w:rsidRPr="001C58C6" w:rsidRDefault="003B4C03" w:rsidP="003B4C0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rPr>
            </w:pPr>
            <w:r w:rsidRPr="001C58C6">
              <w:rPr>
                <w:rFonts w:ascii="Calibri" w:hAnsi="Calibri" w:cs="Calibri"/>
                <w:b/>
                <w:bCs/>
                <w:color w:val="000000" w:themeColor="text1"/>
                <w:sz w:val="20"/>
                <w:szCs w:val="20"/>
              </w:rPr>
              <w:t>Civilni sektor</w:t>
            </w:r>
          </w:p>
        </w:tc>
        <w:tc>
          <w:tcPr>
            <w:tcW w:w="1747" w:type="dxa"/>
            <w:vAlign w:val="center"/>
          </w:tcPr>
          <w:p w14:paraId="65E4E736" w14:textId="77777777" w:rsidR="00E630B7" w:rsidRPr="001C58C6" w:rsidRDefault="003B4C03"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30,000 € državni budžet + sredstva iz budžeta lokalnih uprava, sredstva donatora</w:t>
            </w:r>
          </w:p>
        </w:tc>
        <w:tc>
          <w:tcPr>
            <w:tcW w:w="1783" w:type="dxa"/>
            <w:vAlign w:val="center"/>
          </w:tcPr>
          <w:p w14:paraId="1986F9AE"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2028. – 2029. </w:t>
            </w:r>
          </w:p>
        </w:tc>
        <w:tc>
          <w:tcPr>
            <w:tcW w:w="1874" w:type="dxa"/>
            <w:vAlign w:val="center"/>
          </w:tcPr>
          <w:p w14:paraId="6A2553BD" w14:textId="77777777" w:rsidR="00E630B7" w:rsidRPr="001C58C6" w:rsidRDefault="003B4C03"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Broj građana/ki obuhvaćenih kampanjom, razvrstan po polu, starosti, zoni kvaliteta vazduha i ciljnoj grupi; broj kampanja usmjerenih na energetski siromašna domaćinstva i ranjive grupe</w:t>
            </w:r>
          </w:p>
        </w:tc>
      </w:tr>
      <w:tr w:rsidR="001C58C6" w:rsidRPr="001C58C6" w14:paraId="14497721" w14:textId="77777777" w:rsidTr="00E630B7">
        <w:tc>
          <w:tcPr>
            <w:cnfStyle w:val="001000000000" w:firstRow="0" w:lastRow="0" w:firstColumn="1" w:lastColumn="0" w:oddVBand="0" w:evenVBand="0" w:oddHBand="0" w:evenHBand="0" w:firstRowFirstColumn="0" w:firstRowLastColumn="0" w:lastRowFirstColumn="0" w:lastRowLastColumn="0"/>
            <w:tcW w:w="12877" w:type="dxa"/>
            <w:gridSpan w:val="7"/>
            <w:vAlign w:val="center"/>
          </w:tcPr>
          <w:p w14:paraId="68BC20F6" w14:textId="77777777" w:rsidR="00E630B7" w:rsidRPr="001C58C6" w:rsidRDefault="00E630B7" w:rsidP="00743A33">
            <w:pPr>
              <w:contextualSpacing/>
              <w:jc w:val="left"/>
              <w:rPr>
                <w:rFonts w:ascii="Calibri" w:hAnsi="Calibri" w:cs="Calibri"/>
                <w:color w:val="000000" w:themeColor="text1"/>
                <w:sz w:val="20"/>
                <w:szCs w:val="20"/>
              </w:rPr>
            </w:pPr>
            <w:r w:rsidRPr="001C58C6">
              <w:rPr>
                <w:rFonts w:ascii="Calibri" w:hAnsi="Calibri" w:cs="Calibri"/>
                <w:color w:val="000000" w:themeColor="text1"/>
                <w:sz w:val="20"/>
                <w:szCs w:val="20"/>
              </w:rPr>
              <w:t>Kontinuirane mjere: realizacija u 2026-2027. godini i obavezno ažuriranje kroz drugi akcioni plan 2028-2029</w:t>
            </w:r>
          </w:p>
        </w:tc>
      </w:tr>
      <w:tr w:rsidR="001C58C6" w:rsidRPr="001C58C6" w14:paraId="7B2F0910" w14:textId="77777777" w:rsidTr="00E630B7">
        <w:tc>
          <w:tcPr>
            <w:cnfStyle w:val="001000000000" w:firstRow="0" w:lastRow="0" w:firstColumn="1" w:lastColumn="0" w:oddVBand="0" w:evenVBand="0" w:oddHBand="0" w:evenHBand="0" w:firstRowFirstColumn="0" w:firstRowLastColumn="0" w:lastRowFirstColumn="0" w:lastRowLastColumn="0"/>
            <w:tcW w:w="883" w:type="dxa"/>
            <w:vAlign w:val="center"/>
          </w:tcPr>
          <w:p w14:paraId="616BE6D5" w14:textId="77777777" w:rsidR="00E630B7" w:rsidRPr="001C58C6" w:rsidRDefault="00E630B7" w:rsidP="00E53052">
            <w:pPr>
              <w:pStyle w:val="ListParagraph"/>
              <w:numPr>
                <w:ilvl w:val="0"/>
                <w:numId w:val="50"/>
              </w:numPr>
              <w:jc w:val="left"/>
              <w:rPr>
                <w:rFonts w:ascii="Calibri" w:hAnsi="Calibri" w:cs="Calibri"/>
                <w:color w:val="000000" w:themeColor="text1"/>
                <w:sz w:val="20"/>
                <w:szCs w:val="20"/>
              </w:rPr>
            </w:pPr>
          </w:p>
        </w:tc>
        <w:tc>
          <w:tcPr>
            <w:tcW w:w="2345" w:type="dxa"/>
            <w:vAlign w:val="center"/>
          </w:tcPr>
          <w:p w14:paraId="03835BEA" w14:textId="77777777" w:rsidR="00E630B7" w:rsidRPr="001C58C6" w:rsidRDefault="00E630B7" w:rsidP="00743A33">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Razvoj i implementacija regulatornog okvira energetske efikasnosti u zgradama</w:t>
            </w:r>
          </w:p>
        </w:tc>
        <w:tc>
          <w:tcPr>
            <w:tcW w:w="2110" w:type="dxa"/>
            <w:vAlign w:val="center"/>
          </w:tcPr>
          <w:p w14:paraId="6169CE03"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Cilj 1: Poboljšanje kvaliteta vazduha</w:t>
            </w:r>
          </w:p>
          <w:p w14:paraId="33113729"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1.A - smanjenje koncentracija suspendovanih čestica i sadržaja benzo(a)pirena u Sjevernoj zoni kvaliteta vazduha;</w:t>
            </w:r>
          </w:p>
          <w:p w14:paraId="6E682FC6" w14:textId="77777777" w:rsidR="00664861"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1.B - smanjenje sadržaja benzo(a)pirena u suspendovanim česticama u Centralnoj zoni kvaliteta vazduha;</w:t>
            </w:r>
          </w:p>
          <w:p w14:paraId="367DF337" w14:textId="02EB6650" w:rsidR="00664861" w:rsidRPr="001C58C6" w:rsidRDefault="00664861"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1.C - smanjenje emisija zagađujućih materija (NOx, SO2, VOC, NH3 i PM2.5).</w:t>
            </w:r>
          </w:p>
        </w:tc>
        <w:tc>
          <w:tcPr>
            <w:tcW w:w="2135" w:type="dxa"/>
            <w:vAlign w:val="center"/>
          </w:tcPr>
          <w:p w14:paraId="18E85E39"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b/>
                <w:bCs/>
                <w:color w:val="000000" w:themeColor="text1"/>
                <w:sz w:val="20"/>
                <w:szCs w:val="20"/>
              </w:rPr>
              <w:t>Ministarstvo energetike i rudarstva, lokalne samouprave</w:t>
            </w:r>
            <w:r w:rsidRPr="001C58C6">
              <w:rPr>
                <w:rFonts w:ascii="Calibri" w:hAnsi="Calibri" w:cs="Calibri"/>
                <w:color w:val="000000" w:themeColor="text1"/>
                <w:sz w:val="20"/>
                <w:szCs w:val="20"/>
              </w:rPr>
              <w:t xml:space="preserve">, građani, privatna preduzeća/vlasnici poslovnih objekata, investitori </w:t>
            </w:r>
          </w:p>
        </w:tc>
        <w:tc>
          <w:tcPr>
            <w:tcW w:w="1747" w:type="dxa"/>
            <w:vAlign w:val="center"/>
          </w:tcPr>
          <w:p w14:paraId="257370FF" w14:textId="77777777" w:rsidR="00E63EF7" w:rsidRPr="001C58C6" w:rsidRDefault="00E63EF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
          <w:p w14:paraId="58C2BAA1" w14:textId="77777777" w:rsidR="00E63EF7" w:rsidRPr="001C58C6" w:rsidRDefault="00800DD4"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10 hilj. € (regulativa) + 0,55 mil. € (softver za sertifikaciju zgrada)</w:t>
            </w:r>
          </w:p>
          <w:p w14:paraId="417EA414" w14:textId="77777777" w:rsidR="00E63EF7" w:rsidRPr="001C58C6" w:rsidRDefault="00E63EF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
          <w:p w14:paraId="32697B31"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Reformska agenda 2.2.1: </w:t>
            </w:r>
          </w:p>
          <w:p w14:paraId="13A7DE2C" w14:textId="77777777" w:rsidR="00E63EF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Renoviranje javnih i privatnih zgrada u pljevaljskom regionu, finansijska podrška energetskoj efikasnosti i zamjeni grijanja na fosilna goriva.</w:t>
            </w:r>
            <w:r w:rsidR="00E63EF7" w:rsidRPr="001C58C6">
              <w:rPr>
                <w:rFonts w:ascii="Calibri" w:hAnsi="Calibri" w:cs="Calibri"/>
                <w:color w:val="000000" w:themeColor="text1"/>
                <w:sz w:val="20"/>
                <w:szCs w:val="20"/>
              </w:rPr>
              <w:t xml:space="preserve"> </w:t>
            </w:r>
          </w:p>
        </w:tc>
        <w:tc>
          <w:tcPr>
            <w:tcW w:w="1783" w:type="dxa"/>
            <w:vAlign w:val="center"/>
          </w:tcPr>
          <w:p w14:paraId="2A02E985"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2026. – 2029.</w:t>
            </w:r>
          </w:p>
        </w:tc>
        <w:tc>
          <w:tcPr>
            <w:tcW w:w="1874" w:type="dxa"/>
            <w:vAlign w:val="center"/>
          </w:tcPr>
          <w:p w14:paraId="4CC55B3F" w14:textId="77777777" w:rsidR="00E63EF7" w:rsidRPr="001C58C6" w:rsidRDefault="00E63EF7" w:rsidP="00E63EF7">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Donijeti ili unaprijeđeni propisi u oblasti energetske efikasnosti u zgradama;</w:t>
            </w:r>
          </w:p>
          <w:p w14:paraId="4A4A681D" w14:textId="77777777" w:rsidR="00E63EF7" w:rsidRPr="001C58C6" w:rsidRDefault="00E63EF7" w:rsidP="00E63EF7">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
          <w:p w14:paraId="2388ED6A" w14:textId="77777777" w:rsidR="00E63EF7" w:rsidRPr="001C58C6" w:rsidRDefault="00E63EF7" w:rsidP="00E63EF7">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Broj renoviranih javnih i privatnih zgrada;</w:t>
            </w:r>
          </w:p>
          <w:p w14:paraId="5708BCEB" w14:textId="77777777" w:rsidR="00E63EF7" w:rsidRPr="001C58C6" w:rsidRDefault="00E63EF7" w:rsidP="00E63EF7">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
          <w:p w14:paraId="0544732B" w14:textId="77777777" w:rsidR="00E63EF7" w:rsidRPr="001C58C6" w:rsidRDefault="00E63EF7" w:rsidP="00E63EF7">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Broj zamijenjenih sistema grijanja na fosilna goriva;</w:t>
            </w:r>
          </w:p>
          <w:p w14:paraId="2E02EC66" w14:textId="77777777" w:rsidR="00E63EF7" w:rsidRPr="001C58C6" w:rsidRDefault="00E63EF7" w:rsidP="00E63EF7">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
          <w:p w14:paraId="4133CC3D" w14:textId="77777777" w:rsidR="00E630B7" w:rsidRPr="001C58C6" w:rsidRDefault="00E63EF7" w:rsidP="00E63EF7">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Prelazak 90% individualnih sistema grijanja u javnim zgradama i 70% u privatnim zgradama </w:t>
            </w:r>
            <w:r w:rsidRPr="001C58C6">
              <w:rPr>
                <w:rFonts w:ascii="Calibri" w:hAnsi="Calibri" w:cs="Calibri"/>
                <w:color w:val="000000" w:themeColor="text1"/>
                <w:sz w:val="20"/>
                <w:szCs w:val="20"/>
              </w:rPr>
              <w:lastRenderedPageBreak/>
              <w:t>na čista goriva (cilj iz Reformske agende).</w:t>
            </w:r>
          </w:p>
        </w:tc>
      </w:tr>
      <w:tr w:rsidR="001C58C6" w:rsidRPr="001C58C6" w14:paraId="12B85EFA" w14:textId="77777777" w:rsidTr="00E630B7">
        <w:tc>
          <w:tcPr>
            <w:cnfStyle w:val="001000000000" w:firstRow="0" w:lastRow="0" w:firstColumn="1" w:lastColumn="0" w:oddVBand="0" w:evenVBand="0" w:oddHBand="0" w:evenHBand="0" w:firstRowFirstColumn="0" w:firstRowLastColumn="0" w:lastRowFirstColumn="0" w:lastRowLastColumn="0"/>
            <w:tcW w:w="883" w:type="dxa"/>
            <w:vAlign w:val="center"/>
          </w:tcPr>
          <w:p w14:paraId="567BA0E6" w14:textId="77777777" w:rsidR="00E630B7" w:rsidRPr="001C58C6" w:rsidRDefault="00E630B7" w:rsidP="00E53052">
            <w:pPr>
              <w:pStyle w:val="ListParagraph"/>
              <w:numPr>
                <w:ilvl w:val="0"/>
                <w:numId w:val="50"/>
              </w:numPr>
              <w:jc w:val="left"/>
              <w:rPr>
                <w:rFonts w:ascii="Calibri" w:hAnsi="Calibri" w:cs="Calibri"/>
                <w:color w:val="000000" w:themeColor="text1"/>
                <w:sz w:val="20"/>
                <w:szCs w:val="20"/>
              </w:rPr>
            </w:pPr>
          </w:p>
        </w:tc>
        <w:tc>
          <w:tcPr>
            <w:tcW w:w="2345" w:type="dxa"/>
            <w:vAlign w:val="center"/>
          </w:tcPr>
          <w:p w14:paraId="5FD87B95" w14:textId="77777777" w:rsidR="00E630B7" w:rsidRPr="001C58C6" w:rsidRDefault="00E630B7" w:rsidP="00743A33">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Povećana energetska efikasnost u javnim zgradama</w:t>
            </w:r>
          </w:p>
        </w:tc>
        <w:tc>
          <w:tcPr>
            <w:tcW w:w="2110" w:type="dxa"/>
            <w:vAlign w:val="center"/>
          </w:tcPr>
          <w:p w14:paraId="0F09EFC7"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Cilj 1: Poboljšanje kvaliteta vazduha</w:t>
            </w:r>
          </w:p>
          <w:p w14:paraId="0B40674F"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1.A - smanjenje koncentracija suspendovanih čestica i sadržaja benzo(a)pirena u Sjevernoj zoni kvaliteta vazduha;</w:t>
            </w:r>
          </w:p>
          <w:p w14:paraId="3A38D971" w14:textId="77777777" w:rsidR="00E630B7"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1.B - smanjenje sadržaja benzo(a)pirena u suspendovanim česticama u Centralnoj zoni kvaliteta vazduha;</w:t>
            </w:r>
          </w:p>
          <w:p w14:paraId="40C7F626" w14:textId="1F2DFB23" w:rsidR="00664861" w:rsidRPr="001C58C6" w:rsidRDefault="00664861"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1.C - smanjenje emisija zagađujućih materija (NOx, SO2, VOC, NH3 i PM2.5).</w:t>
            </w:r>
          </w:p>
        </w:tc>
        <w:tc>
          <w:tcPr>
            <w:tcW w:w="2135" w:type="dxa"/>
            <w:vAlign w:val="center"/>
          </w:tcPr>
          <w:p w14:paraId="523AEF56"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rPr>
            </w:pPr>
            <w:r w:rsidRPr="001C58C6">
              <w:rPr>
                <w:rFonts w:ascii="Calibri" w:hAnsi="Calibri" w:cs="Calibri"/>
                <w:b/>
                <w:bCs/>
                <w:color w:val="000000" w:themeColor="text1"/>
                <w:sz w:val="20"/>
                <w:szCs w:val="20"/>
              </w:rPr>
              <w:t>Ministarstvo energetike i rudarstva, organi nadležni za upravljanja javnim objektima lokalne samouprave</w:t>
            </w:r>
          </w:p>
        </w:tc>
        <w:tc>
          <w:tcPr>
            <w:tcW w:w="1747" w:type="dxa"/>
            <w:vAlign w:val="center"/>
          </w:tcPr>
          <w:p w14:paraId="39FCA6C9"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80 mil € (40% budžeta utrošeno)</w:t>
            </w:r>
          </w:p>
          <w:p w14:paraId="2C97401E"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Reformska agenda 2.2.1: Prelazak</w:t>
            </w:r>
          </w:p>
          <w:p w14:paraId="4183833C"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90% individualnih sistema za grijanje u javnim zgradama i  70% u privatnim zgradama na čista goriva </w:t>
            </w:r>
          </w:p>
        </w:tc>
        <w:tc>
          <w:tcPr>
            <w:tcW w:w="1783" w:type="dxa"/>
            <w:vAlign w:val="center"/>
          </w:tcPr>
          <w:p w14:paraId="6D4E6172"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2026. – 2029.</w:t>
            </w:r>
          </w:p>
        </w:tc>
        <w:tc>
          <w:tcPr>
            <w:tcW w:w="1874" w:type="dxa"/>
            <w:vAlign w:val="center"/>
          </w:tcPr>
          <w:p w14:paraId="72FD4BA5" w14:textId="77777777" w:rsidR="00E63EF7" w:rsidRPr="001C58C6" w:rsidRDefault="00E63EF7" w:rsidP="00E63EF7">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Najmanje 30% javnih zgrada energetski sanirano do 2029. godine;</w:t>
            </w:r>
          </w:p>
          <w:p w14:paraId="7A4BF53F" w14:textId="77777777" w:rsidR="00E63EF7" w:rsidRPr="001C58C6" w:rsidRDefault="00E63EF7" w:rsidP="00E63EF7">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
          <w:p w14:paraId="4F0C58EA" w14:textId="77777777" w:rsidR="00E63EF7" w:rsidRPr="001C58C6" w:rsidRDefault="00E63EF7" w:rsidP="00E63EF7">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Najmanje 90% individualnih sistema grijanja u javnim zgradama prešlo na čista goriva;</w:t>
            </w:r>
          </w:p>
          <w:p w14:paraId="27BBD98F" w14:textId="77777777" w:rsidR="00E63EF7" w:rsidRPr="001C58C6" w:rsidRDefault="00E63EF7" w:rsidP="00E63EF7">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
          <w:p w14:paraId="6C96008A" w14:textId="77777777" w:rsidR="00E63EF7" w:rsidRPr="001C58C6" w:rsidRDefault="00E63EF7" w:rsidP="00E63EF7">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Broj renoviranih javnih zgrada i površina obnovljenog prostora (m²);</w:t>
            </w:r>
          </w:p>
          <w:p w14:paraId="519F93CF" w14:textId="77777777" w:rsidR="00E63EF7" w:rsidRPr="001C58C6" w:rsidRDefault="00E63EF7" w:rsidP="00E63EF7">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
          <w:p w14:paraId="71F658C5" w14:textId="77777777" w:rsidR="00E630B7" w:rsidRPr="001C58C6" w:rsidRDefault="00E63EF7" w:rsidP="00E63EF7">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Procijenjeno smanjenje potrošnje energije u javnim zgradama (MWh/god).</w:t>
            </w:r>
          </w:p>
        </w:tc>
      </w:tr>
      <w:tr w:rsidR="001C58C6" w:rsidRPr="001C58C6" w14:paraId="35959B67" w14:textId="77777777" w:rsidTr="00E630B7">
        <w:tc>
          <w:tcPr>
            <w:cnfStyle w:val="001000000000" w:firstRow="0" w:lastRow="0" w:firstColumn="1" w:lastColumn="0" w:oddVBand="0" w:evenVBand="0" w:oddHBand="0" w:evenHBand="0" w:firstRowFirstColumn="0" w:firstRowLastColumn="0" w:lastRowFirstColumn="0" w:lastRowLastColumn="0"/>
            <w:tcW w:w="883" w:type="dxa"/>
            <w:vAlign w:val="center"/>
          </w:tcPr>
          <w:p w14:paraId="46205564" w14:textId="77777777" w:rsidR="00E630B7" w:rsidRPr="001C58C6" w:rsidRDefault="00E630B7" w:rsidP="00E53052">
            <w:pPr>
              <w:pStyle w:val="ListParagraph"/>
              <w:numPr>
                <w:ilvl w:val="0"/>
                <w:numId w:val="50"/>
              </w:numPr>
              <w:jc w:val="left"/>
              <w:rPr>
                <w:rFonts w:ascii="Calibri" w:hAnsi="Calibri" w:cs="Calibri"/>
                <w:color w:val="000000" w:themeColor="text1"/>
                <w:sz w:val="20"/>
                <w:szCs w:val="20"/>
              </w:rPr>
            </w:pPr>
          </w:p>
        </w:tc>
        <w:tc>
          <w:tcPr>
            <w:tcW w:w="2345" w:type="dxa"/>
            <w:vAlign w:val="center"/>
          </w:tcPr>
          <w:p w14:paraId="6178BC7C" w14:textId="77777777" w:rsidR="00E630B7" w:rsidRPr="001C58C6" w:rsidRDefault="00E630B7" w:rsidP="00743A33">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Daljinsko grijanje u Pljevljima</w:t>
            </w:r>
          </w:p>
        </w:tc>
        <w:tc>
          <w:tcPr>
            <w:tcW w:w="2110" w:type="dxa"/>
            <w:vAlign w:val="center"/>
          </w:tcPr>
          <w:p w14:paraId="6FE3D51C"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Cilj 1: Poboljšanje kvaliteta vazduha</w:t>
            </w:r>
          </w:p>
          <w:p w14:paraId="12737AE0"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1.A - smanjenje koncentracija suspendovanih čestica i sadržaja benzo(a)pirena u Sjevernoj zoni kvaliteta vazduha;</w:t>
            </w:r>
          </w:p>
        </w:tc>
        <w:tc>
          <w:tcPr>
            <w:tcW w:w="2135" w:type="dxa"/>
            <w:vAlign w:val="center"/>
          </w:tcPr>
          <w:p w14:paraId="733DA5D5"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rPr>
            </w:pPr>
            <w:r w:rsidRPr="001C58C6">
              <w:rPr>
                <w:rFonts w:ascii="Calibri" w:hAnsi="Calibri" w:cs="Calibri"/>
                <w:b/>
                <w:bCs/>
                <w:color w:val="000000" w:themeColor="text1"/>
                <w:sz w:val="20"/>
                <w:szCs w:val="20"/>
              </w:rPr>
              <w:t>EPCG, Opština Pljevlja</w:t>
            </w:r>
          </w:p>
        </w:tc>
        <w:tc>
          <w:tcPr>
            <w:tcW w:w="1747" w:type="dxa"/>
            <w:vAlign w:val="center"/>
          </w:tcPr>
          <w:p w14:paraId="1F0FE101"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23 mil €</w:t>
            </w:r>
          </w:p>
        </w:tc>
        <w:tc>
          <w:tcPr>
            <w:tcW w:w="1783" w:type="dxa"/>
            <w:vAlign w:val="center"/>
          </w:tcPr>
          <w:p w14:paraId="3F37AA52"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2026. – 2029.</w:t>
            </w:r>
          </w:p>
        </w:tc>
        <w:tc>
          <w:tcPr>
            <w:tcW w:w="1874" w:type="dxa"/>
            <w:vAlign w:val="center"/>
          </w:tcPr>
          <w:p w14:paraId="558DE627" w14:textId="77777777" w:rsidR="00E63EF7" w:rsidRPr="001C58C6" w:rsidRDefault="00800DD4" w:rsidP="00E63EF7">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Izgradnja 20 priključaka na primarnu toplovodnu cijevi;</w:t>
            </w:r>
          </w:p>
          <w:p w14:paraId="3FC34241" w14:textId="77777777" w:rsidR="00800DD4" w:rsidRPr="001C58C6" w:rsidRDefault="00800DD4" w:rsidP="00E63EF7">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
          <w:p w14:paraId="40D19A85" w14:textId="77777777" w:rsidR="00800DD4" w:rsidRPr="001C58C6" w:rsidRDefault="00800DD4" w:rsidP="00E63EF7">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Razvoj toplane koja pokriva konzum toplotne potrošnje od 44 MW (odgovara potrebama približno 4400 ekvivalentnih domaćinstava sa slabijim izolacionim </w:t>
            </w:r>
            <w:r w:rsidRPr="001C58C6">
              <w:rPr>
                <w:rFonts w:ascii="Calibri" w:hAnsi="Calibri" w:cs="Calibri"/>
                <w:color w:val="000000" w:themeColor="text1"/>
                <w:sz w:val="20"/>
                <w:szCs w:val="20"/>
              </w:rPr>
              <w:lastRenderedPageBreak/>
              <w:t>karakteristikama objekata).</w:t>
            </w:r>
          </w:p>
          <w:p w14:paraId="4421B12A" w14:textId="77777777" w:rsidR="00E63EF7" w:rsidRPr="001C58C6" w:rsidRDefault="00E63EF7" w:rsidP="00E63EF7">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
          <w:p w14:paraId="5B9671B9" w14:textId="77777777" w:rsidR="00E630B7" w:rsidRPr="001C58C6" w:rsidRDefault="00E630B7" w:rsidP="00E63EF7">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
        </w:tc>
      </w:tr>
      <w:tr w:rsidR="001C58C6" w:rsidRPr="001C58C6" w14:paraId="20CDCAAD" w14:textId="77777777" w:rsidTr="00E630B7">
        <w:tc>
          <w:tcPr>
            <w:cnfStyle w:val="001000000000" w:firstRow="0" w:lastRow="0" w:firstColumn="1" w:lastColumn="0" w:oddVBand="0" w:evenVBand="0" w:oddHBand="0" w:evenHBand="0" w:firstRowFirstColumn="0" w:firstRowLastColumn="0" w:lastRowFirstColumn="0" w:lastRowLastColumn="0"/>
            <w:tcW w:w="883" w:type="dxa"/>
            <w:vAlign w:val="center"/>
          </w:tcPr>
          <w:p w14:paraId="4777860D" w14:textId="77777777" w:rsidR="00E630B7" w:rsidRPr="001C58C6" w:rsidRDefault="00E630B7" w:rsidP="00E53052">
            <w:pPr>
              <w:pStyle w:val="ListParagraph"/>
              <w:numPr>
                <w:ilvl w:val="0"/>
                <w:numId w:val="50"/>
              </w:numPr>
              <w:jc w:val="left"/>
              <w:rPr>
                <w:rFonts w:ascii="Calibri" w:hAnsi="Calibri" w:cs="Calibri"/>
                <w:color w:val="000000" w:themeColor="text1"/>
                <w:sz w:val="20"/>
                <w:szCs w:val="20"/>
              </w:rPr>
            </w:pPr>
          </w:p>
        </w:tc>
        <w:tc>
          <w:tcPr>
            <w:tcW w:w="2345" w:type="dxa"/>
            <w:vAlign w:val="center"/>
          </w:tcPr>
          <w:p w14:paraId="4F5E6D13" w14:textId="77777777" w:rsidR="00E630B7" w:rsidRPr="001C58C6" w:rsidRDefault="00E630B7" w:rsidP="00743A33">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Razvoj decentralizovane proizvodnje energije od strane proizvođača - kupaca </w:t>
            </w:r>
          </w:p>
        </w:tc>
        <w:tc>
          <w:tcPr>
            <w:tcW w:w="2110" w:type="dxa"/>
            <w:vAlign w:val="center"/>
          </w:tcPr>
          <w:p w14:paraId="748B4F43"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Cilj 1: Poboljšanje kvaliteta vazduha</w:t>
            </w:r>
          </w:p>
          <w:p w14:paraId="1F6CA39F"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1.A - smanjenje koncentracija suspendovanih čestica i sadržaja benzo(a)pirena u Sjevernoj zoni kvaliteta vazduha;</w:t>
            </w:r>
          </w:p>
          <w:p w14:paraId="7051512D" w14:textId="77777777" w:rsidR="00E630B7"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1.B - smanjenje sadržaja benzo(a)pirena u suspendovanim česticama u Centralnoj zoni kvaliteta vazduha;</w:t>
            </w:r>
          </w:p>
          <w:p w14:paraId="25CDBBFE" w14:textId="5DD0E859" w:rsidR="00664861" w:rsidRPr="001C58C6" w:rsidRDefault="00664861"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1.C - smanjenje emisija zagađujućih materija (NOx, SO2, VOC, NH3 i PM2.5).</w:t>
            </w:r>
          </w:p>
        </w:tc>
        <w:tc>
          <w:tcPr>
            <w:tcW w:w="2135" w:type="dxa"/>
            <w:vAlign w:val="center"/>
          </w:tcPr>
          <w:p w14:paraId="60B1BFB6"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rPr>
            </w:pPr>
            <w:r w:rsidRPr="001C58C6">
              <w:rPr>
                <w:rFonts w:ascii="Calibri" w:hAnsi="Calibri" w:cs="Calibri"/>
                <w:b/>
                <w:bCs/>
                <w:color w:val="000000" w:themeColor="text1"/>
                <w:sz w:val="20"/>
                <w:szCs w:val="20"/>
              </w:rPr>
              <w:t>EPCG</w:t>
            </w:r>
          </w:p>
        </w:tc>
        <w:tc>
          <w:tcPr>
            <w:tcW w:w="1747" w:type="dxa"/>
            <w:vAlign w:val="center"/>
          </w:tcPr>
          <w:p w14:paraId="1E148B0D"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220 mil € </w:t>
            </w:r>
          </w:p>
          <w:p w14:paraId="152734B6"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(2023-2030)</w:t>
            </w:r>
          </w:p>
        </w:tc>
        <w:tc>
          <w:tcPr>
            <w:tcW w:w="1783" w:type="dxa"/>
            <w:vAlign w:val="center"/>
          </w:tcPr>
          <w:p w14:paraId="1C1DEC6E"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2026.– 2029.</w:t>
            </w:r>
          </w:p>
        </w:tc>
        <w:tc>
          <w:tcPr>
            <w:tcW w:w="1874" w:type="dxa"/>
            <w:vAlign w:val="center"/>
          </w:tcPr>
          <w:p w14:paraId="43040849" w14:textId="77777777" w:rsidR="00C8275A" w:rsidRPr="001C58C6" w:rsidRDefault="00C8275A" w:rsidP="00C8275A">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Broj registrovanih proizvođača–kupaca (približno 35000 ekvivalentnih prozjumera);</w:t>
            </w:r>
          </w:p>
          <w:p w14:paraId="0CBEA793" w14:textId="77777777" w:rsidR="00C8275A" w:rsidRPr="001C58C6" w:rsidRDefault="00C8275A" w:rsidP="00C8275A">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
          <w:p w14:paraId="092F57B8" w14:textId="77777777" w:rsidR="00C8275A" w:rsidRPr="001C58C6" w:rsidRDefault="00C8275A" w:rsidP="00C8275A">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Ukupni instalirani kapacitet decentralizovane proizvodnje iz OIE (približno 350 MW);</w:t>
            </w:r>
          </w:p>
          <w:p w14:paraId="7844F2D9" w14:textId="77777777" w:rsidR="00C8275A" w:rsidRPr="001C58C6" w:rsidRDefault="00C8275A" w:rsidP="00C8275A">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
          <w:p w14:paraId="08257A34" w14:textId="77777777" w:rsidR="00E630B7" w:rsidRPr="001C58C6" w:rsidRDefault="00C8275A" w:rsidP="00C8275A">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Količina proizvedene električne energije iz prozjumer sistema (približno 400 GWh/god).</w:t>
            </w:r>
          </w:p>
        </w:tc>
      </w:tr>
      <w:tr w:rsidR="001C58C6" w:rsidRPr="001C58C6" w14:paraId="3CCED1D5" w14:textId="77777777" w:rsidTr="00E630B7">
        <w:tc>
          <w:tcPr>
            <w:cnfStyle w:val="001000000000" w:firstRow="0" w:lastRow="0" w:firstColumn="1" w:lastColumn="0" w:oddVBand="0" w:evenVBand="0" w:oddHBand="0" w:evenHBand="0" w:firstRowFirstColumn="0" w:firstRowLastColumn="0" w:lastRowFirstColumn="0" w:lastRowLastColumn="0"/>
            <w:tcW w:w="883" w:type="dxa"/>
            <w:vAlign w:val="center"/>
          </w:tcPr>
          <w:p w14:paraId="11E501A7" w14:textId="77777777" w:rsidR="00E630B7" w:rsidRPr="001C58C6" w:rsidRDefault="00E630B7" w:rsidP="00E53052">
            <w:pPr>
              <w:pStyle w:val="ListParagraph"/>
              <w:numPr>
                <w:ilvl w:val="0"/>
                <w:numId w:val="50"/>
              </w:numPr>
              <w:jc w:val="left"/>
              <w:rPr>
                <w:rFonts w:ascii="Calibri" w:hAnsi="Calibri" w:cs="Calibri"/>
                <w:color w:val="000000" w:themeColor="text1"/>
                <w:sz w:val="20"/>
                <w:szCs w:val="20"/>
              </w:rPr>
            </w:pPr>
          </w:p>
        </w:tc>
        <w:tc>
          <w:tcPr>
            <w:tcW w:w="2345" w:type="dxa"/>
            <w:vAlign w:val="center"/>
          </w:tcPr>
          <w:p w14:paraId="197D1CFE" w14:textId="77777777" w:rsidR="00E630B7" w:rsidRPr="001C58C6" w:rsidRDefault="00E630B7" w:rsidP="00743A33">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Lokalni planovi zaštite životne sredine</w:t>
            </w:r>
          </w:p>
        </w:tc>
        <w:tc>
          <w:tcPr>
            <w:tcW w:w="2110" w:type="dxa"/>
            <w:vAlign w:val="center"/>
          </w:tcPr>
          <w:p w14:paraId="6FCDEE06"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Cilj 1: Poboljšanje kvaliteta vazduha</w:t>
            </w:r>
          </w:p>
          <w:p w14:paraId="4A314D65"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1.A - smanjenje koncentracija suspendovanih čestica i sadržaja benzo(a)pirena u Sjevernoj zoni kvaliteta vazduha;</w:t>
            </w:r>
          </w:p>
          <w:p w14:paraId="7B408840" w14:textId="77777777" w:rsidR="00E630B7"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1.B - smanjenje sadržaja benzo(a)pirena u suspendovanim česticama u Centralnoj zoni kvaliteta vazduha;</w:t>
            </w:r>
          </w:p>
          <w:p w14:paraId="60730736" w14:textId="25929743" w:rsidR="00664861" w:rsidRPr="001C58C6" w:rsidRDefault="00664861"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 xml:space="preserve">2.B - </w:t>
            </w:r>
            <w:r w:rsidRPr="00664861">
              <w:rPr>
                <w:rFonts w:ascii="Calibri" w:hAnsi="Calibri" w:cs="Calibri"/>
                <w:color w:val="000000" w:themeColor="text1"/>
                <w:sz w:val="20"/>
                <w:szCs w:val="20"/>
              </w:rPr>
              <w:t xml:space="preserve">unapređenje saradnje između </w:t>
            </w:r>
            <w:r w:rsidRPr="00664861">
              <w:rPr>
                <w:rFonts w:ascii="Calibri" w:hAnsi="Calibri" w:cs="Calibri"/>
                <w:color w:val="000000" w:themeColor="text1"/>
                <w:sz w:val="20"/>
                <w:szCs w:val="20"/>
              </w:rPr>
              <w:lastRenderedPageBreak/>
              <w:t>relevantnih institucija, jedinica lokalne samouprave, civilnog sektora i stručne javnosti</w:t>
            </w:r>
          </w:p>
        </w:tc>
        <w:tc>
          <w:tcPr>
            <w:tcW w:w="2135" w:type="dxa"/>
            <w:vAlign w:val="center"/>
          </w:tcPr>
          <w:p w14:paraId="37E8958F"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rPr>
            </w:pPr>
            <w:r w:rsidRPr="001C58C6">
              <w:rPr>
                <w:rFonts w:ascii="Calibri" w:hAnsi="Calibri" w:cs="Calibri"/>
                <w:b/>
                <w:bCs/>
                <w:color w:val="000000" w:themeColor="text1"/>
                <w:sz w:val="20"/>
                <w:szCs w:val="20"/>
              </w:rPr>
              <w:lastRenderedPageBreak/>
              <w:t>Lokalne samouprave</w:t>
            </w:r>
          </w:p>
        </w:tc>
        <w:tc>
          <w:tcPr>
            <w:tcW w:w="1747" w:type="dxa"/>
            <w:vAlign w:val="center"/>
          </w:tcPr>
          <w:p w14:paraId="70BE5AD9"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nije procjenjeno</w:t>
            </w:r>
          </w:p>
        </w:tc>
        <w:tc>
          <w:tcPr>
            <w:tcW w:w="1783" w:type="dxa"/>
            <w:vAlign w:val="center"/>
          </w:tcPr>
          <w:p w14:paraId="51B0371C"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2026. – 2029. </w:t>
            </w:r>
          </w:p>
        </w:tc>
        <w:tc>
          <w:tcPr>
            <w:tcW w:w="1874" w:type="dxa"/>
            <w:vAlign w:val="center"/>
          </w:tcPr>
          <w:p w14:paraId="703F05CF"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Broj izrađenih lokalnih planova zaštite životne sredine u kojima su razrađene mjere poboljšanja kvaliteta vazduha</w:t>
            </w:r>
          </w:p>
        </w:tc>
      </w:tr>
      <w:tr w:rsidR="001C58C6" w:rsidRPr="001C58C6" w14:paraId="7B17AA9F" w14:textId="77777777" w:rsidTr="00E630B7">
        <w:tc>
          <w:tcPr>
            <w:cnfStyle w:val="001000000000" w:firstRow="0" w:lastRow="0" w:firstColumn="1" w:lastColumn="0" w:oddVBand="0" w:evenVBand="0" w:oddHBand="0" w:evenHBand="0" w:firstRowFirstColumn="0" w:firstRowLastColumn="0" w:lastRowFirstColumn="0" w:lastRowLastColumn="0"/>
            <w:tcW w:w="883" w:type="dxa"/>
            <w:vAlign w:val="center"/>
          </w:tcPr>
          <w:p w14:paraId="6554A720" w14:textId="77777777" w:rsidR="00E630B7" w:rsidRPr="001C58C6" w:rsidRDefault="00E630B7" w:rsidP="00E53052">
            <w:pPr>
              <w:pStyle w:val="ListParagraph"/>
              <w:numPr>
                <w:ilvl w:val="0"/>
                <w:numId w:val="50"/>
              </w:numPr>
              <w:jc w:val="left"/>
              <w:rPr>
                <w:rFonts w:ascii="Calibri" w:hAnsi="Calibri" w:cs="Calibri"/>
                <w:color w:val="000000" w:themeColor="text1"/>
                <w:sz w:val="20"/>
                <w:szCs w:val="20"/>
              </w:rPr>
            </w:pPr>
          </w:p>
        </w:tc>
        <w:tc>
          <w:tcPr>
            <w:tcW w:w="2345" w:type="dxa"/>
            <w:vAlign w:val="center"/>
          </w:tcPr>
          <w:p w14:paraId="7B9C7327" w14:textId="77777777" w:rsidR="00E630B7" w:rsidRPr="001C58C6" w:rsidRDefault="00E630B7" w:rsidP="00743A33">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Promocija e-mobilnosti</w:t>
            </w:r>
          </w:p>
        </w:tc>
        <w:tc>
          <w:tcPr>
            <w:tcW w:w="2110" w:type="dxa"/>
            <w:vAlign w:val="center"/>
          </w:tcPr>
          <w:p w14:paraId="3BFA9B06"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Cilj 1: Poboljšanje kvaliteta vazduha</w:t>
            </w:r>
          </w:p>
          <w:p w14:paraId="181A18C3"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1.C - smanjenje emisija zagađujućih materija (NOx, SO2, VOC, NH3 i PM2.5).</w:t>
            </w:r>
          </w:p>
          <w:p w14:paraId="3C34B3AD"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Cilj 2: Dalje unapređenje praćenja i upravljanja kvalitetom vazduha</w:t>
            </w:r>
          </w:p>
          <w:p w14:paraId="4CDDCE96"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2.C – dalje usklađivanje sa strožim standardima kvaliteta vazduha.</w:t>
            </w:r>
          </w:p>
        </w:tc>
        <w:tc>
          <w:tcPr>
            <w:tcW w:w="2135" w:type="dxa"/>
            <w:vAlign w:val="center"/>
          </w:tcPr>
          <w:p w14:paraId="744B290E"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rPr>
            </w:pPr>
            <w:r w:rsidRPr="001C58C6">
              <w:rPr>
                <w:rFonts w:ascii="Calibri" w:hAnsi="Calibri" w:cs="Calibri"/>
                <w:b/>
                <w:bCs/>
                <w:color w:val="000000" w:themeColor="text1"/>
                <w:sz w:val="20"/>
                <w:szCs w:val="20"/>
              </w:rPr>
              <w:t xml:space="preserve">Ministarstvo energetike i rudarstva, Ministarstvo saobraćaja, </w:t>
            </w:r>
          </w:p>
          <w:p w14:paraId="0272F2C1"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b/>
                <w:bCs/>
                <w:color w:val="000000" w:themeColor="text1"/>
                <w:sz w:val="20"/>
                <w:szCs w:val="20"/>
              </w:rPr>
              <w:t>Eko-fond, lokalne samouprave.</w:t>
            </w:r>
          </w:p>
        </w:tc>
        <w:tc>
          <w:tcPr>
            <w:tcW w:w="1747" w:type="dxa"/>
            <w:vAlign w:val="center"/>
          </w:tcPr>
          <w:p w14:paraId="0ED7828D"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353 mil € </w:t>
            </w:r>
          </w:p>
          <w:p w14:paraId="7CB803AF"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(2025 – 2030)</w:t>
            </w:r>
          </w:p>
        </w:tc>
        <w:tc>
          <w:tcPr>
            <w:tcW w:w="1783" w:type="dxa"/>
            <w:vAlign w:val="center"/>
          </w:tcPr>
          <w:p w14:paraId="3A7244B7"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2026. – 2029. </w:t>
            </w:r>
          </w:p>
        </w:tc>
        <w:tc>
          <w:tcPr>
            <w:tcW w:w="1874" w:type="dxa"/>
            <w:vAlign w:val="center"/>
          </w:tcPr>
          <w:p w14:paraId="4CC2E8F0"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Očekivano smanjenje emisija</w:t>
            </w:r>
          </w:p>
          <w:p w14:paraId="6C6F0B76"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NOx – 0,18 kt, NMVOC – 0,03 kt, NH3 – 0,003 kt, PM2.5 – 0,01 kt</w:t>
            </w:r>
          </w:p>
        </w:tc>
      </w:tr>
      <w:tr w:rsidR="001C58C6" w:rsidRPr="001C58C6" w14:paraId="4EFAA4BB" w14:textId="77777777" w:rsidTr="00E630B7">
        <w:tc>
          <w:tcPr>
            <w:cnfStyle w:val="001000000000" w:firstRow="0" w:lastRow="0" w:firstColumn="1" w:lastColumn="0" w:oddVBand="0" w:evenVBand="0" w:oddHBand="0" w:evenHBand="0" w:firstRowFirstColumn="0" w:firstRowLastColumn="0" w:lastRowFirstColumn="0" w:lastRowLastColumn="0"/>
            <w:tcW w:w="883" w:type="dxa"/>
            <w:vAlign w:val="center"/>
          </w:tcPr>
          <w:p w14:paraId="55F9803C" w14:textId="77777777" w:rsidR="00E630B7" w:rsidRPr="001C58C6" w:rsidRDefault="00E630B7" w:rsidP="00E53052">
            <w:pPr>
              <w:pStyle w:val="ListParagraph"/>
              <w:numPr>
                <w:ilvl w:val="0"/>
                <w:numId w:val="50"/>
              </w:numPr>
              <w:jc w:val="left"/>
              <w:rPr>
                <w:rFonts w:ascii="Calibri" w:hAnsi="Calibri" w:cs="Calibri"/>
                <w:color w:val="000000" w:themeColor="text1"/>
                <w:sz w:val="20"/>
                <w:szCs w:val="20"/>
              </w:rPr>
            </w:pPr>
          </w:p>
        </w:tc>
        <w:tc>
          <w:tcPr>
            <w:tcW w:w="2345" w:type="dxa"/>
            <w:vAlign w:val="center"/>
          </w:tcPr>
          <w:p w14:paraId="5FB95BFB" w14:textId="77777777" w:rsidR="00E630B7" w:rsidRPr="001C58C6" w:rsidRDefault="00E630B7" w:rsidP="00743A33">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Modalni prelaz prevoza putnika i tereta na željeznicu</w:t>
            </w:r>
          </w:p>
        </w:tc>
        <w:tc>
          <w:tcPr>
            <w:tcW w:w="2110" w:type="dxa"/>
            <w:vAlign w:val="center"/>
          </w:tcPr>
          <w:p w14:paraId="650A9262" w14:textId="77777777" w:rsidR="00E630B7"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Cilj 2: Dalje unapređenje praćenja i upravljanja kvalitetom vazduha</w:t>
            </w:r>
          </w:p>
          <w:p w14:paraId="497AC49F" w14:textId="28D94264" w:rsidR="00664861" w:rsidRDefault="00664861"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664861">
              <w:rPr>
                <w:rFonts w:ascii="Calibri" w:hAnsi="Calibri" w:cs="Calibri"/>
                <w:color w:val="000000" w:themeColor="text1"/>
                <w:sz w:val="20"/>
                <w:szCs w:val="20"/>
              </w:rPr>
              <w:t>1.C - smanjenje emisija zagađujućih materija (NOx, SO2, VOC, NH3 i PM2.5).</w:t>
            </w:r>
          </w:p>
          <w:p w14:paraId="619EB083" w14:textId="5CEBFE49"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
        </w:tc>
        <w:tc>
          <w:tcPr>
            <w:tcW w:w="2135" w:type="dxa"/>
            <w:vAlign w:val="center"/>
          </w:tcPr>
          <w:p w14:paraId="1FE6758C"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rPr>
            </w:pPr>
            <w:r w:rsidRPr="001C58C6">
              <w:rPr>
                <w:rFonts w:ascii="Calibri" w:hAnsi="Calibri" w:cs="Calibri"/>
                <w:b/>
                <w:bCs/>
                <w:color w:val="000000" w:themeColor="text1"/>
                <w:sz w:val="20"/>
                <w:szCs w:val="20"/>
              </w:rPr>
              <w:t>Ministarstvo saobraćaja</w:t>
            </w:r>
          </w:p>
          <w:p w14:paraId="67383B2C"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
        </w:tc>
        <w:tc>
          <w:tcPr>
            <w:tcW w:w="1747" w:type="dxa"/>
            <w:vAlign w:val="center"/>
          </w:tcPr>
          <w:p w14:paraId="7342F37A"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112 mil € </w:t>
            </w:r>
          </w:p>
          <w:p w14:paraId="6A83901F"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(grant EU)</w:t>
            </w:r>
          </w:p>
        </w:tc>
        <w:tc>
          <w:tcPr>
            <w:tcW w:w="1783" w:type="dxa"/>
            <w:vAlign w:val="center"/>
          </w:tcPr>
          <w:p w14:paraId="543CD864"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2026. – 2029. </w:t>
            </w:r>
          </w:p>
        </w:tc>
        <w:tc>
          <w:tcPr>
            <w:tcW w:w="1874" w:type="dxa"/>
            <w:vAlign w:val="center"/>
          </w:tcPr>
          <w:p w14:paraId="3D465A15"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70% učešća željeznice u ukupnom teretnom saobraćaju u 2030.</w:t>
            </w:r>
          </w:p>
        </w:tc>
      </w:tr>
      <w:tr w:rsidR="001C58C6" w:rsidRPr="001C58C6" w14:paraId="01F90BDF" w14:textId="77777777" w:rsidTr="00E630B7">
        <w:tc>
          <w:tcPr>
            <w:cnfStyle w:val="001000000000" w:firstRow="0" w:lastRow="0" w:firstColumn="1" w:lastColumn="0" w:oddVBand="0" w:evenVBand="0" w:oddHBand="0" w:evenHBand="0" w:firstRowFirstColumn="0" w:firstRowLastColumn="0" w:lastRowFirstColumn="0" w:lastRowLastColumn="0"/>
            <w:tcW w:w="883" w:type="dxa"/>
            <w:vAlign w:val="center"/>
          </w:tcPr>
          <w:p w14:paraId="008E7041" w14:textId="77777777" w:rsidR="00E630B7" w:rsidRPr="001C58C6" w:rsidRDefault="00E630B7" w:rsidP="00E53052">
            <w:pPr>
              <w:pStyle w:val="ListParagraph"/>
              <w:numPr>
                <w:ilvl w:val="0"/>
                <w:numId w:val="50"/>
              </w:numPr>
              <w:jc w:val="left"/>
              <w:rPr>
                <w:rFonts w:ascii="Calibri" w:hAnsi="Calibri" w:cs="Calibri"/>
                <w:color w:val="000000" w:themeColor="text1"/>
                <w:sz w:val="20"/>
                <w:szCs w:val="20"/>
              </w:rPr>
            </w:pPr>
          </w:p>
        </w:tc>
        <w:tc>
          <w:tcPr>
            <w:tcW w:w="2345" w:type="dxa"/>
            <w:vAlign w:val="center"/>
          </w:tcPr>
          <w:p w14:paraId="73752AAD" w14:textId="77777777" w:rsidR="00E630B7" w:rsidRPr="001C58C6" w:rsidRDefault="00E630B7" w:rsidP="00743A33">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Sprečavanje šumskih požara</w:t>
            </w:r>
            <w:r w:rsidR="00A8183C" w:rsidRPr="001C58C6">
              <w:rPr>
                <w:rStyle w:val="FootnoteReference"/>
                <w:rFonts w:ascii="Calibri" w:hAnsi="Calibri" w:cs="Calibri"/>
                <w:color w:val="000000" w:themeColor="text1"/>
                <w:sz w:val="20"/>
                <w:szCs w:val="20"/>
              </w:rPr>
              <w:footnoteReference w:id="25"/>
            </w:r>
          </w:p>
        </w:tc>
        <w:tc>
          <w:tcPr>
            <w:tcW w:w="2110" w:type="dxa"/>
            <w:vAlign w:val="center"/>
          </w:tcPr>
          <w:p w14:paraId="70F33079"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Cilj 1: Poboljšanje kvaliteta vazduha</w:t>
            </w:r>
          </w:p>
          <w:p w14:paraId="3C97807A"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1.B - smanjenje sadržaja benzo(a)pirena u suspendovanim česticama u Centralnoj zoni kvaliteta vazduha;</w:t>
            </w:r>
          </w:p>
          <w:p w14:paraId="1B289F2A"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1.C - smanjenje emisija zagađujućih materija </w:t>
            </w:r>
            <w:r w:rsidRPr="001C58C6">
              <w:rPr>
                <w:rFonts w:ascii="Calibri" w:hAnsi="Calibri" w:cs="Calibri"/>
                <w:color w:val="000000" w:themeColor="text1"/>
                <w:sz w:val="20"/>
                <w:szCs w:val="20"/>
              </w:rPr>
              <w:lastRenderedPageBreak/>
              <w:t>(NOx, SO2, VOC, NH3 i PM2.5).</w:t>
            </w:r>
          </w:p>
        </w:tc>
        <w:tc>
          <w:tcPr>
            <w:tcW w:w="2135" w:type="dxa"/>
            <w:vAlign w:val="center"/>
          </w:tcPr>
          <w:p w14:paraId="006ED5BE"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rPr>
            </w:pPr>
            <w:r w:rsidRPr="001C58C6">
              <w:rPr>
                <w:rFonts w:ascii="Calibri" w:hAnsi="Calibri" w:cs="Calibri"/>
                <w:b/>
                <w:bCs/>
                <w:color w:val="000000" w:themeColor="text1"/>
                <w:sz w:val="20"/>
                <w:szCs w:val="20"/>
              </w:rPr>
              <w:lastRenderedPageBreak/>
              <w:t xml:space="preserve">Ministarstvo unutrašnjih poslova, Ministarstvo ekologije, održivog razvoja i razvoja sjevera </w:t>
            </w:r>
          </w:p>
          <w:p w14:paraId="370A9871"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b/>
                <w:bCs/>
                <w:color w:val="000000" w:themeColor="text1"/>
                <w:sz w:val="20"/>
                <w:szCs w:val="20"/>
              </w:rPr>
              <w:t>JP Nacionalni parkovi Crne Gore, Privredno društvo</w:t>
            </w:r>
            <w:r w:rsidRPr="001C58C6">
              <w:rPr>
                <w:rFonts w:ascii="Calibri" w:hAnsi="Calibri" w:cs="Calibri"/>
                <w:color w:val="000000" w:themeColor="text1"/>
                <w:sz w:val="20"/>
                <w:szCs w:val="20"/>
              </w:rPr>
              <w:t xml:space="preserve"> za </w:t>
            </w:r>
            <w:r w:rsidRPr="001C58C6">
              <w:rPr>
                <w:rFonts w:ascii="Calibri" w:hAnsi="Calibri" w:cs="Calibri"/>
                <w:b/>
                <w:bCs/>
                <w:color w:val="000000" w:themeColor="text1"/>
                <w:sz w:val="20"/>
                <w:szCs w:val="20"/>
              </w:rPr>
              <w:t>gazdovanje šumama</w:t>
            </w:r>
          </w:p>
        </w:tc>
        <w:tc>
          <w:tcPr>
            <w:tcW w:w="1747" w:type="dxa"/>
            <w:vAlign w:val="center"/>
          </w:tcPr>
          <w:p w14:paraId="2C86E64B" w14:textId="77777777" w:rsidR="00E630B7" w:rsidRPr="001C58C6" w:rsidRDefault="00E63EF7" w:rsidP="00E63EF7">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1,94 mill. eura (EU 0,4; GEF 1,0; FAO 0,18 i Budžet 0,36)</w:t>
            </w:r>
          </w:p>
        </w:tc>
        <w:tc>
          <w:tcPr>
            <w:tcW w:w="1783" w:type="dxa"/>
            <w:vAlign w:val="center"/>
          </w:tcPr>
          <w:p w14:paraId="4E3D95E0"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2026. -2029. </w:t>
            </w:r>
          </w:p>
        </w:tc>
        <w:tc>
          <w:tcPr>
            <w:tcW w:w="1874" w:type="dxa"/>
            <w:vAlign w:val="center"/>
          </w:tcPr>
          <w:p w14:paraId="2BAB88EB"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Smanjenje opožarene površine </w:t>
            </w:r>
            <w:r w:rsidR="00C8275A" w:rsidRPr="001C58C6">
              <w:rPr>
                <w:rFonts w:ascii="Calibri" w:hAnsi="Calibri" w:cs="Calibri"/>
                <w:color w:val="000000" w:themeColor="text1"/>
                <w:sz w:val="20"/>
                <w:szCs w:val="20"/>
              </w:rPr>
              <w:t>(10 % do 2029, sa ciljem od 30 % u 2035)</w:t>
            </w:r>
          </w:p>
          <w:p w14:paraId="6EB07157"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Izvještaj o sprovođenju Strategije za smanjenje rizika od katastrofa</w:t>
            </w:r>
          </w:p>
        </w:tc>
      </w:tr>
      <w:tr w:rsidR="001C58C6" w:rsidRPr="001C58C6" w14:paraId="016A540C" w14:textId="77777777" w:rsidTr="00E630B7">
        <w:tc>
          <w:tcPr>
            <w:cnfStyle w:val="001000000000" w:firstRow="0" w:lastRow="0" w:firstColumn="1" w:lastColumn="0" w:oddVBand="0" w:evenVBand="0" w:oddHBand="0" w:evenHBand="0" w:firstRowFirstColumn="0" w:firstRowLastColumn="0" w:lastRowFirstColumn="0" w:lastRowLastColumn="0"/>
            <w:tcW w:w="883" w:type="dxa"/>
            <w:vAlign w:val="center"/>
          </w:tcPr>
          <w:p w14:paraId="4A4927D4" w14:textId="77777777" w:rsidR="00E630B7" w:rsidRPr="001C58C6" w:rsidRDefault="00E630B7" w:rsidP="00E53052">
            <w:pPr>
              <w:pStyle w:val="ListParagraph"/>
              <w:numPr>
                <w:ilvl w:val="0"/>
                <w:numId w:val="50"/>
              </w:numPr>
              <w:jc w:val="left"/>
              <w:rPr>
                <w:rFonts w:ascii="Calibri" w:hAnsi="Calibri" w:cs="Calibri"/>
                <w:color w:val="000000" w:themeColor="text1"/>
                <w:sz w:val="20"/>
                <w:szCs w:val="20"/>
              </w:rPr>
            </w:pPr>
          </w:p>
        </w:tc>
        <w:tc>
          <w:tcPr>
            <w:tcW w:w="2345" w:type="dxa"/>
            <w:vAlign w:val="center"/>
          </w:tcPr>
          <w:p w14:paraId="7389C43C" w14:textId="77777777" w:rsidR="00E630B7" w:rsidRPr="001C58C6" w:rsidRDefault="00E630B7" w:rsidP="00743A33">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Nove OIE elektrane (vjetar, solar)</w:t>
            </w:r>
          </w:p>
        </w:tc>
        <w:tc>
          <w:tcPr>
            <w:tcW w:w="2110" w:type="dxa"/>
            <w:vAlign w:val="center"/>
          </w:tcPr>
          <w:p w14:paraId="073A28F0"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Cilj 1: Poboljšanje kvaliteta vazduha</w:t>
            </w:r>
          </w:p>
          <w:p w14:paraId="5D412B78"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1.A - smanjenje koncentracija suspendovanih čestica i sadržaja benzo(a)pirena u Sjevernoj zoni kvaliteta vazduha;</w:t>
            </w:r>
          </w:p>
          <w:p w14:paraId="282D81D9"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1.B - smanjenje sadržaja benzo(a)pirena u suspendovanim česticama u Centralnoj zoni kvaliteta vazduha;</w:t>
            </w:r>
          </w:p>
          <w:p w14:paraId="74DB20D8"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1.C - smanjenje emisija zagađujućih materija (NOx, SO2, VOC, NH3 i PM2.5).</w:t>
            </w:r>
          </w:p>
        </w:tc>
        <w:tc>
          <w:tcPr>
            <w:tcW w:w="2135" w:type="dxa"/>
            <w:vAlign w:val="center"/>
          </w:tcPr>
          <w:p w14:paraId="1587F575"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rPr>
            </w:pPr>
            <w:r w:rsidRPr="001C58C6">
              <w:rPr>
                <w:rFonts w:ascii="Calibri" w:hAnsi="Calibri" w:cs="Calibri"/>
                <w:b/>
                <w:bCs/>
                <w:color w:val="000000" w:themeColor="text1"/>
                <w:sz w:val="20"/>
                <w:szCs w:val="20"/>
              </w:rPr>
              <w:t xml:space="preserve">Operator distributivnog sistema </w:t>
            </w:r>
          </w:p>
          <w:p w14:paraId="1BE04E11"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Privatni investitori, lokalne samouprave, </w:t>
            </w:r>
          </w:p>
        </w:tc>
        <w:tc>
          <w:tcPr>
            <w:tcW w:w="1747" w:type="dxa"/>
            <w:vAlign w:val="center"/>
          </w:tcPr>
          <w:p w14:paraId="071F9D5F"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33 mil. €</w:t>
            </w:r>
          </w:p>
        </w:tc>
        <w:tc>
          <w:tcPr>
            <w:tcW w:w="1783" w:type="dxa"/>
            <w:vAlign w:val="center"/>
          </w:tcPr>
          <w:p w14:paraId="62E50C04"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2026. – 2029. </w:t>
            </w:r>
          </w:p>
        </w:tc>
        <w:tc>
          <w:tcPr>
            <w:tcW w:w="1874" w:type="dxa"/>
            <w:vAlign w:val="center"/>
          </w:tcPr>
          <w:p w14:paraId="080AF2BD"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Očekivano smanjenje emisija: NOx – 0,08 kt, NMVOC – 0,73 kt, SO</w:t>
            </w:r>
            <w:r w:rsidRPr="001C58C6">
              <w:rPr>
                <w:rFonts w:ascii="Calibri" w:hAnsi="Calibri" w:cs="Calibri"/>
                <w:color w:val="000000" w:themeColor="text1"/>
                <w:sz w:val="20"/>
                <w:szCs w:val="20"/>
                <w:vertAlign w:val="subscript"/>
              </w:rPr>
              <w:t>2</w:t>
            </w:r>
            <w:r w:rsidRPr="001C58C6">
              <w:rPr>
                <w:rFonts w:ascii="Calibri" w:hAnsi="Calibri" w:cs="Calibri"/>
                <w:color w:val="000000" w:themeColor="text1"/>
                <w:sz w:val="20"/>
                <w:szCs w:val="20"/>
              </w:rPr>
              <w:t xml:space="preserve"> – 0,2 kt , NH</w:t>
            </w:r>
            <w:r w:rsidRPr="001C58C6">
              <w:rPr>
                <w:rFonts w:ascii="Calibri" w:hAnsi="Calibri" w:cs="Calibri"/>
                <w:color w:val="000000" w:themeColor="text1"/>
                <w:sz w:val="20"/>
                <w:szCs w:val="20"/>
                <w:vertAlign w:val="subscript"/>
              </w:rPr>
              <w:t>3</w:t>
            </w:r>
            <w:r w:rsidRPr="001C58C6">
              <w:rPr>
                <w:rFonts w:ascii="Calibri" w:hAnsi="Calibri" w:cs="Calibri"/>
                <w:color w:val="000000" w:themeColor="text1"/>
                <w:sz w:val="20"/>
                <w:szCs w:val="20"/>
              </w:rPr>
              <w:t xml:space="preserve"> – 0,01 kt, PM</w:t>
            </w:r>
            <w:r w:rsidRPr="001C58C6">
              <w:rPr>
                <w:rFonts w:ascii="Calibri" w:hAnsi="Calibri" w:cs="Calibri"/>
                <w:color w:val="000000" w:themeColor="text1"/>
                <w:sz w:val="20"/>
                <w:szCs w:val="20"/>
                <w:vertAlign w:val="subscript"/>
              </w:rPr>
              <w:t>2.5</w:t>
            </w:r>
            <w:r w:rsidRPr="001C58C6">
              <w:rPr>
                <w:rFonts w:ascii="Calibri" w:hAnsi="Calibri" w:cs="Calibri"/>
                <w:color w:val="000000" w:themeColor="text1"/>
                <w:sz w:val="20"/>
                <w:szCs w:val="20"/>
              </w:rPr>
              <w:t xml:space="preserve"> – 0,69 kt</w:t>
            </w:r>
          </w:p>
          <w:p w14:paraId="270EE4C0"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
        </w:tc>
      </w:tr>
      <w:tr w:rsidR="001C58C6" w:rsidRPr="001C58C6" w14:paraId="499E7A14" w14:textId="77777777" w:rsidTr="00E630B7">
        <w:tc>
          <w:tcPr>
            <w:cnfStyle w:val="001000000000" w:firstRow="0" w:lastRow="0" w:firstColumn="1" w:lastColumn="0" w:oddVBand="0" w:evenVBand="0" w:oddHBand="0" w:evenHBand="0" w:firstRowFirstColumn="0" w:firstRowLastColumn="0" w:lastRowFirstColumn="0" w:lastRowLastColumn="0"/>
            <w:tcW w:w="883" w:type="dxa"/>
            <w:vAlign w:val="center"/>
          </w:tcPr>
          <w:p w14:paraId="67270FF9" w14:textId="77777777" w:rsidR="00E630B7" w:rsidRPr="001C58C6" w:rsidRDefault="00E630B7" w:rsidP="00E53052">
            <w:pPr>
              <w:pStyle w:val="ListParagraph"/>
              <w:numPr>
                <w:ilvl w:val="0"/>
                <w:numId w:val="50"/>
              </w:numPr>
              <w:jc w:val="left"/>
              <w:rPr>
                <w:rFonts w:ascii="Calibri" w:hAnsi="Calibri" w:cs="Calibri"/>
                <w:color w:val="000000" w:themeColor="text1"/>
                <w:sz w:val="20"/>
                <w:szCs w:val="20"/>
              </w:rPr>
            </w:pPr>
          </w:p>
        </w:tc>
        <w:tc>
          <w:tcPr>
            <w:tcW w:w="2345" w:type="dxa"/>
            <w:vAlign w:val="center"/>
          </w:tcPr>
          <w:p w14:paraId="609CA576" w14:textId="77777777" w:rsidR="00E630B7" w:rsidRPr="001C58C6" w:rsidRDefault="00E630B7" w:rsidP="00743A33">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eastAsia="Aptos" w:hAnsi="Calibri" w:cs="Calibri"/>
                <w:color w:val="000000" w:themeColor="text1"/>
                <w:sz w:val="20"/>
                <w:szCs w:val="20"/>
              </w:rPr>
              <w:t>Aukcije za OIE i dodatni kapaciteti</w:t>
            </w:r>
          </w:p>
        </w:tc>
        <w:tc>
          <w:tcPr>
            <w:tcW w:w="2110" w:type="dxa"/>
            <w:vAlign w:val="center"/>
          </w:tcPr>
          <w:p w14:paraId="74849BA5"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Cilj 1: Poboljšanje kvaliteta vazduha</w:t>
            </w:r>
          </w:p>
          <w:p w14:paraId="1E540BD8"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1.A - smanjenje koncentracija suspendovanih čestica i sadržaja benzo(a)pirena u Sjevernoj zoni kvaliteta vazduha;</w:t>
            </w:r>
          </w:p>
          <w:p w14:paraId="19571D89"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1.B - smanjenje sadržaja benzo(a)pirena u suspendovanim česticama u Centralnoj zoni kvaliteta vazduha;</w:t>
            </w:r>
          </w:p>
          <w:p w14:paraId="3E14CFDC"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1.C - smanjenje emisija zagađujućih materija (NOx, SO2, VOC, NH3 i PM2.5).</w:t>
            </w:r>
          </w:p>
        </w:tc>
        <w:tc>
          <w:tcPr>
            <w:tcW w:w="2135" w:type="dxa"/>
            <w:vAlign w:val="center"/>
          </w:tcPr>
          <w:p w14:paraId="3F770283"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rPr>
            </w:pPr>
            <w:r w:rsidRPr="001C58C6">
              <w:rPr>
                <w:rFonts w:ascii="Calibri" w:hAnsi="Calibri" w:cs="Calibri"/>
                <w:b/>
                <w:bCs/>
                <w:color w:val="000000" w:themeColor="text1"/>
                <w:sz w:val="20"/>
                <w:szCs w:val="20"/>
              </w:rPr>
              <w:t xml:space="preserve">Operator distributivnog sistema </w:t>
            </w:r>
          </w:p>
          <w:p w14:paraId="53A84264"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Privatni investitori, lokalne samouprave, </w:t>
            </w:r>
          </w:p>
        </w:tc>
        <w:tc>
          <w:tcPr>
            <w:tcW w:w="1747" w:type="dxa"/>
            <w:vAlign w:val="center"/>
          </w:tcPr>
          <w:p w14:paraId="7907D842"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1,500 mil. €</w:t>
            </w:r>
          </w:p>
        </w:tc>
        <w:tc>
          <w:tcPr>
            <w:tcW w:w="1783" w:type="dxa"/>
            <w:vAlign w:val="center"/>
          </w:tcPr>
          <w:p w14:paraId="3D004554"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 xml:space="preserve">2026. – 2029. </w:t>
            </w:r>
          </w:p>
        </w:tc>
        <w:tc>
          <w:tcPr>
            <w:tcW w:w="1874" w:type="dxa"/>
            <w:vAlign w:val="center"/>
          </w:tcPr>
          <w:p w14:paraId="4E7069FA" w14:textId="77777777" w:rsidR="00E630B7" w:rsidRPr="001C58C6" w:rsidRDefault="00E630B7" w:rsidP="00743A3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C58C6">
              <w:rPr>
                <w:rFonts w:ascii="Calibri" w:hAnsi="Calibri" w:cs="Calibri"/>
                <w:color w:val="000000" w:themeColor="text1"/>
                <w:sz w:val="20"/>
                <w:szCs w:val="20"/>
              </w:rPr>
              <w:t>Očekivano smanjenje emisija: NOx – 0,1 kt, NMVOC – 0,97 kt, SO2 - 0.2 kt, NH3 – 0,01 kt, PM2.5 – 0,99 kt</w:t>
            </w:r>
          </w:p>
        </w:tc>
      </w:tr>
    </w:tbl>
    <w:p w14:paraId="5FBE3E6F" w14:textId="77777777" w:rsidR="00E630B7" w:rsidRPr="001C58C6" w:rsidRDefault="00E630B7" w:rsidP="00E630B7">
      <w:pPr>
        <w:spacing w:line="276" w:lineRule="auto"/>
        <w:rPr>
          <w:rFonts w:ascii="Calibri" w:hAnsi="Calibri" w:cs="Calibri"/>
          <w:color w:val="000000" w:themeColor="text1"/>
        </w:rPr>
        <w:sectPr w:rsidR="00E630B7" w:rsidRPr="001C58C6" w:rsidSect="00E630B7">
          <w:pgSz w:w="16838" w:h="11906" w:orient="landscape"/>
          <w:pgMar w:top="1440" w:right="1440" w:bottom="1440" w:left="1440" w:header="709" w:footer="709" w:gutter="0"/>
          <w:cols w:space="708"/>
          <w:docGrid w:linePitch="360"/>
        </w:sectPr>
      </w:pPr>
    </w:p>
    <w:p w14:paraId="206E1B1E" w14:textId="77777777" w:rsidR="00C81258" w:rsidRPr="001C58C6" w:rsidRDefault="00C81258" w:rsidP="000B41E7">
      <w:pPr>
        <w:pStyle w:val="Heading1"/>
        <w:rPr>
          <w:rFonts w:ascii="Calibri" w:hAnsi="Calibri" w:cs="Calibri"/>
          <w:color w:val="000000" w:themeColor="text1"/>
        </w:rPr>
      </w:pPr>
      <w:bookmarkStart w:id="124" w:name="_Toc220070441"/>
      <w:bookmarkStart w:id="125" w:name="_Toc233711760"/>
      <w:r w:rsidRPr="001C58C6">
        <w:rPr>
          <w:rFonts w:ascii="Calibri" w:hAnsi="Calibri" w:cs="Calibri"/>
          <w:color w:val="000000" w:themeColor="text1"/>
        </w:rPr>
        <w:lastRenderedPageBreak/>
        <w:t>7</w:t>
      </w:r>
      <w:r w:rsidR="000B41E7" w:rsidRPr="001C58C6">
        <w:rPr>
          <w:rFonts w:ascii="Calibri" w:hAnsi="Calibri" w:cs="Calibri"/>
          <w:color w:val="000000" w:themeColor="text1"/>
        </w:rPr>
        <w:t>.</w:t>
      </w:r>
      <w:r w:rsidRPr="001C58C6">
        <w:rPr>
          <w:rFonts w:ascii="Calibri" w:hAnsi="Calibri" w:cs="Calibri"/>
          <w:color w:val="000000" w:themeColor="text1"/>
        </w:rPr>
        <w:t xml:space="preserve"> PLANOVI KVALITETA VAZDUHA</w:t>
      </w:r>
      <w:bookmarkEnd w:id="124"/>
      <w:bookmarkEnd w:id="125"/>
    </w:p>
    <w:p w14:paraId="3B130BDD" w14:textId="77777777" w:rsidR="00F447D3" w:rsidRPr="001C58C6" w:rsidRDefault="00F447D3" w:rsidP="000C2FDE">
      <w:pPr>
        <w:rPr>
          <w:rFonts w:ascii="Calibri" w:hAnsi="Calibri" w:cs="Calibri"/>
          <w:color w:val="000000" w:themeColor="text1"/>
        </w:rPr>
      </w:pPr>
    </w:p>
    <w:p w14:paraId="64BAFF70" w14:textId="3000C343"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Planovi kvaliteta vazduha za tri zone kvaliteta definisane u Crnoj Gori (vidi poglavlje 2) izrađeni su u skladu sa Zakonom o zaštiti vazduha, uzimajući u obzir novine uvedene novom Direktivom EU o čistijem vazduhu u Evropi (EU) </w:t>
      </w:r>
      <w:r w:rsidR="00C7424E">
        <w:rPr>
          <w:rFonts w:ascii="Calibri" w:hAnsi="Calibri" w:cs="Calibri"/>
          <w:color w:val="000000" w:themeColor="text1"/>
        </w:rPr>
        <w:t>2024/2881</w:t>
      </w:r>
      <w:r w:rsidRPr="001C58C6">
        <w:rPr>
          <w:rFonts w:ascii="Calibri" w:hAnsi="Calibri" w:cs="Calibri"/>
          <w:color w:val="000000" w:themeColor="text1"/>
        </w:rPr>
        <w:t>, uključujući i sadržaj plana, u mjeri u kojoj je to bilo moguće u skladu sa dostupnoš</w:t>
      </w:r>
      <w:r w:rsidR="003B196E">
        <w:rPr>
          <w:rFonts w:ascii="Calibri" w:hAnsi="Calibri" w:cs="Calibri"/>
          <w:color w:val="000000" w:themeColor="text1"/>
        </w:rPr>
        <w:t>ć</w:t>
      </w:r>
      <w:r w:rsidRPr="001C58C6">
        <w:rPr>
          <w:rFonts w:ascii="Calibri" w:hAnsi="Calibri" w:cs="Calibri"/>
          <w:color w:val="000000" w:themeColor="text1"/>
        </w:rPr>
        <w:t xml:space="preserve">u podataka. </w:t>
      </w:r>
    </w:p>
    <w:p w14:paraId="74E669F0" w14:textId="77777777" w:rsidR="00C87B0E" w:rsidRPr="001C58C6" w:rsidRDefault="00731DBE" w:rsidP="001D5B6A">
      <w:pPr>
        <w:pStyle w:val="Heading2"/>
        <w:rPr>
          <w:rFonts w:ascii="Calibri" w:hAnsi="Calibri" w:cs="Calibri"/>
          <w:color w:val="000000" w:themeColor="text1"/>
        </w:rPr>
      </w:pPr>
      <w:bookmarkStart w:id="126" w:name="_Toc220070442"/>
      <w:bookmarkStart w:id="127" w:name="_Toc233711761"/>
      <w:bookmarkStart w:id="128" w:name="_GoBack"/>
      <w:bookmarkEnd w:id="128"/>
      <w:r w:rsidRPr="001C58C6">
        <w:rPr>
          <w:rFonts w:ascii="Calibri" w:hAnsi="Calibri" w:cs="Calibri"/>
          <w:color w:val="000000" w:themeColor="text1"/>
        </w:rPr>
        <w:t>7.1</w:t>
      </w:r>
      <w:r w:rsidR="001D5B6A" w:rsidRPr="001C58C6">
        <w:rPr>
          <w:rFonts w:ascii="Calibri" w:hAnsi="Calibri" w:cs="Calibri"/>
          <w:color w:val="000000" w:themeColor="text1"/>
        </w:rPr>
        <w:t xml:space="preserve"> </w:t>
      </w:r>
      <w:r w:rsidRPr="001C58C6">
        <w:rPr>
          <w:rFonts w:ascii="Calibri" w:hAnsi="Calibri" w:cs="Calibri"/>
          <w:color w:val="000000" w:themeColor="text1"/>
        </w:rPr>
        <w:t>Plan kvaliteta vazduha za sjevernu zonu</w:t>
      </w:r>
      <w:bookmarkEnd w:id="126"/>
      <w:bookmarkEnd w:id="127"/>
    </w:p>
    <w:p w14:paraId="7C5BD5BB" w14:textId="77777777" w:rsidR="00C87B0E" w:rsidRPr="001C58C6" w:rsidRDefault="0033245A" w:rsidP="001D5B6A">
      <w:pPr>
        <w:pStyle w:val="Heading3"/>
        <w:rPr>
          <w:rFonts w:ascii="Calibri" w:hAnsi="Calibri" w:cs="Calibri"/>
          <w:color w:val="000000" w:themeColor="text1"/>
        </w:rPr>
      </w:pPr>
      <w:bookmarkStart w:id="129" w:name="_Toc217388085"/>
      <w:bookmarkStart w:id="130" w:name="_Toc220070443"/>
      <w:bookmarkStart w:id="131" w:name="_Toc233711762"/>
      <w:r w:rsidRPr="001C58C6">
        <w:rPr>
          <w:rFonts w:ascii="Calibri" w:hAnsi="Calibri" w:cs="Calibri"/>
          <w:color w:val="000000" w:themeColor="text1"/>
        </w:rPr>
        <w:t>7.1.1</w:t>
      </w:r>
      <w:r w:rsidR="001D5B6A" w:rsidRPr="001C58C6">
        <w:rPr>
          <w:rFonts w:ascii="Calibri" w:hAnsi="Calibri" w:cs="Calibri"/>
          <w:color w:val="000000" w:themeColor="text1"/>
        </w:rPr>
        <w:t xml:space="preserve"> </w:t>
      </w:r>
      <w:r w:rsidR="00C87B0E" w:rsidRPr="001C58C6">
        <w:rPr>
          <w:rFonts w:ascii="Calibri" w:hAnsi="Calibri" w:cs="Calibri"/>
          <w:color w:val="000000" w:themeColor="text1"/>
        </w:rPr>
        <w:t>Lokacija prekoračenja zagađenja (region, opština, mjerno mjesto)</w:t>
      </w:r>
      <w:bookmarkEnd w:id="129"/>
      <w:bookmarkEnd w:id="130"/>
      <w:bookmarkEnd w:id="131"/>
    </w:p>
    <w:p w14:paraId="6A2351C7"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Sjeverna zona kvaliteta vazduha obuhvata sjeverni region Crne Gore i uključuje sljedeće opštine: Andrijevica, Berane, Bijelo Polje, Gusinje, Kolašin, Mojkovac, Petnjica, Plav, Plužine, Pljevlja, Rožaje, Šavnik i Žabljak, u skladu sa Uredbom o uspostavljanju mreže mjernih mjesta za praćenje kvaliteta vazduha kojom su utvrđene zone kvaliteta vazduha u Crnoj Gori. </w:t>
      </w:r>
    </w:p>
    <w:p w14:paraId="68054064" w14:textId="77777777" w:rsidR="00806123" w:rsidRPr="001C58C6" w:rsidRDefault="00806123" w:rsidP="00C87B0E">
      <w:pPr>
        <w:rPr>
          <w:rFonts w:ascii="Calibri" w:hAnsi="Calibri" w:cs="Calibri"/>
          <w:color w:val="000000" w:themeColor="text1"/>
        </w:rPr>
      </w:pPr>
    </w:p>
    <w:p w14:paraId="2C843B42"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U okviru Sjeverne zone kvaliteta vazduha kvalitet vazduha se kontinuirano prati na 3 mjerna mjesta: </w:t>
      </w:r>
    </w:p>
    <w:p w14:paraId="67E22146" w14:textId="77777777" w:rsidR="00806123" w:rsidRPr="001C58C6" w:rsidRDefault="00806123" w:rsidP="00C87B0E">
      <w:pPr>
        <w:rPr>
          <w:rFonts w:ascii="Calibri" w:hAnsi="Calibri" w:cs="Calibri"/>
          <w:b/>
          <w:bCs/>
          <w:i/>
          <w:iCs/>
          <w:smallCaps/>
          <w:color w:val="000000" w:themeColor="text1"/>
          <w:sz w:val="20"/>
          <w:szCs w:val="20"/>
        </w:rPr>
      </w:pPr>
    </w:p>
    <w:p w14:paraId="69237383" w14:textId="77777777" w:rsidR="00C87B0E" w:rsidRPr="001C58C6" w:rsidRDefault="00806123" w:rsidP="00806123">
      <w:pPr>
        <w:pStyle w:val="Caption"/>
        <w:keepNext/>
        <w:rPr>
          <w:rFonts w:ascii="Calibri" w:hAnsi="Calibri" w:cs="Calibri"/>
          <w:i/>
          <w:iCs/>
          <w:color w:val="000000" w:themeColor="text1"/>
          <w:sz w:val="20"/>
          <w:szCs w:val="20"/>
        </w:rPr>
      </w:pPr>
      <w:bookmarkStart w:id="132" w:name="_Toc217388762"/>
      <w:bookmarkStart w:id="133" w:name="_Toc217388807"/>
      <w:bookmarkStart w:id="134" w:name="_Toc233584681"/>
      <w:bookmarkStart w:id="135" w:name="_Hlk217380091"/>
      <w:r w:rsidRPr="001C58C6">
        <w:rPr>
          <w:rFonts w:ascii="Calibri" w:hAnsi="Calibri" w:cs="Calibri"/>
          <w:i/>
          <w:iCs/>
          <w:color w:val="000000" w:themeColor="text1"/>
          <w:sz w:val="20"/>
          <w:szCs w:val="20"/>
        </w:rPr>
        <w:t xml:space="preserve">Tabela </w:t>
      </w:r>
      <w:r w:rsidRPr="001C58C6">
        <w:rPr>
          <w:rFonts w:ascii="Calibri" w:hAnsi="Calibri" w:cs="Calibri"/>
          <w:i/>
          <w:iCs/>
          <w:color w:val="000000" w:themeColor="text1"/>
          <w:sz w:val="20"/>
          <w:szCs w:val="20"/>
        </w:rPr>
        <w:fldChar w:fldCharType="begin"/>
      </w:r>
      <w:r w:rsidRPr="001C58C6">
        <w:rPr>
          <w:rFonts w:ascii="Calibri" w:hAnsi="Calibri" w:cs="Calibri"/>
          <w:i/>
          <w:iCs/>
          <w:color w:val="000000" w:themeColor="text1"/>
          <w:sz w:val="20"/>
          <w:szCs w:val="20"/>
        </w:rPr>
        <w:instrText xml:space="preserve"> SEQ Tabela \* ARABIC </w:instrText>
      </w:r>
      <w:r w:rsidRPr="001C58C6">
        <w:rPr>
          <w:rFonts w:ascii="Calibri" w:hAnsi="Calibri" w:cs="Calibri"/>
          <w:i/>
          <w:iCs/>
          <w:color w:val="000000" w:themeColor="text1"/>
          <w:sz w:val="20"/>
          <w:szCs w:val="20"/>
        </w:rPr>
        <w:fldChar w:fldCharType="separate"/>
      </w:r>
      <w:r w:rsidR="00752282" w:rsidRPr="001C58C6">
        <w:rPr>
          <w:rFonts w:ascii="Calibri" w:hAnsi="Calibri" w:cs="Calibri"/>
          <w:i/>
          <w:iCs/>
          <w:color w:val="000000" w:themeColor="text1"/>
          <w:sz w:val="20"/>
          <w:szCs w:val="20"/>
        </w:rPr>
        <w:t>6</w:t>
      </w:r>
      <w:r w:rsidRPr="001C58C6">
        <w:rPr>
          <w:rFonts w:ascii="Calibri" w:hAnsi="Calibri" w:cs="Calibri"/>
          <w:i/>
          <w:iCs/>
          <w:color w:val="000000" w:themeColor="text1"/>
          <w:sz w:val="20"/>
          <w:szCs w:val="20"/>
        </w:rPr>
        <w:fldChar w:fldCharType="end"/>
      </w:r>
      <w:r w:rsidR="001743DE" w:rsidRPr="001C58C6">
        <w:rPr>
          <w:rFonts w:ascii="Calibri" w:hAnsi="Calibri" w:cs="Calibri"/>
          <w:i/>
          <w:iCs/>
          <w:color w:val="000000" w:themeColor="text1"/>
          <w:sz w:val="20"/>
          <w:szCs w:val="20"/>
        </w:rPr>
        <w:t xml:space="preserve">: </w:t>
      </w:r>
      <w:r w:rsidR="00C87B0E" w:rsidRPr="001C58C6">
        <w:rPr>
          <w:rFonts w:ascii="Calibri" w:hAnsi="Calibri" w:cs="Calibri"/>
          <w:i/>
          <w:iCs/>
          <w:color w:val="000000" w:themeColor="text1"/>
          <w:sz w:val="20"/>
          <w:szCs w:val="20"/>
        </w:rPr>
        <w:t>Mjerna mjesta u Sjevernoj zoni kvaliteta vazduha</w:t>
      </w:r>
      <w:bookmarkEnd w:id="132"/>
      <w:bookmarkEnd w:id="133"/>
      <w:bookmarkEnd w:id="134"/>
    </w:p>
    <w:tbl>
      <w:tblPr>
        <w:tblStyle w:val="GridTable1Light-Accent1"/>
        <w:tblW w:w="5000" w:type="pct"/>
        <w:tblLook w:val="04A0" w:firstRow="1" w:lastRow="0" w:firstColumn="1" w:lastColumn="0" w:noHBand="0" w:noVBand="1"/>
      </w:tblPr>
      <w:tblGrid>
        <w:gridCol w:w="690"/>
        <w:gridCol w:w="1103"/>
        <w:gridCol w:w="1266"/>
        <w:gridCol w:w="1406"/>
        <w:gridCol w:w="1406"/>
        <w:gridCol w:w="3145"/>
      </w:tblGrid>
      <w:tr w:rsidR="00731DBE" w:rsidRPr="001C58C6" w14:paraId="32AC4D84" w14:textId="77777777" w:rsidTr="00731D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 w:type="pct"/>
            <w:shd w:val="clear" w:color="auto" w:fill="E8E8E8" w:themeFill="background2"/>
            <w:hideMark/>
          </w:tcPr>
          <w:p w14:paraId="101356D0" w14:textId="77777777" w:rsidR="00731DBE" w:rsidRPr="001C58C6" w:rsidRDefault="00731DBE" w:rsidP="001743DE">
            <w:pPr>
              <w:jc w:val="center"/>
              <w:rPr>
                <w:rFonts w:ascii="Calibri" w:hAnsi="Calibri" w:cs="Calibri"/>
                <w:color w:val="000000" w:themeColor="text1"/>
                <w:sz w:val="22"/>
              </w:rPr>
            </w:pPr>
            <w:bookmarkStart w:id="136" w:name="_Hlk216349719"/>
            <w:bookmarkEnd w:id="135"/>
            <w:r w:rsidRPr="001C58C6">
              <w:rPr>
                <w:rFonts w:ascii="Calibri" w:hAnsi="Calibri" w:cs="Calibri"/>
                <w:color w:val="000000" w:themeColor="text1"/>
                <w:sz w:val="22"/>
              </w:rPr>
              <w:t>Red.</w:t>
            </w:r>
            <w:bookmarkEnd w:id="136"/>
          </w:p>
          <w:p w14:paraId="50F62475" w14:textId="77777777" w:rsidR="00731DBE" w:rsidRPr="001C58C6" w:rsidRDefault="00731DBE" w:rsidP="001743DE">
            <w:pPr>
              <w:jc w:val="center"/>
              <w:rPr>
                <w:rFonts w:ascii="Calibri" w:hAnsi="Calibri" w:cs="Calibri"/>
                <w:color w:val="000000" w:themeColor="text1"/>
                <w:sz w:val="22"/>
              </w:rPr>
            </w:pPr>
            <w:r w:rsidRPr="001C58C6">
              <w:rPr>
                <w:rFonts w:ascii="Calibri" w:hAnsi="Calibri" w:cs="Calibri"/>
                <w:color w:val="000000" w:themeColor="text1"/>
                <w:sz w:val="22"/>
              </w:rPr>
              <w:t>broj</w:t>
            </w:r>
          </w:p>
        </w:tc>
        <w:tc>
          <w:tcPr>
            <w:tcW w:w="611" w:type="pct"/>
            <w:shd w:val="clear" w:color="auto" w:fill="E8E8E8" w:themeFill="background2"/>
            <w:hideMark/>
          </w:tcPr>
          <w:p w14:paraId="0DE16D81" w14:textId="77777777" w:rsidR="00731DBE" w:rsidRPr="001C58C6" w:rsidRDefault="00731DBE" w:rsidP="001743D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Mjerno mjesto</w:t>
            </w:r>
          </w:p>
        </w:tc>
        <w:tc>
          <w:tcPr>
            <w:tcW w:w="702" w:type="pct"/>
            <w:shd w:val="clear" w:color="auto" w:fill="E8E8E8" w:themeFill="background2"/>
            <w:hideMark/>
          </w:tcPr>
          <w:p w14:paraId="1C32AEE7" w14:textId="77777777" w:rsidR="00731DBE" w:rsidRPr="001C58C6" w:rsidRDefault="00731DBE" w:rsidP="001743D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Zona</w:t>
            </w:r>
          </w:p>
        </w:tc>
        <w:tc>
          <w:tcPr>
            <w:tcW w:w="780" w:type="pct"/>
            <w:shd w:val="clear" w:color="auto" w:fill="E8E8E8" w:themeFill="background2"/>
          </w:tcPr>
          <w:p w14:paraId="5F6CA0DE" w14:textId="77777777" w:rsidR="00731DBE" w:rsidRPr="001C58C6" w:rsidRDefault="00731DBE" w:rsidP="001743D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rPr>
            </w:pPr>
          </w:p>
        </w:tc>
        <w:tc>
          <w:tcPr>
            <w:tcW w:w="780" w:type="pct"/>
            <w:shd w:val="clear" w:color="auto" w:fill="E8E8E8" w:themeFill="background2"/>
            <w:hideMark/>
          </w:tcPr>
          <w:p w14:paraId="65645364" w14:textId="77777777" w:rsidR="00731DBE" w:rsidRPr="001C58C6" w:rsidRDefault="00731DBE" w:rsidP="001743D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Vrsta mjernog mjesta</w:t>
            </w:r>
          </w:p>
        </w:tc>
        <w:tc>
          <w:tcPr>
            <w:tcW w:w="1744" w:type="pct"/>
            <w:shd w:val="clear" w:color="auto" w:fill="E8E8E8" w:themeFill="background2"/>
            <w:hideMark/>
          </w:tcPr>
          <w:p w14:paraId="54E00F00" w14:textId="77777777" w:rsidR="00731DBE" w:rsidRPr="001C58C6" w:rsidRDefault="00731DBE" w:rsidP="001743D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Zagađujuće materije koje se mjere</w:t>
            </w:r>
          </w:p>
        </w:tc>
      </w:tr>
      <w:tr w:rsidR="00731DBE" w:rsidRPr="001C58C6" w14:paraId="483F93D2" w14:textId="77777777" w:rsidTr="00731DBE">
        <w:tc>
          <w:tcPr>
            <w:cnfStyle w:val="001000000000" w:firstRow="0" w:lastRow="0" w:firstColumn="1" w:lastColumn="0" w:oddVBand="0" w:evenVBand="0" w:oddHBand="0" w:evenHBand="0" w:firstRowFirstColumn="0" w:firstRowLastColumn="0" w:lastRowFirstColumn="0" w:lastRowLastColumn="0"/>
            <w:tcW w:w="382" w:type="pct"/>
            <w:hideMark/>
          </w:tcPr>
          <w:p w14:paraId="1726849E" w14:textId="77777777" w:rsidR="00731DBE" w:rsidRPr="001C58C6" w:rsidRDefault="00731DBE" w:rsidP="001743DE">
            <w:pPr>
              <w:jc w:val="center"/>
              <w:rPr>
                <w:rFonts w:ascii="Calibri" w:hAnsi="Calibri" w:cs="Calibri"/>
                <w:b w:val="0"/>
                <w:bCs w:val="0"/>
                <w:color w:val="000000" w:themeColor="text1"/>
                <w:sz w:val="22"/>
              </w:rPr>
            </w:pPr>
            <w:r w:rsidRPr="001C58C6">
              <w:rPr>
                <w:rFonts w:ascii="Calibri" w:hAnsi="Calibri" w:cs="Calibri"/>
                <w:b w:val="0"/>
                <w:bCs w:val="0"/>
                <w:color w:val="000000" w:themeColor="text1"/>
                <w:sz w:val="22"/>
              </w:rPr>
              <w:t>1.</w:t>
            </w:r>
          </w:p>
        </w:tc>
        <w:tc>
          <w:tcPr>
            <w:tcW w:w="611" w:type="pct"/>
            <w:hideMark/>
          </w:tcPr>
          <w:p w14:paraId="3BBA55B3" w14:textId="77777777" w:rsidR="00731DBE" w:rsidRPr="001C58C6" w:rsidRDefault="00731DBE" w:rsidP="001743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Pljevlja-Gagovića imanje</w:t>
            </w:r>
          </w:p>
        </w:tc>
        <w:tc>
          <w:tcPr>
            <w:tcW w:w="702" w:type="pct"/>
            <w:hideMark/>
          </w:tcPr>
          <w:p w14:paraId="7676859F" w14:textId="77777777" w:rsidR="00731DBE" w:rsidRPr="001C58C6" w:rsidRDefault="00731DBE" w:rsidP="001743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Sjeverna</w:t>
            </w:r>
          </w:p>
        </w:tc>
        <w:tc>
          <w:tcPr>
            <w:tcW w:w="780" w:type="pct"/>
          </w:tcPr>
          <w:p w14:paraId="3BF11D8C" w14:textId="77777777" w:rsidR="00731DBE" w:rsidRPr="001C58C6" w:rsidRDefault="00731DBE" w:rsidP="001743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p>
        </w:tc>
        <w:tc>
          <w:tcPr>
            <w:tcW w:w="780" w:type="pct"/>
            <w:hideMark/>
          </w:tcPr>
          <w:p w14:paraId="2C075635" w14:textId="77777777" w:rsidR="00731DBE" w:rsidRPr="001C58C6" w:rsidRDefault="00731DBE" w:rsidP="001743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UB</w:t>
            </w:r>
          </w:p>
        </w:tc>
        <w:tc>
          <w:tcPr>
            <w:tcW w:w="1744" w:type="pct"/>
            <w:hideMark/>
          </w:tcPr>
          <w:p w14:paraId="3082FAA2" w14:textId="77777777" w:rsidR="00731DBE" w:rsidRPr="001C58C6" w:rsidRDefault="00731DBE" w:rsidP="001743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vertAlign w:val="subscript"/>
              </w:rPr>
            </w:pPr>
            <w:r w:rsidRPr="001C58C6">
              <w:rPr>
                <w:rFonts w:ascii="Calibri" w:hAnsi="Calibri" w:cs="Calibri"/>
                <w:color w:val="000000" w:themeColor="text1"/>
                <w:sz w:val="22"/>
              </w:rPr>
              <w:t>NO, NO</w:t>
            </w:r>
            <w:r w:rsidRPr="001C58C6">
              <w:rPr>
                <w:rFonts w:ascii="Calibri" w:hAnsi="Calibri" w:cs="Calibri"/>
                <w:color w:val="000000" w:themeColor="text1"/>
                <w:sz w:val="22"/>
                <w:vertAlign w:val="subscript"/>
              </w:rPr>
              <w:t xml:space="preserve">2, </w:t>
            </w:r>
            <w:r w:rsidRPr="001C58C6">
              <w:rPr>
                <w:rFonts w:ascii="Calibri" w:hAnsi="Calibri" w:cs="Calibri"/>
                <w:color w:val="000000" w:themeColor="text1"/>
                <w:sz w:val="22"/>
              </w:rPr>
              <w:t>NOx, SO</w:t>
            </w:r>
            <w:r w:rsidRPr="001C58C6">
              <w:rPr>
                <w:rFonts w:ascii="Calibri" w:hAnsi="Calibri" w:cs="Calibri"/>
                <w:color w:val="000000" w:themeColor="text1"/>
                <w:sz w:val="22"/>
                <w:vertAlign w:val="subscript"/>
              </w:rPr>
              <w:t>2</w:t>
            </w:r>
            <w:r w:rsidRPr="001C58C6">
              <w:rPr>
                <w:rFonts w:ascii="Calibri" w:hAnsi="Calibri" w:cs="Calibri"/>
                <w:color w:val="000000" w:themeColor="text1"/>
                <w:sz w:val="22"/>
              </w:rPr>
              <w:t>, CO, PM</w:t>
            </w:r>
            <w:r w:rsidRPr="001C58C6">
              <w:rPr>
                <w:rFonts w:ascii="Calibri" w:hAnsi="Calibri" w:cs="Calibri"/>
                <w:color w:val="000000" w:themeColor="text1"/>
                <w:sz w:val="22"/>
                <w:vertAlign w:val="subscript"/>
              </w:rPr>
              <w:t>2.5</w:t>
            </w:r>
            <w:r w:rsidRPr="001C58C6">
              <w:rPr>
                <w:rFonts w:ascii="Calibri" w:hAnsi="Calibri" w:cs="Calibri"/>
                <w:color w:val="000000" w:themeColor="text1"/>
                <w:sz w:val="22"/>
              </w:rPr>
              <w:t>, PM</w:t>
            </w:r>
            <w:r w:rsidRPr="001C58C6">
              <w:rPr>
                <w:rFonts w:ascii="Calibri" w:hAnsi="Calibri" w:cs="Calibri"/>
                <w:color w:val="000000" w:themeColor="text1"/>
                <w:sz w:val="22"/>
                <w:vertAlign w:val="subscript"/>
              </w:rPr>
              <w:t>10</w:t>
            </w:r>
          </w:p>
          <w:p w14:paraId="2BD5E85A" w14:textId="77777777" w:rsidR="00731DBE" w:rsidRPr="001C58C6" w:rsidRDefault="00731DBE" w:rsidP="001743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(Pb, As, Cd, Ni i BaP u PM</w:t>
            </w:r>
            <w:r w:rsidRPr="001C58C6">
              <w:rPr>
                <w:rFonts w:ascii="Calibri" w:hAnsi="Calibri" w:cs="Calibri"/>
                <w:color w:val="000000" w:themeColor="text1"/>
                <w:sz w:val="22"/>
                <w:vertAlign w:val="subscript"/>
              </w:rPr>
              <w:t>10</w:t>
            </w:r>
            <w:r w:rsidRPr="001C58C6">
              <w:rPr>
                <w:rFonts w:ascii="Calibri" w:hAnsi="Calibri" w:cs="Calibri"/>
                <w:color w:val="000000" w:themeColor="text1"/>
                <w:sz w:val="22"/>
              </w:rPr>
              <w:t>)</w:t>
            </w:r>
          </w:p>
        </w:tc>
      </w:tr>
      <w:tr w:rsidR="00731DBE" w:rsidRPr="001C58C6" w14:paraId="30D5BD83" w14:textId="77777777" w:rsidTr="00731DBE">
        <w:tc>
          <w:tcPr>
            <w:cnfStyle w:val="001000000000" w:firstRow="0" w:lastRow="0" w:firstColumn="1" w:lastColumn="0" w:oddVBand="0" w:evenVBand="0" w:oddHBand="0" w:evenHBand="0" w:firstRowFirstColumn="0" w:firstRowLastColumn="0" w:lastRowFirstColumn="0" w:lastRowLastColumn="0"/>
            <w:tcW w:w="382" w:type="pct"/>
            <w:hideMark/>
          </w:tcPr>
          <w:p w14:paraId="4A16B1EF" w14:textId="77777777" w:rsidR="00731DBE" w:rsidRPr="001C58C6" w:rsidRDefault="00731DBE" w:rsidP="001743DE">
            <w:pPr>
              <w:jc w:val="center"/>
              <w:rPr>
                <w:rFonts w:ascii="Calibri" w:hAnsi="Calibri" w:cs="Calibri"/>
                <w:b w:val="0"/>
                <w:bCs w:val="0"/>
                <w:color w:val="000000" w:themeColor="text1"/>
                <w:sz w:val="22"/>
              </w:rPr>
            </w:pPr>
            <w:r w:rsidRPr="001C58C6">
              <w:rPr>
                <w:rFonts w:ascii="Calibri" w:hAnsi="Calibri" w:cs="Calibri"/>
                <w:b w:val="0"/>
                <w:bCs w:val="0"/>
                <w:color w:val="000000" w:themeColor="text1"/>
                <w:sz w:val="22"/>
              </w:rPr>
              <w:t>2.</w:t>
            </w:r>
          </w:p>
        </w:tc>
        <w:tc>
          <w:tcPr>
            <w:tcW w:w="611" w:type="pct"/>
            <w:hideMark/>
          </w:tcPr>
          <w:p w14:paraId="63B50513" w14:textId="77777777" w:rsidR="00731DBE" w:rsidRPr="001C58C6" w:rsidRDefault="00731DBE" w:rsidP="001743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Gradina</w:t>
            </w:r>
          </w:p>
        </w:tc>
        <w:tc>
          <w:tcPr>
            <w:tcW w:w="702" w:type="pct"/>
            <w:hideMark/>
          </w:tcPr>
          <w:p w14:paraId="32908F48" w14:textId="77777777" w:rsidR="00731DBE" w:rsidRPr="001C58C6" w:rsidRDefault="00731DBE" w:rsidP="001743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Sjeverna</w:t>
            </w:r>
          </w:p>
        </w:tc>
        <w:tc>
          <w:tcPr>
            <w:tcW w:w="780" w:type="pct"/>
          </w:tcPr>
          <w:p w14:paraId="6ED58DC7" w14:textId="77777777" w:rsidR="00731DBE" w:rsidRPr="001C58C6" w:rsidRDefault="00731DBE" w:rsidP="001743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p>
        </w:tc>
        <w:tc>
          <w:tcPr>
            <w:tcW w:w="780" w:type="pct"/>
            <w:hideMark/>
          </w:tcPr>
          <w:p w14:paraId="11ACF638" w14:textId="77777777" w:rsidR="00731DBE" w:rsidRPr="001C58C6" w:rsidRDefault="00731DBE" w:rsidP="001743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RB</w:t>
            </w:r>
          </w:p>
        </w:tc>
        <w:tc>
          <w:tcPr>
            <w:tcW w:w="1744" w:type="pct"/>
            <w:hideMark/>
          </w:tcPr>
          <w:p w14:paraId="336E7D9D" w14:textId="77777777" w:rsidR="00731DBE" w:rsidRPr="001C58C6" w:rsidRDefault="00731DBE" w:rsidP="001743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NO, NO</w:t>
            </w:r>
            <w:r w:rsidRPr="001C58C6">
              <w:rPr>
                <w:rFonts w:ascii="Calibri" w:hAnsi="Calibri" w:cs="Calibri"/>
                <w:color w:val="000000" w:themeColor="text1"/>
                <w:sz w:val="22"/>
                <w:vertAlign w:val="subscript"/>
              </w:rPr>
              <w:t xml:space="preserve">2, </w:t>
            </w:r>
            <w:r w:rsidRPr="001C58C6">
              <w:rPr>
                <w:rFonts w:ascii="Calibri" w:hAnsi="Calibri" w:cs="Calibri"/>
                <w:color w:val="000000" w:themeColor="text1"/>
                <w:sz w:val="22"/>
              </w:rPr>
              <w:t>NOx, SO</w:t>
            </w:r>
            <w:r w:rsidRPr="001C58C6">
              <w:rPr>
                <w:rFonts w:ascii="Calibri" w:hAnsi="Calibri" w:cs="Calibri"/>
                <w:color w:val="000000" w:themeColor="text1"/>
                <w:sz w:val="22"/>
                <w:vertAlign w:val="subscript"/>
              </w:rPr>
              <w:t>2,</w:t>
            </w:r>
            <w:r w:rsidRPr="001C58C6">
              <w:rPr>
                <w:rFonts w:ascii="Calibri" w:hAnsi="Calibri" w:cs="Calibri"/>
                <w:color w:val="000000" w:themeColor="text1"/>
                <w:sz w:val="22"/>
              </w:rPr>
              <w:t xml:space="preserve"> O</w:t>
            </w:r>
            <w:r w:rsidRPr="001C58C6">
              <w:rPr>
                <w:rFonts w:ascii="Calibri" w:hAnsi="Calibri" w:cs="Calibri"/>
                <w:color w:val="000000" w:themeColor="text1"/>
                <w:sz w:val="22"/>
                <w:vertAlign w:val="subscript"/>
              </w:rPr>
              <w:t xml:space="preserve">3, </w:t>
            </w:r>
            <w:r w:rsidRPr="001C58C6">
              <w:rPr>
                <w:rFonts w:ascii="Calibri" w:hAnsi="Calibri" w:cs="Calibri"/>
                <w:color w:val="000000" w:themeColor="text1"/>
                <w:sz w:val="22"/>
              </w:rPr>
              <w:t>CH</w:t>
            </w:r>
            <w:r w:rsidRPr="001C58C6">
              <w:rPr>
                <w:rFonts w:ascii="Calibri" w:hAnsi="Calibri" w:cs="Calibri"/>
                <w:color w:val="000000" w:themeColor="text1"/>
                <w:sz w:val="22"/>
                <w:vertAlign w:val="subscript"/>
              </w:rPr>
              <w:t>4</w:t>
            </w:r>
            <w:r w:rsidRPr="001C58C6">
              <w:rPr>
                <w:rFonts w:ascii="Calibri" w:hAnsi="Calibri" w:cs="Calibri"/>
                <w:color w:val="000000" w:themeColor="text1"/>
                <w:sz w:val="22"/>
              </w:rPr>
              <w:t>, THC i Hg</w:t>
            </w:r>
          </w:p>
        </w:tc>
      </w:tr>
      <w:tr w:rsidR="00731DBE" w:rsidRPr="001C58C6" w14:paraId="46F7B8BF" w14:textId="77777777" w:rsidTr="00731DBE">
        <w:tc>
          <w:tcPr>
            <w:cnfStyle w:val="001000000000" w:firstRow="0" w:lastRow="0" w:firstColumn="1" w:lastColumn="0" w:oddVBand="0" w:evenVBand="0" w:oddHBand="0" w:evenHBand="0" w:firstRowFirstColumn="0" w:firstRowLastColumn="0" w:lastRowFirstColumn="0" w:lastRowLastColumn="0"/>
            <w:tcW w:w="382" w:type="pct"/>
            <w:hideMark/>
          </w:tcPr>
          <w:p w14:paraId="12D41D64" w14:textId="77777777" w:rsidR="00731DBE" w:rsidRPr="001C58C6" w:rsidRDefault="00731DBE" w:rsidP="001743DE">
            <w:pPr>
              <w:jc w:val="center"/>
              <w:rPr>
                <w:rFonts w:ascii="Calibri" w:hAnsi="Calibri" w:cs="Calibri"/>
                <w:b w:val="0"/>
                <w:bCs w:val="0"/>
                <w:color w:val="000000" w:themeColor="text1"/>
                <w:sz w:val="22"/>
              </w:rPr>
            </w:pPr>
            <w:r w:rsidRPr="001C58C6">
              <w:rPr>
                <w:rFonts w:ascii="Calibri" w:hAnsi="Calibri" w:cs="Calibri"/>
                <w:b w:val="0"/>
                <w:bCs w:val="0"/>
                <w:color w:val="000000" w:themeColor="text1"/>
                <w:sz w:val="22"/>
              </w:rPr>
              <w:t>3.</w:t>
            </w:r>
          </w:p>
        </w:tc>
        <w:tc>
          <w:tcPr>
            <w:tcW w:w="611" w:type="pct"/>
            <w:hideMark/>
          </w:tcPr>
          <w:p w14:paraId="6E782DC9" w14:textId="77777777" w:rsidR="00731DBE" w:rsidRPr="001C58C6" w:rsidRDefault="00731DBE" w:rsidP="001743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Bijelo Polje</w:t>
            </w:r>
          </w:p>
        </w:tc>
        <w:tc>
          <w:tcPr>
            <w:tcW w:w="702" w:type="pct"/>
            <w:hideMark/>
          </w:tcPr>
          <w:p w14:paraId="13817B86" w14:textId="77777777" w:rsidR="00731DBE" w:rsidRPr="001C58C6" w:rsidRDefault="00731DBE" w:rsidP="001743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Sjeverna</w:t>
            </w:r>
          </w:p>
        </w:tc>
        <w:tc>
          <w:tcPr>
            <w:tcW w:w="780" w:type="pct"/>
          </w:tcPr>
          <w:p w14:paraId="696C6EC3" w14:textId="77777777" w:rsidR="00731DBE" w:rsidRPr="001C58C6" w:rsidRDefault="00731DBE" w:rsidP="001743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p>
        </w:tc>
        <w:tc>
          <w:tcPr>
            <w:tcW w:w="780" w:type="pct"/>
            <w:hideMark/>
          </w:tcPr>
          <w:p w14:paraId="7FE219AF" w14:textId="77777777" w:rsidR="00731DBE" w:rsidRPr="001C58C6" w:rsidRDefault="00731DBE" w:rsidP="001743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UB</w:t>
            </w:r>
          </w:p>
        </w:tc>
        <w:tc>
          <w:tcPr>
            <w:tcW w:w="1744" w:type="pct"/>
            <w:hideMark/>
          </w:tcPr>
          <w:p w14:paraId="20004F87" w14:textId="77777777" w:rsidR="00731DBE" w:rsidRPr="001C58C6" w:rsidRDefault="00731DBE" w:rsidP="001743D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NO, NO</w:t>
            </w:r>
            <w:r w:rsidRPr="001C58C6">
              <w:rPr>
                <w:rFonts w:ascii="Calibri" w:hAnsi="Calibri" w:cs="Calibri"/>
                <w:color w:val="000000" w:themeColor="text1"/>
                <w:sz w:val="22"/>
                <w:vertAlign w:val="subscript"/>
              </w:rPr>
              <w:t xml:space="preserve">2, </w:t>
            </w:r>
            <w:r w:rsidRPr="001C58C6">
              <w:rPr>
                <w:rFonts w:ascii="Calibri" w:hAnsi="Calibri" w:cs="Calibri"/>
                <w:color w:val="000000" w:themeColor="text1"/>
                <w:sz w:val="22"/>
              </w:rPr>
              <w:t>NOx, CO, PM</w:t>
            </w:r>
            <w:r w:rsidRPr="001C58C6">
              <w:rPr>
                <w:rFonts w:ascii="Calibri" w:hAnsi="Calibri" w:cs="Calibri"/>
                <w:color w:val="000000" w:themeColor="text1"/>
                <w:sz w:val="22"/>
                <w:vertAlign w:val="subscript"/>
              </w:rPr>
              <w:t>2.5</w:t>
            </w:r>
            <w:r w:rsidRPr="001C58C6">
              <w:rPr>
                <w:rFonts w:ascii="Calibri" w:hAnsi="Calibri" w:cs="Calibri"/>
                <w:color w:val="000000" w:themeColor="text1"/>
                <w:sz w:val="22"/>
              </w:rPr>
              <w:t>, PM</w:t>
            </w:r>
            <w:r w:rsidRPr="001C58C6">
              <w:rPr>
                <w:rFonts w:ascii="Calibri" w:hAnsi="Calibri" w:cs="Calibri"/>
                <w:color w:val="000000" w:themeColor="text1"/>
                <w:sz w:val="22"/>
                <w:vertAlign w:val="subscript"/>
              </w:rPr>
              <w:t xml:space="preserve">10, </w:t>
            </w:r>
            <w:r w:rsidRPr="001C58C6">
              <w:rPr>
                <w:rFonts w:ascii="Calibri" w:hAnsi="Calibri" w:cs="Calibri"/>
                <w:color w:val="000000" w:themeColor="text1"/>
                <w:sz w:val="22"/>
              </w:rPr>
              <w:t>(Pb, As, Cd, Ni i BaP u PM</w:t>
            </w:r>
            <w:r w:rsidRPr="001C58C6">
              <w:rPr>
                <w:rFonts w:ascii="Calibri" w:hAnsi="Calibri" w:cs="Calibri"/>
                <w:color w:val="000000" w:themeColor="text1"/>
                <w:sz w:val="22"/>
                <w:vertAlign w:val="subscript"/>
              </w:rPr>
              <w:t>10</w:t>
            </w:r>
            <w:r w:rsidRPr="001C58C6">
              <w:rPr>
                <w:rFonts w:ascii="Calibri" w:hAnsi="Calibri" w:cs="Calibri"/>
                <w:color w:val="000000" w:themeColor="text1"/>
                <w:sz w:val="22"/>
              </w:rPr>
              <w:t>)</w:t>
            </w:r>
          </w:p>
        </w:tc>
      </w:tr>
    </w:tbl>
    <w:p w14:paraId="287754E6" w14:textId="77777777" w:rsidR="00C87B0E" w:rsidRPr="001C58C6" w:rsidRDefault="00C87B0E" w:rsidP="00731DBE">
      <w:pPr>
        <w:jc w:val="center"/>
        <w:rPr>
          <w:rFonts w:ascii="Calibri" w:hAnsi="Calibri" w:cs="Calibri"/>
          <w:color w:val="000000" w:themeColor="text1"/>
        </w:rPr>
      </w:pPr>
    </w:p>
    <w:p w14:paraId="0500C969"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U Sjevernoj zoni kvaliteta vazduha prekoračene su granične vrijednosti za suspendovane čestice PM10 i PM2.5 i ciljna vrijednost za benzo(a)piren sadržan u ovim česticama. Prekoračenja su zabilježena na mjernim mjestima u Pljevljima i Bijelom Polju. Na mjernom mjestu Gradina koje je po vrsti mjerno mjesto za praćenje zagađenja u ruralnim područjima ne prate se navedene zagađujuće materije, a nije zabilježeno prekoračenje praćenih parametara. </w:t>
      </w:r>
    </w:p>
    <w:p w14:paraId="0A3B6A0F" w14:textId="77777777" w:rsidR="00806123" w:rsidRPr="001C58C6" w:rsidRDefault="00806123" w:rsidP="00C87B0E">
      <w:pPr>
        <w:rPr>
          <w:rFonts w:ascii="Calibri" w:hAnsi="Calibri" w:cs="Calibri"/>
          <w:color w:val="000000" w:themeColor="text1"/>
        </w:rPr>
      </w:pPr>
    </w:p>
    <w:p w14:paraId="24607BAC" w14:textId="77777777" w:rsidR="00571523" w:rsidRPr="001C58C6" w:rsidRDefault="00806123" w:rsidP="00B33518">
      <w:pPr>
        <w:rPr>
          <w:rFonts w:ascii="Calibri" w:hAnsi="Calibri" w:cs="Calibri"/>
          <w:i/>
          <w:iCs/>
          <w:smallCaps/>
          <w:color w:val="000000" w:themeColor="text1"/>
          <w:sz w:val="20"/>
          <w:szCs w:val="20"/>
        </w:rPr>
      </w:pPr>
      <w:bookmarkStart w:id="137" w:name="_Toc217388763"/>
      <w:bookmarkStart w:id="138" w:name="_Toc217388808"/>
      <w:bookmarkStart w:id="139" w:name="_Toc233584682"/>
      <w:r w:rsidRPr="001C58C6">
        <w:rPr>
          <w:rFonts w:ascii="Calibri" w:hAnsi="Calibri" w:cs="Calibri"/>
          <w:i/>
          <w:iCs/>
          <w:smallCaps/>
          <w:color w:val="000000" w:themeColor="text1"/>
          <w:sz w:val="20"/>
          <w:szCs w:val="20"/>
        </w:rPr>
        <w:t xml:space="preserve">Tabela </w:t>
      </w:r>
      <w:r w:rsidRPr="001C58C6">
        <w:rPr>
          <w:rFonts w:ascii="Calibri" w:hAnsi="Calibri" w:cs="Calibri"/>
          <w:i/>
          <w:iCs/>
          <w:smallCaps/>
          <w:color w:val="000000" w:themeColor="text1"/>
          <w:sz w:val="20"/>
          <w:szCs w:val="20"/>
        </w:rPr>
        <w:fldChar w:fldCharType="begin"/>
      </w:r>
      <w:r w:rsidRPr="001C58C6">
        <w:rPr>
          <w:rFonts w:ascii="Calibri" w:hAnsi="Calibri" w:cs="Calibri"/>
          <w:i/>
          <w:iCs/>
          <w:smallCaps/>
          <w:color w:val="000000" w:themeColor="text1"/>
          <w:sz w:val="20"/>
          <w:szCs w:val="20"/>
        </w:rPr>
        <w:instrText xml:space="preserve"> SEQ Tabela \* ARABIC </w:instrText>
      </w:r>
      <w:r w:rsidRPr="001C58C6">
        <w:rPr>
          <w:rFonts w:ascii="Calibri" w:hAnsi="Calibri" w:cs="Calibri"/>
          <w:i/>
          <w:iCs/>
          <w:smallCaps/>
          <w:color w:val="000000" w:themeColor="text1"/>
          <w:sz w:val="20"/>
          <w:szCs w:val="20"/>
        </w:rPr>
        <w:fldChar w:fldCharType="separate"/>
      </w:r>
      <w:r w:rsidR="00752282" w:rsidRPr="001C58C6">
        <w:rPr>
          <w:rFonts w:ascii="Calibri" w:hAnsi="Calibri" w:cs="Calibri"/>
          <w:i/>
          <w:iCs/>
          <w:smallCaps/>
          <w:color w:val="000000" w:themeColor="text1"/>
          <w:sz w:val="20"/>
          <w:szCs w:val="20"/>
        </w:rPr>
        <w:t>7</w:t>
      </w:r>
      <w:r w:rsidRPr="001C58C6">
        <w:rPr>
          <w:rFonts w:ascii="Calibri" w:hAnsi="Calibri" w:cs="Calibri"/>
          <w:i/>
          <w:iCs/>
          <w:smallCaps/>
          <w:color w:val="000000" w:themeColor="text1"/>
          <w:sz w:val="20"/>
          <w:szCs w:val="20"/>
        </w:rPr>
        <w:fldChar w:fldCharType="end"/>
      </w:r>
      <w:r w:rsidR="00571523" w:rsidRPr="001C58C6">
        <w:rPr>
          <w:rFonts w:ascii="Calibri" w:hAnsi="Calibri" w:cs="Calibri"/>
          <w:i/>
          <w:iCs/>
          <w:smallCaps/>
          <w:color w:val="000000" w:themeColor="text1"/>
          <w:sz w:val="20"/>
          <w:szCs w:val="20"/>
        </w:rPr>
        <w:t>: Koordinate mjerna mjesta u Sjevernoj zoni kvaliteta vazduha</w:t>
      </w:r>
      <w:bookmarkEnd w:id="137"/>
      <w:bookmarkEnd w:id="138"/>
      <w:bookmarkEnd w:id="139"/>
    </w:p>
    <w:tbl>
      <w:tblPr>
        <w:tblStyle w:val="GridTable1Light-Accent1"/>
        <w:tblW w:w="5000" w:type="pct"/>
        <w:jc w:val="center"/>
        <w:tblLook w:val="04A0" w:firstRow="1" w:lastRow="0" w:firstColumn="1" w:lastColumn="0" w:noHBand="0" w:noVBand="1"/>
      </w:tblPr>
      <w:tblGrid>
        <w:gridCol w:w="988"/>
        <w:gridCol w:w="2835"/>
        <w:gridCol w:w="1845"/>
        <w:gridCol w:w="2005"/>
        <w:gridCol w:w="1343"/>
      </w:tblGrid>
      <w:tr w:rsidR="00C87B0E" w:rsidRPr="001C58C6" w14:paraId="78AB914A" w14:textId="77777777" w:rsidTr="00731DB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8" w:type="pct"/>
            <w:shd w:val="clear" w:color="auto" w:fill="E8E8E8" w:themeFill="background2"/>
          </w:tcPr>
          <w:p w14:paraId="24752E22" w14:textId="77777777" w:rsidR="00C87B0E" w:rsidRPr="001C58C6" w:rsidRDefault="00571523" w:rsidP="00571523">
            <w:pPr>
              <w:rPr>
                <w:rFonts w:ascii="Calibri" w:hAnsi="Calibri" w:cs="Calibri"/>
                <w:color w:val="000000" w:themeColor="text1"/>
                <w:sz w:val="22"/>
              </w:rPr>
            </w:pPr>
            <w:r w:rsidRPr="001C58C6">
              <w:rPr>
                <w:rFonts w:ascii="Calibri" w:hAnsi="Calibri" w:cs="Calibri"/>
                <w:color w:val="000000" w:themeColor="text1"/>
                <w:sz w:val="22"/>
              </w:rPr>
              <w:t>Red. broj</w:t>
            </w:r>
          </w:p>
        </w:tc>
        <w:tc>
          <w:tcPr>
            <w:tcW w:w="1572" w:type="pct"/>
            <w:shd w:val="clear" w:color="auto" w:fill="E8E8E8" w:themeFill="background2"/>
            <w:hideMark/>
          </w:tcPr>
          <w:p w14:paraId="3E778E1E" w14:textId="77777777" w:rsidR="00C87B0E" w:rsidRPr="001C58C6" w:rsidRDefault="00C87B0E" w:rsidP="00571523">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Geografske koordinate</w:t>
            </w:r>
          </w:p>
        </w:tc>
        <w:tc>
          <w:tcPr>
            <w:tcW w:w="1023" w:type="pct"/>
            <w:shd w:val="clear" w:color="auto" w:fill="E8E8E8" w:themeFill="background2"/>
            <w:hideMark/>
          </w:tcPr>
          <w:p w14:paraId="0B93DE7B" w14:textId="77777777" w:rsidR="00C87B0E" w:rsidRPr="001C58C6" w:rsidRDefault="00C87B0E" w:rsidP="00571523">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G.dužina (m)</w:t>
            </w:r>
          </w:p>
        </w:tc>
        <w:tc>
          <w:tcPr>
            <w:tcW w:w="1112" w:type="pct"/>
            <w:shd w:val="clear" w:color="auto" w:fill="E8E8E8" w:themeFill="background2"/>
            <w:hideMark/>
          </w:tcPr>
          <w:p w14:paraId="42CAD665" w14:textId="77777777" w:rsidR="00C87B0E" w:rsidRPr="001C58C6" w:rsidRDefault="00C87B0E" w:rsidP="00571523">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G.širina (m)</w:t>
            </w:r>
          </w:p>
        </w:tc>
        <w:tc>
          <w:tcPr>
            <w:tcW w:w="745" w:type="pct"/>
            <w:shd w:val="clear" w:color="auto" w:fill="E8E8E8" w:themeFill="background2"/>
            <w:hideMark/>
          </w:tcPr>
          <w:p w14:paraId="7A8FC5FE" w14:textId="77777777" w:rsidR="00C87B0E" w:rsidRPr="001C58C6" w:rsidRDefault="00C87B0E" w:rsidP="00571523">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Nmv (m)</w:t>
            </w:r>
          </w:p>
        </w:tc>
      </w:tr>
      <w:tr w:rsidR="00C87B0E" w:rsidRPr="001C58C6" w14:paraId="79AFE612" w14:textId="77777777" w:rsidTr="00731DBE">
        <w:trPr>
          <w:jc w:val="center"/>
        </w:trPr>
        <w:tc>
          <w:tcPr>
            <w:cnfStyle w:val="001000000000" w:firstRow="0" w:lastRow="0" w:firstColumn="1" w:lastColumn="0" w:oddVBand="0" w:evenVBand="0" w:oddHBand="0" w:evenHBand="0" w:firstRowFirstColumn="0" w:firstRowLastColumn="0" w:lastRowFirstColumn="0" w:lastRowLastColumn="0"/>
            <w:tcW w:w="548" w:type="pct"/>
            <w:hideMark/>
          </w:tcPr>
          <w:p w14:paraId="68F1B300" w14:textId="77777777" w:rsidR="00C87B0E" w:rsidRPr="001C58C6" w:rsidRDefault="00C87B0E" w:rsidP="00571523">
            <w:pPr>
              <w:rPr>
                <w:rFonts w:ascii="Calibri" w:hAnsi="Calibri" w:cs="Calibri"/>
                <w:b w:val="0"/>
                <w:bCs w:val="0"/>
                <w:color w:val="000000" w:themeColor="text1"/>
                <w:sz w:val="22"/>
              </w:rPr>
            </w:pPr>
            <w:r w:rsidRPr="001C58C6">
              <w:rPr>
                <w:rFonts w:ascii="Calibri" w:hAnsi="Calibri" w:cs="Calibri"/>
                <w:b w:val="0"/>
                <w:bCs w:val="0"/>
                <w:color w:val="000000" w:themeColor="text1"/>
                <w:sz w:val="22"/>
              </w:rPr>
              <w:t>1.</w:t>
            </w:r>
          </w:p>
        </w:tc>
        <w:tc>
          <w:tcPr>
            <w:tcW w:w="1572" w:type="pct"/>
            <w:hideMark/>
          </w:tcPr>
          <w:p w14:paraId="1B6CEF3A" w14:textId="77777777" w:rsidR="00C87B0E" w:rsidRPr="001C58C6" w:rsidRDefault="00C87B0E" w:rsidP="0057152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Pljevlja (Gagovića imanje)</w:t>
            </w:r>
          </w:p>
        </w:tc>
        <w:tc>
          <w:tcPr>
            <w:tcW w:w="1023" w:type="pct"/>
            <w:hideMark/>
          </w:tcPr>
          <w:p w14:paraId="3D2250F2" w14:textId="77777777" w:rsidR="00C87B0E" w:rsidRPr="001C58C6" w:rsidRDefault="00C87B0E" w:rsidP="0057152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vertAlign w:val="superscript"/>
              </w:rPr>
            </w:pPr>
            <w:r w:rsidRPr="001C58C6">
              <w:rPr>
                <w:rFonts w:ascii="Calibri" w:hAnsi="Calibri" w:cs="Calibri"/>
                <w:color w:val="000000" w:themeColor="text1"/>
                <w:sz w:val="22"/>
              </w:rPr>
              <w:t>43</w:t>
            </w:r>
            <w:r w:rsidRPr="001C58C6">
              <w:rPr>
                <w:rFonts w:ascii="Calibri" w:hAnsi="Calibri" w:cs="Calibri"/>
                <w:color w:val="000000" w:themeColor="text1"/>
                <w:sz w:val="22"/>
                <w:vertAlign w:val="superscript"/>
              </w:rPr>
              <w:t>0</w:t>
            </w:r>
            <w:r w:rsidRPr="001C58C6">
              <w:rPr>
                <w:rFonts w:ascii="Calibri" w:hAnsi="Calibri" w:cs="Calibri"/>
                <w:color w:val="000000" w:themeColor="text1"/>
                <w:sz w:val="22"/>
              </w:rPr>
              <w:t xml:space="preserve"> 21’25.84’’</w:t>
            </w:r>
          </w:p>
        </w:tc>
        <w:tc>
          <w:tcPr>
            <w:tcW w:w="1112" w:type="pct"/>
            <w:hideMark/>
          </w:tcPr>
          <w:p w14:paraId="68883BB0" w14:textId="77777777" w:rsidR="00C87B0E" w:rsidRPr="001C58C6" w:rsidRDefault="00C87B0E" w:rsidP="0057152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vertAlign w:val="superscript"/>
              </w:rPr>
            </w:pPr>
            <w:r w:rsidRPr="001C58C6">
              <w:rPr>
                <w:rFonts w:ascii="Calibri" w:hAnsi="Calibri" w:cs="Calibri"/>
                <w:color w:val="000000" w:themeColor="text1"/>
                <w:sz w:val="22"/>
              </w:rPr>
              <w:t>19</w:t>
            </w:r>
            <w:r w:rsidRPr="001C58C6">
              <w:rPr>
                <w:rFonts w:ascii="Calibri" w:hAnsi="Calibri" w:cs="Calibri"/>
                <w:color w:val="000000" w:themeColor="text1"/>
                <w:sz w:val="22"/>
                <w:vertAlign w:val="superscript"/>
              </w:rPr>
              <w:t>0</w:t>
            </w:r>
            <w:r w:rsidRPr="001C58C6">
              <w:rPr>
                <w:rFonts w:ascii="Calibri" w:hAnsi="Calibri" w:cs="Calibri"/>
                <w:color w:val="000000" w:themeColor="text1"/>
                <w:sz w:val="22"/>
              </w:rPr>
              <w:t xml:space="preserve"> 20’56.94’’</w:t>
            </w:r>
          </w:p>
        </w:tc>
        <w:tc>
          <w:tcPr>
            <w:tcW w:w="745" w:type="pct"/>
            <w:hideMark/>
          </w:tcPr>
          <w:p w14:paraId="4D66BEBB" w14:textId="77777777" w:rsidR="00C87B0E" w:rsidRPr="001C58C6" w:rsidRDefault="00C87B0E" w:rsidP="0057152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792</w:t>
            </w:r>
          </w:p>
        </w:tc>
      </w:tr>
      <w:tr w:rsidR="00C87B0E" w:rsidRPr="001C58C6" w14:paraId="1D705824" w14:textId="77777777" w:rsidTr="00731DBE">
        <w:trPr>
          <w:jc w:val="center"/>
        </w:trPr>
        <w:tc>
          <w:tcPr>
            <w:cnfStyle w:val="001000000000" w:firstRow="0" w:lastRow="0" w:firstColumn="1" w:lastColumn="0" w:oddVBand="0" w:evenVBand="0" w:oddHBand="0" w:evenHBand="0" w:firstRowFirstColumn="0" w:firstRowLastColumn="0" w:lastRowFirstColumn="0" w:lastRowLastColumn="0"/>
            <w:tcW w:w="548" w:type="pct"/>
            <w:hideMark/>
          </w:tcPr>
          <w:p w14:paraId="6C1A2E15" w14:textId="77777777" w:rsidR="00C87B0E" w:rsidRPr="001C58C6" w:rsidRDefault="00C87B0E" w:rsidP="00571523">
            <w:pPr>
              <w:rPr>
                <w:rFonts w:ascii="Calibri" w:hAnsi="Calibri" w:cs="Calibri"/>
                <w:b w:val="0"/>
                <w:bCs w:val="0"/>
                <w:color w:val="000000" w:themeColor="text1"/>
                <w:sz w:val="22"/>
              </w:rPr>
            </w:pPr>
            <w:r w:rsidRPr="001C58C6">
              <w:rPr>
                <w:rFonts w:ascii="Calibri" w:hAnsi="Calibri" w:cs="Calibri"/>
                <w:b w:val="0"/>
                <w:bCs w:val="0"/>
                <w:color w:val="000000" w:themeColor="text1"/>
                <w:sz w:val="22"/>
              </w:rPr>
              <w:t>2.</w:t>
            </w:r>
          </w:p>
        </w:tc>
        <w:tc>
          <w:tcPr>
            <w:tcW w:w="1572" w:type="pct"/>
            <w:hideMark/>
          </w:tcPr>
          <w:p w14:paraId="4366CB0C" w14:textId="77777777" w:rsidR="00C87B0E" w:rsidRPr="001C58C6" w:rsidRDefault="00C87B0E" w:rsidP="0057152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Bijelo Polje  (Nikoljac)</w:t>
            </w:r>
          </w:p>
        </w:tc>
        <w:tc>
          <w:tcPr>
            <w:tcW w:w="1023" w:type="pct"/>
            <w:hideMark/>
          </w:tcPr>
          <w:p w14:paraId="59886918" w14:textId="77777777" w:rsidR="00C87B0E" w:rsidRPr="001C58C6" w:rsidRDefault="00C87B0E" w:rsidP="0057152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43</w:t>
            </w:r>
            <w:r w:rsidRPr="001C58C6">
              <w:rPr>
                <w:rFonts w:ascii="Calibri" w:hAnsi="Calibri" w:cs="Calibri"/>
                <w:color w:val="000000" w:themeColor="text1"/>
                <w:sz w:val="22"/>
                <w:vertAlign w:val="superscript"/>
              </w:rPr>
              <w:t>0</w:t>
            </w:r>
            <w:r w:rsidRPr="001C58C6">
              <w:rPr>
                <w:rFonts w:ascii="Calibri" w:hAnsi="Calibri" w:cs="Calibri"/>
                <w:color w:val="000000" w:themeColor="text1"/>
                <w:sz w:val="22"/>
              </w:rPr>
              <w:t xml:space="preserve"> 1’ 46.0992’’</w:t>
            </w:r>
          </w:p>
        </w:tc>
        <w:tc>
          <w:tcPr>
            <w:tcW w:w="1112" w:type="pct"/>
            <w:hideMark/>
          </w:tcPr>
          <w:p w14:paraId="6134A079" w14:textId="77777777" w:rsidR="00C87B0E" w:rsidRPr="001C58C6" w:rsidRDefault="00C87B0E" w:rsidP="0057152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19</w:t>
            </w:r>
            <w:r w:rsidRPr="001C58C6">
              <w:rPr>
                <w:rFonts w:ascii="Calibri" w:hAnsi="Calibri" w:cs="Calibri"/>
                <w:color w:val="000000" w:themeColor="text1"/>
                <w:sz w:val="22"/>
                <w:vertAlign w:val="superscript"/>
              </w:rPr>
              <w:t>0</w:t>
            </w:r>
            <w:r w:rsidRPr="001C58C6">
              <w:rPr>
                <w:rFonts w:ascii="Calibri" w:hAnsi="Calibri" w:cs="Calibri"/>
                <w:color w:val="000000" w:themeColor="text1"/>
                <w:sz w:val="22"/>
              </w:rPr>
              <w:t xml:space="preserve"> 44’33.0432’’</w:t>
            </w:r>
          </w:p>
        </w:tc>
        <w:tc>
          <w:tcPr>
            <w:tcW w:w="745" w:type="pct"/>
            <w:hideMark/>
          </w:tcPr>
          <w:p w14:paraId="3AFD2B3B" w14:textId="77777777" w:rsidR="00C87B0E" w:rsidRPr="001C58C6" w:rsidRDefault="00C87B0E" w:rsidP="0057152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572</w:t>
            </w:r>
          </w:p>
        </w:tc>
      </w:tr>
    </w:tbl>
    <w:p w14:paraId="79F23185" w14:textId="77777777" w:rsidR="00B33518" w:rsidRPr="001C58C6" w:rsidRDefault="00B33518" w:rsidP="00C87B0E">
      <w:pPr>
        <w:rPr>
          <w:rFonts w:ascii="Calibri" w:hAnsi="Calibri" w:cs="Calibri"/>
          <w:color w:val="000000" w:themeColor="text1"/>
        </w:rPr>
      </w:pPr>
    </w:p>
    <w:p w14:paraId="5B62B05A" w14:textId="77777777" w:rsidR="00C87B0E" w:rsidRDefault="00C87B0E" w:rsidP="00C87B0E">
      <w:pPr>
        <w:rPr>
          <w:rFonts w:ascii="Calibri" w:hAnsi="Calibri" w:cs="Calibri"/>
          <w:color w:val="000000" w:themeColor="text1"/>
        </w:rPr>
      </w:pPr>
      <w:r w:rsidRPr="001C58C6">
        <w:rPr>
          <w:rFonts w:ascii="Calibri" w:hAnsi="Calibri" w:cs="Calibri"/>
          <w:color w:val="000000" w:themeColor="text1"/>
        </w:rPr>
        <w:t xml:space="preserve">Mape sa obilježenom lokacijom mjernih mjesta date su na ilustracijama </w:t>
      </w:r>
      <w:r w:rsidR="00571523" w:rsidRPr="001C58C6">
        <w:rPr>
          <w:rFonts w:ascii="Calibri" w:hAnsi="Calibri" w:cs="Calibri"/>
          <w:color w:val="000000" w:themeColor="text1"/>
        </w:rPr>
        <w:t>2</w:t>
      </w:r>
      <w:r w:rsidRPr="001C58C6">
        <w:rPr>
          <w:rFonts w:ascii="Calibri" w:hAnsi="Calibri" w:cs="Calibri"/>
          <w:color w:val="000000" w:themeColor="text1"/>
        </w:rPr>
        <w:t xml:space="preserve"> i </w:t>
      </w:r>
      <w:r w:rsidR="00571523" w:rsidRPr="001C58C6">
        <w:rPr>
          <w:rFonts w:ascii="Calibri" w:hAnsi="Calibri" w:cs="Calibri"/>
          <w:color w:val="000000" w:themeColor="text1"/>
        </w:rPr>
        <w:t>3</w:t>
      </w:r>
      <w:r w:rsidRPr="001C58C6">
        <w:rPr>
          <w:rFonts w:ascii="Calibri" w:hAnsi="Calibri" w:cs="Calibri"/>
          <w:color w:val="000000" w:themeColor="text1"/>
        </w:rPr>
        <w:t xml:space="preserve">, i dostupne su u interaktivnom obliku na portalu Agencije za zaštitu životne sredine: </w:t>
      </w:r>
    </w:p>
    <w:p w14:paraId="252B8549" w14:textId="77777777" w:rsidR="006F52AD" w:rsidRDefault="006F52AD" w:rsidP="00C87B0E">
      <w:pPr>
        <w:rPr>
          <w:rFonts w:ascii="Calibri" w:hAnsi="Calibri" w:cs="Calibri"/>
          <w:color w:val="000000" w:themeColor="text1"/>
        </w:rPr>
      </w:pPr>
    </w:p>
    <w:p w14:paraId="1E3A04A0" w14:textId="77777777" w:rsidR="006F52AD" w:rsidRDefault="006F52AD" w:rsidP="00C87B0E">
      <w:pPr>
        <w:rPr>
          <w:rFonts w:ascii="Calibri" w:hAnsi="Calibri" w:cs="Calibri"/>
          <w:color w:val="000000" w:themeColor="text1"/>
        </w:rPr>
      </w:pPr>
    </w:p>
    <w:p w14:paraId="0B37274C" w14:textId="77777777" w:rsidR="006F52AD" w:rsidRPr="001C58C6" w:rsidRDefault="006F52AD" w:rsidP="00C87B0E">
      <w:pPr>
        <w:rPr>
          <w:rFonts w:ascii="Calibri" w:hAnsi="Calibri" w:cs="Calibri"/>
          <w:color w:val="000000" w:themeColor="text1"/>
        </w:rPr>
      </w:pPr>
    </w:p>
    <w:p w14:paraId="74146268" w14:textId="77777777" w:rsidR="00806123" w:rsidRPr="001C58C6" w:rsidRDefault="00806123" w:rsidP="00C87B0E">
      <w:pPr>
        <w:rPr>
          <w:rFonts w:ascii="Calibri" w:hAnsi="Calibri" w:cs="Calibri"/>
          <w:color w:val="000000" w:themeColor="text1"/>
        </w:rPr>
      </w:pPr>
    </w:p>
    <w:p w14:paraId="4D101755" w14:textId="77777777" w:rsidR="00C87B0E" w:rsidRPr="001C58C6" w:rsidRDefault="00743A33" w:rsidP="00806123">
      <w:pPr>
        <w:pStyle w:val="Caption"/>
        <w:jc w:val="center"/>
        <w:rPr>
          <w:rFonts w:ascii="Calibri" w:hAnsi="Calibri" w:cs="Calibri"/>
          <w:i/>
          <w:iCs/>
          <w:color w:val="000000" w:themeColor="text1"/>
          <w:sz w:val="20"/>
          <w:szCs w:val="20"/>
        </w:rPr>
      </w:pPr>
      <w:bookmarkStart w:id="140" w:name="_Toc233584696"/>
      <w:r w:rsidRPr="001C58C6">
        <w:rPr>
          <w:rFonts w:ascii="Calibri" w:hAnsi="Calibri" w:cs="Calibri"/>
          <w:i/>
          <w:iCs/>
          <w:color w:val="000000" w:themeColor="text1"/>
          <w:sz w:val="20"/>
          <w:szCs w:val="20"/>
        </w:rPr>
        <w:lastRenderedPageBreak/>
        <w:t xml:space="preserve">Ilustracija </w:t>
      </w:r>
      <w:r w:rsidRPr="001C58C6">
        <w:rPr>
          <w:rFonts w:ascii="Calibri" w:hAnsi="Calibri" w:cs="Calibri"/>
          <w:i/>
          <w:iCs/>
          <w:color w:val="000000" w:themeColor="text1"/>
          <w:sz w:val="20"/>
          <w:szCs w:val="20"/>
        </w:rPr>
        <w:fldChar w:fldCharType="begin"/>
      </w:r>
      <w:r w:rsidRPr="001C58C6">
        <w:rPr>
          <w:rFonts w:ascii="Calibri" w:hAnsi="Calibri" w:cs="Calibri"/>
          <w:i/>
          <w:iCs/>
          <w:color w:val="000000" w:themeColor="text1"/>
          <w:sz w:val="20"/>
          <w:szCs w:val="20"/>
        </w:rPr>
        <w:instrText xml:space="preserve"> SEQ Ilustracija \* ARABIC </w:instrText>
      </w:r>
      <w:r w:rsidRPr="001C58C6">
        <w:rPr>
          <w:rFonts w:ascii="Calibri" w:hAnsi="Calibri" w:cs="Calibri"/>
          <w:i/>
          <w:iCs/>
          <w:color w:val="000000" w:themeColor="text1"/>
          <w:sz w:val="20"/>
          <w:szCs w:val="20"/>
        </w:rPr>
        <w:fldChar w:fldCharType="separate"/>
      </w:r>
      <w:r w:rsidR="00752282" w:rsidRPr="001C58C6">
        <w:rPr>
          <w:rFonts w:ascii="Calibri" w:hAnsi="Calibri" w:cs="Calibri"/>
          <w:i/>
          <w:iCs/>
          <w:color w:val="000000" w:themeColor="text1"/>
          <w:sz w:val="20"/>
          <w:szCs w:val="20"/>
        </w:rPr>
        <w:t>4</w:t>
      </w:r>
      <w:r w:rsidRPr="001C58C6">
        <w:rPr>
          <w:rFonts w:ascii="Calibri" w:hAnsi="Calibri" w:cs="Calibri"/>
          <w:i/>
          <w:iCs/>
          <w:color w:val="000000" w:themeColor="text1"/>
          <w:sz w:val="20"/>
          <w:szCs w:val="20"/>
        </w:rPr>
        <w:fldChar w:fldCharType="end"/>
      </w:r>
      <w:r w:rsidR="00731DBE" w:rsidRPr="001C58C6">
        <w:rPr>
          <w:rFonts w:ascii="Calibri" w:hAnsi="Calibri" w:cs="Calibri"/>
          <w:i/>
          <w:iCs/>
          <w:color w:val="000000" w:themeColor="text1"/>
          <w:sz w:val="20"/>
          <w:szCs w:val="20"/>
        </w:rPr>
        <w:t>:</w:t>
      </w:r>
      <w:r w:rsidR="00C87B0E" w:rsidRPr="001C58C6">
        <w:rPr>
          <w:rFonts w:ascii="Calibri" w:hAnsi="Calibri" w:cs="Calibri"/>
          <w:i/>
          <w:iCs/>
          <w:color w:val="000000" w:themeColor="text1"/>
          <w:sz w:val="20"/>
          <w:szCs w:val="20"/>
        </w:rPr>
        <w:t xml:space="preserve"> Mjerno mjesto Pljevlja</w:t>
      </w:r>
      <w:bookmarkEnd w:id="140"/>
    </w:p>
    <w:p w14:paraId="7D5BF2EA" w14:textId="77777777" w:rsidR="00C87B0E" w:rsidRPr="001C58C6" w:rsidRDefault="00C87B0E" w:rsidP="00731DBE">
      <w:pPr>
        <w:jc w:val="center"/>
        <w:rPr>
          <w:rFonts w:ascii="Calibri" w:hAnsi="Calibri" w:cs="Calibri"/>
          <w:color w:val="000000" w:themeColor="text1"/>
        </w:rPr>
      </w:pPr>
      <w:r w:rsidRPr="001C58C6">
        <w:rPr>
          <w:rFonts w:ascii="Calibri" w:hAnsi="Calibri" w:cs="Calibri"/>
          <w:noProof/>
          <w:color w:val="000000" w:themeColor="text1"/>
        </w:rPr>
        <w:drawing>
          <wp:inline distT="0" distB="0" distL="0" distR="0" wp14:anchorId="46733CF8" wp14:editId="6E1347BF">
            <wp:extent cx="4073037" cy="3886200"/>
            <wp:effectExtent l="0" t="0" r="3810" b="0"/>
            <wp:docPr id="781980718" name="Picture 18" descr="A map with a location p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80718" name="Picture 18" descr="A map with a location pin&#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74800" cy="3887882"/>
                    </a:xfrm>
                    <a:prstGeom prst="rect">
                      <a:avLst/>
                    </a:prstGeom>
                    <a:noFill/>
                    <a:ln>
                      <a:noFill/>
                    </a:ln>
                  </pic:spPr>
                </pic:pic>
              </a:graphicData>
            </a:graphic>
          </wp:inline>
        </w:drawing>
      </w:r>
    </w:p>
    <w:p w14:paraId="4B82EF72" w14:textId="77777777" w:rsidR="00731DBE" w:rsidRPr="001C58C6" w:rsidRDefault="00731DBE" w:rsidP="00731DBE">
      <w:pPr>
        <w:jc w:val="center"/>
        <w:rPr>
          <w:rFonts w:ascii="Calibri" w:hAnsi="Calibri" w:cs="Calibri"/>
          <w:i/>
          <w:iCs/>
          <w:color w:val="000000" w:themeColor="text1"/>
          <w:sz w:val="18"/>
          <w:szCs w:val="18"/>
        </w:rPr>
      </w:pPr>
      <w:r w:rsidRPr="001C58C6">
        <w:rPr>
          <w:rFonts w:ascii="Calibri" w:hAnsi="Calibri" w:cs="Calibri"/>
          <w:i/>
          <w:iCs/>
          <w:color w:val="000000" w:themeColor="text1"/>
          <w:sz w:val="18"/>
          <w:szCs w:val="18"/>
        </w:rPr>
        <w:t xml:space="preserve">Izvor: Agencije za zaštitu životne sredine, </w:t>
      </w:r>
      <w:hyperlink r:id="rId27" w:history="1">
        <w:r w:rsidR="00806123" w:rsidRPr="001C58C6">
          <w:rPr>
            <w:rStyle w:val="Hyperlink"/>
            <w:rFonts w:ascii="Calibri" w:hAnsi="Calibri" w:cs="Calibri"/>
            <w:i/>
            <w:iCs/>
            <w:color w:val="000000" w:themeColor="text1"/>
            <w:sz w:val="18"/>
            <w:szCs w:val="18"/>
          </w:rPr>
          <w:t>https://www.epa.org.me/vazduh/stanica/4</w:t>
        </w:r>
      </w:hyperlink>
    </w:p>
    <w:p w14:paraId="7928CCBD" w14:textId="77777777" w:rsidR="00806123" w:rsidRPr="001C58C6" w:rsidRDefault="00806123" w:rsidP="00731DBE">
      <w:pPr>
        <w:jc w:val="center"/>
        <w:rPr>
          <w:rFonts w:ascii="Calibri" w:hAnsi="Calibri" w:cs="Calibri"/>
          <w:i/>
          <w:iCs/>
          <w:color w:val="000000" w:themeColor="text1"/>
          <w:sz w:val="18"/>
          <w:szCs w:val="18"/>
        </w:rPr>
      </w:pPr>
    </w:p>
    <w:p w14:paraId="2D43772E" w14:textId="77777777" w:rsidR="00C87B0E" w:rsidRPr="001C58C6" w:rsidRDefault="00806123" w:rsidP="00806123">
      <w:pPr>
        <w:pStyle w:val="Caption"/>
        <w:jc w:val="center"/>
        <w:rPr>
          <w:rFonts w:ascii="Calibri" w:hAnsi="Calibri" w:cs="Calibri"/>
          <w:color w:val="000000" w:themeColor="text1"/>
        </w:rPr>
      </w:pPr>
      <w:bookmarkStart w:id="141" w:name="_Toc233584697"/>
      <w:r w:rsidRPr="001C58C6">
        <w:rPr>
          <w:rFonts w:ascii="Calibri" w:hAnsi="Calibri" w:cs="Calibri"/>
          <w:i/>
          <w:iCs/>
          <w:color w:val="000000" w:themeColor="text1"/>
          <w:sz w:val="20"/>
          <w:szCs w:val="20"/>
        </w:rPr>
        <w:t xml:space="preserve">Ilustracija </w:t>
      </w:r>
      <w:r w:rsidRPr="001C58C6">
        <w:rPr>
          <w:rFonts w:ascii="Calibri" w:hAnsi="Calibri" w:cs="Calibri"/>
          <w:i/>
          <w:iCs/>
          <w:color w:val="000000" w:themeColor="text1"/>
          <w:sz w:val="20"/>
          <w:szCs w:val="20"/>
        </w:rPr>
        <w:fldChar w:fldCharType="begin"/>
      </w:r>
      <w:r w:rsidRPr="001C58C6">
        <w:rPr>
          <w:rFonts w:ascii="Calibri" w:hAnsi="Calibri" w:cs="Calibri"/>
          <w:i/>
          <w:iCs/>
          <w:color w:val="000000" w:themeColor="text1"/>
          <w:sz w:val="20"/>
          <w:szCs w:val="20"/>
        </w:rPr>
        <w:instrText xml:space="preserve"> SEQ Ilustracija \* ARABIC </w:instrText>
      </w:r>
      <w:r w:rsidRPr="001C58C6">
        <w:rPr>
          <w:rFonts w:ascii="Calibri" w:hAnsi="Calibri" w:cs="Calibri"/>
          <w:i/>
          <w:iCs/>
          <w:color w:val="000000" w:themeColor="text1"/>
          <w:sz w:val="20"/>
          <w:szCs w:val="20"/>
        </w:rPr>
        <w:fldChar w:fldCharType="separate"/>
      </w:r>
      <w:r w:rsidR="00752282" w:rsidRPr="001C58C6">
        <w:rPr>
          <w:rFonts w:ascii="Calibri" w:hAnsi="Calibri" w:cs="Calibri"/>
          <w:i/>
          <w:iCs/>
          <w:color w:val="000000" w:themeColor="text1"/>
          <w:sz w:val="20"/>
          <w:szCs w:val="20"/>
        </w:rPr>
        <w:t>5</w:t>
      </w:r>
      <w:r w:rsidRPr="001C58C6">
        <w:rPr>
          <w:rFonts w:ascii="Calibri" w:hAnsi="Calibri" w:cs="Calibri"/>
          <w:i/>
          <w:iCs/>
          <w:color w:val="000000" w:themeColor="text1"/>
          <w:sz w:val="20"/>
          <w:szCs w:val="20"/>
        </w:rPr>
        <w:fldChar w:fldCharType="end"/>
      </w:r>
      <w:r w:rsidR="00C87B0E" w:rsidRPr="001C58C6">
        <w:rPr>
          <w:rFonts w:ascii="Calibri" w:hAnsi="Calibri" w:cs="Calibri"/>
          <w:i/>
          <w:iCs/>
          <w:color w:val="000000" w:themeColor="text1"/>
          <w:sz w:val="20"/>
          <w:szCs w:val="20"/>
        </w:rPr>
        <w:t xml:space="preserve"> – Mjerno mjesto Bijelo Polje</w:t>
      </w:r>
      <w:bookmarkEnd w:id="141"/>
    </w:p>
    <w:p w14:paraId="103FF7C1" w14:textId="77777777" w:rsidR="00C87B0E" w:rsidRPr="001C58C6" w:rsidRDefault="00C87B0E" w:rsidP="00731DBE">
      <w:pPr>
        <w:jc w:val="center"/>
        <w:rPr>
          <w:rFonts w:ascii="Calibri" w:hAnsi="Calibri" w:cs="Calibri"/>
          <w:color w:val="000000" w:themeColor="text1"/>
        </w:rPr>
      </w:pPr>
      <w:r w:rsidRPr="001C58C6">
        <w:rPr>
          <w:rFonts w:ascii="Calibri" w:hAnsi="Calibri" w:cs="Calibri"/>
          <w:noProof/>
          <w:color w:val="000000" w:themeColor="text1"/>
        </w:rPr>
        <w:drawing>
          <wp:inline distT="0" distB="0" distL="0" distR="0" wp14:anchorId="4DF6D554" wp14:editId="01BC6E31">
            <wp:extent cx="3678455" cy="3268980"/>
            <wp:effectExtent l="0" t="0" r="0" b="7620"/>
            <wp:docPr id="1036544219" name="Picture 17" descr="A map with a location p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44219" name="Picture 17" descr="A map with a location pin&#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2792" cy="3272834"/>
                    </a:xfrm>
                    <a:prstGeom prst="rect">
                      <a:avLst/>
                    </a:prstGeom>
                    <a:noFill/>
                    <a:ln>
                      <a:noFill/>
                    </a:ln>
                  </pic:spPr>
                </pic:pic>
              </a:graphicData>
            </a:graphic>
          </wp:inline>
        </w:drawing>
      </w:r>
    </w:p>
    <w:p w14:paraId="01106B01" w14:textId="77777777" w:rsidR="00731DBE" w:rsidRPr="001C58C6" w:rsidRDefault="00731DBE" w:rsidP="00731DBE">
      <w:pPr>
        <w:jc w:val="center"/>
        <w:rPr>
          <w:rFonts w:ascii="Calibri" w:hAnsi="Calibri" w:cs="Calibri"/>
          <w:i/>
          <w:iCs/>
          <w:color w:val="000000" w:themeColor="text1"/>
          <w:sz w:val="18"/>
          <w:szCs w:val="18"/>
        </w:rPr>
      </w:pPr>
      <w:bookmarkStart w:id="142" w:name="_Hlk217383021"/>
      <w:r w:rsidRPr="001C58C6">
        <w:rPr>
          <w:rFonts w:ascii="Calibri" w:hAnsi="Calibri" w:cs="Calibri"/>
          <w:i/>
          <w:iCs/>
          <w:color w:val="000000" w:themeColor="text1"/>
          <w:sz w:val="18"/>
          <w:szCs w:val="18"/>
        </w:rPr>
        <w:t xml:space="preserve">Izvor: Agencije za zaštitu životne sredine, </w:t>
      </w:r>
      <w:bookmarkEnd w:id="142"/>
      <w:r w:rsidR="00806123" w:rsidRPr="001C58C6">
        <w:rPr>
          <w:rFonts w:ascii="Calibri" w:hAnsi="Calibri" w:cs="Calibri"/>
          <w:i/>
          <w:iCs/>
          <w:color w:val="000000" w:themeColor="text1"/>
          <w:sz w:val="18"/>
          <w:szCs w:val="18"/>
        </w:rPr>
        <w:fldChar w:fldCharType="begin"/>
      </w:r>
      <w:r w:rsidR="00806123" w:rsidRPr="001C58C6">
        <w:rPr>
          <w:rFonts w:ascii="Calibri" w:hAnsi="Calibri" w:cs="Calibri"/>
          <w:i/>
          <w:iCs/>
          <w:color w:val="000000" w:themeColor="text1"/>
          <w:sz w:val="18"/>
          <w:szCs w:val="18"/>
        </w:rPr>
        <w:instrText>HYPERLINK "https://www.epa.org.me/vazduh/stanica/11"</w:instrText>
      </w:r>
      <w:r w:rsidR="00806123" w:rsidRPr="001C58C6">
        <w:rPr>
          <w:rFonts w:ascii="Calibri" w:hAnsi="Calibri" w:cs="Calibri"/>
          <w:i/>
          <w:iCs/>
          <w:color w:val="000000" w:themeColor="text1"/>
          <w:sz w:val="18"/>
          <w:szCs w:val="18"/>
        </w:rPr>
        <w:fldChar w:fldCharType="separate"/>
      </w:r>
      <w:r w:rsidR="00806123" w:rsidRPr="001C58C6">
        <w:rPr>
          <w:rStyle w:val="Hyperlink"/>
          <w:rFonts w:ascii="Calibri" w:hAnsi="Calibri" w:cs="Calibri"/>
          <w:i/>
          <w:iCs/>
          <w:color w:val="000000" w:themeColor="text1"/>
          <w:sz w:val="18"/>
          <w:szCs w:val="18"/>
        </w:rPr>
        <w:t>https://www.epa.org.me/vazduh/stanica/11</w:t>
      </w:r>
      <w:r w:rsidR="00806123" w:rsidRPr="001C58C6">
        <w:rPr>
          <w:rFonts w:ascii="Calibri" w:hAnsi="Calibri" w:cs="Calibri"/>
          <w:i/>
          <w:iCs/>
          <w:color w:val="000000" w:themeColor="text1"/>
          <w:sz w:val="18"/>
          <w:szCs w:val="18"/>
        </w:rPr>
        <w:fldChar w:fldCharType="end"/>
      </w:r>
      <w:r w:rsidR="00806123" w:rsidRPr="001C58C6">
        <w:rPr>
          <w:rFonts w:ascii="Calibri" w:hAnsi="Calibri" w:cs="Calibri"/>
          <w:i/>
          <w:iCs/>
          <w:color w:val="000000" w:themeColor="text1"/>
          <w:sz w:val="18"/>
          <w:szCs w:val="18"/>
        </w:rPr>
        <w:t xml:space="preserve"> </w:t>
      </w:r>
    </w:p>
    <w:p w14:paraId="6DE5A834" w14:textId="77777777" w:rsidR="00C87B0E" w:rsidRPr="001C58C6" w:rsidRDefault="00C87B0E" w:rsidP="00C87B0E">
      <w:pPr>
        <w:rPr>
          <w:rFonts w:ascii="Calibri" w:hAnsi="Calibri" w:cs="Calibri"/>
          <w:color w:val="000000" w:themeColor="text1"/>
        </w:rPr>
      </w:pPr>
    </w:p>
    <w:p w14:paraId="1E72BE7E" w14:textId="77777777" w:rsidR="00C87B0E" w:rsidRPr="001C58C6" w:rsidRDefault="0033245A" w:rsidP="0033245A">
      <w:pPr>
        <w:pStyle w:val="Heading3"/>
        <w:rPr>
          <w:rFonts w:ascii="Calibri" w:hAnsi="Calibri" w:cs="Calibri"/>
          <w:color w:val="000000" w:themeColor="text1"/>
        </w:rPr>
      </w:pPr>
      <w:bookmarkStart w:id="143" w:name="_Toc217388086"/>
      <w:bookmarkStart w:id="144" w:name="_Toc220070444"/>
      <w:bookmarkStart w:id="145" w:name="_Toc233711763"/>
      <w:r w:rsidRPr="001C58C6">
        <w:rPr>
          <w:rFonts w:ascii="Calibri" w:hAnsi="Calibri" w:cs="Calibri"/>
          <w:color w:val="000000" w:themeColor="text1"/>
        </w:rPr>
        <w:lastRenderedPageBreak/>
        <w:t>7.1.2</w:t>
      </w:r>
      <w:r w:rsidR="00C87B0E" w:rsidRPr="001C58C6">
        <w:rPr>
          <w:rFonts w:ascii="Calibri" w:hAnsi="Calibri" w:cs="Calibri"/>
          <w:color w:val="000000" w:themeColor="text1"/>
        </w:rPr>
        <w:t xml:space="preserve"> Opšte informacije</w:t>
      </w:r>
      <w:bookmarkEnd w:id="143"/>
      <w:bookmarkEnd w:id="144"/>
      <w:bookmarkEnd w:id="145"/>
    </w:p>
    <w:p w14:paraId="3302A07F"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U skladu sa Strategijom regionalnog razvoja Crne Gore, Sjeverni region obuhvata nešto više od polovine ukupne teritorije Crne Gore, na kojoj prema procjeni za 2020. godinu živi oko četvrtina stanovništva Crne Gore. Region raspolaže sa najvećim dijelom ukupnog hidropotencijala u Crnoj Gori, cjelokupnim rezervama uglja, oko 67% obradivih površina, 71% drvne mase, blizu 70% stočnog fonda, skoro cjelokupnim rezervama olova i cinka, kao i resursima za razvoj zimskog i eko-turizma i proizvodnji eko hrane i hrane sa zaštićenim geografskim porijeklom. Iako bogat prirodnim resursima i velikim potencijalom za razvoj svih oblika turizma, sjeverni region karakteriše slaba razvijenost jedinica lokalne samouprave, veliki odliv stanovništa posebno mlađeg i obrazovanog kao i najveći rizik od siromaštva.</w:t>
      </w:r>
    </w:p>
    <w:p w14:paraId="06D3EEDF"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Sa aspekta praćenja kvaliteta vazduha, sjevernu zonu klimatski karakterišu duge i oštre zime sa izraženom potrebom grijanja prostora u kojem se boravi tokom većeg dijela godine. Zabilježena prekoračenja koncentracija suspendovanih čestica i u njima sadržanog benzo(a)pirena su sezonskog karaktera i javljaju se u zimskim mjesecima. Oba mjerna mjesta na kojima je prekoračenje zabilježeno karakteriše trajno izgrađeno urbano područje, koje je u Pljevljima pod jakim uticajem industrije (TE Pljevlja, rudnik uglja). U Bijelom Polju radi se o urbanom jezgru gdje većina administrativnih zgrada i domaćinstava za grijanje koristi čvrsta goriva. Iako je očekivano da su u ostalim djelovima ove zone sa manjom gustinom naseljenosti i koncentracije zagađujućih materija niže, one su svakako iznad vrijednosti preporučenih od strane Svjetske zdravstvene organizacije koje su bezbjedne za zdravlje ljudi. </w:t>
      </w:r>
    </w:p>
    <w:p w14:paraId="0B7FA679" w14:textId="77777777" w:rsidR="00806123" w:rsidRPr="001C58C6" w:rsidRDefault="00806123" w:rsidP="00C87B0E">
      <w:pPr>
        <w:rPr>
          <w:rFonts w:ascii="Calibri" w:hAnsi="Calibri" w:cs="Calibri"/>
          <w:color w:val="000000" w:themeColor="text1"/>
        </w:rPr>
      </w:pPr>
    </w:p>
    <w:p w14:paraId="3B22320B" w14:textId="77777777" w:rsidR="00C87B0E" w:rsidRPr="001C58C6" w:rsidRDefault="00C87B0E" w:rsidP="00C87B0E">
      <w:pPr>
        <w:rPr>
          <w:rFonts w:ascii="Calibri" w:hAnsi="Calibri" w:cs="Calibri"/>
          <w:b/>
          <w:bCs/>
          <w:color w:val="000000" w:themeColor="text1"/>
        </w:rPr>
      </w:pPr>
      <w:r w:rsidRPr="001C58C6">
        <w:rPr>
          <w:rFonts w:ascii="Calibri" w:hAnsi="Calibri" w:cs="Calibri"/>
          <w:b/>
          <w:bCs/>
          <w:color w:val="000000" w:themeColor="text1"/>
        </w:rPr>
        <w:t xml:space="preserve">Teritorija </w:t>
      </w:r>
    </w:p>
    <w:p w14:paraId="29E6B1C7"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Ukupna površina opština koje pripadaju Sjevernoj zoni kvaliteta vazduha iznosi 7,304km2. Na ovoj teritoriji nalazi se 13 opština (Andrijevica, Berane, Bijelo Polje, Gusinje, Kolašin, Mojkovac, Petnjica, Plav, Plužine, Pljevlja, Rožaje, Šavnik i Žabljak) od čega su opštine Pljevlja (1343km2) i Bijelo Polje (923km2) teritorijalno najveće. </w:t>
      </w:r>
    </w:p>
    <w:p w14:paraId="123EFAB5" w14:textId="77777777" w:rsidR="00806123" w:rsidRPr="001C58C6" w:rsidRDefault="00806123" w:rsidP="00C87B0E">
      <w:pPr>
        <w:rPr>
          <w:rFonts w:ascii="Calibri" w:hAnsi="Calibri" w:cs="Calibri"/>
          <w:color w:val="000000" w:themeColor="text1"/>
        </w:rPr>
      </w:pPr>
    </w:p>
    <w:p w14:paraId="1524BC4F" w14:textId="77777777" w:rsidR="00C87B0E" w:rsidRPr="001C58C6" w:rsidRDefault="00C87B0E" w:rsidP="00C87B0E">
      <w:pPr>
        <w:rPr>
          <w:rFonts w:ascii="Calibri" w:hAnsi="Calibri" w:cs="Calibri"/>
          <w:b/>
          <w:bCs/>
          <w:color w:val="000000" w:themeColor="text1"/>
        </w:rPr>
      </w:pPr>
      <w:r w:rsidRPr="001C58C6">
        <w:rPr>
          <w:rFonts w:ascii="Calibri" w:hAnsi="Calibri" w:cs="Calibri"/>
          <w:b/>
          <w:bCs/>
          <w:color w:val="000000" w:themeColor="text1"/>
        </w:rPr>
        <w:t>Stanovništvo</w:t>
      </w:r>
    </w:p>
    <w:p w14:paraId="3D58F246"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Prema posljednjem popisu stanovništva (2023) na teritoriji zone živi ukupno 152,590 stanovnika. Najnaseljenija opština na sjeveru Crne Gore je Bijelo Polje sa 38,662 stanovnika, dok opština Pljevlja ima 24,134, što znači da oko 40% ukupnog stanovništva sjeverne zone kvaliteta vazduha živi u ove dvije opštine. </w:t>
      </w:r>
    </w:p>
    <w:p w14:paraId="18533D86" w14:textId="77777777" w:rsidR="00806123" w:rsidRPr="001C58C6" w:rsidRDefault="00806123" w:rsidP="00C87B0E">
      <w:pPr>
        <w:rPr>
          <w:rFonts w:ascii="Calibri" w:hAnsi="Calibri" w:cs="Calibri"/>
          <w:color w:val="000000" w:themeColor="text1"/>
        </w:rPr>
      </w:pPr>
    </w:p>
    <w:p w14:paraId="4C6C0C34" w14:textId="77777777" w:rsidR="00C87B0E" w:rsidRPr="001C58C6" w:rsidRDefault="00C87B0E" w:rsidP="00C87B0E">
      <w:pPr>
        <w:rPr>
          <w:rFonts w:ascii="Calibri" w:hAnsi="Calibri" w:cs="Calibri"/>
          <w:b/>
          <w:bCs/>
          <w:color w:val="000000" w:themeColor="text1"/>
        </w:rPr>
      </w:pPr>
      <w:r w:rsidRPr="001C58C6">
        <w:rPr>
          <w:rFonts w:ascii="Calibri" w:hAnsi="Calibri" w:cs="Calibri"/>
          <w:b/>
          <w:bCs/>
          <w:color w:val="000000" w:themeColor="text1"/>
        </w:rPr>
        <w:t>Koncentracije zagađujučih materija i izloženost stanovništva</w:t>
      </w:r>
    </w:p>
    <w:p w14:paraId="681D0E84" w14:textId="77777777" w:rsidR="00C87B0E" w:rsidRPr="001C58C6" w:rsidRDefault="00C87B0E" w:rsidP="00C87B0E">
      <w:pPr>
        <w:rPr>
          <w:rFonts w:ascii="Calibri" w:hAnsi="Calibri" w:cs="Calibri"/>
          <w:b/>
          <w:bCs/>
          <w:color w:val="000000" w:themeColor="text1"/>
        </w:rPr>
      </w:pPr>
      <w:r w:rsidRPr="001C58C6">
        <w:rPr>
          <w:rFonts w:ascii="Calibri" w:hAnsi="Calibri" w:cs="Calibri"/>
          <w:color w:val="000000" w:themeColor="text1"/>
        </w:rPr>
        <w:t xml:space="preserve">Prema posljednjem indikatorskom izvještaju o stanju životne sredine najvećem broju dana sa prekračenjima srednje dnevne koncentracije PM10 čestica iznad dozvoljene vrijednosti bili su izloženi stanovnici Sjeverne zone kvaliteta vazduha (28,68%). Tokom perioda 20172020, svake godine broj dana sa prekoračenjima je bio veći od 100. </w:t>
      </w:r>
    </w:p>
    <w:p w14:paraId="3DC2BFCF" w14:textId="77777777" w:rsidR="00806123" w:rsidRPr="001C58C6" w:rsidRDefault="00806123" w:rsidP="00806123">
      <w:pPr>
        <w:pStyle w:val="Heading6"/>
        <w:rPr>
          <w:rFonts w:ascii="Calibri" w:hAnsi="Calibri" w:cs="Calibri"/>
          <w:color w:val="000000" w:themeColor="text1"/>
        </w:rPr>
      </w:pPr>
      <w:bookmarkStart w:id="146" w:name="_Hlk217381240"/>
    </w:p>
    <w:p w14:paraId="73454A94" w14:textId="77777777" w:rsidR="00806123" w:rsidRPr="001C58C6" w:rsidRDefault="00806123" w:rsidP="00806123">
      <w:pPr>
        <w:rPr>
          <w:rFonts w:ascii="Calibri" w:hAnsi="Calibri" w:cs="Calibri"/>
          <w:color w:val="000000" w:themeColor="text1"/>
        </w:rPr>
      </w:pPr>
    </w:p>
    <w:p w14:paraId="444AFC90" w14:textId="77777777" w:rsidR="00806123" w:rsidRPr="001C58C6" w:rsidRDefault="00806123" w:rsidP="00806123">
      <w:pPr>
        <w:rPr>
          <w:rFonts w:ascii="Calibri" w:hAnsi="Calibri" w:cs="Calibri"/>
          <w:color w:val="000000" w:themeColor="text1"/>
        </w:rPr>
      </w:pPr>
    </w:p>
    <w:p w14:paraId="0BC7F044" w14:textId="77777777" w:rsidR="00342FEE" w:rsidRPr="001C58C6" w:rsidRDefault="00342FEE" w:rsidP="00806123">
      <w:pPr>
        <w:rPr>
          <w:rFonts w:ascii="Calibri" w:hAnsi="Calibri" w:cs="Calibri"/>
          <w:color w:val="000000" w:themeColor="text1"/>
        </w:rPr>
      </w:pPr>
    </w:p>
    <w:p w14:paraId="10590CEA" w14:textId="77777777" w:rsidR="00342FEE" w:rsidRPr="001C58C6" w:rsidRDefault="00342FEE" w:rsidP="00806123">
      <w:pPr>
        <w:rPr>
          <w:rFonts w:ascii="Calibri" w:hAnsi="Calibri" w:cs="Calibri"/>
          <w:color w:val="000000" w:themeColor="text1"/>
        </w:rPr>
      </w:pPr>
    </w:p>
    <w:p w14:paraId="435126ED" w14:textId="77777777" w:rsidR="00342FEE" w:rsidRPr="001C58C6" w:rsidRDefault="00342FEE" w:rsidP="00806123">
      <w:pPr>
        <w:rPr>
          <w:rFonts w:ascii="Calibri" w:hAnsi="Calibri" w:cs="Calibri"/>
          <w:color w:val="000000" w:themeColor="text1"/>
        </w:rPr>
      </w:pPr>
    </w:p>
    <w:p w14:paraId="1B4F3B99" w14:textId="77777777" w:rsidR="00342FEE" w:rsidRPr="001C58C6" w:rsidRDefault="00342FEE" w:rsidP="00806123">
      <w:pPr>
        <w:rPr>
          <w:rFonts w:ascii="Calibri" w:hAnsi="Calibri" w:cs="Calibri"/>
          <w:color w:val="000000" w:themeColor="text1"/>
        </w:rPr>
      </w:pPr>
    </w:p>
    <w:p w14:paraId="49AE2CD4" w14:textId="77777777" w:rsidR="00342FEE" w:rsidRPr="001C58C6" w:rsidRDefault="00342FEE" w:rsidP="00806123">
      <w:pPr>
        <w:rPr>
          <w:rFonts w:ascii="Calibri" w:hAnsi="Calibri" w:cs="Calibri"/>
          <w:color w:val="000000" w:themeColor="text1"/>
        </w:rPr>
      </w:pPr>
    </w:p>
    <w:p w14:paraId="25F491C2" w14:textId="77777777" w:rsidR="00806123" w:rsidRPr="001C58C6" w:rsidRDefault="00806123" w:rsidP="00806123">
      <w:pPr>
        <w:rPr>
          <w:rFonts w:ascii="Calibri" w:hAnsi="Calibri" w:cs="Calibri"/>
          <w:color w:val="000000" w:themeColor="text1"/>
        </w:rPr>
      </w:pPr>
    </w:p>
    <w:p w14:paraId="328881A4" w14:textId="77777777" w:rsidR="00C87B0E" w:rsidRPr="001C58C6" w:rsidRDefault="00806123" w:rsidP="00806123">
      <w:pPr>
        <w:pStyle w:val="Caption"/>
        <w:jc w:val="center"/>
        <w:rPr>
          <w:rFonts w:ascii="Calibri" w:hAnsi="Calibri" w:cs="Calibri"/>
          <w:i/>
          <w:iCs/>
          <w:color w:val="000000" w:themeColor="text1"/>
          <w:sz w:val="20"/>
          <w:szCs w:val="20"/>
        </w:rPr>
      </w:pPr>
      <w:bookmarkStart w:id="147" w:name="_Toc233584671"/>
      <w:r w:rsidRPr="001C58C6">
        <w:rPr>
          <w:rFonts w:ascii="Calibri" w:hAnsi="Calibri" w:cs="Calibri"/>
          <w:i/>
          <w:iCs/>
          <w:color w:val="000000" w:themeColor="text1"/>
          <w:sz w:val="20"/>
          <w:szCs w:val="20"/>
        </w:rPr>
        <w:t xml:space="preserve">Grafik </w:t>
      </w:r>
      <w:r w:rsidRPr="001C58C6">
        <w:rPr>
          <w:rFonts w:ascii="Calibri" w:hAnsi="Calibri" w:cs="Calibri"/>
          <w:i/>
          <w:iCs/>
          <w:color w:val="000000" w:themeColor="text1"/>
          <w:sz w:val="20"/>
          <w:szCs w:val="20"/>
        </w:rPr>
        <w:fldChar w:fldCharType="begin"/>
      </w:r>
      <w:r w:rsidRPr="001C58C6">
        <w:rPr>
          <w:rFonts w:ascii="Calibri" w:hAnsi="Calibri" w:cs="Calibri"/>
          <w:i/>
          <w:iCs/>
          <w:color w:val="000000" w:themeColor="text1"/>
          <w:sz w:val="20"/>
          <w:szCs w:val="20"/>
        </w:rPr>
        <w:instrText xml:space="preserve"> SEQ Grafik \* ARABIC </w:instrText>
      </w:r>
      <w:r w:rsidRPr="001C58C6">
        <w:rPr>
          <w:rFonts w:ascii="Calibri" w:hAnsi="Calibri" w:cs="Calibri"/>
          <w:i/>
          <w:iCs/>
          <w:color w:val="000000" w:themeColor="text1"/>
          <w:sz w:val="20"/>
          <w:szCs w:val="20"/>
        </w:rPr>
        <w:fldChar w:fldCharType="separate"/>
      </w:r>
      <w:r w:rsidR="00752282" w:rsidRPr="001C58C6">
        <w:rPr>
          <w:rFonts w:ascii="Calibri" w:hAnsi="Calibri" w:cs="Calibri"/>
          <w:i/>
          <w:iCs/>
          <w:color w:val="000000" w:themeColor="text1"/>
          <w:sz w:val="20"/>
          <w:szCs w:val="20"/>
        </w:rPr>
        <w:t>10</w:t>
      </w:r>
      <w:r w:rsidRPr="001C58C6">
        <w:rPr>
          <w:rFonts w:ascii="Calibri" w:hAnsi="Calibri" w:cs="Calibri"/>
          <w:i/>
          <w:iCs/>
          <w:color w:val="000000" w:themeColor="text1"/>
          <w:sz w:val="20"/>
          <w:szCs w:val="20"/>
        </w:rPr>
        <w:fldChar w:fldCharType="end"/>
      </w:r>
      <w:r w:rsidR="0033245A" w:rsidRPr="001C58C6">
        <w:rPr>
          <w:rFonts w:ascii="Calibri" w:hAnsi="Calibri" w:cs="Calibri"/>
          <w:i/>
          <w:iCs/>
          <w:color w:val="000000" w:themeColor="text1"/>
          <w:sz w:val="20"/>
          <w:szCs w:val="20"/>
        </w:rPr>
        <w:t xml:space="preserve">: </w:t>
      </w:r>
      <w:r w:rsidR="00C87B0E" w:rsidRPr="001C58C6">
        <w:rPr>
          <w:rFonts w:ascii="Calibri" w:hAnsi="Calibri" w:cs="Calibri"/>
          <w:i/>
          <w:iCs/>
          <w:color w:val="000000" w:themeColor="text1"/>
          <w:sz w:val="20"/>
          <w:szCs w:val="20"/>
        </w:rPr>
        <w:t>Srednje godišnje koncentracije suspendovanih čestica PM10 i PM2.5 u Pljevljima i Bijelom Polju (2020-2024)</w:t>
      </w:r>
      <w:bookmarkEnd w:id="147"/>
    </w:p>
    <w:bookmarkEnd w:id="146"/>
    <w:p w14:paraId="39E232F7" w14:textId="77777777" w:rsidR="00C87B0E" w:rsidRPr="001C58C6" w:rsidRDefault="00C87B0E" w:rsidP="0033245A">
      <w:pPr>
        <w:jc w:val="center"/>
        <w:rPr>
          <w:rFonts w:ascii="Calibri" w:hAnsi="Calibri" w:cs="Calibri"/>
          <w:b/>
          <w:bCs/>
          <w:color w:val="000000" w:themeColor="text1"/>
        </w:rPr>
      </w:pPr>
      <w:r w:rsidRPr="001C58C6">
        <w:rPr>
          <w:rFonts w:ascii="Calibri" w:hAnsi="Calibri" w:cs="Calibri"/>
          <w:noProof/>
          <w:color w:val="000000" w:themeColor="text1"/>
        </w:rPr>
        <w:drawing>
          <wp:inline distT="0" distB="0" distL="0" distR="0" wp14:anchorId="1162CC30" wp14:editId="4993D43C">
            <wp:extent cx="4579620" cy="2750820"/>
            <wp:effectExtent l="0" t="0" r="0" b="0"/>
            <wp:docPr id="965532746" name="Picture 16" descr="A graph showing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532746" name="Picture 16" descr="A graph showing different colored lines&#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9620" cy="2750820"/>
                    </a:xfrm>
                    <a:prstGeom prst="rect">
                      <a:avLst/>
                    </a:prstGeom>
                    <a:noFill/>
                    <a:ln>
                      <a:noFill/>
                    </a:ln>
                  </pic:spPr>
                </pic:pic>
              </a:graphicData>
            </a:graphic>
          </wp:inline>
        </w:drawing>
      </w:r>
    </w:p>
    <w:p w14:paraId="35CA0506" w14:textId="77777777" w:rsidR="00806123" w:rsidRPr="001C58C6" w:rsidRDefault="00806123" w:rsidP="00C87B0E">
      <w:pPr>
        <w:rPr>
          <w:rFonts w:ascii="Calibri" w:hAnsi="Calibri" w:cs="Calibri"/>
          <w:color w:val="000000" w:themeColor="text1"/>
        </w:rPr>
      </w:pPr>
    </w:p>
    <w:p w14:paraId="222F821C"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Na grafičkom prikazu se vidi da su srednje godišnje koncentracije suspendovanih čestica u Pljevljima  veće od onih u Bijelom Polju, koje nije pod uticajem značajnih industrijskih aktivnosti. </w:t>
      </w:r>
    </w:p>
    <w:p w14:paraId="139F383A" w14:textId="77777777" w:rsidR="00806123" w:rsidRPr="001C58C6" w:rsidRDefault="00806123" w:rsidP="00C87B0E">
      <w:pPr>
        <w:rPr>
          <w:rFonts w:ascii="Calibri" w:hAnsi="Calibri" w:cs="Calibri"/>
          <w:color w:val="000000" w:themeColor="text1"/>
        </w:rPr>
      </w:pPr>
    </w:p>
    <w:p w14:paraId="5E3CCA8E"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U 2024. godini srednje godišnje koncentracije PM10 su u Pljevljima iznosile 42.74 µg/m3 a u Bijelom Polju 40.49 µg/m3 Iako su vrijednosti bliske godišnjoj graničnoj vrijednosti od 40 µg/m3 one ukazuju na prekoračenja srednjih dnevnih vrijednosti u zimskom periodu i predstavljaju veliki izazov za postizanje prepolovljenih graničnih vrijednosti koje će u skladu sa novim evropskim standardima važiti od 2030. godine. </w:t>
      </w:r>
    </w:p>
    <w:p w14:paraId="5D33A059" w14:textId="77777777" w:rsidR="00806123" w:rsidRPr="001C58C6" w:rsidRDefault="00806123" w:rsidP="00C87B0E">
      <w:pPr>
        <w:rPr>
          <w:rFonts w:ascii="Calibri" w:hAnsi="Calibri" w:cs="Calibri"/>
          <w:color w:val="000000" w:themeColor="text1"/>
        </w:rPr>
      </w:pPr>
    </w:p>
    <w:p w14:paraId="209B4C5A"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Situacija je, očekivano, vrlo slična kada su u pitanju čestice manjeg promjera (PM2.5). U Pljevljima je srednja godišnja vrjednost 2024. godine iznosila  32.76 µg/m3, a u Bijelom Polju 30.78 µg/m3, što predstavlja značajno prekoračenje srednje godišnje vrijednosti od 20 µg/m3 i veliki izazov za postizanje prepolovljene granične vrijednosti (10 µg/m3) nakon 2030. godine. </w:t>
      </w:r>
    </w:p>
    <w:p w14:paraId="00CCE042" w14:textId="77777777" w:rsidR="00806123" w:rsidRPr="001C58C6" w:rsidRDefault="00806123" w:rsidP="00C87B0E">
      <w:pPr>
        <w:rPr>
          <w:rFonts w:ascii="Calibri" w:hAnsi="Calibri" w:cs="Calibri"/>
          <w:color w:val="000000" w:themeColor="text1"/>
        </w:rPr>
      </w:pPr>
    </w:p>
    <w:p w14:paraId="4EC3E2FF"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Sadržaj benzo(a)pirena u PM česticama je 2024. godine u Pljevljima iznosio 4.59 ng/m3 a u Bijelom Polju 5.58 ng/m3 što uveliko premašuje propisani ciljni sadržaj od 1ng/m3 i ukazuje na fosilno porijeklo suspendovanih čestica. </w:t>
      </w:r>
    </w:p>
    <w:p w14:paraId="4BE8321F" w14:textId="77777777" w:rsidR="00806123" w:rsidRPr="001C58C6" w:rsidRDefault="00806123" w:rsidP="00C87B0E">
      <w:pPr>
        <w:rPr>
          <w:rFonts w:ascii="Calibri" w:hAnsi="Calibri" w:cs="Calibri"/>
          <w:color w:val="000000" w:themeColor="text1"/>
        </w:rPr>
      </w:pPr>
    </w:p>
    <w:p w14:paraId="25D79A44" w14:textId="77777777" w:rsidR="00806123" w:rsidRPr="001C58C6" w:rsidRDefault="00806123" w:rsidP="00C87B0E">
      <w:pPr>
        <w:rPr>
          <w:rFonts w:ascii="Calibri" w:hAnsi="Calibri" w:cs="Calibri"/>
          <w:color w:val="000000" w:themeColor="text1"/>
        </w:rPr>
      </w:pPr>
    </w:p>
    <w:p w14:paraId="5B45F5B9" w14:textId="77777777" w:rsidR="00806123" w:rsidRPr="001C58C6" w:rsidRDefault="00806123" w:rsidP="00C87B0E">
      <w:pPr>
        <w:rPr>
          <w:rFonts w:ascii="Calibri" w:hAnsi="Calibri" w:cs="Calibri"/>
          <w:color w:val="000000" w:themeColor="text1"/>
        </w:rPr>
      </w:pPr>
    </w:p>
    <w:p w14:paraId="25F09DF0" w14:textId="77777777" w:rsidR="00806123" w:rsidRPr="001C58C6" w:rsidRDefault="00806123" w:rsidP="00C87B0E">
      <w:pPr>
        <w:rPr>
          <w:rFonts w:ascii="Calibri" w:hAnsi="Calibri" w:cs="Calibri"/>
          <w:color w:val="000000" w:themeColor="text1"/>
        </w:rPr>
      </w:pPr>
    </w:p>
    <w:p w14:paraId="1AE7D0F6" w14:textId="77777777" w:rsidR="00806123" w:rsidRPr="001C58C6" w:rsidRDefault="00806123" w:rsidP="00B33518">
      <w:pPr>
        <w:pStyle w:val="Caption"/>
        <w:jc w:val="center"/>
        <w:rPr>
          <w:rFonts w:ascii="Calibri" w:hAnsi="Calibri" w:cs="Calibri"/>
          <w:color w:val="000000" w:themeColor="text1"/>
        </w:rPr>
      </w:pPr>
    </w:p>
    <w:p w14:paraId="4A483FDD" w14:textId="77777777" w:rsidR="00B33518" w:rsidRPr="001C58C6" w:rsidRDefault="00B33518" w:rsidP="00B33518">
      <w:pPr>
        <w:rPr>
          <w:rFonts w:ascii="Calibri" w:hAnsi="Calibri" w:cs="Calibri"/>
          <w:color w:val="000000" w:themeColor="text1"/>
        </w:rPr>
      </w:pPr>
    </w:p>
    <w:p w14:paraId="50C6DA99" w14:textId="77777777" w:rsidR="00806123" w:rsidRPr="001C58C6" w:rsidRDefault="00806123" w:rsidP="00C87B0E">
      <w:pPr>
        <w:rPr>
          <w:rFonts w:ascii="Calibri" w:hAnsi="Calibri" w:cs="Calibri"/>
          <w:color w:val="000000" w:themeColor="text1"/>
        </w:rPr>
      </w:pPr>
    </w:p>
    <w:p w14:paraId="77BD0D33" w14:textId="77777777" w:rsidR="00806123" w:rsidRPr="001C58C6" w:rsidRDefault="00806123" w:rsidP="00C87B0E">
      <w:pPr>
        <w:rPr>
          <w:rFonts w:ascii="Calibri" w:hAnsi="Calibri" w:cs="Calibri"/>
          <w:color w:val="000000" w:themeColor="text1"/>
        </w:rPr>
      </w:pPr>
    </w:p>
    <w:p w14:paraId="2AB053C4" w14:textId="77777777" w:rsidR="00342FEE" w:rsidRPr="001C58C6" w:rsidRDefault="00342FEE" w:rsidP="00C87B0E">
      <w:pPr>
        <w:rPr>
          <w:rFonts w:ascii="Calibri" w:hAnsi="Calibri" w:cs="Calibri"/>
          <w:color w:val="000000" w:themeColor="text1"/>
        </w:rPr>
      </w:pPr>
    </w:p>
    <w:p w14:paraId="498A51F5" w14:textId="77777777" w:rsidR="00342FEE" w:rsidRPr="001C58C6" w:rsidRDefault="00342FEE" w:rsidP="00C87B0E">
      <w:pPr>
        <w:rPr>
          <w:rFonts w:ascii="Calibri" w:hAnsi="Calibri" w:cs="Calibri"/>
          <w:color w:val="000000" w:themeColor="text1"/>
        </w:rPr>
      </w:pPr>
    </w:p>
    <w:p w14:paraId="5A76EFFB" w14:textId="77777777" w:rsidR="00806123" w:rsidRPr="001C58C6" w:rsidRDefault="00806123" w:rsidP="00C87B0E">
      <w:pPr>
        <w:rPr>
          <w:rFonts w:ascii="Calibri" w:hAnsi="Calibri" w:cs="Calibri"/>
          <w:color w:val="000000" w:themeColor="text1"/>
        </w:rPr>
      </w:pPr>
    </w:p>
    <w:p w14:paraId="07B2FB50" w14:textId="77777777" w:rsidR="0033245A" w:rsidRPr="001C58C6" w:rsidRDefault="00806123" w:rsidP="00B33518">
      <w:pPr>
        <w:pStyle w:val="Caption"/>
        <w:jc w:val="center"/>
        <w:rPr>
          <w:rFonts w:ascii="Calibri" w:hAnsi="Calibri" w:cs="Calibri"/>
          <w:i/>
          <w:iCs/>
          <w:color w:val="000000" w:themeColor="text1"/>
          <w:sz w:val="20"/>
          <w:szCs w:val="20"/>
        </w:rPr>
      </w:pPr>
      <w:bookmarkStart w:id="148" w:name="_Toc233584672"/>
      <w:r w:rsidRPr="001C58C6">
        <w:rPr>
          <w:rFonts w:ascii="Calibri" w:hAnsi="Calibri" w:cs="Calibri"/>
          <w:i/>
          <w:iCs/>
          <w:color w:val="000000" w:themeColor="text1"/>
          <w:sz w:val="20"/>
          <w:szCs w:val="20"/>
        </w:rPr>
        <w:lastRenderedPageBreak/>
        <w:t xml:space="preserve">Grafik </w:t>
      </w:r>
      <w:r w:rsidRPr="001C58C6">
        <w:rPr>
          <w:rFonts w:ascii="Calibri" w:hAnsi="Calibri" w:cs="Calibri"/>
          <w:i/>
          <w:iCs/>
          <w:color w:val="000000" w:themeColor="text1"/>
          <w:sz w:val="20"/>
          <w:szCs w:val="20"/>
        </w:rPr>
        <w:fldChar w:fldCharType="begin"/>
      </w:r>
      <w:r w:rsidRPr="001C58C6">
        <w:rPr>
          <w:rFonts w:ascii="Calibri" w:hAnsi="Calibri" w:cs="Calibri"/>
          <w:i/>
          <w:iCs/>
          <w:color w:val="000000" w:themeColor="text1"/>
          <w:sz w:val="20"/>
          <w:szCs w:val="20"/>
        </w:rPr>
        <w:instrText xml:space="preserve"> SEQ Grafik \* ARABIC </w:instrText>
      </w:r>
      <w:r w:rsidRPr="001C58C6">
        <w:rPr>
          <w:rFonts w:ascii="Calibri" w:hAnsi="Calibri" w:cs="Calibri"/>
          <w:i/>
          <w:iCs/>
          <w:color w:val="000000" w:themeColor="text1"/>
          <w:sz w:val="20"/>
          <w:szCs w:val="20"/>
        </w:rPr>
        <w:fldChar w:fldCharType="separate"/>
      </w:r>
      <w:r w:rsidR="00752282" w:rsidRPr="001C58C6">
        <w:rPr>
          <w:rFonts w:ascii="Calibri" w:hAnsi="Calibri" w:cs="Calibri"/>
          <w:i/>
          <w:iCs/>
          <w:color w:val="000000" w:themeColor="text1"/>
          <w:sz w:val="20"/>
          <w:szCs w:val="20"/>
        </w:rPr>
        <w:t>11</w:t>
      </w:r>
      <w:r w:rsidRPr="001C58C6">
        <w:rPr>
          <w:rFonts w:ascii="Calibri" w:hAnsi="Calibri" w:cs="Calibri"/>
          <w:i/>
          <w:iCs/>
          <w:color w:val="000000" w:themeColor="text1"/>
          <w:sz w:val="20"/>
          <w:szCs w:val="20"/>
        </w:rPr>
        <w:fldChar w:fldCharType="end"/>
      </w:r>
      <w:r w:rsidR="0033245A" w:rsidRPr="001C58C6">
        <w:rPr>
          <w:rFonts w:ascii="Calibri" w:hAnsi="Calibri" w:cs="Calibri"/>
          <w:i/>
          <w:iCs/>
          <w:color w:val="000000" w:themeColor="text1"/>
          <w:sz w:val="20"/>
          <w:szCs w:val="20"/>
        </w:rPr>
        <w:t>: Sadržaj benzo(a)pirena u PM česticama je u Pljevljima i Bijelom Polju (2020-2024)</w:t>
      </w:r>
      <w:bookmarkEnd w:id="148"/>
    </w:p>
    <w:p w14:paraId="785FD0C6" w14:textId="77777777" w:rsidR="00C87B0E" w:rsidRPr="001C58C6" w:rsidRDefault="00C87B0E" w:rsidP="0033245A">
      <w:pPr>
        <w:jc w:val="center"/>
        <w:rPr>
          <w:rFonts w:ascii="Calibri" w:hAnsi="Calibri" w:cs="Calibri"/>
          <w:color w:val="000000" w:themeColor="text1"/>
        </w:rPr>
      </w:pPr>
      <w:r w:rsidRPr="001C58C6">
        <w:rPr>
          <w:rFonts w:ascii="Calibri" w:hAnsi="Calibri" w:cs="Calibri"/>
          <w:noProof/>
          <w:color w:val="000000" w:themeColor="text1"/>
        </w:rPr>
        <w:drawing>
          <wp:inline distT="0" distB="0" distL="0" distR="0" wp14:anchorId="16400AA8" wp14:editId="197FD47D">
            <wp:extent cx="4196080" cy="2520441"/>
            <wp:effectExtent l="0" t="0" r="0" b="0"/>
            <wp:docPr id="1791211548" name="Picture 15" descr="A graph showing the number of different countries/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211548" name="Picture 15" descr="A graph showing the number of different countries/regions&#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06307" cy="2526584"/>
                    </a:xfrm>
                    <a:prstGeom prst="rect">
                      <a:avLst/>
                    </a:prstGeom>
                    <a:noFill/>
                    <a:ln>
                      <a:noFill/>
                    </a:ln>
                  </pic:spPr>
                </pic:pic>
              </a:graphicData>
            </a:graphic>
          </wp:inline>
        </w:drawing>
      </w:r>
    </w:p>
    <w:p w14:paraId="0ED93C49" w14:textId="77777777" w:rsidR="0033245A" w:rsidRPr="001C58C6" w:rsidRDefault="0033245A" w:rsidP="0033245A">
      <w:pPr>
        <w:jc w:val="center"/>
        <w:rPr>
          <w:rFonts w:ascii="Calibri" w:hAnsi="Calibri" w:cs="Calibri"/>
          <w:color w:val="000000" w:themeColor="text1"/>
        </w:rPr>
      </w:pPr>
    </w:p>
    <w:p w14:paraId="3EEA75D7" w14:textId="77777777" w:rsidR="00C87B0E" w:rsidRPr="001C58C6" w:rsidRDefault="0033245A" w:rsidP="0033245A">
      <w:pPr>
        <w:pStyle w:val="Heading3"/>
        <w:rPr>
          <w:rFonts w:ascii="Calibri" w:hAnsi="Calibri" w:cs="Calibri"/>
          <w:color w:val="000000" w:themeColor="text1"/>
        </w:rPr>
      </w:pPr>
      <w:bookmarkStart w:id="149" w:name="_Toc217388087"/>
      <w:bookmarkStart w:id="150" w:name="_Toc220070445"/>
      <w:bookmarkStart w:id="151" w:name="_Toc233711764"/>
      <w:r w:rsidRPr="001C58C6">
        <w:rPr>
          <w:rFonts w:ascii="Calibri" w:hAnsi="Calibri" w:cs="Calibri"/>
          <w:color w:val="000000" w:themeColor="text1"/>
        </w:rPr>
        <w:t>7.1.</w:t>
      </w:r>
      <w:r w:rsidR="00C87B0E" w:rsidRPr="001C58C6">
        <w:rPr>
          <w:rFonts w:ascii="Calibri" w:hAnsi="Calibri" w:cs="Calibri"/>
          <w:color w:val="000000" w:themeColor="text1"/>
        </w:rPr>
        <w:t>3 Nadležni organi</w:t>
      </w:r>
      <w:bookmarkEnd w:id="149"/>
      <w:bookmarkEnd w:id="150"/>
      <w:bookmarkEnd w:id="151"/>
    </w:p>
    <w:p w14:paraId="43B79139" w14:textId="77777777" w:rsidR="00C87B0E" w:rsidRPr="001C58C6" w:rsidRDefault="00C87B0E" w:rsidP="00C87B0E">
      <w:pPr>
        <w:rPr>
          <w:rFonts w:ascii="Calibri" w:hAnsi="Calibri" w:cs="Calibri"/>
          <w:color w:val="000000" w:themeColor="text1"/>
        </w:rPr>
      </w:pPr>
      <w:bookmarkStart w:id="152" w:name="_Hlk216375381"/>
      <w:bookmarkEnd w:id="152"/>
      <w:r w:rsidRPr="001C58C6">
        <w:rPr>
          <w:rFonts w:ascii="Calibri" w:hAnsi="Calibri" w:cs="Calibri"/>
          <w:color w:val="000000" w:themeColor="text1"/>
        </w:rPr>
        <w:t xml:space="preserve">Nadležni organ za koordinaciju i nadzor nad sprovođenjem ove strategije, uključujuči i planove kvaliteta vazduha na nivou zona je Ministarstvo ekologije, održivog razvoja i razvoja sjevera. </w:t>
      </w:r>
    </w:p>
    <w:p w14:paraId="744B028F" w14:textId="77777777" w:rsidR="00806123" w:rsidRPr="001C58C6" w:rsidRDefault="00806123" w:rsidP="00C87B0E">
      <w:pPr>
        <w:rPr>
          <w:rFonts w:ascii="Calibri" w:hAnsi="Calibri" w:cs="Calibri"/>
          <w:color w:val="000000" w:themeColor="text1"/>
        </w:rPr>
      </w:pPr>
    </w:p>
    <w:p w14:paraId="7CAE1365" w14:textId="284FB76F"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Jedinice lokalne samouprave koje pripadaju ovoj zoni dužne su da u svojim lokalnim akcionim planovima za životnu sredinu razrađuju i planiraju sprovođenje mjera za smanjenje zagađenja na svojoj teritoriji, kao i da planiraju i sprovode mjere energetske efikasnosti. </w:t>
      </w:r>
    </w:p>
    <w:p w14:paraId="3D2AF5D0" w14:textId="77777777" w:rsidR="00806123" w:rsidRPr="001C58C6" w:rsidRDefault="00806123" w:rsidP="00C87B0E">
      <w:pPr>
        <w:rPr>
          <w:rFonts w:ascii="Calibri" w:hAnsi="Calibri" w:cs="Calibri"/>
          <w:color w:val="000000" w:themeColor="text1"/>
        </w:rPr>
      </w:pPr>
    </w:p>
    <w:p w14:paraId="34250A99"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Ministarstvo energetike i rudarstva je nadležno za sprovođenje Nacionalnog klimatskog i energetskog plana čija će implementacija doprinijeti smanjenju zagađenja. </w:t>
      </w:r>
    </w:p>
    <w:p w14:paraId="0C1467DA" w14:textId="77777777" w:rsidR="00806123" w:rsidRPr="001C58C6" w:rsidRDefault="00806123" w:rsidP="00C87B0E">
      <w:pPr>
        <w:rPr>
          <w:rFonts w:ascii="Calibri" w:hAnsi="Calibri" w:cs="Calibri"/>
          <w:color w:val="000000" w:themeColor="text1"/>
        </w:rPr>
      </w:pPr>
    </w:p>
    <w:p w14:paraId="05E0C8A0"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Eko fond igra značajnu ulogu u implementaciji određenih mjera, kroz sufinansiranje projekata, programa i ostalih aktivnosti iz djelokruga rada Eko-fonda. </w:t>
      </w:r>
    </w:p>
    <w:p w14:paraId="1B7D5EF8" w14:textId="77777777" w:rsidR="00806123" w:rsidRPr="001C58C6" w:rsidRDefault="00806123" w:rsidP="00C87B0E">
      <w:pPr>
        <w:rPr>
          <w:rFonts w:ascii="Calibri" w:hAnsi="Calibri" w:cs="Calibri"/>
          <w:color w:val="000000" w:themeColor="text1"/>
        </w:rPr>
      </w:pPr>
    </w:p>
    <w:p w14:paraId="33B11674"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U odabranim mjerama za smanjenje zagađivanja vazduha u Sjevernom regionu značajan je doprinos EPCG, kao pokretača, finansijera i implementatora određenih mjera. </w:t>
      </w:r>
    </w:p>
    <w:p w14:paraId="2BB7291F"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Iako Nacionalni Savjet za Pravednu Tranziciju ima ulogu koja je prevashodno usmjerena na ublažavanje društveno-ekonomskih posljedica dekarbonizacije energetskog sektora, njegova uloga u razvoju budućeg održivog razvoja u Sjevernom regionu je vrlo važna. </w:t>
      </w:r>
    </w:p>
    <w:p w14:paraId="2CB160F5" w14:textId="77777777" w:rsidR="0033245A" w:rsidRPr="001C58C6" w:rsidRDefault="0033245A">
      <w:pPr>
        <w:jc w:val="left"/>
        <w:rPr>
          <w:rFonts w:ascii="Calibri" w:hAnsi="Calibri" w:cs="Calibri"/>
          <w:color w:val="000000" w:themeColor="text1"/>
        </w:rPr>
      </w:pPr>
      <w:r w:rsidRPr="001C58C6">
        <w:rPr>
          <w:rFonts w:ascii="Calibri" w:hAnsi="Calibri" w:cs="Calibri"/>
          <w:color w:val="000000" w:themeColor="text1"/>
        </w:rPr>
        <w:br w:type="page"/>
      </w:r>
    </w:p>
    <w:p w14:paraId="2BE1508D" w14:textId="77777777" w:rsidR="00C87B0E" w:rsidRPr="001C58C6" w:rsidRDefault="0033245A" w:rsidP="0033245A">
      <w:pPr>
        <w:pStyle w:val="Heading3"/>
        <w:rPr>
          <w:rFonts w:ascii="Calibri" w:hAnsi="Calibri" w:cs="Calibri"/>
          <w:color w:val="000000" w:themeColor="text1"/>
        </w:rPr>
      </w:pPr>
      <w:bookmarkStart w:id="153" w:name="_Toc217388088"/>
      <w:bookmarkStart w:id="154" w:name="_Toc220070446"/>
      <w:bookmarkStart w:id="155" w:name="_Toc233711765"/>
      <w:r w:rsidRPr="001C58C6">
        <w:rPr>
          <w:rFonts w:ascii="Calibri" w:hAnsi="Calibri" w:cs="Calibri"/>
          <w:color w:val="000000" w:themeColor="text1"/>
        </w:rPr>
        <w:lastRenderedPageBreak/>
        <w:t xml:space="preserve">7.1.4 </w:t>
      </w:r>
      <w:r w:rsidR="00C87B0E" w:rsidRPr="001C58C6">
        <w:rPr>
          <w:rFonts w:ascii="Calibri" w:hAnsi="Calibri" w:cs="Calibri"/>
          <w:color w:val="000000" w:themeColor="text1"/>
        </w:rPr>
        <w:t>Porijeklo zagađenja, uzimajući u obzir podatke iz inventara emisija zagađujućih materija u vazduh i podatke iz Programa kontrole zagađenja vazduha</w:t>
      </w:r>
      <w:bookmarkEnd w:id="153"/>
      <w:bookmarkEnd w:id="154"/>
      <w:bookmarkEnd w:id="155"/>
    </w:p>
    <w:p w14:paraId="7DDBF7E0"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Ključni izvori emisija polutanata čije su koncentracije prekoračene dat je u tabeli ispod, koja sadrži podatke o ukupnim emisijama u kilotonama i međunarodnim ekvivalentima toksičnosti I TEQ (za benzo(a)piren) kao i u procentualnom udjelu ključnih sektora u ukupnim emisijama. Ovi podaci ukazuju na to da je grijanje domaćinstava ključni sektor u kojem treba djelovati jer dominantno doprinosi ukupnim emisijama relevantnih polutanata i to 84% emisijama PM2.5, 79% emisijama PM10 i 99% sadržaju benzo(a)pirena u suspendovanim česticama. U terminologiji i metodologiji izrade inventara emisija ovaj sektor nosi oznaku 1A4bi i odnosi se uglavnom na sagorijevanje drveta za ogrijev u individualnim ložištima. </w:t>
      </w:r>
    </w:p>
    <w:p w14:paraId="7AC15797" w14:textId="77777777" w:rsidR="00806123" w:rsidRPr="001C58C6" w:rsidRDefault="00806123" w:rsidP="00C87B0E">
      <w:pPr>
        <w:rPr>
          <w:rFonts w:ascii="Calibri" w:hAnsi="Calibri" w:cs="Calibri"/>
          <w:color w:val="000000" w:themeColor="text1"/>
        </w:rPr>
      </w:pPr>
    </w:p>
    <w:p w14:paraId="664A2893" w14:textId="77777777" w:rsidR="00C87B0E" w:rsidRPr="001C58C6" w:rsidRDefault="00806123" w:rsidP="00B33518">
      <w:pPr>
        <w:pStyle w:val="Caption"/>
        <w:jc w:val="center"/>
        <w:rPr>
          <w:rFonts w:ascii="Calibri" w:hAnsi="Calibri" w:cs="Calibri"/>
          <w:i/>
          <w:iCs/>
          <w:color w:val="000000" w:themeColor="text1"/>
          <w:sz w:val="20"/>
          <w:szCs w:val="20"/>
        </w:rPr>
      </w:pPr>
      <w:bookmarkStart w:id="156" w:name="_Toc217388764"/>
      <w:bookmarkStart w:id="157" w:name="_Toc217388809"/>
      <w:bookmarkStart w:id="158" w:name="_Toc233584683"/>
      <w:r w:rsidRPr="001C58C6">
        <w:rPr>
          <w:rFonts w:ascii="Calibri" w:hAnsi="Calibri" w:cs="Calibri"/>
          <w:i/>
          <w:iCs/>
          <w:color w:val="000000" w:themeColor="text1"/>
          <w:sz w:val="20"/>
          <w:szCs w:val="20"/>
        </w:rPr>
        <w:t xml:space="preserve">Tabela </w:t>
      </w:r>
      <w:r w:rsidRPr="001C58C6">
        <w:rPr>
          <w:rFonts w:ascii="Calibri" w:hAnsi="Calibri" w:cs="Calibri"/>
          <w:i/>
          <w:iCs/>
          <w:color w:val="000000" w:themeColor="text1"/>
          <w:sz w:val="20"/>
          <w:szCs w:val="20"/>
        </w:rPr>
        <w:fldChar w:fldCharType="begin"/>
      </w:r>
      <w:r w:rsidRPr="001C58C6">
        <w:rPr>
          <w:rFonts w:ascii="Calibri" w:hAnsi="Calibri" w:cs="Calibri"/>
          <w:i/>
          <w:iCs/>
          <w:color w:val="000000" w:themeColor="text1"/>
          <w:sz w:val="20"/>
          <w:szCs w:val="20"/>
        </w:rPr>
        <w:instrText xml:space="preserve"> SEQ Tabela \* ARABIC </w:instrText>
      </w:r>
      <w:r w:rsidRPr="001C58C6">
        <w:rPr>
          <w:rFonts w:ascii="Calibri" w:hAnsi="Calibri" w:cs="Calibri"/>
          <w:i/>
          <w:iCs/>
          <w:color w:val="000000" w:themeColor="text1"/>
          <w:sz w:val="20"/>
          <w:szCs w:val="20"/>
        </w:rPr>
        <w:fldChar w:fldCharType="separate"/>
      </w:r>
      <w:r w:rsidR="00752282" w:rsidRPr="001C58C6">
        <w:rPr>
          <w:rFonts w:ascii="Calibri" w:hAnsi="Calibri" w:cs="Calibri"/>
          <w:i/>
          <w:iCs/>
          <w:color w:val="000000" w:themeColor="text1"/>
          <w:sz w:val="20"/>
          <w:szCs w:val="20"/>
        </w:rPr>
        <w:t>8</w:t>
      </w:r>
      <w:r w:rsidRPr="001C58C6">
        <w:rPr>
          <w:rFonts w:ascii="Calibri" w:hAnsi="Calibri" w:cs="Calibri"/>
          <w:i/>
          <w:iCs/>
          <w:color w:val="000000" w:themeColor="text1"/>
          <w:sz w:val="20"/>
          <w:szCs w:val="20"/>
        </w:rPr>
        <w:fldChar w:fldCharType="end"/>
      </w:r>
      <w:r w:rsidR="0033245A" w:rsidRPr="001C58C6">
        <w:rPr>
          <w:rFonts w:ascii="Calibri" w:hAnsi="Calibri" w:cs="Calibri"/>
          <w:i/>
          <w:iCs/>
          <w:color w:val="000000" w:themeColor="text1"/>
          <w:sz w:val="20"/>
          <w:szCs w:val="20"/>
        </w:rPr>
        <w:t>: Ključni izvori emisija polutanata</w:t>
      </w:r>
      <w:bookmarkEnd w:id="156"/>
      <w:bookmarkEnd w:id="157"/>
      <w:bookmarkEnd w:id="158"/>
    </w:p>
    <w:tbl>
      <w:tblPr>
        <w:tblStyle w:val="GridTable1Light-Accent1"/>
        <w:tblW w:w="5000" w:type="pct"/>
        <w:tblLook w:val="04A0" w:firstRow="1" w:lastRow="0" w:firstColumn="1" w:lastColumn="0" w:noHBand="0" w:noVBand="1"/>
      </w:tblPr>
      <w:tblGrid>
        <w:gridCol w:w="4674"/>
        <w:gridCol w:w="1417"/>
        <w:gridCol w:w="1134"/>
        <w:gridCol w:w="1791"/>
      </w:tblGrid>
      <w:tr w:rsidR="00C87B0E" w:rsidRPr="001C58C6" w14:paraId="68FD3075" w14:textId="77777777" w:rsidTr="003324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2" w:type="pct"/>
            <w:shd w:val="clear" w:color="auto" w:fill="E8E8E8" w:themeFill="background2"/>
            <w:hideMark/>
          </w:tcPr>
          <w:p w14:paraId="46037ED2" w14:textId="77777777" w:rsidR="00C87B0E" w:rsidRPr="001C58C6" w:rsidRDefault="00C87B0E" w:rsidP="0033245A">
            <w:pPr>
              <w:rPr>
                <w:rFonts w:ascii="Calibri" w:hAnsi="Calibri" w:cs="Calibri"/>
                <w:color w:val="000000" w:themeColor="text1"/>
                <w:sz w:val="22"/>
              </w:rPr>
            </w:pPr>
            <w:r w:rsidRPr="001C58C6">
              <w:rPr>
                <w:rFonts w:ascii="Calibri" w:hAnsi="Calibri" w:cs="Calibri"/>
                <w:color w:val="000000" w:themeColor="text1"/>
                <w:sz w:val="22"/>
              </w:rPr>
              <w:t>Ključni sektori/polutanti</w:t>
            </w:r>
          </w:p>
        </w:tc>
        <w:tc>
          <w:tcPr>
            <w:tcW w:w="786" w:type="pct"/>
            <w:shd w:val="clear" w:color="auto" w:fill="E8E8E8" w:themeFill="background2"/>
            <w:hideMark/>
          </w:tcPr>
          <w:p w14:paraId="0F251BF4" w14:textId="77777777" w:rsidR="00C87B0E" w:rsidRPr="001C58C6" w:rsidRDefault="00C87B0E" w:rsidP="0033245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PM2.5 (kt)</w:t>
            </w:r>
          </w:p>
        </w:tc>
        <w:tc>
          <w:tcPr>
            <w:tcW w:w="629" w:type="pct"/>
            <w:shd w:val="clear" w:color="auto" w:fill="E8E8E8" w:themeFill="background2"/>
            <w:hideMark/>
          </w:tcPr>
          <w:p w14:paraId="1DAE1511" w14:textId="77777777" w:rsidR="00C87B0E" w:rsidRPr="001C58C6" w:rsidRDefault="00C87B0E" w:rsidP="0033245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PM10 (kt)</w:t>
            </w:r>
          </w:p>
        </w:tc>
        <w:tc>
          <w:tcPr>
            <w:tcW w:w="993" w:type="pct"/>
            <w:shd w:val="clear" w:color="auto" w:fill="E8E8E8" w:themeFill="background2"/>
            <w:hideMark/>
          </w:tcPr>
          <w:p w14:paraId="3A6AF435" w14:textId="77777777" w:rsidR="00C87B0E" w:rsidRPr="001C58C6" w:rsidRDefault="00C87B0E" w:rsidP="0033245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BaP</w:t>
            </w:r>
          </w:p>
          <w:p w14:paraId="34277696" w14:textId="77777777" w:rsidR="00C87B0E" w:rsidRPr="001C58C6" w:rsidRDefault="00C87B0E" w:rsidP="0033245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g/I TEQ*</w:t>
            </w:r>
          </w:p>
        </w:tc>
      </w:tr>
      <w:tr w:rsidR="0033245A" w:rsidRPr="001C58C6" w14:paraId="39837109" w14:textId="77777777" w:rsidTr="0033245A">
        <w:tc>
          <w:tcPr>
            <w:cnfStyle w:val="001000000000" w:firstRow="0" w:lastRow="0" w:firstColumn="1" w:lastColumn="0" w:oddVBand="0" w:evenVBand="0" w:oddHBand="0" w:evenHBand="0" w:firstRowFirstColumn="0" w:firstRowLastColumn="0" w:lastRowFirstColumn="0" w:lastRowLastColumn="0"/>
            <w:tcW w:w="2592" w:type="pct"/>
            <w:vMerge w:val="restart"/>
            <w:hideMark/>
          </w:tcPr>
          <w:p w14:paraId="5438DBC8" w14:textId="77777777" w:rsidR="0033245A" w:rsidRPr="001C58C6" w:rsidRDefault="0033245A" w:rsidP="0033245A">
            <w:pPr>
              <w:rPr>
                <w:rFonts w:ascii="Calibri" w:hAnsi="Calibri" w:cs="Calibri"/>
                <w:color w:val="000000" w:themeColor="text1"/>
                <w:sz w:val="22"/>
              </w:rPr>
            </w:pPr>
            <w:r w:rsidRPr="001C58C6">
              <w:rPr>
                <w:rFonts w:ascii="Calibri" w:hAnsi="Calibri" w:cs="Calibri"/>
                <w:color w:val="000000" w:themeColor="text1"/>
                <w:sz w:val="22"/>
              </w:rPr>
              <w:t>Proizvodnja električne energije</w:t>
            </w:r>
          </w:p>
        </w:tc>
        <w:tc>
          <w:tcPr>
            <w:tcW w:w="786" w:type="pct"/>
            <w:hideMark/>
          </w:tcPr>
          <w:p w14:paraId="24547B59" w14:textId="77777777" w:rsidR="0033245A" w:rsidRPr="001C58C6" w:rsidRDefault="0033245A" w:rsidP="0033245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6.08</w:t>
            </w:r>
          </w:p>
        </w:tc>
        <w:tc>
          <w:tcPr>
            <w:tcW w:w="629" w:type="pct"/>
            <w:hideMark/>
          </w:tcPr>
          <w:p w14:paraId="580CCA31" w14:textId="77777777" w:rsidR="0033245A" w:rsidRPr="001C58C6" w:rsidRDefault="0033245A" w:rsidP="0033245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6.58</w:t>
            </w:r>
          </w:p>
        </w:tc>
        <w:tc>
          <w:tcPr>
            <w:tcW w:w="993" w:type="pct"/>
            <w:hideMark/>
          </w:tcPr>
          <w:p w14:paraId="7DB590DD" w14:textId="77777777" w:rsidR="0033245A" w:rsidRPr="001C58C6" w:rsidRDefault="0033245A" w:rsidP="0033245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w:t>
            </w:r>
          </w:p>
        </w:tc>
      </w:tr>
      <w:tr w:rsidR="0033245A" w:rsidRPr="001C58C6" w14:paraId="1ECAE147" w14:textId="77777777" w:rsidTr="0033245A">
        <w:tc>
          <w:tcPr>
            <w:cnfStyle w:val="001000000000" w:firstRow="0" w:lastRow="0" w:firstColumn="1" w:lastColumn="0" w:oddVBand="0" w:evenVBand="0" w:oddHBand="0" w:evenHBand="0" w:firstRowFirstColumn="0" w:firstRowLastColumn="0" w:lastRowFirstColumn="0" w:lastRowLastColumn="0"/>
            <w:tcW w:w="2592" w:type="pct"/>
            <w:vMerge/>
          </w:tcPr>
          <w:p w14:paraId="02943EC4" w14:textId="77777777" w:rsidR="0033245A" w:rsidRPr="001C58C6" w:rsidRDefault="0033245A" w:rsidP="0033245A">
            <w:pPr>
              <w:rPr>
                <w:rFonts w:ascii="Calibri" w:hAnsi="Calibri" w:cs="Calibri"/>
                <w:color w:val="000000" w:themeColor="text1"/>
                <w:sz w:val="22"/>
              </w:rPr>
            </w:pPr>
          </w:p>
        </w:tc>
        <w:tc>
          <w:tcPr>
            <w:tcW w:w="786" w:type="pct"/>
            <w:hideMark/>
          </w:tcPr>
          <w:p w14:paraId="0C38862D" w14:textId="77777777" w:rsidR="0033245A" w:rsidRPr="001C58C6" w:rsidRDefault="0033245A" w:rsidP="0033245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3%</w:t>
            </w:r>
          </w:p>
        </w:tc>
        <w:tc>
          <w:tcPr>
            <w:tcW w:w="629" w:type="pct"/>
            <w:hideMark/>
          </w:tcPr>
          <w:p w14:paraId="6F801CD3" w14:textId="77777777" w:rsidR="0033245A" w:rsidRPr="001C58C6" w:rsidRDefault="0033245A" w:rsidP="0033245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4%</w:t>
            </w:r>
          </w:p>
        </w:tc>
        <w:tc>
          <w:tcPr>
            <w:tcW w:w="993" w:type="pct"/>
            <w:hideMark/>
          </w:tcPr>
          <w:p w14:paraId="20DECF7E" w14:textId="77777777" w:rsidR="0033245A" w:rsidRPr="001C58C6" w:rsidRDefault="0033245A" w:rsidP="0033245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w:t>
            </w:r>
          </w:p>
        </w:tc>
      </w:tr>
      <w:tr w:rsidR="0033245A" w:rsidRPr="001C58C6" w14:paraId="1B11A302" w14:textId="77777777" w:rsidTr="0033245A">
        <w:tc>
          <w:tcPr>
            <w:cnfStyle w:val="001000000000" w:firstRow="0" w:lastRow="0" w:firstColumn="1" w:lastColumn="0" w:oddVBand="0" w:evenVBand="0" w:oddHBand="0" w:evenHBand="0" w:firstRowFirstColumn="0" w:firstRowLastColumn="0" w:lastRowFirstColumn="0" w:lastRowLastColumn="0"/>
            <w:tcW w:w="2592" w:type="pct"/>
            <w:vMerge w:val="restart"/>
            <w:hideMark/>
          </w:tcPr>
          <w:p w14:paraId="683125BA" w14:textId="77777777" w:rsidR="0033245A" w:rsidRPr="001C58C6" w:rsidRDefault="0033245A" w:rsidP="0033245A">
            <w:pPr>
              <w:rPr>
                <w:rFonts w:ascii="Calibri" w:hAnsi="Calibri" w:cs="Calibri"/>
                <w:color w:val="000000" w:themeColor="text1"/>
                <w:sz w:val="22"/>
              </w:rPr>
            </w:pPr>
            <w:r w:rsidRPr="001C58C6">
              <w:rPr>
                <w:rFonts w:ascii="Calibri" w:hAnsi="Calibri" w:cs="Calibri"/>
                <w:color w:val="000000" w:themeColor="text1"/>
                <w:sz w:val="22"/>
              </w:rPr>
              <w:t>Drumski saobraćaj – teretna vozila i autobusi</w:t>
            </w:r>
          </w:p>
        </w:tc>
        <w:tc>
          <w:tcPr>
            <w:tcW w:w="786" w:type="pct"/>
            <w:hideMark/>
          </w:tcPr>
          <w:p w14:paraId="40812E9B" w14:textId="77777777" w:rsidR="0033245A" w:rsidRPr="001C58C6" w:rsidRDefault="0033245A" w:rsidP="0033245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0.19</w:t>
            </w:r>
          </w:p>
        </w:tc>
        <w:tc>
          <w:tcPr>
            <w:tcW w:w="629" w:type="pct"/>
            <w:hideMark/>
          </w:tcPr>
          <w:p w14:paraId="36E5C893" w14:textId="77777777" w:rsidR="0033245A" w:rsidRPr="001C58C6" w:rsidRDefault="0033245A" w:rsidP="0033245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0.19</w:t>
            </w:r>
          </w:p>
        </w:tc>
        <w:tc>
          <w:tcPr>
            <w:tcW w:w="993" w:type="pct"/>
            <w:hideMark/>
          </w:tcPr>
          <w:p w14:paraId="284C8832" w14:textId="77777777" w:rsidR="0033245A" w:rsidRPr="001C58C6" w:rsidRDefault="0033245A" w:rsidP="0033245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w:t>
            </w:r>
          </w:p>
        </w:tc>
      </w:tr>
      <w:tr w:rsidR="0033245A" w:rsidRPr="001C58C6" w14:paraId="44E24D23" w14:textId="77777777" w:rsidTr="0033245A">
        <w:tc>
          <w:tcPr>
            <w:cnfStyle w:val="001000000000" w:firstRow="0" w:lastRow="0" w:firstColumn="1" w:lastColumn="0" w:oddVBand="0" w:evenVBand="0" w:oddHBand="0" w:evenHBand="0" w:firstRowFirstColumn="0" w:firstRowLastColumn="0" w:lastRowFirstColumn="0" w:lastRowLastColumn="0"/>
            <w:tcW w:w="2592" w:type="pct"/>
            <w:vMerge/>
          </w:tcPr>
          <w:p w14:paraId="0EA74A16" w14:textId="77777777" w:rsidR="0033245A" w:rsidRPr="001C58C6" w:rsidRDefault="0033245A" w:rsidP="0033245A">
            <w:pPr>
              <w:rPr>
                <w:rFonts w:ascii="Calibri" w:hAnsi="Calibri" w:cs="Calibri"/>
                <w:color w:val="000000" w:themeColor="text1"/>
                <w:sz w:val="22"/>
              </w:rPr>
            </w:pPr>
          </w:p>
        </w:tc>
        <w:tc>
          <w:tcPr>
            <w:tcW w:w="786" w:type="pct"/>
            <w:hideMark/>
          </w:tcPr>
          <w:p w14:paraId="42D1F6F9" w14:textId="77777777" w:rsidR="0033245A" w:rsidRPr="001C58C6" w:rsidRDefault="0033245A" w:rsidP="0033245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3%</w:t>
            </w:r>
          </w:p>
        </w:tc>
        <w:tc>
          <w:tcPr>
            <w:tcW w:w="629" w:type="pct"/>
            <w:hideMark/>
          </w:tcPr>
          <w:p w14:paraId="0BFC8527" w14:textId="77777777" w:rsidR="0033245A" w:rsidRPr="001C58C6" w:rsidRDefault="0033245A" w:rsidP="0033245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3%</w:t>
            </w:r>
          </w:p>
        </w:tc>
        <w:tc>
          <w:tcPr>
            <w:tcW w:w="993" w:type="pct"/>
            <w:hideMark/>
          </w:tcPr>
          <w:p w14:paraId="718CE2B6" w14:textId="77777777" w:rsidR="0033245A" w:rsidRPr="001C58C6" w:rsidRDefault="0033245A" w:rsidP="0033245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w:t>
            </w:r>
          </w:p>
        </w:tc>
      </w:tr>
      <w:tr w:rsidR="0033245A" w:rsidRPr="001C58C6" w14:paraId="4BC5483D" w14:textId="77777777" w:rsidTr="0033245A">
        <w:tc>
          <w:tcPr>
            <w:cnfStyle w:val="001000000000" w:firstRow="0" w:lastRow="0" w:firstColumn="1" w:lastColumn="0" w:oddVBand="0" w:evenVBand="0" w:oddHBand="0" w:evenHBand="0" w:firstRowFirstColumn="0" w:firstRowLastColumn="0" w:lastRowFirstColumn="0" w:lastRowLastColumn="0"/>
            <w:tcW w:w="2592" w:type="pct"/>
            <w:vMerge w:val="restart"/>
            <w:hideMark/>
          </w:tcPr>
          <w:p w14:paraId="38B61CA5" w14:textId="77777777" w:rsidR="0033245A" w:rsidRPr="001C58C6" w:rsidRDefault="0033245A" w:rsidP="0033245A">
            <w:pPr>
              <w:rPr>
                <w:rFonts w:ascii="Calibri" w:hAnsi="Calibri" w:cs="Calibri"/>
                <w:color w:val="000000" w:themeColor="text1"/>
                <w:sz w:val="22"/>
              </w:rPr>
            </w:pPr>
            <w:r w:rsidRPr="001C58C6">
              <w:rPr>
                <w:rFonts w:ascii="Calibri" w:hAnsi="Calibri" w:cs="Calibri"/>
                <w:color w:val="000000" w:themeColor="text1"/>
                <w:sz w:val="22"/>
              </w:rPr>
              <w:t>Grijanje domaćinstava</w:t>
            </w:r>
          </w:p>
        </w:tc>
        <w:tc>
          <w:tcPr>
            <w:tcW w:w="786" w:type="pct"/>
            <w:hideMark/>
          </w:tcPr>
          <w:p w14:paraId="3D75B31E" w14:textId="77777777" w:rsidR="0033245A" w:rsidRPr="001C58C6" w:rsidRDefault="0033245A" w:rsidP="0033245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5.08</w:t>
            </w:r>
          </w:p>
        </w:tc>
        <w:tc>
          <w:tcPr>
            <w:tcW w:w="629" w:type="pct"/>
            <w:hideMark/>
          </w:tcPr>
          <w:p w14:paraId="6765632F" w14:textId="77777777" w:rsidR="0033245A" w:rsidRPr="001C58C6" w:rsidRDefault="0033245A" w:rsidP="0033245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5.22</w:t>
            </w:r>
          </w:p>
        </w:tc>
        <w:tc>
          <w:tcPr>
            <w:tcW w:w="993" w:type="pct"/>
            <w:hideMark/>
          </w:tcPr>
          <w:p w14:paraId="379AE162" w14:textId="77777777" w:rsidR="0033245A" w:rsidRPr="001C58C6" w:rsidRDefault="0033245A" w:rsidP="0033245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0.83</w:t>
            </w:r>
          </w:p>
        </w:tc>
      </w:tr>
      <w:tr w:rsidR="0033245A" w:rsidRPr="001C58C6" w14:paraId="3E1D6D5F" w14:textId="77777777" w:rsidTr="0033245A">
        <w:tc>
          <w:tcPr>
            <w:cnfStyle w:val="001000000000" w:firstRow="0" w:lastRow="0" w:firstColumn="1" w:lastColumn="0" w:oddVBand="0" w:evenVBand="0" w:oddHBand="0" w:evenHBand="0" w:firstRowFirstColumn="0" w:firstRowLastColumn="0" w:lastRowFirstColumn="0" w:lastRowLastColumn="0"/>
            <w:tcW w:w="2592" w:type="pct"/>
            <w:vMerge/>
          </w:tcPr>
          <w:p w14:paraId="6A712B9E" w14:textId="77777777" w:rsidR="0033245A" w:rsidRPr="001C58C6" w:rsidRDefault="0033245A" w:rsidP="0033245A">
            <w:pPr>
              <w:rPr>
                <w:rFonts w:ascii="Calibri" w:hAnsi="Calibri" w:cs="Calibri"/>
                <w:color w:val="000000" w:themeColor="text1"/>
                <w:sz w:val="22"/>
              </w:rPr>
            </w:pPr>
          </w:p>
        </w:tc>
        <w:tc>
          <w:tcPr>
            <w:tcW w:w="786" w:type="pct"/>
            <w:hideMark/>
          </w:tcPr>
          <w:p w14:paraId="12A335FA" w14:textId="77777777" w:rsidR="0033245A" w:rsidRPr="001C58C6" w:rsidRDefault="0033245A" w:rsidP="0033245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2"/>
              </w:rPr>
            </w:pPr>
            <w:r w:rsidRPr="001C58C6">
              <w:rPr>
                <w:rFonts w:ascii="Calibri" w:hAnsi="Calibri" w:cs="Calibri"/>
                <w:b/>
                <w:bCs/>
                <w:color w:val="000000" w:themeColor="text1"/>
                <w:sz w:val="22"/>
              </w:rPr>
              <w:t>84%</w:t>
            </w:r>
          </w:p>
        </w:tc>
        <w:tc>
          <w:tcPr>
            <w:tcW w:w="629" w:type="pct"/>
            <w:hideMark/>
          </w:tcPr>
          <w:p w14:paraId="1A5A68AD" w14:textId="77777777" w:rsidR="0033245A" w:rsidRPr="001C58C6" w:rsidRDefault="0033245A" w:rsidP="0033245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2"/>
              </w:rPr>
            </w:pPr>
            <w:r w:rsidRPr="001C58C6">
              <w:rPr>
                <w:rFonts w:ascii="Calibri" w:hAnsi="Calibri" w:cs="Calibri"/>
                <w:b/>
                <w:bCs/>
                <w:color w:val="000000" w:themeColor="text1"/>
                <w:sz w:val="22"/>
              </w:rPr>
              <w:t>79%</w:t>
            </w:r>
          </w:p>
        </w:tc>
        <w:tc>
          <w:tcPr>
            <w:tcW w:w="993" w:type="pct"/>
            <w:hideMark/>
          </w:tcPr>
          <w:p w14:paraId="196E78CF" w14:textId="77777777" w:rsidR="0033245A" w:rsidRPr="001C58C6" w:rsidRDefault="0033245A" w:rsidP="0033245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2"/>
              </w:rPr>
            </w:pPr>
            <w:r w:rsidRPr="001C58C6">
              <w:rPr>
                <w:rFonts w:ascii="Calibri" w:hAnsi="Calibri" w:cs="Calibri"/>
                <w:b/>
                <w:bCs/>
                <w:color w:val="000000" w:themeColor="text1"/>
                <w:sz w:val="22"/>
              </w:rPr>
              <w:t>99%</w:t>
            </w:r>
          </w:p>
        </w:tc>
      </w:tr>
      <w:tr w:rsidR="00C87B0E" w:rsidRPr="001C58C6" w14:paraId="7952CA7A" w14:textId="77777777" w:rsidTr="0033245A">
        <w:tc>
          <w:tcPr>
            <w:cnfStyle w:val="001000000000" w:firstRow="0" w:lastRow="0" w:firstColumn="1" w:lastColumn="0" w:oddVBand="0" w:evenVBand="0" w:oddHBand="0" w:evenHBand="0" w:firstRowFirstColumn="0" w:firstRowLastColumn="0" w:lastRowFirstColumn="0" w:lastRowLastColumn="0"/>
            <w:tcW w:w="2592" w:type="pct"/>
            <w:hideMark/>
          </w:tcPr>
          <w:p w14:paraId="09F9BCFE" w14:textId="77777777" w:rsidR="00C87B0E" w:rsidRPr="001C58C6" w:rsidRDefault="00C87B0E" w:rsidP="0033245A">
            <w:pPr>
              <w:rPr>
                <w:rFonts w:ascii="Calibri" w:hAnsi="Calibri" w:cs="Calibri"/>
                <w:color w:val="000000" w:themeColor="text1"/>
                <w:sz w:val="22"/>
              </w:rPr>
            </w:pPr>
            <w:r w:rsidRPr="001C58C6">
              <w:rPr>
                <w:rFonts w:ascii="Calibri" w:hAnsi="Calibri" w:cs="Calibri"/>
                <w:color w:val="000000" w:themeColor="text1"/>
                <w:sz w:val="22"/>
              </w:rPr>
              <w:t>Ukupno</w:t>
            </w:r>
          </w:p>
        </w:tc>
        <w:tc>
          <w:tcPr>
            <w:tcW w:w="786" w:type="pct"/>
            <w:hideMark/>
          </w:tcPr>
          <w:p w14:paraId="4CD409D4" w14:textId="77777777" w:rsidR="00C87B0E" w:rsidRPr="001C58C6" w:rsidRDefault="00C87B0E" w:rsidP="0033245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6.08</w:t>
            </w:r>
          </w:p>
        </w:tc>
        <w:tc>
          <w:tcPr>
            <w:tcW w:w="629" w:type="pct"/>
            <w:hideMark/>
          </w:tcPr>
          <w:p w14:paraId="7D89F4A3" w14:textId="77777777" w:rsidR="00C87B0E" w:rsidRPr="001C58C6" w:rsidRDefault="00C87B0E" w:rsidP="0033245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6.58</w:t>
            </w:r>
          </w:p>
        </w:tc>
        <w:tc>
          <w:tcPr>
            <w:tcW w:w="993" w:type="pct"/>
            <w:hideMark/>
          </w:tcPr>
          <w:p w14:paraId="307AFD43" w14:textId="77777777" w:rsidR="00C87B0E" w:rsidRPr="001C58C6" w:rsidRDefault="00C87B0E" w:rsidP="0033245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0.84</w:t>
            </w:r>
          </w:p>
        </w:tc>
      </w:tr>
      <w:tr w:rsidR="00C87B0E" w:rsidRPr="001C58C6" w14:paraId="67735241" w14:textId="77777777" w:rsidTr="0033245A">
        <w:tc>
          <w:tcPr>
            <w:cnfStyle w:val="001000000000" w:firstRow="0" w:lastRow="0" w:firstColumn="1" w:lastColumn="0" w:oddVBand="0" w:evenVBand="0" w:oddHBand="0" w:evenHBand="0" w:firstRowFirstColumn="0" w:firstRowLastColumn="0" w:lastRowFirstColumn="0" w:lastRowLastColumn="0"/>
            <w:tcW w:w="2592" w:type="pct"/>
            <w:hideMark/>
          </w:tcPr>
          <w:p w14:paraId="782EB409" w14:textId="77777777" w:rsidR="00C87B0E" w:rsidRPr="001C58C6" w:rsidRDefault="00C87B0E" w:rsidP="0033245A">
            <w:pPr>
              <w:rPr>
                <w:rFonts w:ascii="Calibri" w:hAnsi="Calibri" w:cs="Calibri"/>
                <w:color w:val="000000" w:themeColor="text1"/>
                <w:sz w:val="22"/>
              </w:rPr>
            </w:pPr>
            <w:r w:rsidRPr="001C58C6">
              <w:rPr>
                <w:rFonts w:ascii="Calibri" w:hAnsi="Calibri" w:cs="Calibri"/>
                <w:color w:val="000000" w:themeColor="text1"/>
                <w:sz w:val="22"/>
              </w:rPr>
              <w:t>Udio ključnih sektora u ukupnim emisijama</w:t>
            </w:r>
          </w:p>
        </w:tc>
        <w:tc>
          <w:tcPr>
            <w:tcW w:w="786" w:type="pct"/>
            <w:hideMark/>
          </w:tcPr>
          <w:p w14:paraId="32BDB814" w14:textId="77777777" w:rsidR="00C87B0E" w:rsidRPr="001C58C6" w:rsidRDefault="00C87B0E" w:rsidP="0033245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90%</w:t>
            </w:r>
          </w:p>
        </w:tc>
        <w:tc>
          <w:tcPr>
            <w:tcW w:w="629" w:type="pct"/>
            <w:hideMark/>
          </w:tcPr>
          <w:p w14:paraId="334BA604" w14:textId="77777777" w:rsidR="00C87B0E" w:rsidRPr="001C58C6" w:rsidRDefault="00C87B0E" w:rsidP="0033245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96%</w:t>
            </w:r>
          </w:p>
        </w:tc>
        <w:tc>
          <w:tcPr>
            <w:tcW w:w="993" w:type="pct"/>
            <w:hideMark/>
          </w:tcPr>
          <w:p w14:paraId="782CBD9E" w14:textId="77777777" w:rsidR="00C87B0E" w:rsidRPr="001C58C6" w:rsidRDefault="00C87B0E" w:rsidP="0033245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99%</w:t>
            </w:r>
          </w:p>
        </w:tc>
      </w:tr>
    </w:tbl>
    <w:p w14:paraId="4E276B31"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 </w:t>
      </w:r>
    </w:p>
    <w:p w14:paraId="59482000" w14:textId="77777777" w:rsidR="00C87B0E" w:rsidRPr="001C58C6" w:rsidRDefault="0033245A" w:rsidP="0033245A">
      <w:pPr>
        <w:pStyle w:val="Heading3"/>
        <w:rPr>
          <w:rFonts w:ascii="Calibri" w:hAnsi="Calibri" w:cs="Calibri"/>
          <w:color w:val="000000" w:themeColor="text1"/>
        </w:rPr>
      </w:pPr>
      <w:bookmarkStart w:id="159" w:name="_Toc217388089"/>
      <w:bookmarkStart w:id="160" w:name="_Toc220070447"/>
      <w:bookmarkStart w:id="161" w:name="_Toc233711766"/>
      <w:r w:rsidRPr="001C58C6">
        <w:rPr>
          <w:rFonts w:ascii="Calibri" w:hAnsi="Calibri" w:cs="Calibri"/>
          <w:color w:val="000000" w:themeColor="text1"/>
        </w:rPr>
        <w:t>7.1.</w:t>
      </w:r>
      <w:r w:rsidR="00C87B0E" w:rsidRPr="001C58C6">
        <w:rPr>
          <w:rFonts w:ascii="Calibri" w:hAnsi="Calibri" w:cs="Calibri"/>
          <w:color w:val="000000" w:themeColor="text1"/>
        </w:rPr>
        <w:t>5. Opis osnovnog scenarija na kojem se zasniva plan kvaliteta vazduha, radi prikaza posljedica nedjelovanja, uključujući predviđeni razvoj emisija i koncentracija.</w:t>
      </w:r>
      <w:bookmarkEnd w:id="159"/>
      <w:bookmarkEnd w:id="160"/>
      <w:bookmarkEnd w:id="161"/>
    </w:p>
    <w:p w14:paraId="3F007ABD" w14:textId="77777777" w:rsidR="00C87B0E" w:rsidRPr="001C58C6" w:rsidRDefault="00247496" w:rsidP="00FA25EF">
      <w:pPr>
        <w:rPr>
          <w:rFonts w:ascii="Calibri" w:hAnsi="Calibri" w:cs="Calibri"/>
          <w:b/>
          <w:bCs/>
          <w:i/>
          <w:iCs/>
          <w:color w:val="000000" w:themeColor="text1"/>
        </w:rPr>
      </w:pPr>
      <w:r w:rsidRPr="001C58C6">
        <w:rPr>
          <w:rFonts w:ascii="Calibri" w:hAnsi="Calibri" w:cs="Calibri"/>
          <w:b/>
          <w:bCs/>
          <w:i/>
          <w:iCs/>
          <w:color w:val="000000" w:themeColor="text1"/>
        </w:rPr>
        <w:t>7.1.</w:t>
      </w:r>
      <w:r w:rsidR="00FA25EF" w:rsidRPr="001C58C6">
        <w:rPr>
          <w:rFonts w:ascii="Calibri" w:hAnsi="Calibri" w:cs="Calibri"/>
          <w:b/>
          <w:bCs/>
          <w:i/>
          <w:iCs/>
          <w:color w:val="000000" w:themeColor="text1"/>
        </w:rPr>
        <w:t>5</w:t>
      </w:r>
      <w:r w:rsidR="00C87B0E" w:rsidRPr="001C58C6">
        <w:rPr>
          <w:rFonts w:ascii="Calibri" w:hAnsi="Calibri" w:cs="Calibri"/>
          <w:b/>
          <w:bCs/>
          <w:i/>
          <w:iCs/>
          <w:color w:val="000000" w:themeColor="text1"/>
        </w:rPr>
        <w:t>.</w:t>
      </w:r>
      <w:r w:rsidR="00FA25EF" w:rsidRPr="001C58C6">
        <w:rPr>
          <w:rFonts w:ascii="Calibri" w:hAnsi="Calibri" w:cs="Calibri"/>
          <w:b/>
          <w:bCs/>
          <w:i/>
          <w:iCs/>
          <w:color w:val="000000" w:themeColor="text1"/>
        </w:rPr>
        <w:t>1</w:t>
      </w:r>
      <w:r w:rsidR="00C87B0E" w:rsidRPr="001C58C6">
        <w:rPr>
          <w:rFonts w:ascii="Calibri" w:hAnsi="Calibri" w:cs="Calibri"/>
          <w:b/>
          <w:bCs/>
          <w:i/>
          <w:iCs/>
          <w:color w:val="000000" w:themeColor="text1"/>
        </w:rPr>
        <w:t xml:space="preserve"> Utvrđivanje mjera za smanjenje zagađenja vazduha koje se mogu razmotriti, i detaljni podaci o tim mjerama</w:t>
      </w:r>
    </w:p>
    <w:p w14:paraId="10717D3B"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U skladu sa obavezom usklađivanja Programa smanjenja zagađivanja vazduha sa Nacionalnim energetskim i klimatskim planom, kao i obavezom usklađivanja planova kvaliteta vazduha sa Programom smanjenja zagađivanja vazduha, brojne mjere (od ukupno 56 mjera) iz NEKP-a razmatrane su kao moguća sinergija u ovom dijelu politike zaštite vazduha, koja bi mogla doprinijeti rapidnom poboljšanju kvaliteta vazduha, unapređenju zdravlja ljudi u skladu sa Evropskim zelenim dogovorom kao i postizanju strožih standarda koji očekuju Crnu Goru kao buduću članicu EU. </w:t>
      </w:r>
    </w:p>
    <w:p w14:paraId="6CDDE85E" w14:textId="77777777" w:rsidR="00B33518" w:rsidRPr="001C58C6" w:rsidRDefault="00B33518" w:rsidP="00C87B0E">
      <w:pPr>
        <w:rPr>
          <w:rFonts w:ascii="Calibri" w:hAnsi="Calibri" w:cs="Calibri"/>
          <w:color w:val="000000" w:themeColor="text1"/>
        </w:rPr>
      </w:pPr>
    </w:p>
    <w:p w14:paraId="1828573C"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Razmatrane mjere su predstavljene u tabeli: </w:t>
      </w:r>
    </w:p>
    <w:p w14:paraId="5EA760A7" w14:textId="77777777" w:rsidR="00B33518" w:rsidRPr="001C58C6" w:rsidRDefault="00B33518" w:rsidP="00C87B0E">
      <w:pPr>
        <w:rPr>
          <w:rFonts w:ascii="Calibri" w:hAnsi="Calibri" w:cs="Calibri"/>
          <w:color w:val="000000" w:themeColor="text1"/>
        </w:rPr>
      </w:pPr>
    </w:p>
    <w:p w14:paraId="5633C7ED" w14:textId="77777777" w:rsidR="00B33518" w:rsidRPr="001C58C6" w:rsidRDefault="00B33518" w:rsidP="00C87B0E">
      <w:pPr>
        <w:rPr>
          <w:rFonts w:ascii="Calibri" w:hAnsi="Calibri" w:cs="Calibri"/>
          <w:color w:val="000000" w:themeColor="text1"/>
        </w:rPr>
      </w:pPr>
    </w:p>
    <w:p w14:paraId="1B89A019" w14:textId="77777777" w:rsidR="00B33518" w:rsidRPr="001C58C6" w:rsidRDefault="00B33518" w:rsidP="00C87B0E">
      <w:pPr>
        <w:rPr>
          <w:rFonts w:ascii="Calibri" w:hAnsi="Calibri" w:cs="Calibri"/>
          <w:color w:val="000000" w:themeColor="text1"/>
        </w:rPr>
      </w:pPr>
    </w:p>
    <w:p w14:paraId="09CFA020" w14:textId="77777777" w:rsidR="00B33518" w:rsidRPr="001C58C6" w:rsidRDefault="00B33518" w:rsidP="00C87B0E">
      <w:pPr>
        <w:rPr>
          <w:rFonts w:ascii="Calibri" w:hAnsi="Calibri" w:cs="Calibri"/>
          <w:color w:val="000000" w:themeColor="text1"/>
        </w:rPr>
      </w:pPr>
    </w:p>
    <w:p w14:paraId="7D3E9236" w14:textId="77777777" w:rsidR="00B33518" w:rsidRPr="001C58C6" w:rsidRDefault="00B33518" w:rsidP="00C87B0E">
      <w:pPr>
        <w:rPr>
          <w:rFonts w:ascii="Calibri" w:hAnsi="Calibri" w:cs="Calibri"/>
          <w:color w:val="000000" w:themeColor="text1"/>
        </w:rPr>
      </w:pPr>
    </w:p>
    <w:p w14:paraId="647C105C" w14:textId="77777777" w:rsidR="00B33518" w:rsidRPr="001C58C6" w:rsidRDefault="00B33518" w:rsidP="00C87B0E">
      <w:pPr>
        <w:rPr>
          <w:rFonts w:ascii="Calibri" w:hAnsi="Calibri" w:cs="Calibri"/>
          <w:color w:val="000000" w:themeColor="text1"/>
        </w:rPr>
      </w:pPr>
    </w:p>
    <w:p w14:paraId="068C853F" w14:textId="77777777" w:rsidR="00A0374C" w:rsidRPr="001C58C6" w:rsidRDefault="00A0374C" w:rsidP="00C87B0E">
      <w:pPr>
        <w:rPr>
          <w:rFonts w:ascii="Calibri" w:hAnsi="Calibri" w:cs="Calibri"/>
          <w:color w:val="000000" w:themeColor="text1"/>
        </w:rPr>
      </w:pPr>
    </w:p>
    <w:p w14:paraId="57E083F9" w14:textId="77777777" w:rsidR="00A0374C" w:rsidRPr="001C58C6" w:rsidRDefault="00A0374C" w:rsidP="00C87B0E">
      <w:pPr>
        <w:rPr>
          <w:rFonts w:ascii="Calibri" w:hAnsi="Calibri" w:cs="Calibri"/>
          <w:color w:val="000000" w:themeColor="text1"/>
        </w:rPr>
      </w:pPr>
    </w:p>
    <w:p w14:paraId="5B33C93D" w14:textId="77777777" w:rsidR="00752282" w:rsidRPr="001C58C6" w:rsidRDefault="00752282" w:rsidP="00B33518">
      <w:pPr>
        <w:pStyle w:val="Caption"/>
        <w:jc w:val="center"/>
        <w:rPr>
          <w:rFonts w:ascii="Calibri" w:hAnsi="Calibri" w:cs="Calibri"/>
          <w:color w:val="000000" w:themeColor="text1"/>
        </w:rPr>
      </w:pPr>
    </w:p>
    <w:p w14:paraId="6CBC0492" w14:textId="77777777" w:rsidR="00C87B0E" w:rsidRPr="001C58C6" w:rsidRDefault="00752282" w:rsidP="00B33518">
      <w:pPr>
        <w:pStyle w:val="Caption"/>
        <w:jc w:val="center"/>
        <w:rPr>
          <w:rFonts w:ascii="Calibri" w:hAnsi="Calibri" w:cs="Calibri"/>
          <w:i/>
          <w:iCs/>
          <w:color w:val="000000" w:themeColor="text1"/>
          <w:sz w:val="20"/>
          <w:szCs w:val="20"/>
        </w:rPr>
      </w:pPr>
      <w:bookmarkStart w:id="162" w:name="_Toc217388765"/>
      <w:bookmarkStart w:id="163" w:name="_Toc217388810"/>
      <w:bookmarkStart w:id="164" w:name="_Toc233584684"/>
      <w:r w:rsidRPr="001C58C6">
        <w:rPr>
          <w:rFonts w:ascii="Calibri" w:hAnsi="Calibri" w:cs="Calibri"/>
          <w:i/>
          <w:iCs/>
          <w:color w:val="000000" w:themeColor="text1"/>
          <w:sz w:val="20"/>
          <w:szCs w:val="20"/>
        </w:rPr>
        <w:lastRenderedPageBreak/>
        <w:t xml:space="preserve">Tabela </w:t>
      </w:r>
      <w:r w:rsidRPr="001C58C6">
        <w:rPr>
          <w:rFonts w:ascii="Calibri" w:hAnsi="Calibri" w:cs="Calibri"/>
          <w:i/>
          <w:iCs/>
          <w:color w:val="000000" w:themeColor="text1"/>
          <w:sz w:val="20"/>
          <w:szCs w:val="20"/>
        </w:rPr>
        <w:fldChar w:fldCharType="begin"/>
      </w:r>
      <w:r w:rsidRPr="001C58C6">
        <w:rPr>
          <w:rFonts w:ascii="Calibri" w:hAnsi="Calibri" w:cs="Calibri"/>
          <w:i/>
          <w:iCs/>
          <w:color w:val="000000" w:themeColor="text1"/>
          <w:sz w:val="20"/>
          <w:szCs w:val="20"/>
        </w:rPr>
        <w:instrText xml:space="preserve"> SEQ Tabela \* ARABIC </w:instrText>
      </w:r>
      <w:r w:rsidRPr="001C58C6">
        <w:rPr>
          <w:rFonts w:ascii="Calibri" w:hAnsi="Calibri" w:cs="Calibri"/>
          <w:i/>
          <w:iCs/>
          <w:color w:val="000000" w:themeColor="text1"/>
          <w:sz w:val="20"/>
          <w:szCs w:val="20"/>
        </w:rPr>
        <w:fldChar w:fldCharType="separate"/>
      </w:r>
      <w:r w:rsidRPr="001C58C6">
        <w:rPr>
          <w:rFonts w:ascii="Calibri" w:hAnsi="Calibri" w:cs="Calibri"/>
          <w:i/>
          <w:iCs/>
          <w:color w:val="000000" w:themeColor="text1"/>
          <w:sz w:val="20"/>
          <w:szCs w:val="20"/>
        </w:rPr>
        <w:t>9</w:t>
      </w:r>
      <w:r w:rsidRPr="001C58C6">
        <w:rPr>
          <w:rFonts w:ascii="Calibri" w:hAnsi="Calibri" w:cs="Calibri"/>
          <w:i/>
          <w:iCs/>
          <w:color w:val="000000" w:themeColor="text1"/>
          <w:sz w:val="20"/>
          <w:szCs w:val="20"/>
        </w:rPr>
        <w:fldChar w:fldCharType="end"/>
      </w:r>
      <w:r w:rsidR="00247496" w:rsidRPr="001C58C6">
        <w:rPr>
          <w:rFonts w:ascii="Calibri" w:hAnsi="Calibri" w:cs="Calibri"/>
          <w:i/>
          <w:iCs/>
          <w:color w:val="000000" w:themeColor="text1"/>
          <w:sz w:val="20"/>
          <w:szCs w:val="20"/>
        </w:rPr>
        <w:t xml:space="preserve">: </w:t>
      </w:r>
      <w:r w:rsidR="00C87B0E" w:rsidRPr="001C58C6">
        <w:rPr>
          <w:rFonts w:ascii="Calibri" w:hAnsi="Calibri" w:cs="Calibri"/>
          <w:i/>
          <w:iCs/>
          <w:color w:val="000000" w:themeColor="text1"/>
          <w:sz w:val="20"/>
          <w:szCs w:val="20"/>
        </w:rPr>
        <w:t>Razmatrane mjere iz NEKP-a</w:t>
      </w:r>
      <w:bookmarkEnd w:id="162"/>
      <w:bookmarkEnd w:id="163"/>
      <w:bookmarkEnd w:id="164"/>
    </w:p>
    <w:tbl>
      <w:tblPr>
        <w:tblStyle w:val="GridTable1Light-Accent1"/>
        <w:tblW w:w="0" w:type="auto"/>
        <w:tblLook w:val="04A0" w:firstRow="1" w:lastRow="0" w:firstColumn="1" w:lastColumn="0" w:noHBand="0" w:noVBand="1"/>
      </w:tblPr>
      <w:tblGrid>
        <w:gridCol w:w="487"/>
        <w:gridCol w:w="5504"/>
        <w:gridCol w:w="3025"/>
      </w:tblGrid>
      <w:tr w:rsidR="006567D7" w:rsidRPr="001C58C6" w14:paraId="647FD656" w14:textId="77777777" w:rsidTr="002474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E8E8E8" w:themeFill="background2"/>
          </w:tcPr>
          <w:p w14:paraId="040845F6" w14:textId="77777777" w:rsidR="00C87B0E" w:rsidRPr="001C58C6" w:rsidRDefault="00247496" w:rsidP="00C87B0E">
            <w:pPr>
              <w:rPr>
                <w:rFonts w:ascii="Calibri" w:hAnsi="Calibri" w:cs="Calibri"/>
                <w:color w:val="000000" w:themeColor="text1"/>
                <w:sz w:val="22"/>
              </w:rPr>
            </w:pPr>
            <w:r w:rsidRPr="001C58C6">
              <w:rPr>
                <w:rFonts w:ascii="Calibri" w:hAnsi="Calibri" w:cs="Calibri"/>
                <w:color w:val="000000" w:themeColor="text1"/>
                <w:sz w:val="22"/>
              </w:rPr>
              <w:t>R.b</w:t>
            </w:r>
          </w:p>
        </w:tc>
        <w:tc>
          <w:tcPr>
            <w:tcW w:w="0" w:type="auto"/>
            <w:shd w:val="clear" w:color="auto" w:fill="E8E8E8" w:themeFill="background2"/>
            <w:hideMark/>
          </w:tcPr>
          <w:p w14:paraId="4C7097A7" w14:textId="77777777" w:rsidR="00C87B0E" w:rsidRPr="001C58C6" w:rsidRDefault="00C87B0E" w:rsidP="00C87B0E">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Politike i mjere</w:t>
            </w:r>
          </w:p>
        </w:tc>
        <w:tc>
          <w:tcPr>
            <w:tcW w:w="0" w:type="auto"/>
            <w:shd w:val="clear" w:color="auto" w:fill="E8E8E8" w:themeFill="background2"/>
            <w:hideMark/>
          </w:tcPr>
          <w:p w14:paraId="1676BEBB" w14:textId="77777777" w:rsidR="00C87B0E" w:rsidRPr="001C58C6" w:rsidRDefault="00C87B0E" w:rsidP="00C87B0E">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Ciljni sektor</w:t>
            </w:r>
          </w:p>
        </w:tc>
      </w:tr>
      <w:tr w:rsidR="006567D7" w:rsidRPr="001C58C6" w14:paraId="78844154" w14:textId="77777777" w:rsidTr="00247496">
        <w:tc>
          <w:tcPr>
            <w:cnfStyle w:val="001000000000" w:firstRow="0" w:lastRow="0" w:firstColumn="1" w:lastColumn="0" w:oddVBand="0" w:evenVBand="0" w:oddHBand="0" w:evenHBand="0" w:firstRowFirstColumn="0" w:firstRowLastColumn="0" w:lastRowFirstColumn="0" w:lastRowLastColumn="0"/>
            <w:tcW w:w="0" w:type="auto"/>
            <w:hideMark/>
          </w:tcPr>
          <w:p w14:paraId="174E893F" w14:textId="77777777" w:rsidR="00C87B0E" w:rsidRPr="001C58C6" w:rsidRDefault="00C87B0E" w:rsidP="00C87B0E">
            <w:pPr>
              <w:rPr>
                <w:rFonts w:ascii="Calibri" w:hAnsi="Calibri" w:cs="Calibri"/>
                <w:color w:val="000000" w:themeColor="text1"/>
                <w:sz w:val="22"/>
              </w:rPr>
            </w:pPr>
            <w:r w:rsidRPr="001C58C6">
              <w:rPr>
                <w:rFonts w:ascii="Calibri" w:hAnsi="Calibri" w:cs="Calibri"/>
                <w:color w:val="000000" w:themeColor="text1"/>
                <w:sz w:val="22"/>
              </w:rPr>
              <w:t>1</w:t>
            </w:r>
          </w:p>
        </w:tc>
        <w:tc>
          <w:tcPr>
            <w:tcW w:w="0" w:type="auto"/>
            <w:hideMark/>
          </w:tcPr>
          <w:p w14:paraId="3AF3EDDC"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Rekonstrukcija Termoelektrane (TE) Pljevlja i plan budućeg angažovanja</w:t>
            </w:r>
          </w:p>
        </w:tc>
        <w:tc>
          <w:tcPr>
            <w:tcW w:w="0" w:type="auto"/>
            <w:hideMark/>
          </w:tcPr>
          <w:p w14:paraId="3AF8DEB3"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Energetska industrija / proizvodnja električne energije</w:t>
            </w:r>
          </w:p>
        </w:tc>
      </w:tr>
      <w:tr w:rsidR="006567D7" w:rsidRPr="001C58C6" w14:paraId="4D6E6B98" w14:textId="77777777" w:rsidTr="00247496">
        <w:tc>
          <w:tcPr>
            <w:cnfStyle w:val="001000000000" w:firstRow="0" w:lastRow="0" w:firstColumn="1" w:lastColumn="0" w:oddVBand="0" w:evenVBand="0" w:oddHBand="0" w:evenHBand="0" w:firstRowFirstColumn="0" w:firstRowLastColumn="0" w:lastRowFirstColumn="0" w:lastRowLastColumn="0"/>
            <w:tcW w:w="0" w:type="auto"/>
            <w:hideMark/>
          </w:tcPr>
          <w:p w14:paraId="04CB3E96" w14:textId="77777777" w:rsidR="00C87B0E" w:rsidRPr="001C58C6" w:rsidRDefault="00C87B0E" w:rsidP="00C87B0E">
            <w:pPr>
              <w:rPr>
                <w:rFonts w:ascii="Calibri" w:hAnsi="Calibri" w:cs="Calibri"/>
                <w:color w:val="000000" w:themeColor="text1"/>
                <w:sz w:val="22"/>
              </w:rPr>
            </w:pPr>
            <w:r w:rsidRPr="001C58C6">
              <w:rPr>
                <w:rFonts w:ascii="Calibri" w:hAnsi="Calibri" w:cs="Calibri"/>
                <w:color w:val="000000" w:themeColor="text1"/>
                <w:sz w:val="22"/>
              </w:rPr>
              <w:t>2</w:t>
            </w:r>
          </w:p>
        </w:tc>
        <w:tc>
          <w:tcPr>
            <w:tcW w:w="0" w:type="auto"/>
            <w:hideMark/>
          </w:tcPr>
          <w:p w14:paraId="042CB8C4"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Nove OIE elektrane</w:t>
            </w:r>
          </w:p>
        </w:tc>
        <w:tc>
          <w:tcPr>
            <w:tcW w:w="0" w:type="auto"/>
            <w:hideMark/>
          </w:tcPr>
          <w:p w14:paraId="42B8FA7D"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Energetska industrija / proizvodnja električne energije</w:t>
            </w:r>
          </w:p>
        </w:tc>
      </w:tr>
      <w:tr w:rsidR="006567D7" w:rsidRPr="001C58C6" w14:paraId="4B722559" w14:textId="77777777" w:rsidTr="00247496">
        <w:tc>
          <w:tcPr>
            <w:cnfStyle w:val="001000000000" w:firstRow="0" w:lastRow="0" w:firstColumn="1" w:lastColumn="0" w:oddVBand="0" w:evenVBand="0" w:oddHBand="0" w:evenHBand="0" w:firstRowFirstColumn="0" w:firstRowLastColumn="0" w:lastRowFirstColumn="0" w:lastRowLastColumn="0"/>
            <w:tcW w:w="0" w:type="auto"/>
            <w:hideMark/>
          </w:tcPr>
          <w:p w14:paraId="20228C6C" w14:textId="77777777" w:rsidR="00C87B0E" w:rsidRPr="001C58C6" w:rsidRDefault="00C87B0E" w:rsidP="00C87B0E">
            <w:pPr>
              <w:rPr>
                <w:rFonts w:ascii="Calibri" w:hAnsi="Calibri" w:cs="Calibri"/>
                <w:color w:val="000000" w:themeColor="text1"/>
                <w:sz w:val="22"/>
              </w:rPr>
            </w:pPr>
            <w:r w:rsidRPr="001C58C6">
              <w:rPr>
                <w:rFonts w:ascii="Calibri" w:hAnsi="Calibri" w:cs="Calibri"/>
                <w:color w:val="000000" w:themeColor="text1"/>
                <w:sz w:val="22"/>
              </w:rPr>
              <w:t>3</w:t>
            </w:r>
          </w:p>
        </w:tc>
        <w:tc>
          <w:tcPr>
            <w:tcW w:w="0" w:type="auto"/>
            <w:hideMark/>
          </w:tcPr>
          <w:p w14:paraId="6871DBC8"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Dodatne OIE elektrane</w:t>
            </w:r>
          </w:p>
        </w:tc>
        <w:tc>
          <w:tcPr>
            <w:tcW w:w="0" w:type="auto"/>
            <w:hideMark/>
          </w:tcPr>
          <w:p w14:paraId="73096B9C"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Energetska industrija / proizvodnja električne energije</w:t>
            </w:r>
          </w:p>
        </w:tc>
      </w:tr>
      <w:tr w:rsidR="006567D7" w:rsidRPr="001C58C6" w14:paraId="75301439" w14:textId="77777777" w:rsidTr="00247496">
        <w:tc>
          <w:tcPr>
            <w:cnfStyle w:val="001000000000" w:firstRow="0" w:lastRow="0" w:firstColumn="1" w:lastColumn="0" w:oddVBand="0" w:evenVBand="0" w:oddHBand="0" w:evenHBand="0" w:firstRowFirstColumn="0" w:firstRowLastColumn="0" w:lastRowFirstColumn="0" w:lastRowLastColumn="0"/>
            <w:tcW w:w="0" w:type="auto"/>
            <w:hideMark/>
          </w:tcPr>
          <w:p w14:paraId="750FB3E6" w14:textId="77777777" w:rsidR="00C87B0E" w:rsidRPr="001C58C6" w:rsidRDefault="00C87B0E" w:rsidP="00C87B0E">
            <w:pPr>
              <w:rPr>
                <w:rFonts w:ascii="Calibri" w:hAnsi="Calibri" w:cs="Calibri"/>
                <w:color w:val="000000" w:themeColor="text1"/>
                <w:sz w:val="22"/>
              </w:rPr>
            </w:pPr>
            <w:r w:rsidRPr="001C58C6">
              <w:rPr>
                <w:rFonts w:ascii="Calibri" w:hAnsi="Calibri" w:cs="Calibri"/>
                <w:color w:val="000000" w:themeColor="text1"/>
                <w:sz w:val="22"/>
              </w:rPr>
              <w:t>4</w:t>
            </w:r>
          </w:p>
        </w:tc>
        <w:tc>
          <w:tcPr>
            <w:tcW w:w="0" w:type="auto"/>
            <w:hideMark/>
          </w:tcPr>
          <w:p w14:paraId="76758652"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OIE aukcije</w:t>
            </w:r>
          </w:p>
        </w:tc>
        <w:tc>
          <w:tcPr>
            <w:tcW w:w="0" w:type="auto"/>
            <w:hideMark/>
          </w:tcPr>
          <w:p w14:paraId="15AEFD17"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Energetska industrija / proizvodnja električne energije</w:t>
            </w:r>
          </w:p>
        </w:tc>
      </w:tr>
      <w:tr w:rsidR="006567D7" w:rsidRPr="001C58C6" w14:paraId="197183F2" w14:textId="77777777" w:rsidTr="00247496">
        <w:tc>
          <w:tcPr>
            <w:cnfStyle w:val="001000000000" w:firstRow="0" w:lastRow="0" w:firstColumn="1" w:lastColumn="0" w:oddVBand="0" w:evenVBand="0" w:oddHBand="0" w:evenHBand="0" w:firstRowFirstColumn="0" w:firstRowLastColumn="0" w:lastRowFirstColumn="0" w:lastRowLastColumn="0"/>
            <w:tcW w:w="0" w:type="auto"/>
            <w:hideMark/>
          </w:tcPr>
          <w:p w14:paraId="5084C9BD" w14:textId="77777777" w:rsidR="00C87B0E" w:rsidRPr="001C58C6" w:rsidRDefault="00C87B0E" w:rsidP="00C87B0E">
            <w:pPr>
              <w:rPr>
                <w:rFonts w:ascii="Calibri" w:hAnsi="Calibri" w:cs="Calibri"/>
                <w:color w:val="000000" w:themeColor="text1"/>
                <w:sz w:val="22"/>
              </w:rPr>
            </w:pPr>
            <w:r w:rsidRPr="001C58C6">
              <w:rPr>
                <w:rFonts w:ascii="Calibri" w:hAnsi="Calibri" w:cs="Calibri"/>
                <w:color w:val="000000" w:themeColor="text1"/>
                <w:sz w:val="22"/>
              </w:rPr>
              <w:t>5</w:t>
            </w:r>
          </w:p>
        </w:tc>
        <w:tc>
          <w:tcPr>
            <w:tcW w:w="0" w:type="auto"/>
            <w:hideMark/>
          </w:tcPr>
          <w:p w14:paraId="113C3B65"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Razvoj CP mehanizama (EU ETS)</w:t>
            </w:r>
          </w:p>
        </w:tc>
        <w:tc>
          <w:tcPr>
            <w:tcW w:w="0" w:type="auto"/>
            <w:hideMark/>
          </w:tcPr>
          <w:p w14:paraId="4EBF3C1A"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Energetska industrija / proizvodnja električne energije</w:t>
            </w:r>
          </w:p>
        </w:tc>
      </w:tr>
      <w:tr w:rsidR="006567D7" w:rsidRPr="001C58C6" w14:paraId="711EF222" w14:textId="77777777" w:rsidTr="00247496">
        <w:tc>
          <w:tcPr>
            <w:cnfStyle w:val="001000000000" w:firstRow="0" w:lastRow="0" w:firstColumn="1" w:lastColumn="0" w:oddVBand="0" w:evenVBand="0" w:oddHBand="0" w:evenHBand="0" w:firstRowFirstColumn="0" w:firstRowLastColumn="0" w:lastRowFirstColumn="0" w:lastRowLastColumn="0"/>
            <w:tcW w:w="0" w:type="auto"/>
            <w:hideMark/>
          </w:tcPr>
          <w:p w14:paraId="32DF8DDE" w14:textId="77777777" w:rsidR="00C87B0E" w:rsidRPr="001C58C6" w:rsidRDefault="00C87B0E" w:rsidP="00C87B0E">
            <w:pPr>
              <w:rPr>
                <w:rFonts w:ascii="Calibri" w:hAnsi="Calibri" w:cs="Calibri"/>
                <w:color w:val="000000" w:themeColor="text1"/>
                <w:sz w:val="22"/>
              </w:rPr>
            </w:pPr>
            <w:r w:rsidRPr="001C58C6">
              <w:rPr>
                <w:rFonts w:ascii="Calibri" w:hAnsi="Calibri" w:cs="Calibri"/>
                <w:color w:val="000000" w:themeColor="text1"/>
                <w:sz w:val="22"/>
              </w:rPr>
              <w:t>6</w:t>
            </w:r>
          </w:p>
        </w:tc>
        <w:tc>
          <w:tcPr>
            <w:tcW w:w="0" w:type="auto"/>
            <w:hideMark/>
          </w:tcPr>
          <w:p w14:paraId="455244E8"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Obnova malih hidroelektrana (povećana EE)</w:t>
            </w:r>
          </w:p>
        </w:tc>
        <w:tc>
          <w:tcPr>
            <w:tcW w:w="0" w:type="auto"/>
            <w:hideMark/>
          </w:tcPr>
          <w:p w14:paraId="002A4829"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Energetska industrija / proizvodnja električne energije</w:t>
            </w:r>
          </w:p>
        </w:tc>
      </w:tr>
      <w:tr w:rsidR="006567D7" w:rsidRPr="001C58C6" w14:paraId="60996827" w14:textId="77777777" w:rsidTr="00247496">
        <w:tc>
          <w:tcPr>
            <w:cnfStyle w:val="001000000000" w:firstRow="0" w:lastRow="0" w:firstColumn="1" w:lastColumn="0" w:oddVBand="0" w:evenVBand="0" w:oddHBand="0" w:evenHBand="0" w:firstRowFirstColumn="0" w:firstRowLastColumn="0" w:lastRowFirstColumn="0" w:lastRowLastColumn="0"/>
            <w:tcW w:w="0" w:type="auto"/>
            <w:hideMark/>
          </w:tcPr>
          <w:p w14:paraId="4B3BE6C2" w14:textId="77777777" w:rsidR="00C87B0E" w:rsidRPr="001C58C6" w:rsidRDefault="00C87B0E" w:rsidP="00C87B0E">
            <w:pPr>
              <w:rPr>
                <w:rFonts w:ascii="Calibri" w:hAnsi="Calibri" w:cs="Calibri"/>
                <w:color w:val="000000" w:themeColor="text1"/>
                <w:sz w:val="22"/>
              </w:rPr>
            </w:pPr>
            <w:r w:rsidRPr="001C58C6">
              <w:rPr>
                <w:rFonts w:ascii="Calibri" w:hAnsi="Calibri" w:cs="Calibri"/>
                <w:color w:val="000000" w:themeColor="text1"/>
                <w:sz w:val="22"/>
              </w:rPr>
              <w:t>7</w:t>
            </w:r>
          </w:p>
        </w:tc>
        <w:tc>
          <w:tcPr>
            <w:tcW w:w="0" w:type="auto"/>
            <w:hideMark/>
          </w:tcPr>
          <w:p w14:paraId="5410719F"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Razvoj decentralizovane proizvodnje energije (distributivni srednjenaponski priključak)</w:t>
            </w:r>
          </w:p>
        </w:tc>
        <w:tc>
          <w:tcPr>
            <w:tcW w:w="0" w:type="auto"/>
            <w:hideMark/>
          </w:tcPr>
          <w:p w14:paraId="15E3D61A"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Energetska industrija / proizvodnja električne energije</w:t>
            </w:r>
          </w:p>
        </w:tc>
      </w:tr>
      <w:tr w:rsidR="006567D7" w:rsidRPr="001C58C6" w14:paraId="17819830" w14:textId="77777777" w:rsidTr="00247496">
        <w:tc>
          <w:tcPr>
            <w:cnfStyle w:val="001000000000" w:firstRow="0" w:lastRow="0" w:firstColumn="1" w:lastColumn="0" w:oddVBand="0" w:evenVBand="0" w:oddHBand="0" w:evenHBand="0" w:firstRowFirstColumn="0" w:firstRowLastColumn="0" w:lastRowFirstColumn="0" w:lastRowLastColumn="0"/>
            <w:tcW w:w="0" w:type="auto"/>
            <w:hideMark/>
          </w:tcPr>
          <w:p w14:paraId="783D8FA8" w14:textId="77777777" w:rsidR="00C87B0E" w:rsidRPr="001C58C6" w:rsidRDefault="00C87B0E" w:rsidP="00C87B0E">
            <w:pPr>
              <w:rPr>
                <w:rFonts w:ascii="Calibri" w:hAnsi="Calibri" w:cs="Calibri"/>
                <w:color w:val="000000" w:themeColor="text1"/>
                <w:sz w:val="22"/>
              </w:rPr>
            </w:pPr>
            <w:r w:rsidRPr="001C58C6">
              <w:rPr>
                <w:rFonts w:ascii="Calibri" w:hAnsi="Calibri" w:cs="Calibri"/>
                <w:color w:val="000000" w:themeColor="text1"/>
                <w:sz w:val="22"/>
              </w:rPr>
              <w:t>8</w:t>
            </w:r>
          </w:p>
        </w:tc>
        <w:tc>
          <w:tcPr>
            <w:tcW w:w="0" w:type="auto"/>
            <w:hideMark/>
          </w:tcPr>
          <w:p w14:paraId="6CBD2B05"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Dodatni razvoj decentralizovane proizvodnje energije (distributivni srednjenaponski priključak)</w:t>
            </w:r>
          </w:p>
        </w:tc>
        <w:tc>
          <w:tcPr>
            <w:tcW w:w="0" w:type="auto"/>
            <w:hideMark/>
          </w:tcPr>
          <w:p w14:paraId="30285CEC"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Energetska industrija / proizvodnja električne energije</w:t>
            </w:r>
          </w:p>
        </w:tc>
      </w:tr>
      <w:tr w:rsidR="006567D7" w:rsidRPr="001C58C6" w14:paraId="0E5B1EA0" w14:textId="77777777" w:rsidTr="00247496">
        <w:tc>
          <w:tcPr>
            <w:cnfStyle w:val="001000000000" w:firstRow="0" w:lastRow="0" w:firstColumn="1" w:lastColumn="0" w:oddVBand="0" w:evenVBand="0" w:oddHBand="0" w:evenHBand="0" w:firstRowFirstColumn="0" w:firstRowLastColumn="0" w:lastRowFirstColumn="0" w:lastRowLastColumn="0"/>
            <w:tcW w:w="0" w:type="auto"/>
            <w:hideMark/>
          </w:tcPr>
          <w:p w14:paraId="61B823BB" w14:textId="77777777" w:rsidR="00C87B0E" w:rsidRPr="001C58C6" w:rsidRDefault="00C87B0E" w:rsidP="00C87B0E">
            <w:pPr>
              <w:rPr>
                <w:rFonts w:ascii="Calibri" w:hAnsi="Calibri" w:cs="Calibri"/>
                <w:color w:val="000000" w:themeColor="text1"/>
                <w:sz w:val="22"/>
              </w:rPr>
            </w:pPr>
            <w:r w:rsidRPr="001C58C6">
              <w:rPr>
                <w:rFonts w:ascii="Calibri" w:hAnsi="Calibri" w:cs="Calibri"/>
                <w:color w:val="000000" w:themeColor="text1"/>
                <w:sz w:val="22"/>
              </w:rPr>
              <w:t>9</w:t>
            </w:r>
          </w:p>
        </w:tc>
        <w:tc>
          <w:tcPr>
            <w:tcW w:w="0" w:type="auto"/>
            <w:hideMark/>
          </w:tcPr>
          <w:p w14:paraId="703FA2E9"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Promocija e-mobilnosti</w:t>
            </w:r>
          </w:p>
        </w:tc>
        <w:tc>
          <w:tcPr>
            <w:tcW w:w="0" w:type="auto"/>
            <w:hideMark/>
          </w:tcPr>
          <w:p w14:paraId="5459A6A6"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Saobraćaj</w:t>
            </w:r>
          </w:p>
        </w:tc>
      </w:tr>
      <w:tr w:rsidR="006567D7" w:rsidRPr="001C58C6" w14:paraId="4C893A9A" w14:textId="77777777" w:rsidTr="00247496">
        <w:tc>
          <w:tcPr>
            <w:cnfStyle w:val="001000000000" w:firstRow="0" w:lastRow="0" w:firstColumn="1" w:lastColumn="0" w:oddVBand="0" w:evenVBand="0" w:oddHBand="0" w:evenHBand="0" w:firstRowFirstColumn="0" w:firstRowLastColumn="0" w:lastRowFirstColumn="0" w:lastRowLastColumn="0"/>
            <w:tcW w:w="0" w:type="auto"/>
            <w:hideMark/>
          </w:tcPr>
          <w:p w14:paraId="58B29E50" w14:textId="77777777" w:rsidR="00C87B0E" w:rsidRPr="001C58C6" w:rsidRDefault="00C87B0E" w:rsidP="00C87B0E">
            <w:pPr>
              <w:rPr>
                <w:rFonts w:ascii="Calibri" w:hAnsi="Calibri" w:cs="Calibri"/>
                <w:color w:val="000000" w:themeColor="text1"/>
                <w:sz w:val="22"/>
              </w:rPr>
            </w:pPr>
            <w:r w:rsidRPr="001C58C6">
              <w:rPr>
                <w:rFonts w:ascii="Calibri" w:hAnsi="Calibri" w:cs="Calibri"/>
                <w:color w:val="000000" w:themeColor="text1"/>
                <w:sz w:val="22"/>
              </w:rPr>
              <w:t>10</w:t>
            </w:r>
          </w:p>
        </w:tc>
        <w:tc>
          <w:tcPr>
            <w:tcW w:w="0" w:type="auto"/>
            <w:hideMark/>
          </w:tcPr>
          <w:p w14:paraId="57705A1F"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Uvođenje obaveznog udjela biogoriva u snabdijevanju gorivom</w:t>
            </w:r>
          </w:p>
        </w:tc>
        <w:tc>
          <w:tcPr>
            <w:tcW w:w="0" w:type="auto"/>
            <w:hideMark/>
          </w:tcPr>
          <w:p w14:paraId="0C3E4928"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Saobraćaj</w:t>
            </w:r>
          </w:p>
        </w:tc>
      </w:tr>
      <w:tr w:rsidR="006567D7" w:rsidRPr="001C58C6" w14:paraId="20E4670B" w14:textId="77777777" w:rsidTr="00247496">
        <w:tc>
          <w:tcPr>
            <w:cnfStyle w:val="001000000000" w:firstRow="0" w:lastRow="0" w:firstColumn="1" w:lastColumn="0" w:oddVBand="0" w:evenVBand="0" w:oddHBand="0" w:evenHBand="0" w:firstRowFirstColumn="0" w:firstRowLastColumn="0" w:lastRowFirstColumn="0" w:lastRowLastColumn="0"/>
            <w:tcW w:w="0" w:type="auto"/>
            <w:hideMark/>
          </w:tcPr>
          <w:p w14:paraId="479A1331" w14:textId="77777777" w:rsidR="00C87B0E" w:rsidRPr="001C58C6" w:rsidRDefault="00C87B0E" w:rsidP="00C87B0E">
            <w:pPr>
              <w:rPr>
                <w:rFonts w:ascii="Calibri" w:hAnsi="Calibri" w:cs="Calibri"/>
                <w:color w:val="000000" w:themeColor="text1"/>
                <w:sz w:val="22"/>
              </w:rPr>
            </w:pPr>
            <w:r w:rsidRPr="001C58C6">
              <w:rPr>
                <w:rFonts w:ascii="Calibri" w:hAnsi="Calibri" w:cs="Calibri"/>
                <w:color w:val="000000" w:themeColor="text1"/>
                <w:sz w:val="22"/>
              </w:rPr>
              <w:t>11</w:t>
            </w:r>
          </w:p>
        </w:tc>
        <w:tc>
          <w:tcPr>
            <w:tcW w:w="0" w:type="auto"/>
            <w:hideMark/>
          </w:tcPr>
          <w:p w14:paraId="7CDF1231"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Proizvođači - kupci (prozjumer) u industriji</w:t>
            </w:r>
          </w:p>
        </w:tc>
        <w:tc>
          <w:tcPr>
            <w:tcW w:w="0" w:type="auto"/>
            <w:hideMark/>
          </w:tcPr>
          <w:p w14:paraId="14C9E860"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Industrija</w:t>
            </w:r>
          </w:p>
        </w:tc>
      </w:tr>
      <w:tr w:rsidR="006567D7" w:rsidRPr="001C58C6" w14:paraId="45E002D9" w14:textId="77777777" w:rsidTr="00247496">
        <w:tc>
          <w:tcPr>
            <w:cnfStyle w:val="001000000000" w:firstRow="0" w:lastRow="0" w:firstColumn="1" w:lastColumn="0" w:oddVBand="0" w:evenVBand="0" w:oddHBand="0" w:evenHBand="0" w:firstRowFirstColumn="0" w:firstRowLastColumn="0" w:lastRowFirstColumn="0" w:lastRowLastColumn="0"/>
            <w:tcW w:w="0" w:type="auto"/>
            <w:hideMark/>
          </w:tcPr>
          <w:p w14:paraId="7551E55D" w14:textId="77777777" w:rsidR="00C87B0E" w:rsidRPr="001C58C6" w:rsidRDefault="00C87B0E" w:rsidP="00C87B0E">
            <w:pPr>
              <w:rPr>
                <w:rFonts w:ascii="Calibri" w:hAnsi="Calibri" w:cs="Calibri"/>
                <w:color w:val="000000" w:themeColor="text1"/>
                <w:sz w:val="22"/>
              </w:rPr>
            </w:pPr>
            <w:r w:rsidRPr="001C58C6">
              <w:rPr>
                <w:rFonts w:ascii="Calibri" w:hAnsi="Calibri" w:cs="Calibri"/>
                <w:color w:val="000000" w:themeColor="text1"/>
                <w:sz w:val="22"/>
              </w:rPr>
              <w:t>12</w:t>
            </w:r>
          </w:p>
        </w:tc>
        <w:tc>
          <w:tcPr>
            <w:tcW w:w="0" w:type="auto"/>
            <w:hideMark/>
          </w:tcPr>
          <w:p w14:paraId="61D90EDA"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Biogoriva u industriji</w:t>
            </w:r>
          </w:p>
        </w:tc>
        <w:tc>
          <w:tcPr>
            <w:tcW w:w="0" w:type="auto"/>
            <w:hideMark/>
          </w:tcPr>
          <w:p w14:paraId="5F1BBAF4"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Industrija</w:t>
            </w:r>
          </w:p>
        </w:tc>
      </w:tr>
      <w:tr w:rsidR="006567D7" w:rsidRPr="001C58C6" w14:paraId="530E6E8E" w14:textId="77777777" w:rsidTr="00247496">
        <w:tc>
          <w:tcPr>
            <w:cnfStyle w:val="001000000000" w:firstRow="0" w:lastRow="0" w:firstColumn="1" w:lastColumn="0" w:oddVBand="0" w:evenVBand="0" w:oddHBand="0" w:evenHBand="0" w:firstRowFirstColumn="0" w:firstRowLastColumn="0" w:lastRowFirstColumn="0" w:lastRowLastColumn="0"/>
            <w:tcW w:w="0" w:type="auto"/>
            <w:hideMark/>
          </w:tcPr>
          <w:p w14:paraId="3DDA215D" w14:textId="77777777" w:rsidR="00C87B0E" w:rsidRPr="001C58C6" w:rsidRDefault="00C87B0E" w:rsidP="00C87B0E">
            <w:pPr>
              <w:rPr>
                <w:rFonts w:ascii="Calibri" w:hAnsi="Calibri" w:cs="Calibri"/>
                <w:color w:val="000000" w:themeColor="text1"/>
                <w:sz w:val="22"/>
              </w:rPr>
            </w:pPr>
            <w:r w:rsidRPr="001C58C6">
              <w:rPr>
                <w:rFonts w:ascii="Calibri" w:hAnsi="Calibri" w:cs="Calibri"/>
                <w:color w:val="000000" w:themeColor="text1"/>
                <w:sz w:val="22"/>
              </w:rPr>
              <w:t>13</w:t>
            </w:r>
          </w:p>
        </w:tc>
        <w:tc>
          <w:tcPr>
            <w:tcW w:w="0" w:type="auto"/>
            <w:hideMark/>
          </w:tcPr>
          <w:p w14:paraId="743EC127"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Finansijski podsticaji za uvođenje hibridnih specijalnih radnih mašina u industrijski sektor</w:t>
            </w:r>
          </w:p>
        </w:tc>
        <w:tc>
          <w:tcPr>
            <w:tcW w:w="0" w:type="auto"/>
            <w:hideMark/>
          </w:tcPr>
          <w:p w14:paraId="2684E33D"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Industrija</w:t>
            </w:r>
          </w:p>
        </w:tc>
      </w:tr>
      <w:tr w:rsidR="006567D7" w:rsidRPr="001C58C6" w14:paraId="262F59E9" w14:textId="77777777" w:rsidTr="00247496">
        <w:tc>
          <w:tcPr>
            <w:cnfStyle w:val="001000000000" w:firstRow="0" w:lastRow="0" w:firstColumn="1" w:lastColumn="0" w:oddVBand="0" w:evenVBand="0" w:oddHBand="0" w:evenHBand="0" w:firstRowFirstColumn="0" w:firstRowLastColumn="0" w:lastRowFirstColumn="0" w:lastRowLastColumn="0"/>
            <w:tcW w:w="0" w:type="auto"/>
            <w:hideMark/>
          </w:tcPr>
          <w:p w14:paraId="6BB41DCB" w14:textId="77777777" w:rsidR="00C87B0E" w:rsidRPr="001C58C6" w:rsidRDefault="00C87B0E" w:rsidP="00C87B0E">
            <w:pPr>
              <w:rPr>
                <w:rFonts w:ascii="Calibri" w:hAnsi="Calibri" w:cs="Calibri"/>
                <w:color w:val="000000" w:themeColor="text1"/>
                <w:sz w:val="22"/>
              </w:rPr>
            </w:pPr>
            <w:r w:rsidRPr="001C58C6">
              <w:rPr>
                <w:rFonts w:ascii="Calibri" w:hAnsi="Calibri" w:cs="Calibri"/>
                <w:color w:val="000000" w:themeColor="text1"/>
                <w:sz w:val="22"/>
              </w:rPr>
              <w:t>14</w:t>
            </w:r>
          </w:p>
        </w:tc>
        <w:tc>
          <w:tcPr>
            <w:tcW w:w="0" w:type="auto"/>
            <w:hideMark/>
          </w:tcPr>
          <w:p w14:paraId="77E7D746"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Razvoj decentralizovane proizvodnje energije od strane proizvođača - kupaca (prozjumer)</w:t>
            </w:r>
          </w:p>
        </w:tc>
        <w:tc>
          <w:tcPr>
            <w:tcW w:w="0" w:type="auto"/>
            <w:hideMark/>
          </w:tcPr>
          <w:p w14:paraId="143A933D"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Stambeni/komercijalni sektor</w:t>
            </w:r>
          </w:p>
        </w:tc>
      </w:tr>
      <w:tr w:rsidR="006567D7" w:rsidRPr="001C58C6" w14:paraId="29AC4C8D" w14:textId="77777777" w:rsidTr="00247496">
        <w:tc>
          <w:tcPr>
            <w:cnfStyle w:val="001000000000" w:firstRow="0" w:lastRow="0" w:firstColumn="1" w:lastColumn="0" w:oddVBand="0" w:evenVBand="0" w:oddHBand="0" w:evenHBand="0" w:firstRowFirstColumn="0" w:firstRowLastColumn="0" w:lastRowFirstColumn="0" w:lastRowLastColumn="0"/>
            <w:tcW w:w="0" w:type="auto"/>
            <w:hideMark/>
          </w:tcPr>
          <w:p w14:paraId="019915D1" w14:textId="77777777" w:rsidR="00C87B0E" w:rsidRPr="001C58C6" w:rsidRDefault="00C87B0E" w:rsidP="00C87B0E">
            <w:pPr>
              <w:rPr>
                <w:rFonts w:ascii="Calibri" w:hAnsi="Calibri" w:cs="Calibri"/>
                <w:color w:val="000000" w:themeColor="text1"/>
                <w:sz w:val="22"/>
              </w:rPr>
            </w:pPr>
            <w:r w:rsidRPr="001C58C6">
              <w:rPr>
                <w:rFonts w:ascii="Calibri" w:hAnsi="Calibri" w:cs="Calibri"/>
                <w:color w:val="000000" w:themeColor="text1"/>
                <w:sz w:val="22"/>
              </w:rPr>
              <w:t>15</w:t>
            </w:r>
          </w:p>
        </w:tc>
        <w:tc>
          <w:tcPr>
            <w:tcW w:w="0" w:type="auto"/>
            <w:hideMark/>
          </w:tcPr>
          <w:p w14:paraId="68E6A20E"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Dodatni razvoj decentralizovane proizvodnje energije od strane proizvođača - kupaca (prozjumer)</w:t>
            </w:r>
          </w:p>
        </w:tc>
        <w:tc>
          <w:tcPr>
            <w:tcW w:w="0" w:type="auto"/>
            <w:hideMark/>
          </w:tcPr>
          <w:p w14:paraId="72E3D697"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Stambeni/komercijalni sektor</w:t>
            </w:r>
          </w:p>
        </w:tc>
      </w:tr>
      <w:tr w:rsidR="006567D7" w:rsidRPr="001C58C6" w14:paraId="6C7D26CD" w14:textId="77777777" w:rsidTr="00247496">
        <w:tc>
          <w:tcPr>
            <w:cnfStyle w:val="001000000000" w:firstRow="0" w:lastRow="0" w:firstColumn="1" w:lastColumn="0" w:oddVBand="0" w:evenVBand="0" w:oddHBand="0" w:evenHBand="0" w:firstRowFirstColumn="0" w:firstRowLastColumn="0" w:lastRowFirstColumn="0" w:lastRowLastColumn="0"/>
            <w:tcW w:w="0" w:type="auto"/>
            <w:hideMark/>
          </w:tcPr>
          <w:p w14:paraId="52019410" w14:textId="77777777" w:rsidR="00C87B0E" w:rsidRPr="001C58C6" w:rsidRDefault="00C87B0E" w:rsidP="00C87B0E">
            <w:pPr>
              <w:rPr>
                <w:rFonts w:ascii="Calibri" w:hAnsi="Calibri" w:cs="Calibri"/>
                <w:color w:val="000000" w:themeColor="text1"/>
                <w:sz w:val="22"/>
              </w:rPr>
            </w:pPr>
            <w:r w:rsidRPr="001C58C6">
              <w:rPr>
                <w:rFonts w:ascii="Calibri" w:hAnsi="Calibri" w:cs="Calibri"/>
                <w:color w:val="000000" w:themeColor="text1"/>
                <w:sz w:val="22"/>
              </w:rPr>
              <w:t>16</w:t>
            </w:r>
          </w:p>
        </w:tc>
        <w:tc>
          <w:tcPr>
            <w:tcW w:w="0" w:type="auto"/>
            <w:hideMark/>
          </w:tcPr>
          <w:p w14:paraId="219A17A9"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Podrška organskoj poljoprivrednoj proizvodnji</w:t>
            </w:r>
          </w:p>
        </w:tc>
        <w:tc>
          <w:tcPr>
            <w:tcW w:w="0" w:type="auto"/>
            <w:hideMark/>
          </w:tcPr>
          <w:p w14:paraId="2F8A6CD0"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Poljoprivreda</w:t>
            </w:r>
          </w:p>
        </w:tc>
      </w:tr>
      <w:tr w:rsidR="006567D7" w:rsidRPr="001C58C6" w14:paraId="5D82E6AF" w14:textId="77777777" w:rsidTr="00247496">
        <w:tc>
          <w:tcPr>
            <w:cnfStyle w:val="001000000000" w:firstRow="0" w:lastRow="0" w:firstColumn="1" w:lastColumn="0" w:oddVBand="0" w:evenVBand="0" w:oddHBand="0" w:evenHBand="0" w:firstRowFirstColumn="0" w:firstRowLastColumn="0" w:lastRowFirstColumn="0" w:lastRowLastColumn="0"/>
            <w:tcW w:w="0" w:type="auto"/>
            <w:hideMark/>
          </w:tcPr>
          <w:p w14:paraId="18466C01" w14:textId="77777777" w:rsidR="00C87B0E" w:rsidRPr="001C58C6" w:rsidRDefault="00C87B0E" w:rsidP="00C87B0E">
            <w:pPr>
              <w:rPr>
                <w:rFonts w:ascii="Calibri" w:hAnsi="Calibri" w:cs="Calibri"/>
                <w:color w:val="000000" w:themeColor="text1"/>
                <w:sz w:val="22"/>
              </w:rPr>
            </w:pPr>
            <w:r w:rsidRPr="001C58C6">
              <w:rPr>
                <w:rFonts w:ascii="Calibri" w:hAnsi="Calibri" w:cs="Calibri"/>
                <w:color w:val="000000" w:themeColor="text1"/>
                <w:sz w:val="22"/>
              </w:rPr>
              <w:t>17</w:t>
            </w:r>
          </w:p>
        </w:tc>
        <w:tc>
          <w:tcPr>
            <w:tcW w:w="0" w:type="auto"/>
            <w:hideMark/>
          </w:tcPr>
          <w:p w14:paraId="60AA1AA2"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Podrška upravljanju stajskim đubrivom</w:t>
            </w:r>
          </w:p>
        </w:tc>
        <w:tc>
          <w:tcPr>
            <w:tcW w:w="0" w:type="auto"/>
            <w:hideMark/>
          </w:tcPr>
          <w:p w14:paraId="78CCA27F"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Poljoprivreda</w:t>
            </w:r>
          </w:p>
        </w:tc>
      </w:tr>
      <w:tr w:rsidR="006567D7" w:rsidRPr="001C58C6" w14:paraId="435D4B55" w14:textId="77777777" w:rsidTr="00247496">
        <w:tc>
          <w:tcPr>
            <w:cnfStyle w:val="001000000000" w:firstRow="0" w:lastRow="0" w:firstColumn="1" w:lastColumn="0" w:oddVBand="0" w:evenVBand="0" w:oddHBand="0" w:evenHBand="0" w:firstRowFirstColumn="0" w:firstRowLastColumn="0" w:lastRowFirstColumn="0" w:lastRowLastColumn="0"/>
            <w:tcW w:w="0" w:type="auto"/>
            <w:hideMark/>
          </w:tcPr>
          <w:p w14:paraId="01D8ADDB" w14:textId="77777777" w:rsidR="00C87B0E" w:rsidRPr="001C58C6" w:rsidRDefault="00C87B0E" w:rsidP="00C87B0E">
            <w:pPr>
              <w:rPr>
                <w:rFonts w:ascii="Calibri" w:hAnsi="Calibri" w:cs="Calibri"/>
                <w:color w:val="000000" w:themeColor="text1"/>
                <w:sz w:val="22"/>
              </w:rPr>
            </w:pPr>
            <w:r w:rsidRPr="001C58C6">
              <w:rPr>
                <w:rFonts w:ascii="Calibri" w:hAnsi="Calibri" w:cs="Calibri"/>
                <w:color w:val="000000" w:themeColor="text1"/>
                <w:sz w:val="22"/>
              </w:rPr>
              <w:t>18</w:t>
            </w:r>
          </w:p>
        </w:tc>
        <w:tc>
          <w:tcPr>
            <w:tcW w:w="0" w:type="auto"/>
            <w:hideMark/>
          </w:tcPr>
          <w:p w14:paraId="70925BB5"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Smanjenje bio-otpada u komunalnom otpadu</w:t>
            </w:r>
          </w:p>
        </w:tc>
        <w:tc>
          <w:tcPr>
            <w:tcW w:w="0" w:type="auto"/>
            <w:hideMark/>
          </w:tcPr>
          <w:p w14:paraId="39D534F4"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Otpad</w:t>
            </w:r>
          </w:p>
        </w:tc>
      </w:tr>
      <w:tr w:rsidR="006567D7" w:rsidRPr="001C58C6" w14:paraId="28946891" w14:textId="77777777" w:rsidTr="00247496">
        <w:tc>
          <w:tcPr>
            <w:cnfStyle w:val="001000000000" w:firstRow="0" w:lastRow="0" w:firstColumn="1" w:lastColumn="0" w:oddVBand="0" w:evenVBand="0" w:oddHBand="0" w:evenHBand="0" w:firstRowFirstColumn="0" w:firstRowLastColumn="0" w:lastRowFirstColumn="0" w:lastRowLastColumn="0"/>
            <w:tcW w:w="0" w:type="auto"/>
            <w:hideMark/>
          </w:tcPr>
          <w:p w14:paraId="6D1FDBC9" w14:textId="77777777" w:rsidR="00C87B0E" w:rsidRPr="001C58C6" w:rsidRDefault="00C87B0E" w:rsidP="00C87B0E">
            <w:pPr>
              <w:rPr>
                <w:rFonts w:ascii="Calibri" w:hAnsi="Calibri" w:cs="Calibri"/>
                <w:color w:val="000000" w:themeColor="text1"/>
                <w:sz w:val="22"/>
              </w:rPr>
            </w:pPr>
            <w:r w:rsidRPr="001C58C6">
              <w:rPr>
                <w:rFonts w:ascii="Calibri" w:hAnsi="Calibri" w:cs="Calibri"/>
                <w:color w:val="000000" w:themeColor="text1"/>
                <w:sz w:val="22"/>
              </w:rPr>
              <w:t>19</w:t>
            </w:r>
          </w:p>
        </w:tc>
        <w:tc>
          <w:tcPr>
            <w:tcW w:w="0" w:type="auto"/>
            <w:hideMark/>
          </w:tcPr>
          <w:p w14:paraId="7A3F9B09"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Povećanje stope priključenja na kanalizacioni sistem (cilj 93% do 2035.)</w:t>
            </w:r>
          </w:p>
        </w:tc>
        <w:tc>
          <w:tcPr>
            <w:tcW w:w="0" w:type="auto"/>
            <w:hideMark/>
          </w:tcPr>
          <w:p w14:paraId="752BB38F"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Otpad</w:t>
            </w:r>
          </w:p>
        </w:tc>
      </w:tr>
      <w:tr w:rsidR="006567D7" w:rsidRPr="001C58C6" w14:paraId="06C99EC1" w14:textId="77777777" w:rsidTr="00247496">
        <w:tc>
          <w:tcPr>
            <w:cnfStyle w:val="001000000000" w:firstRow="0" w:lastRow="0" w:firstColumn="1" w:lastColumn="0" w:oddVBand="0" w:evenVBand="0" w:oddHBand="0" w:evenHBand="0" w:firstRowFirstColumn="0" w:firstRowLastColumn="0" w:lastRowFirstColumn="0" w:lastRowLastColumn="0"/>
            <w:tcW w:w="0" w:type="auto"/>
            <w:hideMark/>
          </w:tcPr>
          <w:p w14:paraId="607C40A4" w14:textId="77777777" w:rsidR="00C87B0E" w:rsidRPr="001C58C6" w:rsidRDefault="00C87B0E" w:rsidP="00C87B0E">
            <w:pPr>
              <w:rPr>
                <w:rFonts w:ascii="Calibri" w:hAnsi="Calibri" w:cs="Calibri"/>
                <w:color w:val="000000" w:themeColor="text1"/>
                <w:sz w:val="22"/>
              </w:rPr>
            </w:pPr>
            <w:r w:rsidRPr="001C58C6">
              <w:rPr>
                <w:rFonts w:ascii="Calibri" w:hAnsi="Calibri" w:cs="Calibri"/>
                <w:color w:val="000000" w:themeColor="text1"/>
                <w:sz w:val="22"/>
              </w:rPr>
              <w:t>20</w:t>
            </w:r>
          </w:p>
        </w:tc>
        <w:tc>
          <w:tcPr>
            <w:tcW w:w="0" w:type="auto"/>
            <w:hideMark/>
          </w:tcPr>
          <w:p w14:paraId="19C8B5BD"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Daljinsko grijanje u Pljevljima</w:t>
            </w:r>
          </w:p>
        </w:tc>
        <w:tc>
          <w:tcPr>
            <w:tcW w:w="0" w:type="auto"/>
            <w:hideMark/>
          </w:tcPr>
          <w:p w14:paraId="43F0C530"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Energetska industrija / proizvodnja toplote</w:t>
            </w:r>
          </w:p>
        </w:tc>
      </w:tr>
      <w:tr w:rsidR="006567D7" w:rsidRPr="001C58C6" w14:paraId="77EEF894" w14:textId="77777777" w:rsidTr="00247496">
        <w:tc>
          <w:tcPr>
            <w:cnfStyle w:val="001000000000" w:firstRow="0" w:lastRow="0" w:firstColumn="1" w:lastColumn="0" w:oddVBand="0" w:evenVBand="0" w:oddHBand="0" w:evenHBand="0" w:firstRowFirstColumn="0" w:firstRowLastColumn="0" w:lastRowFirstColumn="0" w:lastRowLastColumn="0"/>
            <w:tcW w:w="0" w:type="auto"/>
            <w:hideMark/>
          </w:tcPr>
          <w:p w14:paraId="7FDBFD32" w14:textId="77777777" w:rsidR="00C87B0E" w:rsidRPr="001C58C6" w:rsidRDefault="00C87B0E" w:rsidP="00C87B0E">
            <w:pPr>
              <w:rPr>
                <w:rFonts w:ascii="Calibri" w:hAnsi="Calibri" w:cs="Calibri"/>
                <w:color w:val="000000" w:themeColor="text1"/>
                <w:sz w:val="22"/>
              </w:rPr>
            </w:pPr>
            <w:r w:rsidRPr="001C58C6">
              <w:rPr>
                <w:rFonts w:ascii="Calibri" w:hAnsi="Calibri" w:cs="Calibri"/>
                <w:color w:val="000000" w:themeColor="text1"/>
                <w:sz w:val="22"/>
              </w:rPr>
              <w:t>21</w:t>
            </w:r>
          </w:p>
        </w:tc>
        <w:tc>
          <w:tcPr>
            <w:tcW w:w="0" w:type="auto"/>
            <w:hideMark/>
          </w:tcPr>
          <w:p w14:paraId="358D5203"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Zabrana uvoza starih vozila (Euro 4 ili niži standard)</w:t>
            </w:r>
          </w:p>
        </w:tc>
        <w:tc>
          <w:tcPr>
            <w:tcW w:w="0" w:type="auto"/>
            <w:hideMark/>
          </w:tcPr>
          <w:p w14:paraId="099017D5"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Saobraćaj</w:t>
            </w:r>
          </w:p>
        </w:tc>
      </w:tr>
      <w:tr w:rsidR="006567D7" w:rsidRPr="001C58C6" w14:paraId="5F6D841B" w14:textId="77777777" w:rsidTr="00247496">
        <w:tc>
          <w:tcPr>
            <w:cnfStyle w:val="001000000000" w:firstRow="0" w:lastRow="0" w:firstColumn="1" w:lastColumn="0" w:oddVBand="0" w:evenVBand="0" w:oddHBand="0" w:evenHBand="0" w:firstRowFirstColumn="0" w:firstRowLastColumn="0" w:lastRowFirstColumn="0" w:lastRowLastColumn="0"/>
            <w:tcW w:w="0" w:type="auto"/>
            <w:hideMark/>
          </w:tcPr>
          <w:p w14:paraId="25C33A6E" w14:textId="77777777" w:rsidR="00C87B0E" w:rsidRPr="001C58C6" w:rsidRDefault="00C87B0E" w:rsidP="00C87B0E">
            <w:pPr>
              <w:rPr>
                <w:rFonts w:ascii="Calibri" w:hAnsi="Calibri" w:cs="Calibri"/>
                <w:color w:val="000000" w:themeColor="text1"/>
                <w:sz w:val="22"/>
              </w:rPr>
            </w:pPr>
            <w:r w:rsidRPr="001C58C6">
              <w:rPr>
                <w:rFonts w:ascii="Calibri" w:hAnsi="Calibri" w:cs="Calibri"/>
                <w:color w:val="000000" w:themeColor="text1"/>
                <w:sz w:val="22"/>
              </w:rPr>
              <w:t>22</w:t>
            </w:r>
          </w:p>
        </w:tc>
        <w:tc>
          <w:tcPr>
            <w:tcW w:w="0" w:type="auto"/>
            <w:hideMark/>
          </w:tcPr>
          <w:p w14:paraId="4DA560C2"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Modalni prelaz prevoza putnika na javni autobuski prevoz</w:t>
            </w:r>
          </w:p>
        </w:tc>
        <w:tc>
          <w:tcPr>
            <w:tcW w:w="0" w:type="auto"/>
            <w:hideMark/>
          </w:tcPr>
          <w:p w14:paraId="5C7DC14D"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Saobraćaj</w:t>
            </w:r>
          </w:p>
        </w:tc>
      </w:tr>
      <w:tr w:rsidR="006567D7" w:rsidRPr="001C58C6" w14:paraId="3D332CBF" w14:textId="77777777" w:rsidTr="00247496">
        <w:tc>
          <w:tcPr>
            <w:cnfStyle w:val="001000000000" w:firstRow="0" w:lastRow="0" w:firstColumn="1" w:lastColumn="0" w:oddVBand="0" w:evenVBand="0" w:oddHBand="0" w:evenHBand="0" w:firstRowFirstColumn="0" w:firstRowLastColumn="0" w:lastRowFirstColumn="0" w:lastRowLastColumn="0"/>
            <w:tcW w:w="0" w:type="auto"/>
            <w:hideMark/>
          </w:tcPr>
          <w:p w14:paraId="0771F78C" w14:textId="77777777" w:rsidR="00C87B0E" w:rsidRPr="001C58C6" w:rsidRDefault="00C87B0E" w:rsidP="00C87B0E">
            <w:pPr>
              <w:rPr>
                <w:rFonts w:ascii="Calibri" w:hAnsi="Calibri" w:cs="Calibri"/>
                <w:color w:val="000000" w:themeColor="text1"/>
                <w:sz w:val="22"/>
              </w:rPr>
            </w:pPr>
            <w:r w:rsidRPr="001C58C6">
              <w:rPr>
                <w:rFonts w:ascii="Calibri" w:hAnsi="Calibri" w:cs="Calibri"/>
                <w:color w:val="000000" w:themeColor="text1"/>
                <w:sz w:val="22"/>
              </w:rPr>
              <w:t>23</w:t>
            </w:r>
          </w:p>
        </w:tc>
        <w:tc>
          <w:tcPr>
            <w:tcW w:w="0" w:type="auto"/>
            <w:hideMark/>
          </w:tcPr>
          <w:p w14:paraId="3A327360"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Modalni prelaz prevoza putnika i tereta na željeznicu</w:t>
            </w:r>
          </w:p>
        </w:tc>
        <w:tc>
          <w:tcPr>
            <w:tcW w:w="0" w:type="auto"/>
            <w:hideMark/>
          </w:tcPr>
          <w:p w14:paraId="3C810896"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Saobraćaj</w:t>
            </w:r>
          </w:p>
        </w:tc>
      </w:tr>
      <w:tr w:rsidR="006567D7" w:rsidRPr="001C58C6" w14:paraId="7EE2A635" w14:textId="77777777" w:rsidTr="00247496">
        <w:tc>
          <w:tcPr>
            <w:cnfStyle w:val="001000000000" w:firstRow="0" w:lastRow="0" w:firstColumn="1" w:lastColumn="0" w:oddVBand="0" w:evenVBand="0" w:oddHBand="0" w:evenHBand="0" w:firstRowFirstColumn="0" w:firstRowLastColumn="0" w:lastRowFirstColumn="0" w:lastRowLastColumn="0"/>
            <w:tcW w:w="0" w:type="auto"/>
            <w:hideMark/>
          </w:tcPr>
          <w:p w14:paraId="6F487573" w14:textId="77777777" w:rsidR="00C87B0E" w:rsidRPr="001C58C6" w:rsidRDefault="00C87B0E" w:rsidP="00C87B0E">
            <w:pPr>
              <w:rPr>
                <w:rFonts w:ascii="Calibri" w:hAnsi="Calibri" w:cs="Calibri"/>
                <w:color w:val="000000" w:themeColor="text1"/>
                <w:sz w:val="22"/>
              </w:rPr>
            </w:pPr>
            <w:r w:rsidRPr="001C58C6">
              <w:rPr>
                <w:rFonts w:ascii="Calibri" w:hAnsi="Calibri" w:cs="Calibri"/>
                <w:color w:val="000000" w:themeColor="text1"/>
                <w:sz w:val="22"/>
              </w:rPr>
              <w:t>24</w:t>
            </w:r>
          </w:p>
        </w:tc>
        <w:tc>
          <w:tcPr>
            <w:tcW w:w="0" w:type="auto"/>
            <w:hideMark/>
          </w:tcPr>
          <w:p w14:paraId="49CEA35B"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Razvoj i implementacija regulatornog okvira energetske efikasnosti u zgradama</w:t>
            </w:r>
          </w:p>
        </w:tc>
        <w:tc>
          <w:tcPr>
            <w:tcW w:w="0" w:type="auto"/>
            <w:hideMark/>
          </w:tcPr>
          <w:p w14:paraId="175DA72A"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Stambeni / javni / poslovni</w:t>
            </w:r>
          </w:p>
        </w:tc>
      </w:tr>
      <w:tr w:rsidR="006567D7" w:rsidRPr="001C58C6" w14:paraId="55EA64BB" w14:textId="77777777" w:rsidTr="00247496">
        <w:tc>
          <w:tcPr>
            <w:cnfStyle w:val="001000000000" w:firstRow="0" w:lastRow="0" w:firstColumn="1" w:lastColumn="0" w:oddVBand="0" w:evenVBand="0" w:oddHBand="0" w:evenHBand="0" w:firstRowFirstColumn="0" w:firstRowLastColumn="0" w:lastRowFirstColumn="0" w:lastRowLastColumn="0"/>
            <w:tcW w:w="0" w:type="auto"/>
            <w:hideMark/>
          </w:tcPr>
          <w:p w14:paraId="580F490C" w14:textId="77777777" w:rsidR="00C87B0E" w:rsidRPr="001C58C6" w:rsidRDefault="00C87B0E" w:rsidP="00C87B0E">
            <w:pPr>
              <w:rPr>
                <w:rFonts w:ascii="Calibri" w:hAnsi="Calibri" w:cs="Calibri"/>
                <w:color w:val="000000" w:themeColor="text1"/>
                <w:sz w:val="22"/>
              </w:rPr>
            </w:pPr>
            <w:r w:rsidRPr="001C58C6">
              <w:rPr>
                <w:rFonts w:ascii="Calibri" w:hAnsi="Calibri" w:cs="Calibri"/>
                <w:color w:val="000000" w:themeColor="text1"/>
                <w:sz w:val="22"/>
              </w:rPr>
              <w:t>25</w:t>
            </w:r>
          </w:p>
        </w:tc>
        <w:tc>
          <w:tcPr>
            <w:tcW w:w="0" w:type="auto"/>
            <w:hideMark/>
          </w:tcPr>
          <w:p w14:paraId="5D722CB2"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Povećana energetska efikasnost u javnim zgradama</w:t>
            </w:r>
          </w:p>
        </w:tc>
        <w:tc>
          <w:tcPr>
            <w:tcW w:w="0" w:type="auto"/>
            <w:hideMark/>
          </w:tcPr>
          <w:p w14:paraId="0029929E"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Javno</w:t>
            </w:r>
          </w:p>
        </w:tc>
      </w:tr>
      <w:tr w:rsidR="006567D7" w:rsidRPr="001C58C6" w14:paraId="77001E52" w14:textId="77777777" w:rsidTr="00247496">
        <w:tc>
          <w:tcPr>
            <w:cnfStyle w:val="001000000000" w:firstRow="0" w:lastRow="0" w:firstColumn="1" w:lastColumn="0" w:oddVBand="0" w:evenVBand="0" w:oddHBand="0" w:evenHBand="0" w:firstRowFirstColumn="0" w:firstRowLastColumn="0" w:lastRowFirstColumn="0" w:lastRowLastColumn="0"/>
            <w:tcW w:w="0" w:type="auto"/>
            <w:hideMark/>
          </w:tcPr>
          <w:p w14:paraId="1C272FA8" w14:textId="77777777" w:rsidR="00C87B0E" w:rsidRPr="001C58C6" w:rsidRDefault="00C87B0E" w:rsidP="00C87B0E">
            <w:pPr>
              <w:rPr>
                <w:rFonts w:ascii="Calibri" w:hAnsi="Calibri" w:cs="Calibri"/>
                <w:color w:val="000000" w:themeColor="text1"/>
                <w:sz w:val="22"/>
              </w:rPr>
            </w:pPr>
            <w:r w:rsidRPr="001C58C6">
              <w:rPr>
                <w:rFonts w:ascii="Calibri" w:hAnsi="Calibri" w:cs="Calibri"/>
                <w:color w:val="000000" w:themeColor="text1"/>
                <w:sz w:val="22"/>
              </w:rPr>
              <w:t>26</w:t>
            </w:r>
          </w:p>
        </w:tc>
        <w:tc>
          <w:tcPr>
            <w:tcW w:w="0" w:type="auto"/>
            <w:hideMark/>
          </w:tcPr>
          <w:p w14:paraId="265BFA1A"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Sprovođenje mjera energetske efikasnosti u javnoj infrastrukturi</w:t>
            </w:r>
          </w:p>
        </w:tc>
        <w:tc>
          <w:tcPr>
            <w:tcW w:w="0" w:type="auto"/>
            <w:hideMark/>
          </w:tcPr>
          <w:p w14:paraId="31968885"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Javni</w:t>
            </w:r>
          </w:p>
        </w:tc>
      </w:tr>
      <w:tr w:rsidR="006567D7" w:rsidRPr="001C58C6" w14:paraId="0A537D89" w14:textId="77777777" w:rsidTr="00247496">
        <w:tc>
          <w:tcPr>
            <w:cnfStyle w:val="001000000000" w:firstRow="0" w:lastRow="0" w:firstColumn="1" w:lastColumn="0" w:oddVBand="0" w:evenVBand="0" w:oddHBand="0" w:evenHBand="0" w:firstRowFirstColumn="0" w:firstRowLastColumn="0" w:lastRowFirstColumn="0" w:lastRowLastColumn="0"/>
            <w:tcW w:w="0" w:type="auto"/>
            <w:hideMark/>
          </w:tcPr>
          <w:p w14:paraId="5A981EFB" w14:textId="77777777" w:rsidR="00C87B0E" w:rsidRPr="001C58C6" w:rsidRDefault="00C87B0E" w:rsidP="00C87B0E">
            <w:pPr>
              <w:rPr>
                <w:rFonts w:ascii="Calibri" w:hAnsi="Calibri" w:cs="Calibri"/>
                <w:color w:val="000000" w:themeColor="text1"/>
                <w:sz w:val="22"/>
              </w:rPr>
            </w:pPr>
            <w:r w:rsidRPr="001C58C6">
              <w:rPr>
                <w:rFonts w:ascii="Calibri" w:hAnsi="Calibri" w:cs="Calibri"/>
                <w:color w:val="000000" w:themeColor="text1"/>
                <w:sz w:val="22"/>
              </w:rPr>
              <w:t>27</w:t>
            </w:r>
          </w:p>
        </w:tc>
        <w:tc>
          <w:tcPr>
            <w:tcW w:w="0" w:type="auto"/>
            <w:hideMark/>
          </w:tcPr>
          <w:p w14:paraId="18E9724E"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6567D7">
              <w:rPr>
                <w:rFonts w:ascii="Calibri" w:hAnsi="Calibri" w:cs="Calibri"/>
                <w:color w:val="000000" w:themeColor="text1"/>
                <w:sz w:val="22"/>
              </w:rPr>
              <w:t>Finansijski podsticaji za građane i građanke/privatna domaćinstva (za ulaganja u energetsku efikasnost i smanjenje energetskog siromaštva)</w:t>
            </w:r>
          </w:p>
        </w:tc>
        <w:tc>
          <w:tcPr>
            <w:tcW w:w="0" w:type="auto"/>
            <w:hideMark/>
          </w:tcPr>
          <w:p w14:paraId="4ED2DC1F"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Stambeni</w:t>
            </w:r>
          </w:p>
        </w:tc>
      </w:tr>
    </w:tbl>
    <w:p w14:paraId="4003B64E"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 </w:t>
      </w:r>
    </w:p>
    <w:p w14:paraId="69759764" w14:textId="77777777" w:rsidR="00ED5DB4" w:rsidRPr="001C58C6" w:rsidRDefault="00ED5DB4" w:rsidP="00AB5C9D">
      <w:pPr>
        <w:rPr>
          <w:rFonts w:ascii="Calibri" w:hAnsi="Calibri" w:cs="Calibri"/>
          <w:b/>
          <w:bCs/>
          <w:i/>
          <w:iCs/>
          <w:color w:val="000000" w:themeColor="text1"/>
        </w:rPr>
      </w:pPr>
    </w:p>
    <w:p w14:paraId="5F3DB4FD" w14:textId="77777777" w:rsidR="00ED5DB4" w:rsidRDefault="00ED5DB4" w:rsidP="00AB5C9D">
      <w:pPr>
        <w:rPr>
          <w:rFonts w:ascii="Calibri" w:hAnsi="Calibri" w:cs="Calibri"/>
          <w:b/>
          <w:bCs/>
          <w:i/>
          <w:iCs/>
          <w:color w:val="000000" w:themeColor="text1"/>
        </w:rPr>
      </w:pPr>
    </w:p>
    <w:p w14:paraId="2BE11FCA" w14:textId="77777777" w:rsidR="006F52AD" w:rsidRPr="001C58C6" w:rsidRDefault="006F52AD" w:rsidP="00AB5C9D">
      <w:pPr>
        <w:rPr>
          <w:rFonts w:ascii="Calibri" w:hAnsi="Calibri" w:cs="Calibri"/>
          <w:b/>
          <w:bCs/>
          <w:i/>
          <w:iCs/>
          <w:color w:val="000000" w:themeColor="text1"/>
        </w:rPr>
      </w:pPr>
    </w:p>
    <w:p w14:paraId="5D5529B2" w14:textId="77777777" w:rsidR="00ED5DB4" w:rsidRPr="001C58C6" w:rsidRDefault="00ED5DB4" w:rsidP="00AB5C9D">
      <w:pPr>
        <w:rPr>
          <w:rFonts w:ascii="Calibri" w:hAnsi="Calibri" w:cs="Calibri"/>
          <w:b/>
          <w:bCs/>
          <w:i/>
          <w:iCs/>
          <w:color w:val="000000" w:themeColor="text1"/>
        </w:rPr>
      </w:pPr>
    </w:p>
    <w:p w14:paraId="272D7F10" w14:textId="77777777" w:rsidR="00C87B0E" w:rsidRPr="001C58C6" w:rsidRDefault="00C87B0E" w:rsidP="00AB5C9D">
      <w:pPr>
        <w:rPr>
          <w:rFonts w:ascii="Calibri" w:hAnsi="Calibri" w:cs="Calibri"/>
          <w:b/>
          <w:bCs/>
          <w:i/>
          <w:iCs/>
          <w:color w:val="000000" w:themeColor="text1"/>
        </w:rPr>
      </w:pPr>
      <w:r w:rsidRPr="001C58C6">
        <w:rPr>
          <w:rFonts w:ascii="Calibri" w:hAnsi="Calibri" w:cs="Calibri"/>
          <w:b/>
          <w:bCs/>
          <w:i/>
          <w:iCs/>
          <w:color w:val="000000" w:themeColor="text1"/>
        </w:rPr>
        <w:lastRenderedPageBreak/>
        <w:t>7.</w:t>
      </w:r>
      <w:r w:rsidR="00247496" w:rsidRPr="001C58C6">
        <w:rPr>
          <w:rFonts w:ascii="Calibri" w:hAnsi="Calibri" w:cs="Calibri"/>
          <w:b/>
          <w:bCs/>
          <w:i/>
          <w:iCs/>
          <w:color w:val="000000" w:themeColor="text1"/>
        </w:rPr>
        <w:t>1.</w:t>
      </w:r>
      <w:r w:rsidR="00AB5C9D" w:rsidRPr="001C58C6">
        <w:rPr>
          <w:rFonts w:ascii="Calibri" w:hAnsi="Calibri" w:cs="Calibri"/>
          <w:b/>
          <w:bCs/>
          <w:i/>
          <w:iCs/>
          <w:color w:val="000000" w:themeColor="text1"/>
        </w:rPr>
        <w:t>5.2</w:t>
      </w:r>
      <w:r w:rsidRPr="001C58C6">
        <w:rPr>
          <w:rFonts w:ascii="Calibri" w:hAnsi="Calibri" w:cs="Calibri"/>
          <w:b/>
          <w:bCs/>
          <w:i/>
          <w:iCs/>
          <w:color w:val="000000" w:themeColor="text1"/>
        </w:rPr>
        <w:t xml:space="preserve"> Odabrane mjere i njihov očekivani efekat za postizanje usklađenosti </w:t>
      </w:r>
    </w:p>
    <w:p w14:paraId="177043C9" w14:textId="77777777" w:rsidR="00752282" w:rsidRPr="001C58C6" w:rsidRDefault="00752282" w:rsidP="00AB5C9D">
      <w:pPr>
        <w:rPr>
          <w:rFonts w:ascii="Calibri" w:hAnsi="Calibri" w:cs="Calibri"/>
          <w:b/>
          <w:bCs/>
          <w:i/>
          <w:iCs/>
          <w:color w:val="000000" w:themeColor="text1"/>
        </w:rPr>
      </w:pPr>
    </w:p>
    <w:p w14:paraId="48E5279F"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(a) spisak odabranih mjera, uključujući spisak informacija (kao što su rezultati modeliranja i procjene mjera) za postizanje odgovarajućeg standarda kvaliteta vazduha u skladu sa Prilogom I; po potrebi, ako spisak mjera iz tačke 6(a) uključuje mjere koje imaju visok potencijal za poboljšanje kvaliteta vazduha, ali nijesu odabrane, objašnjenje razloga zašto nijesu izabrane;</w:t>
      </w:r>
    </w:p>
    <w:p w14:paraId="1A2DE20B"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Imajući u vidu ključne izvore zagađivanja koji su objašnjeni u prethodnom tekstu, u odnosu na razmatranu listu mjera prioritizovane su one koje su povezane sa smanjenjem emisija suspendovanih čestica iz sektora grijanja domaćinstava. </w:t>
      </w:r>
    </w:p>
    <w:p w14:paraId="6D458D52" w14:textId="77777777" w:rsidR="00752282" w:rsidRPr="001C58C6" w:rsidRDefault="00752282" w:rsidP="00C87B0E">
      <w:pPr>
        <w:rPr>
          <w:rFonts w:ascii="Calibri" w:hAnsi="Calibri" w:cs="Calibri"/>
          <w:color w:val="000000" w:themeColor="text1"/>
        </w:rPr>
      </w:pPr>
    </w:p>
    <w:p w14:paraId="204B6E04"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Prije svega, to su sljedeće mjere: </w:t>
      </w:r>
    </w:p>
    <w:p w14:paraId="08C8403C" w14:textId="77777777" w:rsidR="00752282" w:rsidRPr="001C58C6" w:rsidRDefault="00752282" w:rsidP="00C87B0E">
      <w:pPr>
        <w:rPr>
          <w:rFonts w:ascii="Calibri" w:hAnsi="Calibri" w:cs="Calibri"/>
          <w:color w:val="000000" w:themeColor="text1"/>
        </w:rPr>
      </w:pPr>
    </w:p>
    <w:p w14:paraId="0554FACB" w14:textId="77777777" w:rsidR="00C87B0E" w:rsidRPr="001C58C6" w:rsidRDefault="00752282" w:rsidP="00B33518">
      <w:pPr>
        <w:pStyle w:val="Caption"/>
        <w:jc w:val="center"/>
        <w:rPr>
          <w:rFonts w:ascii="Calibri" w:hAnsi="Calibri" w:cs="Calibri"/>
          <w:i/>
          <w:iCs/>
          <w:color w:val="000000" w:themeColor="text1"/>
          <w:sz w:val="20"/>
          <w:szCs w:val="20"/>
        </w:rPr>
      </w:pPr>
      <w:bookmarkStart w:id="165" w:name="_Toc217388766"/>
      <w:bookmarkStart w:id="166" w:name="_Toc217388811"/>
      <w:bookmarkStart w:id="167" w:name="_Toc233584685"/>
      <w:r w:rsidRPr="001C58C6">
        <w:rPr>
          <w:rFonts w:ascii="Calibri" w:hAnsi="Calibri" w:cs="Calibri"/>
          <w:i/>
          <w:iCs/>
          <w:color w:val="000000" w:themeColor="text1"/>
          <w:sz w:val="20"/>
          <w:szCs w:val="20"/>
        </w:rPr>
        <w:t xml:space="preserve">Tabela </w:t>
      </w:r>
      <w:r w:rsidRPr="001C58C6">
        <w:rPr>
          <w:rFonts w:ascii="Calibri" w:hAnsi="Calibri" w:cs="Calibri"/>
          <w:i/>
          <w:iCs/>
          <w:color w:val="000000" w:themeColor="text1"/>
          <w:sz w:val="20"/>
          <w:szCs w:val="20"/>
        </w:rPr>
        <w:fldChar w:fldCharType="begin"/>
      </w:r>
      <w:r w:rsidRPr="001C58C6">
        <w:rPr>
          <w:rFonts w:ascii="Calibri" w:hAnsi="Calibri" w:cs="Calibri"/>
          <w:i/>
          <w:iCs/>
          <w:color w:val="000000" w:themeColor="text1"/>
          <w:sz w:val="20"/>
          <w:szCs w:val="20"/>
        </w:rPr>
        <w:instrText xml:space="preserve"> SEQ Tabela \* ARABIC </w:instrText>
      </w:r>
      <w:r w:rsidRPr="001C58C6">
        <w:rPr>
          <w:rFonts w:ascii="Calibri" w:hAnsi="Calibri" w:cs="Calibri"/>
          <w:i/>
          <w:iCs/>
          <w:color w:val="000000" w:themeColor="text1"/>
          <w:sz w:val="20"/>
          <w:szCs w:val="20"/>
        </w:rPr>
        <w:fldChar w:fldCharType="separate"/>
      </w:r>
      <w:r w:rsidRPr="001C58C6">
        <w:rPr>
          <w:rFonts w:ascii="Calibri" w:hAnsi="Calibri" w:cs="Calibri"/>
          <w:i/>
          <w:iCs/>
          <w:color w:val="000000" w:themeColor="text1"/>
          <w:sz w:val="20"/>
          <w:szCs w:val="20"/>
        </w:rPr>
        <w:t>10</w:t>
      </w:r>
      <w:r w:rsidRPr="001C58C6">
        <w:rPr>
          <w:rFonts w:ascii="Calibri" w:hAnsi="Calibri" w:cs="Calibri"/>
          <w:i/>
          <w:iCs/>
          <w:color w:val="000000" w:themeColor="text1"/>
          <w:sz w:val="20"/>
          <w:szCs w:val="20"/>
        </w:rPr>
        <w:fldChar w:fldCharType="end"/>
      </w:r>
      <w:r w:rsidR="00247496" w:rsidRPr="001C58C6">
        <w:rPr>
          <w:rFonts w:ascii="Calibri" w:hAnsi="Calibri" w:cs="Calibri"/>
          <w:i/>
          <w:iCs/>
          <w:color w:val="000000" w:themeColor="text1"/>
          <w:sz w:val="20"/>
          <w:szCs w:val="20"/>
        </w:rPr>
        <w:t>:</w:t>
      </w:r>
      <w:r w:rsidR="00C87B0E" w:rsidRPr="001C58C6">
        <w:rPr>
          <w:rFonts w:ascii="Calibri" w:hAnsi="Calibri" w:cs="Calibri"/>
          <w:i/>
          <w:iCs/>
          <w:color w:val="000000" w:themeColor="text1"/>
          <w:sz w:val="20"/>
          <w:szCs w:val="20"/>
        </w:rPr>
        <w:t xml:space="preserve"> Odabrane mjere iz NEKP-a</w:t>
      </w:r>
      <w:bookmarkEnd w:id="165"/>
      <w:bookmarkEnd w:id="166"/>
      <w:bookmarkEnd w:id="167"/>
    </w:p>
    <w:tbl>
      <w:tblPr>
        <w:tblStyle w:val="GridTable1Light-Accent1"/>
        <w:tblW w:w="0" w:type="auto"/>
        <w:tblLook w:val="04A0" w:firstRow="1" w:lastRow="0" w:firstColumn="1" w:lastColumn="0" w:noHBand="0" w:noVBand="1"/>
      </w:tblPr>
      <w:tblGrid>
        <w:gridCol w:w="487"/>
        <w:gridCol w:w="5965"/>
        <w:gridCol w:w="2500"/>
      </w:tblGrid>
      <w:tr w:rsidR="00C87B0E" w:rsidRPr="001C58C6" w14:paraId="4D4B4AB5" w14:textId="77777777" w:rsidTr="002474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E8E8E8" w:themeFill="background2"/>
          </w:tcPr>
          <w:p w14:paraId="2825EBAE" w14:textId="77777777" w:rsidR="00C87B0E" w:rsidRPr="001C58C6" w:rsidRDefault="00247496" w:rsidP="00C87B0E">
            <w:pPr>
              <w:rPr>
                <w:rFonts w:ascii="Calibri" w:hAnsi="Calibri" w:cs="Calibri"/>
                <w:color w:val="000000" w:themeColor="text1"/>
                <w:sz w:val="22"/>
              </w:rPr>
            </w:pPr>
            <w:r w:rsidRPr="001C58C6">
              <w:rPr>
                <w:rFonts w:ascii="Calibri" w:hAnsi="Calibri" w:cs="Calibri"/>
                <w:color w:val="000000" w:themeColor="text1"/>
                <w:sz w:val="22"/>
              </w:rPr>
              <w:t>R.b</w:t>
            </w:r>
          </w:p>
        </w:tc>
        <w:tc>
          <w:tcPr>
            <w:tcW w:w="5965" w:type="dxa"/>
            <w:shd w:val="clear" w:color="auto" w:fill="E8E8E8" w:themeFill="background2"/>
            <w:hideMark/>
          </w:tcPr>
          <w:p w14:paraId="51CF32F3" w14:textId="77777777" w:rsidR="00C87B0E" w:rsidRPr="001C58C6" w:rsidRDefault="00C87B0E" w:rsidP="00C87B0E">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Mjere koje će se realizovati u okviru NEKP</w:t>
            </w:r>
          </w:p>
        </w:tc>
        <w:tc>
          <w:tcPr>
            <w:tcW w:w="2500" w:type="dxa"/>
            <w:shd w:val="clear" w:color="auto" w:fill="E8E8E8" w:themeFill="background2"/>
            <w:hideMark/>
          </w:tcPr>
          <w:p w14:paraId="14E26BB9" w14:textId="77777777" w:rsidR="00C87B0E" w:rsidRPr="001C58C6" w:rsidRDefault="00C87B0E" w:rsidP="00C87B0E">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Sektor</w:t>
            </w:r>
          </w:p>
        </w:tc>
      </w:tr>
      <w:tr w:rsidR="00C87B0E" w:rsidRPr="001C58C6" w14:paraId="657591C5" w14:textId="77777777" w:rsidTr="00247496">
        <w:tc>
          <w:tcPr>
            <w:cnfStyle w:val="001000000000" w:firstRow="0" w:lastRow="0" w:firstColumn="1" w:lastColumn="0" w:oddVBand="0" w:evenVBand="0" w:oddHBand="0" w:evenHBand="0" w:firstRowFirstColumn="0" w:firstRowLastColumn="0" w:lastRowFirstColumn="0" w:lastRowLastColumn="0"/>
            <w:tcW w:w="0" w:type="auto"/>
            <w:hideMark/>
          </w:tcPr>
          <w:p w14:paraId="5C7DEBED" w14:textId="77777777" w:rsidR="00C87B0E" w:rsidRPr="001C58C6" w:rsidRDefault="00C87B0E" w:rsidP="00C87B0E">
            <w:pPr>
              <w:rPr>
                <w:rFonts w:ascii="Calibri" w:hAnsi="Calibri" w:cs="Calibri"/>
                <w:color w:val="000000" w:themeColor="text1"/>
                <w:sz w:val="22"/>
              </w:rPr>
            </w:pPr>
            <w:r w:rsidRPr="001C58C6">
              <w:rPr>
                <w:rFonts w:ascii="Calibri" w:hAnsi="Calibri" w:cs="Calibri"/>
                <w:color w:val="000000" w:themeColor="text1"/>
                <w:sz w:val="22"/>
              </w:rPr>
              <w:t>1</w:t>
            </w:r>
          </w:p>
        </w:tc>
        <w:tc>
          <w:tcPr>
            <w:tcW w:w="5965" w:type="dxa"/>
            <w:hideMark/>
          </w:tcPr>
          <w:p w14:paraId="65D0CBB2"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C06DD3">
              <w:rPr>
                <w:rFonts w:ascii="Calibri" w:hAnsi="Calibri" w:cs="Calibri"/>
                <w:color w:val="000000" w:themeColor="text1"/>
                <w:sz w:val="22"/>
              </w:rPr>
              <w:t>Finansijski podsticaji za građane i građanke/privatna domaćinstva (za ulaganja u energetsku efikasnost i smanjenje energetskog siromaštva)</w:t>
            </w:r>
          </w:p>
        </w:tc>
        <w:tc>
          <w:tcPr>
            <w:tcW w:w="2500" w:type="dxa"/>
            <w:hideMark/>
          </w:tcPr>
          <w:p w14:paraId="16235B63"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Stambeni</w:t>
            </w:r>
          </w:p>
        </w:tc>
      </w:tr>
      <w:tr w:rsidR="00C87B0E" w:rsidRPr="001C58C6" w14:paraId="56605A2F" w14:textId="77777777" w:rsidTr="00247496">
        <w:tc>
          <w:tcPr>
            <w:cnfStyle w:val="001000000000" w:firstRow="0" w:lastRow="0" w:firstColumn="1" w:lastColumn="0" w:oddVBand="0" w:evenVBand="0" w:oddHBand="0" w:evenHBand="0" w:firstRowFirstColumn="0" w:firstRowLastColumn="0" w:lastRowFirstColumn="0" w:lastRowLastColumn="0"/>
            <w:tcW w:w="0" w:type="auto"/>
            <w:hideMark/>
          </w:tcPr>
          <w:p w14:paraId="6A66243B" w14:textId="77777777" w:rsidR="00C87B0E" w:rsidRPr="001C58C6" w:rsidRDefault="00C87B0E" w:rsidP="00C87B0E">
            <w:pPr>
              <w:rPr>
                <w:rFonts w:ascii="Calibri" w:hAnsi="Calibri" w:cs="Calibri"/>
                <w:color w:val="000000" w:themeColor="text1"/>
                <w:sz w:val="22"/>
              </w:rPr>
            </w:pPr>
            <w:r w:rsidRPr="001C58C6">
              <w:rPr>
                <w:rFonts w:ascii="Calibri" w:hAnsi="Calibri" w:cs="Calibri"/>
                <w:color w:val="000000" w:themeColor="text1"/>
                <w:sz w:val="22"/>
              </w:rPr>
              <w:t>2</w:t>
            </w:r>
          </w:p>
        </w:tc>
        <w:tc>
          <w:tcPr>
            <w:tcW w:w="5965" w:type="dxa"/>
            <w:hideMark/>
          </w:tcPr>
          <w:p w14:paraId="6B88DA53"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Razvoj i implementacija regulatornog okvira energetske efikasnosti u zgradama</w:t>
            </w:r>
          </w:p>
        </w:tc>
        <w:tc>
          <w:tcPr>
            <w:tcW w:w="2500" w:type="dxa"/>
            <w:hideMark/>
          </w:tcPr>
          <w:p w14:paraId="7C2C9BC2"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Stambeni / javni / poslovni</w:t>
            </w:r>
          </w:p>
        </w:tc>
      </w:tr>
      <w:tr w:rsidR="00C87B0E" w:rsidRPr="001C58C6" w14:paraId="35893F0F" w14:textId="77777777" w:rsidTr="00247496">
        <w:tc>
          <w:tcPr>
            <w:cnfStyle w:val="001000000000" w:firstRow="0" w:lastRow="0" w:firstColumn="1" w:lastColumn="0" w:oddVBand="0" w:evenVBand="0" w:oddHBand="0" w:evenHBand="0" w:firstRowFirstColumn="0" w:firstRowLastColumn="0" w:lastRowFirstColumn="0" w:lastRowLastColumn="0"/>
            <w:tcW w:w="0" w:type="auto"/>
            <w:hideMark/>
          </w:tcPr>
          <w:p w14:paraId="4970AEE4" w14:textId="77777777" w:rsidR="00C87B0E" w:rsidRPr="001C58C6" w:rsidRDefault="00C87B0E" w:rsidP="00C87B0E">
            <w:pPr>
              <w:rPr>
                <w:rFonts w:ascii="Calibri" w:hAnsi="Calibri" w:cs="Calibri"/>
                <w:color w:val="000000" w:themeColor="text1"/>
                <w:sz w:val="22"/>
              </w:rPr>
            </w:pPr>
            <w:r w:rsidRPr="001C58C6">
              <w:rPr>
                <w:rFonts w:ascii="Calibri" w:hAnsi="Calibri" w:cs="Calibri"/>
                <w:color w:val="000000" w:themeColor="text1"/>
                <w:sz w:val="22"/>
              </w:rPr>
              <w:t>3</w:t>
            </w:r>
          </w:p>
        </w:tc>
        <w:tc>
          <w:tcPr>
            <w:tcW w:w="5965" w:type="dxa"/>
            <w:hideMark/>
          </w:tcPr>
          <w:p w14:paraId="02F2374D"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Povećana energetska efikasnost u javnim zgradama</w:t>
            </w:r>
          </w:p>
        </w:tc>
        <w:tc>
          <w:tcPr>
            <w:tcW w:w="2500" w:type="dxa"/>
            <w:hideMark/>
          </w:tcPr>
          <w:p w14:paraId="2140299D"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Javni sektor</w:t>
            </w:r>
          </w:p>
        </w:tc>
      </w:tr>
      <w:tr w:rsidR="00C87B0E" w:rsidRPr="001C58C6" w14:paraId="55DDFA1D" w14:textId="77777777" w:rsidTr="00247496">
        <w:tc>
          <w:tcPr>
            <w:cnfStyle w:val="001000000000" w:firstRow="0" w:lastRow="0" w:firstColumn="1" w:lastColumn="0" w:oddVBand="0" w:evenVBand="0" w:oddHBand="0" w:evenHBand="0" w:firstRowFirstColumn="0" w:firstRowLastColumn="0" w:lastRowFirstColumn="0" w:lastRowLastColumn="0"/>
            <w:tcW w:w="0" w:type="auto"/>
            <w:hideMark/>
          </w:tcPr>
          <w:p w14:paraId="6D44F6D1" w14:textId="77777777" w:rsidR="00C87B0E" w:rsidRPr="001C58C6" w:rsidRDefault="00C87B0E" w:rsidP="00C87B0E">
            <w:pPr>
              <w:rPr>
                <w:rFonts w:ascii="Calibri" w:hAnsi="Calibri" w:cs="Calibri"/>
                <w:color w:val="000000" w:themeColor="text1"/>
                <w:sz w:val="22"/>
              </w:rPr>
            </w:pPr>
            <w:r w:rsidRPr="001C58C6">
              <w:rPr>
                <w:rFonts w:ascii="Calibri" w:hAnsi="Calibri" w:cs="Calibri"/>
                <w:color w:val="000000" w:themeColor="text1"/>
                <w:sz w:val="22"/>
              </w:rPr>
              <w:t>4</w:t>
            </w:r>
          </w:p>
        </w:tc>
        <w:tc>
          <w:tcPr>
            <w:tcW w:w="5965" w:type="dxa"/>
            <w:hideMark/>
          </w:tcPr>
          <w:p w14:paraId="09BD9E00"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Daljinsko grijanje u Pljevljima</w:t>
            </w:r>
          </w:p>
        </w:tc>
        <w:tc>
          <w:tcPr>
            <w:tcW w:w="2500" w:type="dxa"/>
            <w:hideMark/>
          </w:tcPr>
          <w:p w14:paraId="4A631308"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Energetska industrija / proizvodnja toplote</w:t>
            </w:r>
          </w:p>
        </w:tc>
      </w:tr>
      <w:tr w:rsidR="00C87B0E" w:rsidRPr="001C58C6" w14:paraId="7A61A8FE" w14:textId="77777777" w:rsidTr="00247496">
        <w:tc>
          <w:tcPr>
            <w:cnfStyle w:val="001000000000" w:firstRow="0" w:lastRow="0" w:firstColumn="1" w:lastColumn="0" w:oddVBand="0" w:evenVBand="0" w:oddHBand="0" w:evenHBand="0" w:firstRowFirstColumn="0" w:firstRowLastColumn="0" w:lastRowFirstColumn="0" w:lastRowLastColumn="0"/>
            <w:tcW w:w="0" w:type="auto"/>
            <w:hideMark/>
          </w:tcPr>
          <w:p w14:paraId="3FD10D11" w14:textId="77777777" w:rsidR="00C87B0E" w:rsidRPr="001C58C6" w:rsidRDefault="00C87B0E" w:rsidP="00C87B0E">
            <w:pPr>
              <w:rPr>
                <w:rFonts w:ascii="Calibri" w:hAnsi="Calibri" w:cs="Calibri"/>
                <w:color w:val="000000" w:themeColor="text1"/>
                <w:sz w:val="22"/>
              </w:rPr>
            </w:pPr>
            <w:r w:rsidRPr="001C58C6">
              <w:rPr>
                <w:rFonts w:ascii="Calibri" w:hAnsi="Calibri" w:cs="Calibri"/>
                <w:color w:val="000000" w:themeColor="text1"/>
                <w:sz w:val="22"/>
              </w:rPr>
              <w:t>5</w:t>
            </w:r>
          </w:p>
        </w:tc>
        <w:tc>
          <w:tcPr>
            <w:tcW w:w="5965" w:type="dxa"/>
            <w:hideMark/>
          </w:tcPr>
          <w:p w14:paraId="51EF198B"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Razvoj decentralizovane proizvodnje energije od strane proizvođača - kupaca (prozjumer)</w:t>
            </w:r>
          </w:p>
        </w:tc>
        <w:tc>
          <w:tcPr>
            <w:tcW w:w="2500" w:type="dxa"/>
            <w:hideMark/>
          </w:tcPr>
          <w:p w14:paraId="5CB3D790"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Stambeni/komercijalni sektor</w:t>
            </w:r>
          </w:p>
        </w:tc>
      </w:tr>
      <w:tr w:rsidR="00C87B0E" w:rsidRPr="001C58C6" w14:paraId="17CFEE41" w14:textId="77777777" w:rsidTr="00247496">
        <w:tc>
          <w:tcPr>
            <w:cnfStyle w:val="001000000000" w:firstRow="0" w:lastRow="0" w:firstColumn="1" w:lastColumn="0" w:oddVBand="0" w:evenVBand="0" w:oddHBand="0" w:evenHBand="0" w:firstRowFirstColumn="0" w:firstRowLastColumn="0" w:lastRowFirstColumn="0" w:lastRowLastColumn="0"/>
            <w:tcW w:w="0" w:type="auto"/>
            <w:hideMark/>
          </w:tcPr>
          <w:p w14:paraId="0F9D17E1" w14:textId="77777777" w:rsidR="00C87B0E" w:rsidRPr="001C58C6" w:rsidRDefault="00C87B0E" w:rsidP="00C87B0E">
            <w:pPr>
              <w:rPr>
                <w:rFonts w:ascii="Calibri" w:hAnsi="Calibri" w:cs="Calibri"/>
                <w:color w:val="000000" w:themeColor="text1"/>
                <w:sz w:val="22"/>
              </w:rPr>
            </w:pPr>
            <w:r w:rsidRPr="001C58C6">
              <w:rPr>
                <w:rFonts w:ascii="Calibri" w:hAnsi="Calibri" w:cs="Calibri"/>
                <w:color w:val="000000" w:themeColor="text1"/>
                <w:sz w:val="22"/>
              </w:rPr>
              <w:t>6</w:t>
            </w:r>
          </w:p>
        </w:tc>
        <w:tc>
          <w:tcPr>
            <w:tcW w:w="5965" w:type="dxa"/>
            <w:hideMark/>
          </w:tcPr>
          <w:p w14:paraId="18A9D31B"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Dodatni razvoj decentralizovane proizvodnje energije od strane proizvođača - kupaca (prozjumer)</w:t>
            </w:r>
          </w:p>
        </w:tc>
        <w:tc>
          <w:tcPr>
            <w:tcW w:w="2500" w:type="dxa"/>
            <w:hideMark/>
          </w:tcPr>
          <w:p w14:paraId="46146769"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Stambeni/komercijalni sektor</w:t>
            </w:r>
          </w:p>
        </w:tc>
      </w:tr>
    </w:tbl>
    <w:p w14:paraId="1EF3F58D" w14:textId="77777777" w:rsidR="00247496" w:rsidRPr="001C58C6" w:rsidRDefault="00247496" w:rsidP="00C87B0E">
      <w:pPr>
        <w:rPr>
          <w:rFonts w:ascii="Calibri" w:hAnsi="Calibri" w:cs="Calibri"/>
          <w:color w:val="000000" w:themeColor="text1"/>
        </w:rPr>
      </w:pPr>
    </w:p>
    <w:p w14:paraId="101FF612" w14:textId="77777777" w:rsidR="00C87B0E" w:rsidRPr="001C58C6" w:rsidRDefault="00247496" w:rsidP="00247496">
      <w:pPr>
        <w:pStyle w:val="Heading3"/>
        <w:rPr>
          <w:rFonts w:ascii="Calibri" w:hAnsi="Calibri" w:cs="Calibri"/>
          <w:color w:val="000000" w:themeColor="text1"/>
        </w:rPr>
      </w:pPr>
      <w:bookmarkStart w:id="168" w:name="_Toc217388090"/>
      <w:bookmarkStart w:id="169" w:name="_Toc220070448"/>
      <w:bookmarkStart w:id="170" w:name="_Toc233711767"/>
      <w:r w:rsidRPr="001C58C6">
        <w:rPr>
          <w:rFonts w:ascii="Calibri" w:hAnsi="Calibri" w:cs="Calibri"/>
          <w:color w:val="000000" w:themeColor="text1"/>
        </w:rPr>
        <w:t>7.1.</w:t>
      </w:r>
      <w:r w:rsidR="00AB5C9D" w:rsidRPr="001C58C6">
        <w:rPr>
          <w:rFonts w:ascii="Calibri" w:hAnsi="Calibri" w:cs="Calibri"/>
          <w:color w:val="000000" w:themeColor="text1"/>
        </w:rPr>
        <w:t>6</w:t>
      </w:r>
      <w:r w:rsidRPr="001C58C6">
        <w:rPr>
          <w:rFonts w:ascii="Calibri" w:hAnsi="Calibri" w:cs="Calibri"/>
          <w:color w:val="000000" w:themeColor="text1"/>
        </w:rPr>
        <w:t xml:space="preserve"> </w:t>
      </w:r>
      <w:r w:rsidR="00C87B0E" w:rsidRPr="001C58C6">
        <w:rPr>
          <w:rFonts w:ascii="Calibri" w:hAnsi="Calibri" w:cs="Calibri"/>
          <w:color w:val="000000" w:themeColor="text1"/>
        </w:rPr>
        <w:t>Kratak opis mjera preuzetih iz NEKP-a</w:t>
      </w:r>
      <w:bookmarkEnd w:id="168"/>
      <w:bookmarkEnd w:id="169"/>
      <w:bookmarkEnd w:id="170"/>
    </w:p>
    <w:p w14:paraId="352FCDD5" w14:textId="77777777" w:rsidR="00C87B0E" w:rsidRPr="001C58C6" w:rsidRDefault="00247496" w:rsidP="00247496">
      <w:pPr>
        <w:rPr>
          <w:rFonts w:ascii="Calibri" w:hAnsi="Calibri" w:cs="Calibri"/>
          <w:b/>
          <w:bCs/>
          <w:i/>
          <w:iCs/>
          <w:color w:val="000000" w:themeColor="text1"/>
        </w:rPr>
      </w:pPr>
      <w:r w:rsidRPr="001C58C6">
        <w:rPr>
          <w:rFonts w:ascii="Calibri" w:hAnsi="Calibri" w:cs="Calibri"/>
          <w:b/>
          <w:bCs/>
          <w:i/>
          <w:iCs/>
          <w:color w:val="000000" w:themeColor="text1"/>
        </w:rPr>
        <w:t>7.1.</w:t>
      </w:r>
      <w:r w:rsidR="00AB5C9D" w:rsidRPr="001C58C6">
        <w:rPr>
          <w:rFonts w:ascii="Calibri" w:hAnsi="Calibri" w:cs="Calibri"/>
          <w:b/>
          <w:bCs/>
          <w:i/>
          <w:iCs/>
          <w:color w:val="000000" w:themeColor="text1"/>
        </w:rPr>
        <w:t>6</w:t>
      </w:r>
      <w:r w:rsidRPr="001C58C6">
        <w:rPr>
          <w:rFonts w:ascii="Calibri" w:hAnsi="Calibri" w:cs="Calibri"/>
          <w:b/>
          <w:bCs/>
          <w:i/>
          <w:iCs/>
          <w:color w:val="000000" w:themeColor="text1"/>
        </w:rPr>
        <w:t xml:space="preserve">.1 </w:t>
      </w:r>
      <w:r w:rsidR="00C87B0E" w:rsidRPr="001C58C6">
        <w:rPr>
          <w:rFonts w:ascii="Calibri" w:hAnsi="Calibri" w:cs="Calibri"/>
          <w:b/>
          <w:bCs/>
          <w:i/>
          <w:iCs/>
          <w:color w:val="000000" w:themeColor="text1"/>
        </w:rPr>
        <w:t>Finansijski podsticaji za građane/privatna domaćinstva (za ulaganja u energetsku efikasnost)</w:t>
      </w:r>
    </w:p>
    <w:p w14:paraId="05F82E30" w14:textId="77777777" w:rsidR="00752282" w:rsidRPr="001C58C6" w:rsidRDefault="00752282" w:rsidP="00247496">
      <w:pPr>
        <w:rPr>
          <w:rFonts w:ascii="Calibri" w:hAnsi="Calibri" w:cs="Calibri"/>
          <w:b/>
          <w:bCs/>
          <w:i/>
          <w:iCs/>
          <w:color w:val="000000" w:themeColor="text1"/>
        </w:rPr>
      </w:pPr>
    </w:p>
    <w:p w14:paraId="1D1097B2"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Stambeni sektor je odgovoran za preko 36% udjela u ukupnoj potražnji za energijom i energetski je najintenzivniji sektor zajedno sa sektorom saobraćaja u zemlji. Prosječan energetski intenzitet stambenog sektora je 169 kWh/m</w:t>
      </w:r>
      <w:r w:rsidRPr="001C58C6">
        <w:rPr>
          <w:rFonts w:ascii="Calibri" w:hAnsi="Calibri" w:cs="Calibri"/>
          <w:color w:val="000000" w:themeColor="text1"/>
          <w:vertAlign w:val="superscript"/>
        </w:rPr>
        <w:t xml:space="preserve">2 </w:t>
      </w:r>
      <w:r w:rsidRPr="001C58C6">
        <w:rPr>
          <w:rFonts w:ascii="Calibri" w:hAnsi="Calibri" w:cs="Calibri"/>
          <w:color w:val="000000" w:themeColor="text1"/>
        </w:rPr>
        <w:t>godišnje. Postoje 3 klimatske zone i energetski intenzitet varira u svakoj od njih. Da bi se postigli ciljevi energetske efikasnosti, važno je mjerama se usmjeriti na energetski najintenzivnije sektore. Grijanje prostora predstavlja najdominantniji udio energije koja se troši u stambenom sektoru (60%). Električna energija i drvo su gotovo jedina goriva koja se koriste u sektoru (99% udjela). Iako je udio potrošnje drva veći (55%), posljednjih godina se postepeno smanjuje. Drvo se pretežno koristi za grijanje prostora (77%), a ostatak se koristi za potrebe kuvanja. Energetska efikasnost ovih tehnologija je veoma niska. Takođe, skoro 70% stambenih zgrada izgrađeno je prije 2000. godine, odnosno prije uspostavljanja nekog od savremenih standarda koji se odnose na energetsku efikasnost.</w:t>
      </w:r>
    </w:p>
    <w:p w14:paraId="20983A3E" w14:textId="77777777" w:rsidR="00752282" w:rsidRPr="001C58C6" w:rsidRDefault="00752282" w:rsidP="00C87B0E">
      <w:pPr>
        <w:rPr>
          <w:rFonts w:ascii="Calibri" w:hAnsi="Calibri" w:cs="Calibri"/>
          <w:color w:val="000000" w:themeColor="text1"/>
        </w:rPr>
      </w:pPr>
    </w:p>
    <w:p w14:paraId="0AFF274E"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Cilj ove mjere je obezbjeđivanje mehanizama finansijske podrške pojedincima za ulaganje u energetsku efikasnost i OIE. To uključuje uvođenje namjenskih državnih i lokalnih programa subvencionisanja za uštedu energije u privatnim domaćinstvima i korišćenje OIE. U toku je </w:t>
      </w:r>
      <w:r w:rsidRPr="001C58C6">
        <w:rPr>
          <w:rFonts w:ascii="Calibri" w:hAnsi="Calibri" w:cs="Calibri"/>
          <w:color w:val="000000" w:themeColor="text1"/>
        </w:rPr>
        <w:lastRenderedPageBreak/>
        <w:t xml:space="preserve">realizacija programa subvencionisanja domaćinstava sa ciljem poboljšanja energetske efikasnosti. Ukupan budžet za program je 8,8 miliona eura, od čega je 2,8 miliona eura dodijeljeno opštini Pljevlja, a preostalih 6 miliona eura za ostale opštine širom zemlje. Maksimalni iznos bespovratnih sredstava po korisniku je 10.000 eura, a iznosi za pojedinačne mjere se kreću od 2.000 do 6.000 eura. Program se realizuje u saradnji Ministarstva energetike i rudarstva sa Eko-fondom, koji ima ulogu implementacionog tijela, uz tehničku podršku Programa Ujedinjenih nacija za razvoj (UNDP). Važno je obezbijediti nastavak realizacije sličnih programa podrške i u narednom periodu u cilju dalje obnove stambenog sektora. </w:t>
      </w:r>
    </w:p>
    <w:p w14:paraId="79939973" w14:textId="77777777" w:rsidR="00752282" w:rsidRPr="001C58C6" w:rsidRDefault="00752282" w:rsidP="00C87B0E">
      <w:pPr>
        <w:rPr>
          <w:rFonts w:ascii="Calibri" w:hAnsi="Calibri" w:cs="Calibri"/>
          <w:color w:val="000000" w:themeColor="text1"/>
        </w:rPr>
      </w:pPr>
    </w:p>
    <w:p w14:paraId="2E72C0DF"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u w:val="single"/>
        </w:rPr>
        <w:t>Odgovorna lica za implementaciju:</w:t>
      </w:r>
      <w:r w:rsidRPr="001C58C6">
        <w:rPr>
          <w:rFonts w:ascii="Calibri" w:hAnsi="Calibri" w:cs="Calibri"/>
          <w:b/>
          <w:bCs/>
          <w:color w:val="000000" w:themeColor="text1"/>
        </w:rPr>
        <w:t xml:space="preserve"> </w:t>
      </w:r>
      <w:r w:rsidRPr="001C58C6">
        <w:rPr>
          <w:rFonts w:ascii="Calibri" w:hAnsi="Calibri" w:cs="Calibri"/>
          <w:color w:val="000000" w:themeColor="text1"/>
        </w:rPr>
        <w:t>Ministarstvo energetike i rudarstva, Eko-fond, lokalni kvalifikovani distributeri i instalateri EE opreme kao i lokalne komercijalne banke.</w:t>
      </w:r>
    </w:p>
    <w:p w14:paraId="035DFAAA" w14:textId="77777777" w:rsidR="00752282" w:rsidRPr="001C58C6" w:rsidRDefault="00752282" w:rsidP="00C87B0E">
      <w:pPr>
        <w:rPr>
          <w:rFonts w:ascii="Calibri" w:hAnsi="Calibri" w:cs="Calibri"/>
          <w:color w:val="000000" w:themeColor="text1"/>
        </w:rPr>
      </w:pPr>
    </w:p>
    <w:p w14:paraId="47660275"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u w:val="single"/>
        </w:rPr>
        <w:t>Troškovi:</w:t>
      </w:r>
      <w:r w:rsidRPr="001C58C6">
        <w:rPr>
          <w:rFonts w:ascii="Calibri" w:hAnsi="Calibri" w:cs="Calibri"/>
          <w:color w:val="000000" w:themeColor="text1"/>
        </w:rPr>
        <w:t xml:space="preserve"> U okviru tekućeg programa podsticanja energetske efikasnosti u domaćinstvima opredijeljeno 8.8 miliona eura za podršku sektoru domaćinstava. Neophodno obezbijediti dodatna sredstva za nastavak programa podrške u narednom periodu. Za period do 2027. godine voditi se indikatorima iz Reformske agende za period 2024-2027. godina.</w:t>
      </w:r>
    </w:p>
    <w:p w14:paraId="2F790CE9" w14:textId="77777777" w:rsidR="00752282" w:rsidRPr="001C58C6" w:rsidRDefault="00752282" w:rsidP="00C87B0E">
      <w:pPr>
        <w:rPr>
          <w:rFonts w:ascii="Calibri" w:hAnsi="Calibri" w:cs="Calibri"/>
          <w:color w:val="000000" w:themeColor="text1"/>
        </w:rPr>
      </w:pPr>
    </w:p>
    <w:p w14:paraId="51F10848" w14:textId="77777777" w:rsidR="00C87B0E" w:rsidRPr="001C58C6" w:rsidRDefault="00247496" w:rsidP="00247496">
      <w:pPr>
        <w:rPr>
          <w:rFonts w:ascii="Calibri" w:hAnsi="Calibri" w:cs="Calibri"/>
          <w:b/>
          <w:bCs/>
          <w:i/>
          <w:iCs/>
          <w:color w:val="000000" w:themeColor="text1"/>
        </w:rPr>
      </w:pPr>
      <w:r w:rsidRPr="001C58C6">
        <w:rPr>
          <w:rFonts w:ascii="Calibri" w:hAnsi="Calibri" w:cs="Calibri"/>
          <w:b/>
          <w:bCs/>
          <w:i/>
          <w:iCs/>
          <w:color w:val="000000" w:themeColor="text1"/>
        </w:rPr>
        <w:t>7.1.</w:t>
      </w:r>
      <w:r w:rsidR="00AB5C9D" w:rsidRPr="001C58C6">
        <w:rPr>
          <w:rFonts w:ascii="Calibri" w:hAnsi="Calibri" w:cs="Calibri"/>
          <w:b/>
          <w:bCs/>
          <w:i/>
          <w:iCs/>
          <w:color w:val="000000" w:themeColor="text1"/>
        </w:rPr>
        <w:t>6</w:t>
      </w:r>
      <w:r w:rsidRPr="001C58C6">
        <w:rPr>
          <w:rFonts w:ascii="Calibri" w:hAnsi="Calibri" w:cs="Calibri"/>
          <w:b/>
          <w:bCs/>
          <w:i/>
          <w:iCs/>
          <w:color w:val="000000" w:themeColor="text1"/>
        </w:rPr>
        <w:t xml:space="preserve">.2 </w:t>
      </w:r>
      <w:r w:rsidR="00C87B0E" w:rsidRPr="001C58C6">
        <w:rPr>
          <w:rFonts w:ascii="Calibri" w:hAnsi="Calibri" w:cs="Calibri"/>
          <w:b/>
          <w:bCs/>
          <w:i/>
          <w:iCs/>
          <w:color w:val="000000" w:themeColor="text1"/>
        </w:rPr>
        <w:t>Razvoj i implementacija regulatornog okvira energetske efikasnosti u zgradama</w:t>
      </w:r>
    </w:p>
    <w:p w14:paraId="26D7907E" w14:textId="77777777" w:rsidR="00752282" w:rsidRPr="001C58C6" w:rsidRDefault="00752282" w:rsidP="00247496">
      <w:pPr>
        <w:rPr>
          <w:rFonts w:ascii="Calibri" w:hAnsi="Calibri" w:cs="Calibri"/>
          <w:b/>
          <w:bCs/>
          <w:i/>
          <w:iCs/>
          <w:color w:val="000000" w:themeColor="text1"/>
        </w:rPr>
      </w:pPr>
    </w:p>
    <w:p w14:paraId="36CEFF8D"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NEKP obuhvata paket mjera koji se odnosi na energetsku efikasnost u sektoru zgradarstva: </w:t>
      </w:r>
    </w:p>
    <w:p w14:paraId="3E2E8C87" w14:textId="77777777" w:rsidR="00752282" w:rsidRPr="001C58C6" w:rsidRDefault="00752282" w:rsidP="00C87B0E">
      <w:pPr>
        <w:rPr>
          <w:rFonts w:ascii="Calibri" w:hAnsi="Calibri" w:cs="Calibri"/>
          <w:color w:val="000000" w:themeColor="text1"/>
        </w:rPr>
      </w:pPr>
    </w:p>
    <w:p w14:paraId="1AD1FBC0" w14:textId="77777777" w:rsidR="00C87B0E" w:rsidRPr="001C58C6" w:rsidRDefault="00C87B0E" w:rsidP="00E53052">
      <w:pPr>
        <w:numPr>
          <w:ilvl w:val="0"/>
          <w:numId w:val="41"/>
        </w:numPr>
        <w:rPr>
          <w:rFonts w:ascii="Calibri" w:hAnsi="Calibri" w:cs="Calibri"/>
          <w:color w:val="000000" w:themeColor="text1"/>
        </w:rPr>
      </w:pPr>
      <w:r w:rsidRPr="001C58C6">
        <w:rPr>
          <w:rFonts w:ascii="Calibri" w:hAnsi="Calibri" w:cs="Calibri"/>
          <w:color w:val="000000" w:themeColor="text1"/>
        </w:rPr>
        <w:t>Razvoj i implementacija regulatornog okvira energetske efikasnosti u zgradama</w:t>
      </w:r>
    </w:p>
    <w:p w14:paraId="04B3AD06" w14:textId="77777777" w:rsidR="00C87B0E" w:rsidRPr="001C58C6" w:rsidRDefault="00C87B0E" w:rsidP="00E53052">
      <w:pPr>
        <w:numPr>
          <w:ilvl w:val="0"/>
          <w:numId w:val="41"/>
        </w:numPr>
        <w:rPr>
          <w:rFonts w:ascii="Calibri" w:hAnsi="Calibri" w:cs="Calibri"/>
          <w:color w:val="000000" w:themeColor="text1"/>
        </w:rPr>
      </w:pPr>
      <w:r w:rsidRPr="001C58C6">
        <w:rPr>
          <w:rFonts w:ascii="Calibri" w:hAnsi="Calibri" w:cs="Calibri"/>
          <w:color w:val="000000" w:themeColor="text1"/>
        </w:rPr>
        <w:t>Povećana energetska efikasnost u javnim zgradama</w:t>
      </w:r>
    </w:p>
    <w:p w14:paraId="7C018276" w14:textId="77777777" w:rsidR="00C87B0E" w:rsidRPr="001C58C6" w:rsidRDefault="00C87B0E" w:rsidP="00E53052">
      <w:pPr>
        <w:numPr>
          <w:ilvl w:val="0"/>
          <w:numId w:val="41"/>
        </w:numPr>
        <w:rPr>
          <w:rFonts w:ascii="Calibri" w:hAnsi="Calibri" w:cs="Calibri"/>
          <w:color w:val="000000" w:themeColor="text1"/>
        </w:rPr>
      </w:pPr>
      <w:r w:rsidRPr="001C58C6">
        <w:rPr>
          <w:rFonts w:ascii="Calibri" w:hAnsi="Calibri" w:cs="Calibri"/>
          <w:color w:val="000000" w:themeColor="text1"/>
        </w:rPr>
        <w:t>Sprovođenje mjera energetske efikasnosti u javnoj infrastrukturi</w:t>
      </w:r>
    </w:p>
    <w:p w14:paraId="60F6ED6A" w14:textId="77777777" w:rsidR="00752282" w:rsidRPr="001C58C6" w:rsidRDefault="00752282" w:rsidP="00752282">
      <w:pPr>
        <w:ind w:left="720"/>
        <w:rPr>
          <w:rFonts w:ascii="Calibri" w:hAnsi="Calibri" w:cs="Calibri"/>
          <w:color w:val="000000" w:themeColor="text1"/>
        </w:rPr>
      </w:pPr>
    </w:p>
    <w:p w14:paraId="7BFEE1C8"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Za sprovođenje ovih mjera izrađen je pravni okvir usklađen sa relevantnim evropskim </w:t>
      </w:r>
      <w:r w:rsidR="00077921" w:rsidRPr="001C58C6">
        <w:rPr>
          <w:rFonts w:ascii="Calibri" w:hAnsi="Calibri" w:cs="Calibri"/>
          <w:color w:val="000000" w:themeColor="text1"/>
        </w:rPr>
        <w:t>propisima i</w:t>
      </w:r>
      <w:r w:rsidRPr="001C58C6">
        <w:rPr>
          <w:rFonts w:ascii="Calibri" w:hAnsi="Calibri" w:cs="Calibri"/>
          <w:color w:val="000000" w:themeColor="text1"/>
        </w:rPr>
        <w:t xml:space="preserve"> izrađena Studija unaprjeđenja energetske efikasnosti zgrada u Crnoj Gori. Izrađen je inventara zgrad, određivanje referentnih zgrada po kategorijama i određivanje energetskih klasa, što je omogućilo finalizaciju nacionalnog softvera za proračun energetskih karakteristika zgrada i njihovo sertifikovanje. Utvrđene su promjene u obavezama lokalnih opština i velikih pravnih lica (više od 500 zaposlenih) koji treba da pripreme programe za unapređenje energetske efikasnosti, svake godine izvještavaju o njihovoj realizaciji i najmanje jednom u četiri godine vrše energetske preglede svojih objekata. </w:t>
      </w:r>
    </w:p>
    <w:p w14:paraId="7C28B388" w14:textId="77777777" w:rsidR="00752282" w:rsidRPr="001C58C6" w:rsidRDefault="00752282" w:rsidP="00C87B0E">
      <w:pPr>
        <w:rPr>
          <w:rFonts w:ascii="Calibri" w:hAnsi="Calibri" w:cs="Calibri"/>
          <w:color w:val="000000" w:themeColor="text1"/>
        </w:rPr>
      </w:pPr>
    </w:p>
    <w:p w14:paraId="407C6E9A"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u w:val="single"/>
        </w:rPr>
        <w:t>Odgovorna lica za implementaciju</w:t>
      </w:r>
      <w:r w:rsidRPr="001C58C6">
        <w:rPr>
          <w:rFonts w:ascii="Calibri" w:hAnsi="Calibri" w:cs="Calibri"/>
          <w:color w:val="000000" w:themeColor="text1"/>
        </w:rPr>
        <w:t>: Javna uprava (Ministarstvo energetike i rudarstva, lokalne samouprave), građani, privatna preduzeća/vlasnici poslovnih objekata, investitori u objekte za stanovanje i komercijalni sektor.</w:t>
      </w:r>
    </w:p>
    <w:p w14:paraId="00ABF014" w14:textId="77777777" w:rsidR="00752282" w:rsidRPr="001C58C6" w:rsidRDefault="00752282" w:rsidP="00C87B0E">
      <w:pPr>
        <w:rPr>
          <w:rFonts w:ascii="Calibri" w:hAnsi="Calibri" w:cs="Calibri"/>
          <w:color w:val="000000" w:themeColor="text1"/>
        </w:rPr>
      </w:pPr>
    </w:p>
    <w:p w14:paraId="5F25D27B" w14:textId="77777777" w:rsidR="00C87B0E" w:rsidRPr="001C58C6" w:rsidRDefault="00247496" w:rsidP="00247496">
      <w:pPr>
        <w:rPr>
          <w:rFonts w:ascii="Calibri" w:hAnsi="Calibri" w:cs="Calibri"/>
          <w:b/>
          <w:bCs/>
          <w:i/>
          <w:iCs/>
          <w:color w:val="000000" w:themeColor="text1"/>
        </w:rPr>
      </w:pPr>
      <w:bookmarkStart w:id="171" w:name="_Hlk217382213"/>
      <w:r w:rsidRPr="001C58C6">
        <w:rPr>
          <w:rFonts w:ascii="Calibri" w:hAnsi="Calibri" w:cs="Calibri"/>
          <w:b/>
          <w:bCs/>
          <w:i/>
          <w:iCs/>
          <w:color w:val="000000" w:themeColor="text1"/>
        </w:rPr>
        <w:t>7.1.</w:t>
      </w:r>
      <w:r w:rsidR="00AB5C9D" w:rsidRPr="001C58C6">
        <w:rPr>
          <w:rFonts w:ascii="Calibri" w:hAnsi="Calibri" w:cs="Calibri"/>
          <w:b/>
          <w:bCs/>
          <w:i/>
          <w:iCs/>
          <w:color w:val="000000" w:themeColor="text1"/>
        </w:rPr>
        <w:t>6</w:t>
      </w:r>
      <w:r w:rsidRPr="001C58C6">
        <w:rPr>
          <w:rFonts w:ascii="Calibri" w:hAnsi="Calibri" w:cs="Calibri"/>
          <w:b/>
          <w:bCs/>
          <w:i/>
          <w:iCs/>
          <w:color w:val="000000" w:themeColor="text1"/>
        </w:rPr>
        <w:t xml:space="preserve">.3 </w:t>
      </w:r>
      <w:bookmarkEnd w:id="171"/>
      <w:r w:rsidR="00C87B0E" w:rsidRPr="001C58C6">
        <w:rPr>
          <w:rFonts w:ascii="Calibri" w:hAnsi="Calibri" w:cs="Calibri"/>
          <w:b/>
          <w:bCs/>
          <w:i/>
          <w:iCs/>
          <w:color w:val="000000" w:themeColor="text1"/>
        </w:rPr>
        <w:t>Povećana energetska efikasnost u javnim zgradama</w:t>
      </w:r>
    </w:p>
    <w:p w14:paraId="4908A0C3" w14:textId="77777777" w:rsidR="00752282" w:rsidRPr="001C58C6" w:rsidRDefault="00752282" w:rsidP="00247496">
      <w:pPr>
        <w:rPr>
          <w:rFonts w:ascii="Calibri" w:hAnsi="Calibri" w:cs="Calibri"/>
          <w:b/>
          <w:bCs/>
          <w:i/>
          <w:iCs/>
          <w:color w:val="000000" w:themeColor="text1"/>
        </w:rPr>
      </w:pPr>
    </w:p>
    <w:p w14:paraId="6B0C233E"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Javne zgrade imaju učešće od 9% u ukupnoj potražnji za energijom uslužnog sektora. Električna energija je dominantno korišćeno gorivo (64% udjela), ali tu su i ekstra lako lož ulje (15%), ugalj (15%), drvo (6%) i zanemarljiva upotreba TNG-a. Zgrade se odlikuju niskom energetskom efikasnošću i u nekim slučajevima vrlo niskim komfornim uslovima. Postoji potreba za značajnim poboljšanjem omotača zgrade, sistema grijanja/hlađenja, priprema sanitarne vode vode, rasvjete, ali je takođe potrebno uvesti sisteme upravljanja energijom, </w:t>
      </w:r>
      <w:r w:rsidRPr="001C58C6">
        <w:rPr>
          <w:rFonts w:ascii="Calibri" w:hAnsi="Calibri" w:cs="Calibri"/>
          <w:color w:val="000000" w:themeColor="text1"/>
        </w:rPr>
        <w:lastRenderedPageBreak/>
        <w:t>integraciju obnovljivih izvora energije i promjene u ponašanju i radu. Budući da su javne zgrade dio javne uprave, mjere energetske efikasnosti je znatno lakše implementirati nego u stambenom sektoru zbog manjih finansijskih i organizacionih izazova.</w:t>
      </w:r>
    </w:p>
    <w:p w14:paraId="4BB0E986" w14:textId="77777777" w:rsidR="00752282" w:rsidRPr="001C58C6" w:rsidRDefault="00752282" w:rsidP="00C87B0E">
      <w:pPr>
        <w:rPr>
          <w:rFonts w:ascii="Calibri" w:hAnsi="Calibri" w:cs="Calibri"/>
          <w:color w:val="000000" w:themeColor="text1"/>
        </w:rPr>
      </w:pPr>
    </w:p>
    <w:p w14:paraId="5CFB9803"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Vlada je izradila Plan rekonstrukcije državnih službenih zgrada za period 2024-2026. Završeni su radovi na obrazovnim ustanovama u Tuzima, Kotoru, Nikšiću, Cetinju i Baru. Utrošeno je oko 40 % budžeta. U fazi razvoja i pripreme su projekti za javne objekte i škole u Podgorici, Plavu, Gusinju i Rožajama i Nikšiću.</w:t>
      </w:r>
    </w:p>
    <w:p w14:paraId="3B039F3B" w14:textId="77777777" w:rsidR="00752282" w:rsidRPr="001C58C6" w:rsidRDefault="00752282" w:rsidP="00C87B0E">
      <w:pPr>
        <w:rPr>
          <w:rFonts w:ascii="Calibri" w:hAnsi="Calibri" w:cs="Calibri"/>
          <w:color w:val="000000" w:themeColor="text1"/>
        </w:rPr>
      </w:pPr>
    </w:p>
    <w:p w14:paraId="150062BE"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u w:val="single"/>
        </w:rPr>
        <w:t>Odgovorna lica za implementaciju</w:t>
      </w:r>
      <w:r w:rsidRPr="001C58C6">
        <w:rPr>
          <w:rFonts w:ascii="Calibri" w:hAnsi="Calibri" w:cs="Calibri"/>
          <w:color w:val="000000" w:themeColor="text1"/>
        </w:rPr>
        <w:t>: Javna uprava (Ministarstvo energetike i rudarstva, organi nadležni za upravljanja javnim objektima lokalne samouprave).</w:t>
      </w:r>
    </w:p>
    <w:p w14:paraId="4AD8D15D" w14:textId="77777777" w:rsidR="00C87B0E" w:rsidRPr="001C58C6" w:rsidRDefault="00C87B0E" w:rsidP="00C87B0E">
      <w:pPr>
        <w:rPr>
          <w:rFonts w:ascii="Calibri" w:hAnsi="Calibri" w:cs="Calibri"/>
          <w:color w:val="000000" w:themeColor="text1"/>
        </w:rPr>
      </w:pPr>
      <w:r w:rsidRPr="001C58C6">
        <w:rPr>
          <w:rFonts w:ascii="Calibri" w:hAnsi="Calibri" w:cs="Calibri"/>
          <w:iCs/>
          <w:color w:val="000000" w:themeColor="text1"/>
          <w:u w:val="single"/>
        </w:rPr>
        <w:t>Troškovi</w:t>
      </w:r>
      <w:r w:rsidRPr="001C58C6">
        <w:rPr>
          <w:rFonts w:ascii="Calibri" w:hAnsi="Calibri" w:cs="Calibri"/>
          <w:b/>
          <w:bCs/>
          <w:iCs/>
          <w:color w:val="000000" w:themeColor="text1"/>
        </w:rPr>
        <w:t xml:space="preserve">: </w:t>
      </w:r>
      <w:r w:rsidRPr="001C58C6">
        <w:rPr>
          <w:rFonts w:ascii="Calibri" w:hAnsi="Calibri" w:cs="Calibri"/>
          <w:bCs/>
          <w:iCs/>
          <w:color w:val="000000" w:themeColor="text1"/>
        </w:rPr>
        <w:t>Ukupan budžet iznosi 80 miliona eura.</w:t>
      </w:r>
    </w:p>
    <w:p w14:paraId="7AE4BB6B" w14:textId="77777777" w:rsidR="00247496" w:rsidRPr="001C58C6" w:rsidRDefault="00247496">
      <w:pPr>
        <w:jc w:val="left"/>
        <w:rPr>
          <w:rFonts w:ascii="Calibri" w:hAnsi="Calibri" w:cs="Calibri"/>
          <w:b/>
          <w:bCs/>
          <w:color w:val="000000" w:themeColor="text1"/>
        </w:rPr>
      </w:pPr>
    </w:p>
    <w:p w14:paraId="33F6E185" w14:textId="77777777" w:rsidR="00C87B0E" w:rsidRPr="001C58C6" w:rsidRDefault="00247496" w:rsidP="00247496">
      <w:pPr>
        <w:rPr>
          <w:rFonts w:ascii="Calibri" w:hAnsi="Calibri" w:cs="Calibri"/>
          <w:b/>
          <w:bCs/>
          <w:i/>
          <w:iCs/>
          <w:color w:val="000000" w:themeColor="text1"/>
        </w:rPr>
      </w:pPr>
      <w:r w:rsidRPr="001C58C6">
        <w:rPr>
          <w:rFonts w:ascii="Calibri" w:hAnsi="Calibri" w:cs="Calibri"/>
          <w:b/>
          <w:bCs/>
          <w:color w:val="000000" w:themeColor="text1"/>
        </w:rPr>
        <w:t>7.1.</w:t>
      </w:r>
      <w:r w:rsidR="00AB5C9D" w:rsidRPr="001C58C6">
        <w:rPr>
          <w:rFonts w:ascii="Calibri" w:hAnsi="Calibri" w:cs="Calibri"/>
          <w:b/>
          <w:bCs/>
          <w:color w:val="000000" w:themeColor="text1"/>
        </w:rPr>
        <w:t>6</w:t>
      </w:r>
      <w:r w:rsidRPr="001C58C6">
        <w:rPr>
          <w:rFonts w:ascii="Calibri" w:hAnsi="Calibri" w:cs="Calibri"/>
          <w:b/>
          <w:bCs/>
          <w:color w:val="000000" w:themeColor="text1"/>
        </w:rPr>
        <w:t xml:space="preserve">.4 </w:t>
      </w:r>
      <w:r w:rsidR="00C87B0E" w:rsidRPr="001C58C6">
        <w:rPr>
          <w:rFonts w:ascii="Calibri" w:hAnsi="Calibri" w:cs="Calibri"/>
          <w:b/>
          <w:bCs/>
          <w:i/>
          <w:iCs/>
          <w:color w:val="000000" w:themeColor="text1"/>
        </w:rPr>
        <w:t>Daljinsko grijanje u Pljevljima</w:t>
      </w:r>
    </w:p>
    <w:p w14:paraId="213689A7" w14:textId="77777777" w:rsidR="00752282" w:rsidRPr="001C58C6" w:rsidRDefault="00752282" w:rsidP="00247496">
      <w:pPr>
        <w:rPr>
          <w:rFonts w:ascii="Calibri" w:hAnsi="Calibri" w:cs="Calibri"/>
          <w:b/>
          <w:bCs/>
          <w:i/>
          <w:iCs/>
          <w:color w:val="000000" w:themeColor="text1"/>
        </w:rPr>
      </w:pPr>
    </w:p>
    <w:p w14:paraId="444B9972"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Razvoj daljinskog grijanja u Pljevljima uslijediće nakon ekološke rekonstrukcije TE Pljevlja, dok će tokom rekonstrukcije biti završeni svi pripremni radovi vezani za priključak na sistem grijanja. Projektom grijanja će se (privremeno) riješiti dugotrajni problem zagađenja vazduha. Građani Pljevalja za potrebe grijanja koriste oko 80% ukupnog uglja koji se koristi u stambenom sektoru u zemlji. Vazduh u Pljevljima tokom zimske sezone je opterećen zagađujućim materijama koje su uglavnom nusproizvodi sagorijevanja lignita u pojedinačnim uglavnom neefikasnim pećima u oko 5.000 lokalnih domaćinstava. </w:t>
      </w:r>
    </w:p>
    <w:p w14:paraId="234A72B9" w14:textId="77777777" w:rsidR="00752282" w:rsidRPr="001C58C6" w:rsidRDefault="00752282" w:rsidP="00C87B0E">
      <w:pPr>
        <w:rPr>
          <w:rFonts w:ascii="Calibri" w:hAnsi="Calibri" w:cs="Calibri"/>
          <w:color w:val="000000" w:themeColor="text1"/>
        </w:rPr>
      </w:pPr>
    </w:p>
    <w:p w14:paraId="7A1FE18B"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Projekat obuhvata izgradnju toplotnog izvora, primarne i sekundarne toplovodne mreže. U prvoj fazi, izgradnjom primarne toplovodne mreže stvoriće se uslovi za napajanje 6 najvećih kotlarnica u centru grada. Ovo će biti urađeno neregulisanim odvođenjem pare iz turbinskog bloka Termoelektrane Pljevlja, snage 10 MW, odmah po završetku ekološke rekonstrukcije. Pored toga, izgradnja 20 priključaka na primarnu toplovodnu cijev odgovarajućeg prečnika za sve zone potrošnje stvara uslove za drugu fazu i regulisano odvođenje pare iz turbinskog bloka Termoelektrane Pljevlja i dalji razvoj toplane grada sa toplotnom potrošnjom od 44 MW.</w:t>
      </w:r>
    </w:p>
    <w:p w14:paraId="341C967F" w14:textId="77777777" w:rsidR="00752282" w:rsidRPr="001C58C6" w:rsidRDefault="00752282" w:rsidP="00C87B0E">
      <w:pPr>
        <w:rPr>
          <w:rFonts w:ascii="Calibri" w:hAnsi="Calibri" w:cs="Calibri"/>
          <w:color w:val="000000" w:themeColor="text1"/>
        </w:rPr>
      </w:pPr>
    </w:p>
    <w:p w14:paraId="47C6497F"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Kako je očigledna uslovljenost ovog sistema grijanja radom TE Pljevlja, a u svjetlu planiranog ukidanja korišćenja lignita i izlaska iz pogona TE </w:t>
      </w:r>
      <w:r w:rsidR="00FE7883" w:rsidRPr="001C58C6">
        <w:rPr>
          <w:rFonts w:ascii="Calibri" w:hAnsi="Calibri" w:cs="Calibri"/>
          <w:color w:val="000000" w:themeColor="text1"/>
        </w:rPr>
        <w:t>P</w:t>
      </w:r>
      <w:r w:rsidRPr="001C58C6">
        <w:rPr>
          <w:rFonts w:ascii="Calibri" w:hAnsi="Calibri" w:cs="Calibri"/>
          <w:color w:val="000000" w:themeColor="text1"/>
        </w:rPr>
        <w:t>ljevlja, potrebno pronaći dugoročno održivo rješenje za grijanje grada.</w:t>
      </w:r>
    </w:p>
    <w:p w14:paraId="1CFE724B" w14:textId="77777777" w:rsidR="00752282" w:rsidRPr="001C58C6" w:rsidRDefault="00752282" w:rsidP="00C87B0E">
      <w:pPr>
        <w:rPr>
          <w:rFonts w:ascii="Calibri" w:hAnsi="Calibri" w:cs="Calibri"/>
          <w:color w:val="000000" w:themeColor="text1"/>
        </w:rPr>
      </w:pPr>
    </w:p>
    <w:p w14:paraId="687362F6"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Prva faza toplifikacije koja podrazumijeva izgradnju oko 6.5 km primarnog toplovoda se privodi kraju. U drugoj fazi, koju prema NEKP-u treba završiti do 2030. godine odnosi se na stvaranje uslova za razvoj grijanja svih konzumnih zona Pljevalja sa kapacitetima do 2x22 MW na istoj toplovodnoj cijevi već izgrađenoj u prvoj fazi.</w:t>
      </w:r>
    </w:p>
    <w:p w14:paraId="2DA86EA8"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u w:val="single"/>
        </w:rPr>
        <w:t>Odgovorna lica za implementaciju</w:t>
      </w:r>
      <w:r w:rsidRPr="001C58C6">
        <w:rPr>
          <w:rFonts w:ascii="Calibri" w:hAnsi="Calibri" w:cs="Calibri"/>
          <w:color w:val="000000" w:themeColor="text1"/>
        </w:rPr>
        <w:t>: Lokalna samouprava, EPCG.</w:t>
      </w:r>
    </w:p>
    <w:p w14:paraId="31A9DD1A" w14:textId="77777777" w:rsidR="00752282" w:rsidRPr="001C58C6" w:rsidRDefault="00752282" w:rsidP="00C87B0E">
      <w:pPr>
        <w:rPr>
          <w:rFonts w:ascii="Calibri" w:hAnsi="Calibri" w:cs="Calibri"/>
          <w:color w:val="000000" w:themeColor="text1"/>
        </w:rPr>
      </w:pPr>
    </w:p>
    <w:p w14:paraId="5C93FF84"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u w:val="single"/>
        </w:rPr>
        <w:t>Troškovi</w:t>
      </w:r>
      <w:r w:rsidRPr="001C58C6">
        <w:rPr>
          <w:rFonts w:ascii="Calibri" w:hAnsi="Calibri" w:cs="Calibri"/>
          <w:color w:val="000000" w:themeColor="text1"/>
        </w:rPr>
        <w:t>: Ukupan budžet za projekat je 23 miliona eura. EPCG je obezbijedila 2,5 miliona eura. Za faze I.1 i I.2 već je izdvojeno 8,3 miliona. Lokalna uprava će pokriti troškove eksproprijacije.</w:t>
      </w:r>
    </w:p>
    <w:p w14:paraId="34BE5953" w14:textId="77777777" w:rsidR="00ED5DB4" w:rsidRPr="001C58C6" w:rsidRDefault="00ED5DB4" w:rsidP="00C87B0E">
      <w:pPr>
        <w:rPr>
          <w:rFonts w:ascii="Calibri" w:hAnsi="Calibri" w:cs="Calibri"/>
          <w:color w:val="000000" w:themeColor="text1"/>
        </w:rPr>
      </w:pPr>
    </w:p>
    <w:p w14:paraId="05758DFD" w14:textId="77777777" w:rsidR="00C87B0E" w:rsidRPr="001C58C6" w:rsidRDefault="00247496" w:rsidP="00247496">
      <w:pPr>
        <w:rPr>
          <w:rFonts w:ascii="Calibri" w:hAnsi="Calibri" w:cs="Calibri"/>
          <w:b/>
          <w:bCs/>
          <w:i/>
          <w:iCs/>
          <w:color w:val="000000" w:themeColor="text1"/>
        </w:rPr>
      </w:pPr>
      <w:r w:rsidRPr="001C58C6">
        <w:rPr>
          <w:rFonts w:ascii="Calibri" w:hAnsi="Calibri" w:cs="Calibri"/>
          <w:b/>
          <w:bCs/>
          <w:color w:val="000000" w:themeColor="text1"/>
        </w:rPr>
        <w:t>7.1.</w:t>
      </w:r>
      <w:r w:rsidR="00AB5C9D" w:rsidRPr="001C58C6">
        <w:rPr>
          <w:rFonts w:ascii="Calibri" w:hAnsi="Calibri" w:cs="Calibri"/>
          <w:b/>
          <w:bCs/>
          <w:color w:val="000000" w:themeColor="text1"/>
        </w:rPr>
        <w:t>6</w:t>
      </w:r>
      <w:r w:rsidRPr="001C58C6">
        <w:rPr>
          <w:rFonts w:ascii="Calibri" w:hAnsi="Calibri" w:cs="Calibri"/>
          <w:b/>
          <w:bCs/>
          <w:color w:val="000000" w:themeColor="text1"/>
        </w:rPr>
        <w:t xml:space="preserve">.5 </w:t>
      </w:r>
      <w:r w:rsidR="00C87B0E" w:rsidRPr="001C58C6">
        <w:rPr>
          <w:rFonts w:ascii="Calibri" w:hAnsi="Calibri" w:cs="Calibri"/>
          <w:b/>
          <w:bCs/>
          <w:i/>
          <w:iCs/>
          <w:color w:val="000000" w:themeColor="text1"/>
        </w:rPr>
        <w:t xml:space="preserve">Razvoj decentralizovane proizvodnje energije od strane proizvođača - kupaca (prozjumer) i </w:t>
      </w:r>
      <w:r w:rsidR="003108CF" w:rsidRPr="001C58C6">
        <w:rPr>
          <w:rFonts w:ascii="Calibri" w:hAnsi="Calibri" w:cs="Calibri"/>
          <w:b/>
          <w:bCs/>
          <w:i/>
          <w:iCs/>
          <w:color w:val="000000" w:themeColor="text1"/>
        </w:rPr>
        <w:t>d</w:t>
      </w:r>
      <w:r w:rsidR="00C87B0E" w:rsidRPr="001C58C6">
        <w:rPr>
          <w:rFonts w:ascii="Calibri" w:hAnsi="Calibri" w:cs="Calibri"/>
          <w:b/>
          <w:bCs/>
          <w:i/>
          <w:iCs/>
          <w:color w:val="000000" w:themeColor="text1"/>
        </w:rPr>
        <w:t>odatni razvoj decentralizovane proizvodnje energije od strane proizvođača - kupaca (prozjumer)</w:t>
      </w:r>
    </w:p>
    <w:p w14:paraId="42A20320" w14:textId="77777777" w:rsidR="00C87B0E" w:rsidRPr="001C58C6" w:rsidRDefault="00C87B0E" w:rsidP="00C87B0E">
      <w:pPr>
        <w:rPr>
          <w:rFonts w:ascii="Calibri" w:hAnsi="Calibri" w:cs="Calibri"/>
          <w:bCs/>
          <w:iCs/>
          <w:color w:val="000000" w:themeColor="text1"/>
        </w:rPr>
      </w:pPr>
      <w:r w:rsidRPr="001C58C6">
        <w:rPr>
          <w:rFonts w:ascii="Calibri" w:hAnsi="Calibri" w:cs="Calibri"/>
          <w:bCs/>
          <w:iCs/>
          <w:color w:val="000000" w:themeColor="text1"/>
        </w:rPr>
        <w:lastRenderedPageBreak/>
        <w:t>Razvoj decentralizovane proizvodnje je postao neizostavan dio energetske tranzicije koji je u Crnoj Gori naišao na široku primjenu. Zahvaljujući projektu Solari+ veliki broj domaćinstava i poslovnih objekata odlučuju se da ugrade fotonaponske sisteme na krovovima svojih objekata i na taj način ostvaruju lične benefite kao što su umanjenje računa za struju i energetska nezavisnost ali i benefiti koji se odnose na širu zajednicu među kojima je smanjenje emisije GHG i zaštita životne sredine.</w:t>
      </w:r>
    </w:p>
    <w:p w14:paraId="5C5EA888" w14:textId="77777777" w:rsidR="00752282" w:rsidRPr="001C58C6" w:rsidRDefault="00752282" w:rsidP="00C87B0E">
      <w:pPr>
        <w:rPr>
          <w:rFonts w:ascii="Calibri" w:hAnsi="Calibri" w:cs="Calibri"/>
          <w:color w:val="000000" w:themeColor="text1"/>
        </w:rPr>
      </w:pPr>
    </w:p>
    <w:p w14:paraId="3674554E"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EPCG je glavni pokretač razvoja koncepta kupac-proizvođač u Crnoj Gori. Ova kompanija nudi sve potrebne tehničke usluge i finansiranje (u vidu kredita koji se otplaćuje putem računa za struju na način da je dio računa investicija). Trenutno je ovaj koncept uglavnom usmjeren na stambeni sektor, ali se može efikasno primijeniti i na veće potrošače. Postoji veliko interesovanje potrošača (potencijalnih 26000 potrošača), a energetski se očekuje da će do 2030. godine ukupna snaga biti blizu 250 MW. Postoje planovi za još veću integraciju potrošača, ali i potreba za razvojem metodologije za proračun mogućnosti priključenja, kao i za uključivanjem baterijskih električnih sistema za skladištenje kao obaveznog dijela instalacije za korisnike. </w:t>
      </w:r>
    </w:p>
    <w:p w14:paraId="27F95A65" w14:textId="77777777" w:rsidR="00C87B0E" w:rsidRPr="001C58C6" w:rsidRDefault="00C87B0E" w:rsidP="00C87B0E">
      <w:pPr>
        <w:rPr>
          <w:rFonts w:ascii="Calibri" w:hAnsi="Calibri" w:cs="Calibri"/>
          <w:bCs/>
          <w:iCs/>
          <w:color w:val="000000" w:themeColor="text1"/>
        </w:rPr>
      </w:pPr>
      <w:r w:rsidRPr="001C58C6">
        <w:rPr>
          <w:rFonts w:ascii="Calibri" w:hAnsi="Calibri" w:cs="Calibri"/>
          <w:iCs/>
          <w:color w:val="000000" w:themeColor="text1"/>
          <w:u w:val="single"/>
        </w:rPr>
        <w:t>Odgovorna lica za implementaciju</w:t>
      </w:r>
      <w:r w:rsidRPr="001C58C6">
        <w:rPr>
          <w:rFonts w:ascii="Calibri" w:hAnsi="Calibri" w:cs="Calibri"/>
          <w:b/>
          <w:bCs/>
          <w:iCs/>
          <w:color w:val="000000" w:themeColor="text1"/>
        </w:rPr>
        <w:t xml:space="preserve">: </w:t>
      </w:r>
      <w:r w:rsidRPr="001C58C6">
        <w:rPr>
          <w:rFonts w:ascii="Calibri" w:hAnsi="Calibri" w:cs="Calibri"/>
          <w:bCs/>
          <w:iCs/>
          <w:color w:val="000000" w:themeColor="text1"/>
        </w:rPr>
        <w:t>EPCG.</w:t>
      </w:r>
    </w:p>
    <w:p w14:paraId="240D8BFE"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u w:val="single"/>
        </w:rPr>
        <w:t>Troškovi</w:t>
      </w:r>
      <w:r w:rsidRPr="001C58C6">
        <w:rPr>
          <w:rFonts w:ascii="Calibri" w:hAnsi="Calibri" w:cs="Calibri"/>
          <w:color w:val="000000" w:themeColor="text1"/>
        </w:rPr>
        <w:t>: Ukupan budžet za projekat je 220 miliona eura, raspoređen na 8 godina (2023-2030.).</w:t>
      </w:r>
    </w:p>
    <w:p w14:paraId="36C044B3" w14:textId="77777777" w:rsidR="00752282" w:rsidRPr="001C58C6" w:rsidRDefault="00752282" w:rsidP="00C87B0E">
      <w:pPr>
        <w:rPr>
          <w:rFonts w:ascii="Calibri" w:hAnsi="Calibri" w:cs="Calibri"/>
          <w:color w:val="000000" w:themeColor="text1"/>
        </w:rPr>
      </w:pPr>
    </w:p>
    <w:p w14:paraId="09184E10" w14:textId="77777777" w:rsidR="00C87B0E" w:rsidRPr="001C58C6" w:rsidRDefault="00247496" w:rsidP="00C87B0E">
      <w:pPr>
        <w:rPr>
          <w:rFonts w:ascii="Calibri" w:hAnsi="Calibri" w:cs="Calibri"/>
          <w:b/>
          <w:bCs/>
          <w:i/>
          <w:iCs/>
          <w:color w:val="000000" w:themeColor="text1"/>
        </w:rPr>
      </w:pPr>
      <w:r w:rsidRPr="001C58C6">
        <w:rPr>
          <w:rFonts w:ascii="Calibri" w:hAnsi="Calibri" w:cs="Calibri"/>
          <w:b/>
          <w:bCs/>
          <w:i/>
          <w:iCs/>
          <w:color w:val="000000" w:themeColor="text1"/>
        </w:rPr>
        <w:t>7.1.</w:t>
      </w:r>
      <w:r w:rsidR="00AB5C9D" w:rsidRPr="001C58C6">
        <w:rPr>
          <w:rFonts w:ascii="Calibri" w:hAnsi="Calibri" w:cs="Calibri"/>
          <w:b/>
          <w:bCs/>
          <w:i/>
          <w:iCs/>
          <w:color w:val="000000" w:themeColor="text1"/>
        </w:rPr>
        <w:t>6</w:t>
      </w:r>
      <w:r w:rsidRPr="001C58C6">
        <w:rPr>
          <w:rFonts w:ascii="Calibri" w:hAnsi="Calibri" w:cs="Calibri"/>
          <w:b/>
          <w:bCs/>
          <w:i/>
          <w:iCs/>
          <w:color w:val="000000" w:themeColor="text1"/>
        </w:rPr>
        <w:t xml:space="preserve">.6 </w:t>
      </w:r>
      <w:r w:rsidR="00C87B0E" w:rsidRPr="001C58C6">
        <w:rPr>
          <w:rFonts w:ascii="Calibri" w:hAnsi="Calibri" w:cs="Calibri"/>
          <w:b/>
          <w:bCs/>
          <w:i/>
          <w:iCs/>
          <w:color w:val="000000" w:themeColor="text1"/>
        </w:rPr>
        <w:t>Ostale mjere</w:t>
      </w:r>
    </w:p>
    <w:p w14:paraId="047776C9" w14:textId="77777777" w:rsidR="00752282" w:rsidRPr="001C58C6" w:rsidRDefault="00752282" w:rsidP="00C87B0E">
      <w:pPr>
        <w:rPr>
          <w:rFonts w:ascii="Calibri" w:hAnsi="Calibri" w:cs="Calibri"/>
          <w:b/>
          <w:bCs/>
          <w:i/>
          <w:iCs/>
          <w:color w:val="000000" w:themeColor="text1"/>
        </w:rPr>
      </w:pPr>
    </w:p>
    <w:p w14:paraId="7614AE9E"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Pored navedenih mjera koje imaju direktan uticaj na smanjenje zagađenja vazduha, neophodno je razmotriti politike i mjere koje na posredan način mogu uticati na njihovo sprovođenje ili pred</w:t>
      </w:r>
      <w:r w:rsidR="004A08E1" w:rsidRPr="001C58C6">
        <w:rPr>
          <w:rFonts w:ascii="Calibri" w:hAnsi="Calibri" w:cs="Calibri"/>
          <w:color w:val="000000" w:themeColor="text1"/>
        </w:rPr>
        <w:t>s</w:t>
      </w:r>
      <w:r w:rsidRPr="001C58C6">
        <w:rPr>
          <w:rFonts w:ascii="Calibri" w:hAnsi="Calibri" w:cs="Calibri"/>
          <w:color w:val="000000" w:themeColor="text1"/>
        </w:rPr>
        <w:t xml:space="preserve">tavljaju preduslove za kontekstualizaciju odabranih mjera. Ovo se prije svega odnosi na proces pravedne tranzicije pljevaljske regije uglja i strateško suzbijanje energetskog siromaštva koje je ključni uzrok zagađenja vazduha grijanjem domaćinstava u regionu. </w:t>
      </w:r>
    </w:p>
    <w:p w14:paraId="127BED0B" w14:textId="77777777" w:rsidR="00752282" w:rsidRPr="001C58C6" w:rsidRDefault="00752282" w:rsidP="00C87B0E">
      <w:pPr>
        <w:rPr>
          <w:rFonts w:ascii="Calibri" w:hAnsi="Calibri" w:cs="Calibri"/>
          <w:color w:val="000000" w:themeColor="text1"/>
        </w:rPr>
      </w:pPr>
    </w:p>
    <w:p w14:paraId="37418C66" w14:textId="77777777" w:rsidR="00C87B0E" w:rsidRPr="001C58C6" w:rsidRDefault="00247496" w:rsidP="00C87B0E">
      <w:pPr>
        <w:rPr>
          <w:rFonts w:ascii="Calibri" w:hAnsi="Calibri" w:cs="Calibri"/>
          <w:b/>
          <w:bCs/>
          <w:i/>
          <w:iCs/>
          <w:color w:val="000000" w:themeColor="text1"/>
        </w:rPr>
      </w:pPr>
      <w:r w:rsidRPr="001C58C6">
        <w:rPr>
          <w:rFonts w:ascii="Calibri" w:hAnsi="Calibri" w:cs="Calibri"/>
          <w:b/>
          <w:bCs/>
          <w:i/>
          <w:iCs/>
          <w:color w:val="000000" w:themeColor="text1"/>
        </w:rPr>
        <w:t>7.1.</w:t>
      </w:r>
      <w:r w:rsidR="00AB5C9D" w:rsidRPr="001C58C6">
        <w:rPr>
          <w:rFonts w:ascii="Calibri" w:hAnsi="Calibri" w:cs="Calibri"/>
          <w:b/>
          <w:bCs/>
          <w:i/>
          <w:iCs/>
          <w:color w:val="000000" w:themeColor="text1"/>
        </w:rPr>
        <w:t>6</w:t>
      </w:r>
      <w:r w:rsidRPr="001C58C6">
        <w:rPr>
          <w:rFonts w:ascii="Calibri" w:hAnsi="Calibri" w:cs="Calibri"/>
          <w:b/>
          <w:bCs/>
          <w:i/>
          <w:iCs/>
          <w:color w:val="000000" w:themeColor="text1"/>
        </w:rPr>
        <w:t xml:space="preserve">.7 </w:t>
      </w:r>
      <w:r w:rsidR="00C87B0E" w:rsidRPr="001C58C6">
        <w:rPr>
          <w:rFonts w:ascii="Calibri" w:hAnsi="Calibri" w:cs="Calibri"/>
          <w:b/>
          <w:bCs/>
          <w:i/>
          <w:iCs/>
          <w:color w:val="000000" w:themeColor="text1"/>
        </w:rPr>
        <w:t>Izrada plana pravedne tranzicije za region uglja Pljevlja</w:t>
      </w:r>
    </w:p>
    <w:p w14:paraId="68B3F0E1" w14:textId="77777777" w:rsidR="00752282" w:rsidRPr="001C58C6" w:rsidRDefault="00752282" w:rsidP="00C87B0E">
      <w:pPr>
        <w:rPr>
          <w:rFonts w:ascii="Calibri" w:hAnsi="Calibri" w:cs="Calibri"/>
          <w:b/>
          <w:bCs/>
          <w:i/>
          <w:iCs/>
          <w:color w:val="000000" w:themeColor="text1"/>
        </w:rPr>
      </w:pPr>
    </w:p>
    <w:p w14:paraId="5A2CE10C"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Kroz definisane stubove kao što su ekonomska diverzifikacija, socijalna inkluzija, ekološka sanacija, institucionalno upravljanje i finansijska mobilizacija, Plan se nadovezuje na postojeće strateške dokumente i direktno doprinosi ostvarivanju ciljeva iz NEKP-a. Plan pravedne tranzicije treba da sadrži strateški pristup zaštiti vazduha kroz rješavanje budućeg modela grijanja u Pljevljima i razvoj ekonomskih aktivnosti koje će pozitivno uticati na kvalitet vazduha. </w:t>
      </w:r>
    </w:p>
    <w:p w14:paraId="06C26620" w14:textId="77777777" w:rsidR="00752282" w:rsidRPr="001C58C6" w:rsidRDefault="00752282" w:rsidP="00C87B0E">
      <w:pPr>
        <w:rPr>
          <w:rFonts w:ascii="Calibri" w:hAnsi="Calibri" w:cs="Calibri"/>
          <w:color w:val="000000" w:themeColor="text1"/>
        </w:rPr>
      </w:pPr>
    </w:p>
    <w:p w14:paraId="6AD48827"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Formiran je Nacionalni Savjet za Pravednu Tranziciju (NSPT), kojim predsjedava Ministar Energetike i Rudarstva, a koji predstavlja centralno tijelo za usmjeravanje i koordinaciju procesa tranzicije u skladu sa nacionalnim razvojnim ciljevima, evropskim standardima i potrebama lokalnih zajednica – posebno Pljevalja, koje se nalazi u središtu ovog procesa.</w:t>
      </w:r>
    </w:p>
    <w:p w14:paraId="767838A6"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Očekivani datum završetka plana je 2027. godina.</w:t>
      </w:r>
    </w:p>
    <w:p w14:paraId="7D223B80"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u w:val="single"/>
        </w:rPr>
        <w:t>Odgovorno lice za implementaciju</w:t>
      </w:r>
      <w:r w:rsidRPr="001C58C6">
        <w:rPr>
          <w:rFonts w:ascii="Calibri" w:hAnsi="Calibri" w:cs="Calibri"/>
          <w:color w:val="000000" w:themeColor="text1"/>
        </w:rPr>
        <w:t>: Ministarstvo energetike i rudarstva, Opština Pljevlja, Privredni subjekti, NVO i sindikati u oblasti socijalne tranzicije.</w:t>
      </w:r>
    </w:p>
    <w:p w14:paraId="25519FCD" w14:textId="77777777" w:rsidR="00247496" w:rsidRPr="001C58C6" w:rsidRDefault="00247496">
      <w:pPr>
        <w:jc w:val="left"/>
        <w:rPr>
          <w:rFonts w:ascii="Calibri" w:hAnsi="Calibri" w:cs="Calibri"/>
          <w:color w:val="000000" w:themeColor="text1"/>
        </w:rPr>
      </w:pPr>
    </w:p>
    <w:p w14:paraId="476C5084" w14:textId="77777777" w:rsidR="00C87B0E" w:rsidRPr="001C58C6" w:rsidRDefault="00247496" w:rsidP="00C87B0E">
      <w:pPr>
        <w:rPr>
          <w:rFonts w:ascii="Calibri" w:hAnsi="Calibri" w:cs="Calibri"/>
          <w:b/>
          <w:bCs/>
          <w:i/>
          <w:iCs/>
          <w:color w:val="000000" w:themeColor="text1"/>
        </w:rPr>
      </w:pPr>
      <w:r w:rsidRPr="001C58C6">
        <w:rPr>
          <w:rFonts w:ascii="Calibri" w:hAnsi="Calibri" w:cs="Calibri"/>
          <w:b/>
          <w:bCs/>
          <w:i/>
          <w:iCs/>
          <w:color w:val="000000" w:themeColor="text1"/>
        </w:rPr>
        <w:lastRenderedPageBreak/>
        <w:t>7.1.</w:t>
      </w:r>
      <w:r w:rsidR="00AB5C9D" w:rsidRPr="001C58C6">
        <w:rPr>
          <w:rFonts w:ascii="Calibri" w:hAnsi="Calibri" w:cs="Calibri"/>
          <w:b/>
          <w:bCs/>
          <w:i/>
          <w:iCs/>
          <w:color w:val="000000" w:themeColor="text1"/>
        </w:rPr>
        <w:t>6</w:t>
      </w:r>
      <w:r w:rsidRPr="001C58C6">
        <w:rPr>
          <w:rFonts w:ascii="Calibri" w:hAnsi="Calibri" w:cs="Calibri"/>
          <w:b/>
          <w:bCs/>
          <w:i/>
          <w:iCs/>
          <w:color w:val="000000" w:themeColor="text1"/>
        </w:rPr>
        <w:t xml:space="preserve">.8 </w:t>
      </w:r>
      <w:r w:rsidR="00C87B0E" w:rsidRPr="001C58C6">
        <w:rPr>
          <w:rFonts w:ascii="Calibri" w:hAnsi="Calibri" w:cs="Calibri"/>
          <w:b/>
          <w:bCs/>
          <w:i/>
          <w:iCs/>
          <w:color w:val="000000" w:themeColor="text1"/>
        </w:rPr>
        <w:t>Metodologija za definisanje energetski siromašnih grupa i mjera smanjenja energetskog siromaštva</w:t>
      </w:r>
    </w:p>
    <w:p w14:paraId="2159B803" w14:textId="77777777" w:rsidR="00752282" w:rsidRPr="001C58C6" w:rsidRDefault="00752282" w:rsidP="00C87B0E">
      <w:pPr>
        <w:rPr>
          <w:rFonts w:ascii="Calibri" w:hAnsi="Calibri" w:cs="Calibri"/>
          <w:b/>
          <w:bCs/>
          <w:i/>
          <w:iCs/>
          <w:color w:val="000000" w:themeColor="text1"/>
        </w:rPr>
      </w:pPr>
    </w:p>
    <w:p w14:paraId="09F51FB0"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Zaštita ranjivih kupaca i smanjenje energetskog siromaštva su obaveze preuzete Trećim Energetskim i klimatskim paketom (Energy and Climate Package), koji je usvojio Evropski parlament, koji uključuje subvencionisanje troškova grijanja ranjivih kupaca i poboljšanje izolacije i energetske efikasnosti zgrada, kao i korišćenje efikasnih i zdravstveno bezbjednih lokalnih ložišta. Usvajanjem novog zakona o energetici izvršeno je transponovanje evropske direktive o zajedničkim pravilima o unutrašnjem tržištu električne energije (br. 2019/944) čime se po prvi put u nacionalno zaonodavstvo uvodi definicija energetskog siromaštva. Energetsko siromaštvo je stanje u kojem domaćinstvo nema pristup osnovnim energetskim uslugama, koje obezbjeđuju pristojne standarde života i zdravlja, uključujući adekvatno grijanje i hlađenje, toplu vodu, osvjetljenje i energiju za napajanje kućnih aparata. Sekretarijat Energetske zajednice pripremio je studiju o suzbijanju energetskog siromaštva u ugovornim stranama Energetske zajednice u kojoj su date smjernice o tome kako izmjeriti nivo energetskog siromaštva i osmisliti odgovarajuće politike za njegovo smanjenje. U skladu sa tim potrebno je preduzeti aktivnosti pomoću kojih će se izvršiti prikupljanje podataka relevantnih za praćenje energetskog siromaštva i suzbijanje ove pojave u Crnoj Gori. </w:t>
      </w:r>
    </w:p>
    <w:p w14:paraId="1BCD5930" w14:textId="77777777" w:rsidR="00752282" w:rsidRPr="001C58C6" w:rsidRDefault="00752282" w:rsidP="00C87B0E">
      <w:pPr>
        <w:rPr>
          <w:rFonts w:ascii="Calibri" w:hAnsi="Calibri" w:cs="Calibri"/>
          <w:color w:val="000000" w:themeColor="text1"/>
        </w:rPr>
      </w:pPr>
    </w:p>
    <w:p w14:paraId="2FE34D65"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Sprovođenjem politike za suzbijanje energetskog siromaštva postigli bi se višestruki benefiti, kako za pogođena domaćinstva tako i za cjelokupnu zajednicu:</w:t>
      </w:r>
    </w:p>
    <w:p w14:paraId="3E1CF60E" w14:textId="77777777" w:rsidR="00752282" w:rsidRPr="001C58C6" w:rsidRDefault="00752282" w:rsidP="00C87B0E">
      <w:pPr>
        <w:rPr>
          <w:rFonts w:ascii="Calibri" w:hAnsi="Calibri" w:cs="Calibri"/>
          <w:color w:val="000000" w:themeColor="text1"/>
        </w:rPr>
      </w:pPr>
    </w:p>
    <w:p w14:paraId="7818532B" w14:textId="77777777" w:rsidR="00C87B0E" w:rsidRPr="001C58C6" w:rsidRDefault="00C87B0E" w:rsidP="00E53052">
      <w:pPr>
        <w:numPr>
          <w:ilvl w:val="0"/>
          <w:numId w:val="42"/>
        </w:numPr>
        <w:rPr>
          <w:rFonts w:ascii="Calibri" w:hAnsi="Calibri" w:cs="Calibri"/>
          <w:color w:val="000000" w:themeColor="text1"/>
        </w:rPr>
      </w:pPr>
      <w:r w:rsidRPr="001C58C6">
        <w:rPr>
          <w:rFonts w:ascii="Calibri" w:hAnsi="Calibri" w:cs="Calibri"/>
          <w:color w:val="000000" w:themeColor="text1"/>
        </w:rPr>
        <w:t>poboljšanje kvaliteta života i zdravlja ljudi,</w:t>
      </w:r>
    </w:p>
    <w:p w14:paraId="583BA1E3" w14:textId="77777777" w:rsidR="00C87B0E" w:rsidRPr="001C58C6" w:rsidRDefault="00C87B0E" w:rsidP="00E53052">
      <w:pPr>
        <w:numPr>
          <w:ilvl w:val="0"/>
          <w:numId w:val="42"/>
        </w:numPr>
        <w:rPr>
          <w:rFonts w:ascii="Calibri" w:hAnsi="Calibri" w:cs="Calibri"/>
          <w:color w:val="000000" w:themeColor="text1"/>
        </w:rPr>
      </w:pPr>
      <w:r w:rsidRPr="001C58C6">
        <w:rPr>
          <w:rFonts w:ascii="Calibri" w:hAnsi="Calibri" w:cs="Calibri"/>
          <w:color w:val="000000" w:themeColor="text1"/>
        </w:rPr>
        <w:t>smanjena upotreba individualnih ložišta poput šporeta i peći na čvrsta goriva čime se direktno utiče na smanjenje zagađenosti vazduha, kako van tako i unutar prostorija,</w:t>
      </w:r>
    </w:p>
    <w:p w14:paraId="02BE78AE" w14:textId="77777777" w:rsidR="00C87B0E" w:rsidRPr="001C58C6" w:rsidRDefault="00C87B0E" w:rsidP="00E53052">
      <w:pPr>
        <w:numPr>
          <w:ilvl w:val="0"/>
          <w:numId w:val="42"/>
        </w:numPr>
        <w:rPr>
          <w:rFonts w:ascii="Calibri" w:hAnsi="Calibri" w:cs="Calibri"/>
          <w:color w:val="000000" w:themeColor="text1"/>
        </w:rPr>
      </w:pPr>
      <w:r w:rsidRPr="001C58C6">
        <w:rPr>
          <w:rFonts w:ascii="Calibri" w:hAnsi="Calibri" w:cs="Calibri"/>
          <w:color w:val="000000" w:themeColor="text1"/>
        </w:rPr>
        <w:t>smanjena upotreba uređaja koji su niskog kvaliteta i tehnološki zastarjeli,</w:t>
      </w:r>
    </w:p>
    <w:p w14:paraId="60285E4F" w14:textId="77777777" w:rsidR="00C87B0E" w:rsidRPr="001C58C6" w:rsidRDefault="00C87B0E" w:rsidP="00E53052">
      <w:pPr>
        <w:numPr>
          <w:ilvl w:val="0"/>
          <w:numId w:val="42"/>
        </w:numPr>
        <w:rPr>
          <w:rFonts w:ascii="Calibri" w:hAnsi="Calibri" w:cs="Calibri"/>
          <w:color w:val="000000" w:themeColor="text1"/>
        </w:rPr>
      </w:pPr>
      <w:r w:rsidRPr="001C58C6">
        <w:rPr>
          <w:rFonts w:ascii="Calibri" w:hAnsi="Calibri" w:cs="Calibri"/>
          <w:color w:val="000000" w:themeColor="text1"/>
        </w:rPr>
        <w:t>smanjeni izdaci za energiju u ukupnom prihodu domaćinstva.</w:t>
      </w:r>
    </w:p>
    <w:p w14:paraId="07B6F843" w14:textId="77777777" w:rsidR="00752282" w:rsidRPr="001C58C6" w:rsidRDefault="00752282" w:rsidP="00C87B0E">
      <w:pPr>
        <w:rPr>
          <w:rFonts w:ascii="Calibri" w:hAnsi="Calibri" w:cs="Calibri"/>
          <w:color w:val="000000" w:themeColor="text1"/>
        </w:rPr>
      </w:pPr>
    </w:p>
    <w:p w14:paraId="115EDA9D"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Iako su neke od predloženih mjera usklađene sa postojećim okvirom i dopunjuju mjere predložene u 4. Akcionom planu za energetsku efikasnost (APEE), njihova dostupnost energetski siromašnim domaćinstvima zahtijeva uzimanje u obzir kriterijuma ranjivosti i obezbjeđivanje veće stope sufinansiranja. Osim toga, za razliku od šire javnosti, dizajn šema za sprovođenje mjera usmjerenih na smanjenje energetskog siromaštva zahtijeva razvoj i osmišljavanje i uspostavljanje specifičnih sistema podrške. Ovi sistemi trebali bi biti detaljno razrađeni u okviru Programa za ublažavanje energetskog siromaštva. Glavni cilj ovakvih sistema podrške bio bi identifikacija osoba kojima je potrebna pomoć, kao i pružanje podrške u procesu prijavljivanja i korišćenja dostupnih mjera pomoći.</w:t>
      </w:r>
    </w:p>
    <w:p w14:paraId="7EF57C51"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u w:val="single"/>
        </w:rPr>
        <w:t>Odgovorna lica za implementaciju</w:t>
      </w:r>
      <w:r w:rsidRPr="001C58C6">
        <w:rPr>
          <w:rFonts w:ascii="Calibri" w:hAnsi="Calibri" w:cs="Calibri"/>
          <w:color w:val="000000" w:themeColor="text1"/>
        </w:rPr>
        <w:t>: Ministarstvo energetike i rudarstva, Ministarstvo socijalnog staranja, brige o porodici i demografije, Eko-fond, Monstat.</w:t>
      </w:r>
    </w:p>
    <w:p w14:paraId="2AAF33FA" w14:textId="77777777" w:rsidR="00ED5DB4" w:rsidRPr="001C58C6" w:rsidRDefault="00ED5DB4" w:rsidP="00C87B0E">
      <w:pPr>
        <w:rPr>
          <w:rFonts w:ascii="Calibri" w:hAnsi="Calibri" w:cs="Calibri"/>
          <w:color w:val="000000" w:themeColor="text1"/>
        </w:rPr>
      </w:pPr>
    </w:p>
    <w:p w14:paraId="1E69BDBD" w14:textId="77777777" w:rsidR="00C87B0E" w:rsidRPr="001C58C6" w:rsidRDefault="00247496" w:rsidP="00C87B0E">
      <w:pPr>
        <w:rPr>
          <w:rFonts w:ascii="Calibri" w:hAnsi="Calibri" w:cs="Calibri"/>
          <w:b/>
          <w:bCs/>
          <w:i/>
          <w:iCs/>
          <w:color w:val="000000" w:themeColor="text1"/>
        </w:rPr>
      </w:pPr>
      <w:r w:rsidRPr="001C58C6">
        <w:rPr>
          <w:rFonts w:ascii="Calibri" w:hAnsi="Calibri" w:cs="Calibri"/>
          <w:b/>
          <w:bCs/>
          <w:i/>
          <w:iCs/>
          <w:color w:val="000000" w:themeColor="text1"/>
        </w:rPr>
        <w:t>7.1</w:t>
      </w:r>
      <w:r w:rsidR="00AB5C9D" w:rsidRPr="001C58C6">
        <w:rPr>
          <w:rFonts w:ascii="Calibri" w:hAnsi="Calibri" w:cs="Calibri"/>
          <w:b/>
          <w:bCs/>
          <w:i/>
          <w:iCs/>
          <w:color w:val="000000" w:themeColor="text1"/>
        </w:rPr>
        <w:t>.6</w:t>
      </w:r>
      <w:r w:rsidRPr="001C58C6">
        <w:rPr>
          <w:rFonts w:ascii="Calibri" w:hAnsi="Calibri" w:cs="Calibri"/>
          <w:b/>
          <w:bCs/>
          <w:i/>
          <w:iCs/>
          <w:color w:val="000000" w:themeColor="text1"/>
        </w:rPr>
        <w:t xml:space="preserve">.9 </w:t>
      </w:r>
      <w:r w:rsidR="00C87B0E" w:rsidRPr="001C58C6">
        <w:rPr>
          <w:rFonts w:ascii="Calibri" w:hAnsi="Calibri" w:cs="Calibri"/>
          <w:b/>
          <w:bCs/>
          <w:i/>
          <w:iCs/>
          <w:color w:val="000000" w:themeColor="text1"/>
        </w:rPr>
        <w:t>Korišćenje derogativnih mehanizama i priprema mape puta za postizanje strožih standarda</w:t>
      </w:r>
    </w:p>
    <w:p w14:paraId="59A0ACD0" w14:textId="77777777" w:rsidR="00752282" w:rsidRPr="001C58C6" w:rsidRDefault="00752282" w:rsidP="00C87B0E">
      <w:pPr>
        <w:rPr>
          <w:rFonts w:ascii="Calibri" w:hAnsi="Calibri" w:cs="Calibri"/>
          <w:b/>
          <w:bCs/>
          <w:i/>
          <w:iCs/>
          <w:color w:val="000000" w:themeColor="text1"/>
        </w:rPr>
      </w:pPr>
    </w:p>
    <w:p w14:paraId="04128766" w14:textId="408A2804"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Na kraju, iako je cilj ovog plana kvaliteta vazduha dostizanje trenutno važećih graničnih vrjednosti za polutante čije su koncentracije prekoračene (PM10, PM2.5 BaP), neophodno je na vrijeme djelovati u smjeru smanjenja zagađenja vazduha u odnosu na nove, unapređene standarde u skladu sa Direktivom </w:t>
      </w:r>
      <w:r w:rsidR="00C7424E">
        <w:rPr>
          <w:rFonts w:ascii="Calibri" w:hAnsi="Calibri" w:cs="Calibri"/>
          <w:color w:val="000000" w:themeColor="text1"/>
        </w:rPr>
        <w:t>2024/2881</w:t>
      </w:r>
      <w:r w:rsidRPr="001C58C6">
        <w:rPr>
          <w:rFonts w:ascii="Calibri" w:hAnsi="Calibri" w:cs="Calibri"/>
          <w:color w:val="000000" w:themeColor="text1"/>
        </w:rPr>
        <w:t xml:space="preserve">, koja još nije prenesena u crnogorsko </w:t>
      </w:r>
      <w:r w:rsidRPr="001C58C6">
        <w:rPr>
          <w:rFonts w:ascii="Calibri" w:hAnsi="Calibri" w:cs="Calibri"/>
          <w:color w:val="000000" w:themeColor="text1"/>
        </w:rPr>
        <w:lastRenderedPageBreak/>
        <w:t xml:space="preserve">zakonodavstvo. Član 18 ove direktive omogućava državama članicama odgađanje krajnjeg roka primjene graničnih vrijednosti za suspendovane čestice (PM10 i PM2,5), azot-dioksid, benzen ili benzo(a)piren do 1.januara 2040. godine ako je to opravdano disperzionim karakteristikama određenog mjesta, graničnim orografskim uslovima, nepovoljnim klimatskim uslovima ili prekograničnim prenosom zagađenja ili ako se potrebna smanjenja mogu postići samo zamjenom značajnog dijela postojećih sistema grijanja domaćinstava koja su izvor zagađenja ili uzrokuju prekoračenja. U ovom kontekstu Crna Gora u procesu pristupanja može zatražiti primjenu ovog mehanizma, uz obaveznu pripremu mape puta za dostizanje graničnih vrijednosti tokom perioda odložene primjene. </w:t>
      </w:r>
    </w:p>
    <w:p w14:paraId="55E113BE" w14:textId="77777777" w:rsidR="00752282" w:rsidRPr="001C58C6" w:rsidRDefault="00752282" w:rsidP="00C87B0E">
      <w:pPr>
        <w:rPr>
          <w:rFonts w:ascii="Calibri" w:hAnsi="Calibri" w:cs="Calibri"/>
          <w:color w:val="000000" w:themeColor="text1"/>
        </w:rPr>
      </w:pPr>
    </w:p>
    <w:p w14:paraId="36BF4900" w14:textId="77777777" w:rsidR="00C87B0E" w:rsidRPr="001C58C6" w:rsidRDefault="00247496" w:rsidP="00C87B0E">
      <w:pPr>
        <w:rPr>
          <w:rFonts w:ascii="Calibri" w:hAnsi="Calibri" w:cs="Calibri"/>
          <w:b/>
          <w:bCs/>
          <w:i/>
          <w:iCs/>
          <w:color w:val="000000" w:themeColor="text1"/>
        </w:rPr>
      </w:pPr>
      <w:r w:rsidRPr="001C58C6">
        <w:rPr>
          <w:rFonts w:ascii="Calibri" w:hAnsi="Calibri" w:cs="Calibri"/>
          <w:b/>
          <w:bCs/>
          <w:i/>
          <w:iCs/>
          <w:color w:val="000000" w:themeColor="text1"/>
        </w:rPr>
        <w:t>7.1.</w:t>
      </w:r>
      <w:r w:rsidR="00AB5C9D" w:rsidRPr="001C58C6">
        <w:rPr>
          <w:rFonts w:ascii="Calibri" w:hAnsi="Calibri" w:cs="Calibri"/>
          <w:b/>
          <w:bCs/>
          <w:i/>
          <w:iCs/>
          <w:color w:val="000000" w:themeColor="text1"/>
        </w:rPr>
        <w:t>6</w:t>
      </w:r>
      <w:r w:rsidRPr="001C58C6">
        <w:rPr>
          <w:rFonts w:ascii="Calibri" w:hAnsi="Calibri" w:cs="Calibri"/>
          <w:b/>
          <w:bCs/>
          <w:i/>
          <w:iCs/>
          <w:color w:val="000000" w:themeColor="text1"/>
        </w:rPr>
        <w:t xml:space="preserve">.10 </w:t>
      </w:r>
      <w:r w:rsidR="00C87B0E" w:rsidRPr="001C58C6">
        <w:rPr>
          <w:rFonts w:ascii="Calibri" w:hAnsi="Calibri" w:cs="Calibri"/>
          <w:b/>
          <w:bCs/>
          <w:i/>
          <w:iCs/>
          <w:color w:val="000000" w:themeColor="text1"/>
        </w:rPr>
        <w:t>Lokalni planovi zaštite životne sredine</w:t>
      </w:r>
    </w:p>
    <w:p w14:paraId="63604AD5" w14:textId="77777777" w:rsidR="00752282" w:rsidRPr="001C58C6" w:rsidRDefault="00752282" w:rsidP="00C87B0E">
      <w:pPr>
        <w:rPr>
          <w:rFonts w:ascii="Calibri" w:hAnsi="Calibri" w:cs="Calibri"/>
          <w:b/>
          <w:bCs/>
          <w:i/>
          <w:iCs/>
          <w:color w:val="000000" w:themeColor="text1"/>
        </w:rPr>
      </w:pPr>
    </w:p>
    <w:p w14:paraId="0023B250" w14:textId="77777777" w:rsidR="00C87B0E" w:rsidRPr="001C58C6" w:rsidRDefault="00C87B0E" w:rsidP="00C87B0E">
      <w:pPr>
        <w:rPr>
          <w:rFonts w:ascii="Calibri" w:hAnsi="Calibri" w:cs="Calibri"/>
          <w:color w:val="000000" w:themeColor="text1"/>
        </w:rPr>
      </w:pPr>
      <w:r w:rsidRPr="001C58C6">
        <w:rPr>
          <w:rFonts w:ascii="Calibri" w:hAnsi="Calibri" w:cs="Calibri"/>
          <w:b/>
          <w:bCs/>
          <w:color w:val="000000" w:themeColor="text1"/>
        </w:rPr>
        <w:t xml:space="preserve">Obaveza izrade lokalnih planova </w:t>
      </w:r>
      <w:r w:rsidRPr="001C58C6">
        <w:rPr>
          <w:rFonts w:ascii="Calibri" w:hAnsi="Calibri" w:cs="Calibri"/>
          <w:color w:val="000000" w:themeColor="text1"/>
        </w:rPr>
        <w:t>zaštite životne sredine utvrđena je članom 37 Zakona o životnoj sredini kojim se jedinice lokalne samouprave obavezuju da u okviru plana razrade mjere zaštite životne sredine za područje lokalne samouprave u skladu sa lokalnim specifičnostima i obilježjima područja za koje se plan donosi. Planom se uspostavljaju ciljevi i zadaci od značaja za zaštitu životne sredine i održivi razvoj na lokalnom nivou.</w:t>
      </w:r>
    </w:p>
    <w:p w14:paraId="747C4DDF"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Opština Pljevlja je ažurirala plan kvaliteta vazduha u okviru Lokalnog plana zaštite životne sredine za period 2022-2026. godina i nakon isteka ovog perioda dužna je da upodobi lokalni plan sa Planom kvaliteta vazduha za Sjevernu zonu u segmentu koji se odnosi na kvalitet vazduha, razrađujući plan dodatnim mjerama od lokalnog značaja. Druge opštine u Sjevernoj zoni kvaliteta vazduha dužne su da donesu odgovarajuće lokalne planove zaštite životne sredine, (naročito opština Bijelo Polje) i usklade ga sa ovim planom. Smjernice za definisanje mjera zaštite vazduha na lokalnom nivou mogu se pronaći u Priručniku koje je Ministarstvo ekologije, održivog razvoja i razvoja sjevera izradilo u saradnji sa švedskom agencijom za zaštitu životne sredine, koji je neophodno prevesti na crnogorski. </w:t>
      </w:r>
      <w:r w:rsidR="00092BCC" w:rsidRPr="001C58C6">
        <w:rPr>
          <w:rFonts w:ascii="Calibri" w:hAnsi="Calibri" w:cs="Calibri"/>
          <w:color w:val="000000" w:themeColor="text1"/>
        </w:rPr>
        <w:t xml:space="preserve">Obavezni sadržaj planova kvaliteta vazduha i akcionih planova dat je u Prilogu 1. </w:t>
      </w:r>
    </w:p>
    <w:p w14:paraId="5FC467A9" w14:textId="77777777" w:rsidR="00752282" w:rsidRPr="001C58C6" w:rsidRDefault="00752282" w:rsidP="00C87B0E">
      <w:pPr>
        <w:rPr>
          <w:rFonts w:ascii="Calibri" w:hAnsi="Calibri" w:cs="Calibri"/>
          <w:color w:val="000000" w:themeColor="text1"/>
        </w:rPr>
      </w:pPr>
    </w:p>
    <w:p w14:paraId="0CC9AC2B" w14:textId="77777777" w:rsidR="00583A49" w:rsidRPr="001C58C6" w:rsidRDefault="00583A49" w:rsidP="00C87B0E">
      <w:pPr>
        <w:rPr>
          <w:rFonts w:ascii="Calibri" w:hAnsi="Calibri" w:cs="Calibri"/>
          <w:color w:val="000000" w:themeColor="text1"/>
        </w:rPr>
      </w:pPr>
      <w:r w:rsidRPr="001C58C6">
        <w:rPr>
          <w:rFonts w:ascii="Calibri" w:hAnsi="Calibri" w:cs="Calibri"/>
          <w:color w:val="000000" w:themeColor="text1"/>
        </w:rPr>
        <w:t xml:space="preserve">U ovaj plan nije uključena mjera </w:t>
      </w:r>
      <w:r w:rsidR="00755068" w:rsidRPr="001C58C6">
        <w:rPr>
          <w:rFonts w:ascii="Calibri" w:hAnsi="Calibri" w:cs="Calibri"/>
          <w:color w:val="000000" w:themeColor="text1"/>
        </w:rPr>
        <w:t xml:space="preserve">rekonstrukcije TE Pljevlja sa visokim potencijalom smanjenja </w:t>
      </w:r>
      <w:r w:rsidR="009E48D0" w:rsidRPr="001C58C6">
        <w:rPr>
          <w:rFonts w:ascii="Calibri" w:hAnsi="Calibri" w:cs="Calibri"/>
          <w:color w:val="000000" w:themeColor="text1"/>
        </w:rPr>
        <w:t xml:space="preserve">emisija sumpor-dioksida i azot-dioksida, budući da je mjera već realizovana i da je u toku probni rad TE sa </w:t>
      </w:r>
      <w:r w:rsidR="008F1D76" w:rsidRPr="001C58C6">
        <w:rPr>
          <w:rFonts w:ascii="Calibri" w:hAnsi="Calibri" w:cs="Calibri"/>
          <w:color w:val="000000" w:themeColor="text1"/>
        </w:rPr>
        <w:t>testiranjem rada postrojenja za denitrifikaciju</w:t>
      </w:r>
      <w:r w:rsidR="00DA1771" w:rsidRPr="001C58C6">
        <w:rPr>
          <w:rFonts w:ascii="Calibri" w:hAnsi="Calibri" w:cs="Calibri"/>
          <w:color w:val="000000" w:themeColor="text1"/>
        </w:rPr>
        <w:t xml:space="preserve">, dok se testiranje rada postrojenja za desulfurizaciju otpadnog gasa očekuje. </w:t>
      </w:r>
      <w:r w:rsidR="00750C4B" w:rsidRPr="001C58C6">
        <w:rPr>
          <w:rFonts w:ascii="Calibri" w:hAnsi="Calibri" w:cs="Calibri"/>
          <w:color w:val="000000" w:themeColor="text1"/>
        </w:rPr>
        <w:t xml:space="preserve">U slučaju da  tokom probnog rada </w:t>
      </w:r>
      <w:r w:rsidR="00755068" w:rsidRPr="001C58C6">
        <w:rPr>
          <w:rFonts w:ascii="Calibri" w:hAnsi="Calibri" w:cs="Calibri"/>
          <w:color w:val="000000" w:themeColor="text1"/>
        </w:rPr>
        <w:t xml:space="preserve">i </w:t>
      </w:r>
      <w:r w:rsidR="00750C4B" w:rsidRPr="001C58C6">
        <w:rPr>
          <w:rFonts w:ascii="Calibri" w:hAnsi="Calibri" w:cs="Calibri"/>
          <w:color w:val="000000" w:themeColor="text1"/>
        </w:rPr>
        <w:t>nakon isteka peri</w:t>
      </w:r>
      <w:r w:rsidR="00951890" w:rsidRPr="001C58C6">
        <w:rPr>
          <w:rFonts w:ascii="Calibri" w:hAnsi="Calibri" w:cs="Calibri"/>
          <w:color w:val="000000" w:themeColor="text1"/>
        </w:rPr>
        <w:t>o</w:t>
      </w:r>
      <w:r w:rsidR="00750C4B" w:rsidRPr="001C58C6">
        <w:rPr>
          <w:rFonts w:ascii="Calibri" w:hAnsi="Calibri" w:cs="Calibri"/>
          <w:color w:val="000000" w:themeColor="text1"/>
        </w:rPr>
        <w:t>da</w:t>
      </w:r>
      <w:r w:rsidR="00951890" w:rsidRPr="001C58C6">
        <w:rPr>
          <w:rFonts w:ascii="Calibri" w:hAnsi="Calibri" w:cs="Calibri"/>
          <w:color w:val="000000" w:themeColor="text1"/>
        </w:rPr>
        <w:t xml:space="preserve"> predviđenog za probni rad dođe do povećanih emisija ovih polutanata</w:t>
      </w:r>
      <w:r w:rsidR="00360DCA" w:rsidRPr="001C58C6">
        <w:rPr>
          <w:rFonts w:ascii="Calibri" w:hAnsi="Calibri" w:cs="Calibri"/>
          <w:color w:val="000000" w:themeColor="text1"/>
        </w:rPr>
        <w:t xml:space="preserve"> neophodno je dosljedno primijeniti pozitivne propise, odnosno zaustaviti rad postrojenja u skladu sa Zakonom o industrijskim emisijama. </w:t>
      </w:r>
    </w:p>
    <w:p w14:paraId="0B6F66E7" w14:textId="77777777" w:rsidR="001D5B6A" w:rsidRPr="001C58C6" w:rsidRDefault="001D5B6A" w:rsidP="00E82FA7">
      <w:pPr>
        <w:pStyle w:val="Heading2"/>
        <w:rPr>
          <w:rFonts w:ascii="Calibri" w:hAnsi="Calibri" w:cs="Calibri"/>
          <w:color w:val="000000" w:themeColor="text1"/>
        </w:rPr>
      </w:pPr>
      <w:r w:rsidRPr="001C58C6">
        <w:rPr>
          <w:rFonts w:ascii="Calibri" w:hAnsi="Calibri" w:cs="Calibri"/>
          <w:color w:val="000000" w:themeColor="text1"/>
        </w:rPr>
        <w:t xml:space="preserve"> </w:t>
      </w:r>
      <w:bookmarkStart w:id="172" w:name="_Toc220070449"/>
      <w:bookmarkStart w:id="173" w:name="_Toc233711768"/>
      <w:r w:rsidR="00E82FA7" w:rsidRPr="001C58C6">
        <w:rPr>
          <w:rFonts w:ascii="Calibri" w:hAnsi="Calibri" w:cs="Calibri"/>
          <w:color w:val="000000" w:themeColor="text1"/>
        </w:rPr>
        <w:t xml:space="preserve">7.2 </w:t>
      </w:r>
      <w:r w:rsidR="00C87B0E" w:rsidRPr="001C58C6">
        <w:rPr>
          <w:rFonts w:ascii="Calibri" w:hAnsi="Calibri" w:cs="Calibri"/>
          <w:color w:val="000000" w:themeColor="text1"/>
        </w:rPr>
        <w:t>PLAN KVALITETA VAZDUHA ZA CENTRALNU ZONU</w:t>
      </w:r>
      <w:bookmarkEnd w:id="172"/>
      <w:bookmarkEnd w:id="173"/>
    </w:p>
    <w:p w14:paraId="55C983D6" w14:textId="77777777" w:rsidR="00C87B0E" w:rsidRPr="001C58C6" w:rsidRDefault="001D5B6A" w:rsidP="001D5B6A">
      <w:pPr>
        <w:pStyle w:val="Heading3"/>
        <w:rPr>
          <w:rFonts w:ascii="Calibri" w:hAnsi="Calibri" w:cs="Calibri"/>
          <w:color w:val="000000" w:themeColor="text1"/>
        </w:rPr>
      </w:pPr>
      <w:bookmarkStart w:id="174" w:name="_Toc217388092"/>
      <w:bookmarkStart w:id="175" w:name="_Toc220070450"/>
      <w:bookmarkStart w:id="176" w:name="_Toc233711769"/>
      <w:r w:rsidRPr="001C58C6">
        <w:rPr>
          <w:rFonts w:ascii="Calibri" w:hAnsi="Calibri" w:cs="Calibri"/>
          <w:color w:val="000000" w:themeColor="text1"/>
        </w:rPr>
        <w:t xml:space="preserve">7.2.1 </w:t>
      </w:r>
      <w:r w:rsidR="00C87B0E" w:rsidRPr="001C58C6">
        <w:rPr>
          <w:rFonts w:ascii="Calibri" w:hAnsi="Calibri" w:cs="Calibri"/>
          <w:color w:val="000000" w:themeColor="text1"/>
        </w:rPr>
        <w:t>Lokacija prekoračenja zagađenja (region, opština, mjerno mjesto)</w:t>
      </w:r>
      <w:bookmarkEnd w:id="174"/>
      <w:bookmarkEnd w:id="175"/>
      <w:bookmarkEnd w:id="176"/>
    </w:p>
    <w:p w14:paraId="2ED379AB" w14:textId="77777777" w:rsidR="001D5B6A" w:rsidRPr="001C58C6" w:rsidRDefault="001D5B6A" w:rsidP="00C87B0E">
      <w:pPr>
        <w:rPr>
          <w:rFonts w:ascii="Calibri" w:hAnsi="Calibri" w:cs="Calibri"/>
          <w:color w:val="000000" w:themeColor="text1"/>
        </w:rPr>
      </w:pPr>
    </w:p>
    <w:p w14:paraId="01EF4F32"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Centralna zona kvaliteta vazduha obuhvata središnji region Crne Gore i uključuje sljedeće opštine: Podgorica, Nikšić, Danilovgrad i Cetinje, u skladu sa Uredbom o uspostavljanju mreže mjernih mjesta za praćenje kvaliteta vazduha kojom su utvrđene zone kvaliteta vazduha u Crnoj Gori. </w:t>
      </w:r>
    </w:p>
    <w:p w14:paraId="54BDDBDF"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U okviru Centralne zone kvaliteta vazduha kvalitet vazduha se kontinuirano prati na 4 mjerna mjesta: </w:t>
      </w:r>
    </w:p>
    <w:p w14:paraId="12A8E863" w14:textId="77777777" w:rsidR="00752282" w:rsidRPr="001C58C6" w:rsidRDefault="00752282" w:rsidP="00C87B0E">
      <w:pPr>
        <w:rPr>
          <w:rFonts w:ascii="Calibri" w:hAnsi="Calibri" w:cs="Calibri"/>
          <w:color w:val="000000" w:themeColor="text1"/>
        </w:rPr>
      </w:pPr>
    </w:p>
    <w:p w14:paraId="74E7D76F" w14:textId="77777777" w:rsidR="001D5B6A" w:rsidRPr="001C58C6" w:rsidRDefault="00752282" w:rsidP="00B33518">
      <w:pPr>
        <w:pStyle w:val="Caption"/>
        <w:jc w:val="center"/>
        <w:rPr>
          <w:rFonts w:ascii="Calibri" w:hAnsi="Calibri" w:cs="Calibri"/>
          <w:i/>
          <w:iCs/>
          <w:color w:val="000000" w:themeColor="text1"/>
          <w:sz w:val="20"/>
          <w:szCs w:val="20"/>
        </w:rPr>
      </w:pPr>
      <w:bookmarkStart w:id="177" w:name="_Toc217388767"/>
      <w:bookmarkStart w:id="178" w:name="_Toc217388812"/>
      <w:bookmarkStart w:id="179" w:name="_Toc233584686"/>
      <w:r w:rsidRPr="001C58C6">
        <w:rPr>
          <w:rFonts w:ascii="Calibri" w:hAnsi="Calibri" w:cs="Calibri"/>
          <w:i/>
          <w:iCs/>
          <w:color w:val="000000" w:themeColor="text1"/>
          <w:sz w:val="20"/>
          <w:szCs w:val="20"/>
        </w:rPr>
        <w:lastRenderedPageBreak/>
        <w:t xml:space="preserve">Tabela </w:t>
      </w:r>
      <w:r w:rsidRPr="001C58C6">
        <w:rPr>
          <w:rFonts w:ascii="Calibri" w:hAnsi="Calibri" w:cs="Calibri"/>
          <w:i/>
          <w:iCs/>
          <w:color w:val="000000" w:themeColor="text1"/>
          <w:sz w:val="20"/>
          <w:szCs w:val="20"/>
        </w:rPr>
        <w:fldChar w:fldCharType="begin"/>
      </w:r>
      <w:r w:rsidRPr="001C58C6">
        <w:rPr>
          <w:rFonts w:ascii="Calibri" w:hAnsi="Calibri" w:cs="Calibri"/>
          <w:i/>
          <w:iCs/>
          <w:color w:val="000000" w:themeColor="text1"/>
          <w:sz w:val="20"/>
          <w:szCs w:val="20"/>
        </w:rPr>
        <w:instrText xml:space="preserve"> SEQ Tabela \* ARABIC </w:instrText>
      </w:r>
      <w:r w:rsidRPr="001C58C6">
        <w:rPr>
          <w:rFonts w:ascii="Calibri" w:hAnsi="Calibri" w:cs="Calibri"/>
          <w:i/>
          <w:iCs/>
          <w:color w:val="000000" w:themeColor="text1"/>
          <w:sz w:val="20"/>
          <w:szCs w:val="20"/>
        </w:rPr>
        <w:fldChar w:fldCharType="separate"/>
      </w:r>
      <w:r w:rsidRPr="001C58C6">
        <w:rPr>
          <w:rFonts w:ascii="Calibri" w:hAnsi="Calibri" w:cs="Calibri"/>
          <w:i/>
          <w:iCs/>
          <w:color w:val="000000" w:themeColor="text1"/>
          <w:sz w:val="20"/>
          <w:szCs w:val="20"/>
        </w:rPr>
        <w:t>11</w:t>
      </w:r>
      <w:r w:rsidRPr="001C58C6">
        <w:rPr>
          <w:rFonts w:ascii="Calibri" w:hAnsi="Calibri" w:cs="Calibri"/>
          <w:i/>
          <w:iCs/>
          <w:color w:val="000000" w:themeColor="text1"/>
          <w:sz w:val="20"/>
          <w:szCs w:val="20"/>
        </w:rPr>
        <w:fldChar w:fldCharType="end"/>
      </w:r>
      <w:r w:rsidR="001D5B6A" w:rsidRPr="001C58C6">
        <w:rPr>
          <w:rFonts w:ascii="Calibri" w:hAnsi="Calibri" w:cs="Calibri"/>
          <w:i/>
          <w:iCs/>
          <w:color w:val="000000" w:themeColor="text1"/>
          <w:sz w:val="20"/>
          <w:szCs w:val="20"/>
        </w:rPr>
        <w:t>: Mjerna mjesta u Centralnoj zoni kvaliteta vazduha</w:t>
      </w:r>
      <w:bookmarkEnd w:id="177"/>
      <w:bookmarkEnd w:id="178"/>
      <w:bookmarkEnd w:id="179"/>
    </w:p>
    <w:tbl>
      <w:tblPr>
        <w:tblStyle w:val="GridTable1Light-Accent1"/>
        <w:tblW w:w="5000" w:type="pct"/>
        <w:tblLook w:val="04A0" w:firstRow="1" w:lastRow="0" w:firstColumn="1" w:lastColumn="0" w:noHBand="0" w:noVBand="1"/>
      </w:tblPr>
      <w:tblGrid>
        <w:gridCol w:w="820"/>
        <w:gridCol w:w="1286"/>
        <w:gridCol w:w="1504"/>
        <w:gridCol w:w="1672"/>
        <w:gridCol w:w="3734"/>
      </w:tblGrid>
      <w:tr w:rsidR="00C87B0E" w:rsidRPr="001C58C6" w14:paraId="5869A1B4" w14:textId="77777777" w:rsidTr="001D5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 w:type="pct"/>
            <w:shd w:val="clear" w:color="auto" w:fill="E8E8E8" w:themeFill="background2"/>
            <w:hideMark/>
          </w:tcPr>
          <w:p w14:paraId="7D40A360" w14:textId="77777777" w:rsidR="00C87B0E" w:rsidRPr="001C58C6" w:rsidRDefault="00C87B0E" w:rsidP="001D5B6A">
            <w:pPr>
              <w:rPr>
                <w:rFonts w:ascii="Calibri" w:hAnsi="Calibri" w:cs="Calibri"/>
                <w:color w:val="000000" w:themeColor="text1"/>
                <w:sz w:val="22"/>
              </w:rPr>
            </w:pPr>
            <w:r w:rsidRPr="001C58C6">
              <w:rPr>
                <w:rFonts w:ascii="Calibri" w:hAnsi="Calibri" w:cs="Calibri"/>
                <w:color w:val="000000" w:themeColor="text1"/>
                <w:sz w:val="22"/>
              </w:rPr>
              <w:t>Red.</w:t>
            </w:r>
          </w:p>
          <w:p w14:paraId="33C88300" w14:textId="77777777" w:rsidR="00C87B0E" w:rsidRPr="001C58C6" w:rsidRDefault="00C87B0E" w:rsidP="001D5B6A">
            <w:pPr>
              <w:rPr>
                <w:rFonts w:ascii="Calibri" w:hAnsi="Calibri" w:cs="Calibri"/>
                <w:color w:val="000000" w:themeColor="text1"/>
                <w:sz w:val="22"/>
              </w:rPr>
            </w:pPr>
            <w:r w:rsidRPr="001C58C6">
              <w:rPr>
                <w:rFonts w:ascii="Calibri" w:hAnsi="Calibri" w:cs="Calibri"/>
                <w:color w:val="000000" w:themeColor="text1"/>
                <w:sz w:val="22"/>
              </w:rPr>
              <w:t>broj</w:t>
            </w:r>
          </w:p>
        </w:tc>
        <w:tc>
          <w:tcPr>
            <w:tcW w:w="713" w:type="pct"/>
            <w:shd w:val="clear" w:color="auto" w:fill="E8E8E8" w:themeFill="background2"/>
            <w:hideMark/>
          </w:tcPr>
          <w:p w14:paraId="2E566AD9" w14:textId="77777777" w:rsidR="00C87B0E" w:rsidRPr="001C58C6" w:rsidRDefault="00C87B0E" w:rsidP="001D5B6A">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Mjerno mjesto</w:t>
            </w:r>
          </w:p>
        </w:tc>
        <w:tc>
          <w:tcPr>
            <w:tcW w:w="834" w:type="pct"/>
            <w:shd w:val="clear" w:color="auto" w:fill="E8E8E8" w:themeFill="background2"/>
            <w:hideMark/>
          </w:tcPr>
          <w:p w14:paraId="444DC420" w14:textId="77777777" w:rsidR="00C87B0E" w:rsidRPr="001C58C6" w:rsidRDefault="00C87B0E" w:rsidP="001D5B6A">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Zona</w:t>
            </w:r>
          </w:p>
        </w:tc>
        <w:tc>
          <w:tcPr>
            <w:tcW w:w="927" w:type="pct"/>
            <w:shd w:val="clear" w:color="auto" w:fill="E8E8E8" w:themeFill="background2"/>
            <w:hideMark/>
          </w:tcPr>
          <w:p w14:paraId="7669C96D" w14:textId="77777777" w:rsidR="00C87B0E" w:rsidRPr="001C58C6" w:rsidRDefault="00C87B0E" w:rsidP="001D5B6A">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Vrsta mjernog mjesta</w:t>
            </w:r>
          </w:p>
        </w:tc>
        <w:tc>
          <w:tcPr>
            <w:tcW w:w="2071" w:type="pct"/>
            <w:shd w:val="clear" w:color="auto" w:fill="E8E8E8" w:themeFill="background2"/>
            <w:hideMark/>
          </w:tcPr>
          <w:p w14:paraId="53615794" w14:textId="77777777" w:rsidR="00C87B0E" w:rsidRPr="001C58C6" w:rsidRDefault="00C87B0E" w:rsidP="001D5B6A">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Zagađujuće materije koje se mjere</w:t>
            </w:r>
          </w:p>
        </w:tc>
      </w:tr>
      <w:tr w:rsidR="00C87B0E" w:rsidRPr="001C58C6" w14:paraId="5BCFD787" w14:textId="77777777" w:rsidTr="001D5B6A">
        <w:tc>
          <w:tcPr>
            <w:cnfStyle w:val="001000000000" w:firstRow="0" w:lastRow="0" w:firstColumn="1" w:lastColumn="0" w:oddVBand="0" w:evenVBand="0" w:oddHBand="0" w:evenHBand="0" w:firstRowFirstColumn="0" w:firstRowLastColumn="0" w:lastRowFirstColumn="0" w:lastRowLastColumn="0"/>
            <w:tcW w:w="455" w:type="pct"/>
            <w:hideMark/>
          </w:tcPr>
          <w:p w14:paraId="676D6788" w14:textId="77777777" w:rsidR="00C87B0E" w:rsidRPr="001C58C6" w:rsidRDefault="00C87B0E" w:rsidP="001D5B6A">
            <w:pPr>
              <w:rPr>
                <w:rFonts w:ascii="Calibri" w:hAnsi="Calibri" w:cs="Calibri"/>
                <w:color w:val="000000" w:themeColor="text1"/>
                <w:sz w:val="22"/>
              </w:rPr>
            </w:pPr>
            <w:r w:rsidRPr="001C58C6">
              <w:rPr>
                <w:rFonts w:ascii="Calibri" w:hAnsi="Calibri" w:cs="Calibri"/>
                <w:color w:val="000000" w:themeColor="text1"/>
                <w:sz w:val="22"/>
              </w:rPr>
              <w:t>1.</w:t>
            </w:r>
          </w:p>
        </w:tc>
        <w:tc>
          <w:tcPr>
            <w:tcW w:w="713" w:type="pct"/>
            <w:hideMark/>
          </w:tcPr>
          <w:p w14:paraId="6B29B0E2" w14:textId="77777777" w:rsidR="00C87B0E" w:rsidRPr="001C58C6" w:rsidRDefault="00C87B0E" w:rsidP="001D5B6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Podgorica</w:t>
            </w:r>
          </w:p>
        </w:tc>
        <w:tc>
          <w:tcPr>
            <w:tcW w:w="834" w:type="pct"/>
            <w:hideMark/>
          </w:tcPr>
          <w:p w14:paraId="3973BE32" w14:textId="77777777" w:rsidR="00C87B0E" w:rsidRPr="001C58C6" w:rsidRDefault="00C87B0E" w:rsidP="001D5B6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Centralna</w:t>
            </w:r>
          </w:p>
        </w:tc>
        <w:tc>
          <w:tcPr>
            <w:tcW w:w="927" w:type="pct"/>
            <w:hideMark/>
          </w:tcPr>
          <w:p w14:paraId="285453D1" w14:textId="77777777" w:rsidR="00C87B0E" w:rsidRPr="001C58C6" w:rsidRDefault="00C87B0E" w:rsidP="001D5B6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UT</w:t>
            </w:r>
          </w:p>
        </w:tc>
        <w:tc>
          <w:tcPr>
            <w:tcW w:w="2071" w:type="pct"/>
            <w:hideMark/>
          </w:tcPr>
          <w:p w14:paraId="46202FA0" w14:textId="77777777" w:rsidR="00C87B0E" w:rsidRPr="001C58C6" w:rsidRDefault="00C87B0E" w:rsidP="001D5B6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NO, NO</w:t>
            </w:r>
            <w:r w:rsidRPr="001C58C6">
              <w:rPr>
                <w:rFonts w:ascii="Calibri" w:hAnsi="Calibri" w:cs="Calibri"/>
                <w:color w:val="000000" w:themeColor="text1"/>
                <w:sz w:val="22"/>
                <w:vertAlign w:val="subscript"/>
              </w:rPr>
              <w:t xml:space="preserve">2, </w:t>
            </w:r>
            <w:r w:rsidRPr="001C58C6">
              <w:rPr>
                <w:rFonts w:ascii="Calibri" w:hAnsi="Calibri" w:cs="Calibri"/>
                <w:color w:val="000000" w:themeColor="text1"/>
                <w:sz w:val="22"/>
              </w:rPr>
              <w:t>NOx, CO, C</w:t>
            </w:r>
            <w:r w:rsidRPr="001C58C6">
              <w:rPr>
                <w:rFonts w:ascii="Calibri" w:hAnsi="Calibri" w:cs="Calibri"/>
                <w:color w:val="000000" w:themeColor="text1"/>
                <w:sz w:val="22"/>
                <w:vertAlign w:val="subscript"/>
              </w:rPr>
              <w:t>6</w:t>
            </w:r>
            <w:r w:rsidRPr="001C58C6">
              <w:rPr>
                <w:rFonts w:ascii="Calibri" w:hAnsi="Calibri" w:cs="Calibri"/>
                <w:color w:val="000000" w:themeColor="text1"/>
                <w:sz w:val="22"/>
              </w:rPr>
              <w:t>H</w:t>
            </w:r>
            <w:r w:rsidRPr="001C58C6">
              <w:rPr>
                <w:rFonts w:ascii="Calibri" w:hAnsi="Calibri" w:cs="Calibri"/>
                <w:color w:val="000000" w:themeColor="text1"/>
                <w:sz w:val="22"/>
                <w:vertAlign w:val="subscript"/>
              </w:rPr>
              <w:t xml:space="preserve">6,, </w:t>
            </w:r>
            <w:r w:rsidRPr="001C58C6">
              <w:rPr>
                <w:rFonts w:ascii="Calibri" w:hAnsi="Calibri" w:cs="Calibri"/>
                <w:color w:val="000000" w:themeColor="text1"/>
                <w:sz w:val="22"/>
              </w:rPr>
              <w:t>PM</w:t>
            </w:r>
            <w:r w:rsidRPr="001C58C6">
              <w:rPr>
                <w:rFonts w:ascii="Calibri" w:hAnsi="Calibri" w:cs="Calibri"/>
                <w:color w:val="000000" w:themeColor="text1"/>
                <w:sz w:val="22"/>
                <w:vertAlign w:val="subscript"/>
              </w:rPr>
              <w:t xml:space="preserve">10, </w:t>
            </w:r>
            <w:r w:rsidRPr="001C58C6">
              <w:rPr>
                <w:rFonts w:ascii="Calibri" w:hAnsi="Calibri" w:cs="Calibri"/>
                <w:color w:val="000000" w:themeColor="text1"/>
                <w:sz w:val="22"/>
              </w:rPr>
              <w:t>(Pb, As, Cd, Ni i BaP u PM</w:t>
            </w:r>
            <w:r w:rsidRPr="001C58C6">
              <w:rPr>
                <w:rFonts w:ascii="Calibri" w:hAnsi="Calibri" w:cs="Calibri"/>
                <w:color w:val="000000" w:themeColor="text1"/>
                <w:sz w:val="22"/>
                <w:vertAlign w:val="subscript"/>
              </w:rPr>
              <w:t>10</w:t>
            </w:r>
            <w:r w:rsidRPr="001C58C6">
              <w:rPr>
                <w:rFonts w:ascii="Calibri" w:hAnsi="Calibri" w:cs="Calibri"/>
                <w:color w:val="000000" w:themeColor="text1"/>
                <w:sz w:val="22"/>
              </w:rPr>
              <w:t>)</w:t>
            </w:r>
          </w:p>
        </w:tc>
      </w:tr>
      <w:tr w:rsidR="00C87B0E" w:rsidRPr="001C58C6" w14:paraId="5669A68C" w14:textId="77777777" w:rsidTr="001D5B6A">
        <w:tc>
          <w:tcPr>
            <w:cnfStyle w:val="001000000000" w:firstRow="0" w:lastRow="0" w:firstColumn="1" w:lastColumn="0" w:oddVBand="0" w:evenVBand="0" w:oddHBand="0" w:evenHBand="0" w:firstRowFirstColumn="0" w:firstRowLastColumn="0" w:lastRowFirstColumn="0" w:lastRowLastColumn="0"/>
            <w:tcW w:w="455" w:type="pct"/>
            <w:hideMark/>
          </w:tcPr>
          <w:p w14:paraId="4F8C3E0B" w14:textId="77777777" w:rsidR="00C87B0E" w:rsidRPr="001C58C6" w:rsidRDefault="00C87B0E" w:rsidP="001D5B6A">
            <w:pPr>
              <w:rPr>
                <w:rFonts w:ascii="Calibri" w:hAnsi="Calibri" w:cs="Calibri"/>
                <w:color w:val="000000" w:themeColor="text1"/>
                <w:sz w:val="22"/>
              </w:rPr>
            </w:pPr>
            <w:r w:rsidRPr="001C58C6">
              <w:rPr>
                <w:rFonts w:ascii="Calibri" w:hAnsi="Calibri" w:cs="Calibri"/>
                <w:color w:val="000000" w:themeColor="text1"/>
                <w:sz w:val="22"/>
              </w:rPr>
              <w:t>2.</w:t>
            </w:r>
          </w:p>
        </w:tc>
        <w:tc>
          <w:tcPr>
            <w:tcW w:w="713" w:type="pct"/>
            <w:hideMark/>
          </w:tcPr>
          <w:p w14:paraId="52350A54" w14:textId="77777777" w:rsidR="00C87B0E" w:rsidRPr="001C58C6" w:rsidRDefault="00C87B0E" w:rsidP="001D5B6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Podgorica</w:t>
            </w:r>
          </w:p>
        </w:tc>
        <w:tc>
          <w:tcPr>
            <w:tcW w:w="834" w:type="pct"/>
            <w:hideMark/>
          </w:tcPr>
          <w:p w14:paraId="57DA2CA7" w14:textId="77777777" w:rsidR="00C87B0E" w:rsidRPr="001C58C6" w:rsidRDefault="00C87B0E" w:rsidP="001D5B6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Centralna</w:t>
            </w:r>
          </w:p>
        </w:tc>
        <w:tc>
          <w:tcPr>
            <w:tcW w:w="927" w:type="pct"/>
            <w:hideMark/>
          </w:tcPr>
          <w:p w14:paraId="67EFF156" w14:textId="77777777" w:rsidR="00C87B0E" w:rsidRPr="001C58C6" w:rsidRDefault="00C87B0E" w:rsidP="001D5B6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UB</w:t>
            </w:r>
          </w:p>
        </w:tc>
        <w:tc>
          <w:tcPr>
            <w:tcW w:w="2071" w:type="pct"/>
            <w:hideMark/>
          </w:tcPr>
          <w:p w14:paraId="7B0A54F1" w14:textId="77777777" w:rsidR="00C87B0E" w:rsidRPr="001C58C6" w:rsidRDefault="00C87B0E" w:rsidP="001D5B6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SO</w:t>
            </w:r>
            <w:r w:rsidRPr="001C58C6">
              <w:rPr>
                <w:rFonts w:ascii="Calibri" w:hAnsi="Calibri" w:cs="Calibri"/>
                <w:color w:val="000000" w:themeColor="text1"/>
                <w:sz w:val="22"/>
                <w:vertAlign w:val="subscript"/>
              </w:rPr>
              <w:t>2</w:t>
            </w:r>
            <w:r w:rsidRPr="001C58C6">
              <w:rPr>
                <w:rFonts w:ascii="Calibri" w:hAnsi="Calibri" w:cs="Calibri"/>
                <w:color w:val="000000" w:themeColor="text1"/>
                <w:sz w:val="22"/>
              </w:rPr>
              <w:t>, PM</w:t>
            </w:r>
            <w:r w:rsidRPr="001C58C6">
              <w:rPr>
                <w:rFonts w:ascii="Calibri" w:hAnsi="Calibri" w:cs="Calibri"/>
                <w:color w:val="000000" w:themeColor="text1"/>
                <w:sz w:val="22"/>
                <w:vertAlign w:val="subscript"/>
              </w:rPr>
              <w:t>2.5</w:t>
            </w:r>
            <w:r w:rsidRPr="001C58C6">
              <w:rPr>
                <w:rFonts w:ascii="Calibri" w:hAnsi="Calibri" w:cs="Calibri"/>
                <w:color w:val="000000" w:themeColor="text1"/>
                <w:sz w:val="22"/>
              </w:rPr>
              <w:t>,</w:t>
            </w:r>
            <w:r w:rsidRPr="001C58C6">
              <w:rPr>
                <w:rFonts w:ascii="Calibri" w:hAnsi="Calibri" w:cs="Calibri"/>
                <w:color w:val="000000" w:themeColor="text1"/>
                <w:sz w:val="22"/>
                <w:vertAlign w:val="subscript"/>
              </w:rPr>
              <w:t xml:space="preserve">, </w:t>
            </w:r>
            <w:r w:rsidRPr="001C58C6">
              <w:rPr>
                <w:rFonts w:ascii="Calibri" w:hAnsi="Calibri" w:cs="Calibri"/>
                <w:color w:val="000000" w:themeColor="text1"/>
                <w:sz w:val="22"/>
              </w:rPr>
              <w:t>PM</w:t>
            </w:r>
            <w:r w:rsidRPr="001C58C6">
              <w:rPr>
                <w:rFonts w:ascii="Calibri" w:hAnsi="Calibri" w:cs="Calibri"/>
                <w:color w:val="000000" w:themeColor="text1"/>
                <w:sz w:val="22"/>
                <w:vertAlign w:val="subscript"/>
              </w:rPr>
              <w:t xml:space="preserve">10, </w:t>
            </w:r>
            <w:r w:rsidRPr="001C58C6">
              <w:rPr>
                <w:rFonts w:ascii="Calibri" w:hAnsi="Calibri" w:cs="Calibri"/>
                <w:color w:val="000000" w:themeColor="text1"/>
                <w:sz w:val="22"/>
              </w:rPr>
              <w:t>(Pb, As, Cd, Ni i BaP u PM</w:t>
            </w:r>
            <w:r w:rsidRPr="001C58C6">
              <w:rPr>
                <w:rFonts w:ascii="Calibri" w:hAnsi="Calibri" w:cs="Calibri"/>
                <w:color w:val="000000" w:themeColor="text1"/>
                <w:sz w:val="22"/>
                <w:vertAlign w:val="subscript"/>
              </w:rPr>
              <w:t>10</w:t>
            </w:r>
            <w:r w:rsidRPr="001C58C6">
              <w:rPr>
                <w:rFonts w:ascii="Calibri" w:hAnsi="Calibri" w:cs="Calibri"/>
                <w:color w:val="000000" w:themeColor="text1"/>
                <w:sz w:val="22"/>
              </w:rPr>
              <w:t>)</w:t>
            </w:r>
          </w:p>
        </w:tc>
      </w:tr>
      <w:tr w:rsidR="00C87B0E" w:rsidRPr="001C58C6" w14:paraId="526BF0E2" w14:textId="77777777" w:rsidTr="001D5B6A">
        <w:tc>
          <w:tcPr>
            <w:cnfStyle w:val="001000000000" w:firstRow="0" w:lastRow="0" w:firstColumn="1" w:lastColumn="0" w:oddVBand="0" w:evenVBand="0" w:oddHBand="0" w:evenHBand="0" w:firstRowFirstColumn="0" w:firstRowLastColumn="0" w:lastRowFirstColumn="0" w:lastRowLastColumn="0"/>
            <w:tcW w:w="455" w:type="pct"/>
            <w:hideMark/>
          </w:tcPr>
          <w:p w14:paraId="2E273296" w14:textId="77777777" w:rsidR="00C87B0E" w:rsidRPr="001C58C6" w:rsidRDefault="00C87B0E" w:rsidP="001D5B6A">
            <w:pPr>
              <w:rPr>
                <w:rFonts w:ascii="Calibri" w:hAnsi="Calibri" w:cs="Calibri"/>
                <w:color w:val="000000" w:themeColor="text1"/>
                <w:sz w:val="22"/>
              </w:rPr>
            </w:pPr>
            <w:r w:rsidRPr="001C58C6">
              <w:rPr>
                <w:rFonts w:ascii="Calibri" w:hAnsi="Calibri" w:cs="Calibri"/>
                <w:color w:val="000000" w:themeColor="text1"/>
                <w:sz w:val="22"/>
              </w:rPr>
              <w:t>3.</w:t>
            </w:r>
          </w:p>
        </w:tc>
        <w:tc>
          <w:tcPr>
            <w:tcW w:w="713" w:type="pct"/>
            <w:hideMark/>
          </w:tcPr>
          <w:p w14:paraId="30CC6349" w14:textId="77777777" w:rsidR="00C87B0E" w:rsidRPr="001C58C6" w:rsidRDefault="00C87B0E" w:rsidP="001D5B6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Gornje Mrke</w:t>
            </w:r>
          </w:p>
        </w:tc>
        <w:tc>
          <w:tcPr>
            <w:tcW w:w="834" w:type="pct"/>
            <w:hideMark/>
          </w:tcPr>
          <w:p w14:paraId="2C09A33D" w14:textId="77777777" w:rsidR="00C87B0E" w:rsidRPr="001C58C6" w:rsidRDefault="00C87B0E" w:rsidP="001D5B6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Centralna</w:t>
            </w:r>
          </w:p>
        </w:tc>
        <w:tc>
          <w:tcPr>
            <w:tcW w:w="927" w:type="pct"/>
            <w:hideMark/>
          </w:tcPr>
          <w:p w14:paraId="08C82C16" w14:textId="77777777" w:rsidR="00C87B0E" w:rsidRPr="001C58C6" w:rsidRDefault="00C87B0E" w:rsidP="001D5B6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RB</w:t>
            </w:r>
          </w:p>
        </w:tc>
        <w:tc>
          <w:tcPr>
            <w:tcW w:w="2071" w:type="pct"/>
            <w:hideMark/>
          </w:tcPr>
          <w:p w14:paraId="02500211" w14:textId="77777777" w:rsidR="00C87B0E" w:rsidRPr="001C58C6" w:rsidRDefault="00C87B0E" w:rsidP="001D5B6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NO, NO</w:t>
            </w:r>
            <w:r w:rsidRPr="001C58C6">
              <w:rPr>
                <w:rFonts w:ascii="Calibri" w:hAnsi="Calibri" w:cs="Calibri"/>
                <w:color w:val="000000" w:themeColor="text1"/>
                <w:sz w:val="22"/>
                <w:vertAlign w:val="subscript"/>
              </w:rPr>
              <w:t xml:space="preserve">2, </w:t>
            </w:r>
            <w:r w:rsidRPr="001C58C6">
              <w:rPr>
                <w:rFonts w:ascii="Calibri" w:hAnsi="Calibri" w:cs="Calibri"/>
                <w:color w:val="000000" w:themeColor="text1"/>
                <w:sz w:val="22"/>
              </w:rPr>
              <w:t>NOx, O</w:t>
            </w:r>
            <w:r w:rsidRPr="001C58C6">
              <w:rPr>
                <w:rFonts w:ascii="Calibri" w:hAnsi="Calibri" w:cs="Calibri"/>
                <w:color w:val="000000" w:themeColor="text1"/>
                <w:sz w:val="22"/>
                <w:vertAlign w:val="subscript"/>
              </w:rPr>
              <w:t xml:space="preserve">3, </w:t>
            </w:r>
            <w:r w:rsidRPr="001C58C6">
              <w:rPr>
                <w:rFonts w:ascii="Calibri" w:hAnsi="Calibri" w:cs="Calibri"/>
                <w:color w:val="000000" w:themeColor="text1"/>
                <w:sz w:val="22"/>
              </w:rPr>
              <w:t>CH</w:t>
            </w:r>
            <w:r w:rsidRPr="001C58C6">
              <w:rPr>
                <w:rFonts w:ascii="Calibri" w:hAnsi="Calibri" w:cs="Calibri"/>
                <w:color w:val="000000" w:themeColor="text1"/>
                <w:sz w:val="22"/>
                <w:vertAlign w:val="subscript"/>
              </w:rPr>
              <w:t>4</w:t>
            </w:r>
            <w:r w:rsidRPr="001C58C6">
              <w:rPr>
                <w:rFonts w:ascii="Calibri" w:hAnsi="Calibri" w:cs="Calibri"/>
                <w:color w:val="000000" w:themeColor="text1"/>
                <w:sz w:val="22"/>
              </w:rPr>
              <w:t xml:space="preserve"> i THC</w:t>
            </w:r>
          </w:p>
        </w:tc>
      </w:tr>
      <w:tr w:rsidR="00C87B0E" w:rsidRPr="001C58C6" w14:paraId="6D5F8DC3" w14:textId="77777777" w:rsidTr="001D5B6A">
        <w:tc>
          <w:tcPr>
            <w:cnfStyle w:val="001000000000" w:firstRow="0" w:lastRow="0" w:firstColumn="1" w:lastColumn="0" w:oddVBand="0" w:evenVBand="0" w:oddHBand="0" w:evenHBand="0" w:firstRowFirstColumn="0" w:firstRowLastColumn="0" w:lastRowFirstColumn="0" w:lastRowLastColumn="0"/>
            <w:tcW w:w="455" w:type="pct"/>
            <w:hideMark/>
          </w:tcPr>
          <w:p w14:paraId="1204FC7A" w14:textId="77777777" w:rsidR="00C87B0E" w:rsidRPr="001C58C6" w:rsidRDefault="00C87B0E" w:rsidP="001D5B6A">
            <w:pPr>
              <w:rPr>
                <w:rFonts w:ascii="Calibri" w:hAnsi="Calibri" w:cs="Calibri"/>
                <w:color w:val="000000" w:themeColor="text1"/>
                <w:sz w:val="22"/>
              </w:rPr>
            </w:pPr>
            <w:r w:rsidRPr="001C58C6">
              <w:rPr>
                <w:rFonts w:ascii="Calibri" w:hAnsi="Calibri" w:cs="Calibri"/>
                <w:color w:val="000000" w:themeColor="text1"/>
                <w:sz w:val="22"/>
              </w:rPr>
              <w:t xml:space="preserve">4. </w:t>
            </w:r>
          </w:p>
        </w:tc>
        <w:tc>
          <w:tcPr>
            <w:tcW w:w="713" w:type="pct"/>
            <w:hideMark/>
          </w:tcPr>
          <w:p w14:paraId="64568DCA" w14:textId="77777777" w:rsidR="00C87B0E" w:rsidRPr="001C58C6" w:rsidRDefault="00C87B0E" w:rsidP="001D5B6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Nikšić</w:t>
            </w:r>
          </w:p>
        </w:tc>
        <w:tc>
          <w:tcPr>
            <w:tcW w:w="834" w:type="pct"/>
            <w:hideMark/>
          </w:tcPr>
          <w:p w14:paraId="678A646F" w14:textId="77777777" w:rsidR="00C87B0E" w:rsidRPr="001C58C6" w:rsidRDefault="00C87B0E" w:rsidP="001D5B6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Centralna</w:t>
            </w:r>
          </w:p>
        </w:tc>
        <w:tc>
          <w:tcPr>
            <w:tcW w:w="927" w:type="pct"/>
            <w:hideMark/>
          </w:tcPr>
          <w:p w14:paraId="433BDF4D" w14:textId="77777777" w:rsidR="00C87B0E" w:rsidRPr="001C58C6" w:rsidRDefault="00C87B0E" w:rsidP="001D5B6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UB</w:t>
            </w:r>
          </w:p>
        </w:tc>
        <w:tc>
          <w:tcPr>
            <w:tcW w:w="2071" w:type="pct"/>
            <w:hideMark/>
          </w:tcPr>
          <w:p w14:paraId="6AF252CE" w14:textId="77777777" w:rsidR="00C87B0E" w:rsidRPr="001C58C6" w:rsidRDefault="00C87B0E" w:rsidP="001D5B6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NO, NO2, NOx, CO, O3, SO2, PM2.5, PM10 (Pb, As, Cd, Ni i BaP u PM10)</w:t>
            </w:r>
          </w:p>
        </w:tc>
      </w:tr>
    </w:tbl>
    <w:p w14:paraId="05CE6575" w14:textId="77777777" w:rsidR="001D5B6A" w:rsidRPr="001C58C6" w:rsidRDefault="001D5B6A" w:rsidP="00C87B0E">
      <w:pPr>
        <w:rPr>
          <w:rFonts w:ascii="Calibri" w:hAnsi="Calibri" w:cs="Calibri"/>
          <w:color w:val="000000" w:themeColor="text1"/>
        </w:rPr>
      </w:pPr>
    </w:p>
    <w:p w14:paraId="5A16F778"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U Centralnoj zoni kvaliteta vazduha prekoračena je ciljna vrijednost za benzo(a)piren sadržan u suspendovanim česticama. Prekoračenje je zabilježeno na sva tri mjerna mjesta na kojima se prati ovaj parametar, dva mjerna mjesta u Podgorici i mjerno mjesto u Nikšiću. </w:t>
      </w:r>
    </w:p>
    <w:p w14:paraId="3E2098C0" w14:textId="77777777" w:rsidR="00752282" w:rsidRPr="001C58C6" w:rsidRDefault="00752282" w:rsidP="00C87B0E">
      <w:pPr>
        <w:rPr>
          <w:rFonts w:ascii="Calibri" w:hAnsi="Calibri" w:cs="Calibri"/>
          <w:color w:val="000000" w:themeColor="text1"/>
        </w:rPr>
      </w:pPr>
    </w:p>
    <w:p w14:paraId="0390D5A5" w14:textId="0F2DF41A" w:rsidR="001D5B6A" w:rsidRPr="001C58C6" w:rsidRDefault="00752282" w:rsidP="00B33518">
      <w:pPr>
        <w:pStyle w:val="Caption"/>
        <w:jc w:val="center"/>
        <w:rPr>
          <w:rFonts w:ascii="Calibri" w:hAnsi="Calibri" w:cs="Calibri"/>
          <w:color w:val="000000" w:themeColor="text1"/>
        </w:rPr>
      </w:pPr>
      <w:bookmarkStart w:id="180" w:name="_Toc217388768"/>
      <w:bookmarkStart w:id="181" w:name="_Toc217388813"/>
      <w:bookmarkStart w:id="182" w:name="_Toc233584687"/>
      <w:r w:rsidRPr="001C58C6">
        <w:rPr>
          <w:rFonts w:ascii="Calibri" w:hAnsi="Calibri" w:cs="Calibri"/>
          <w:i/>
          <w:iCs/>
          <w:color w:val="000000" w:themeColor="text1"/>
          <w:sz w:val="20"/>
          <w:szCs w:val="20"/>
        </w:rPr>
        <w:t xml:space="preserve">Tabela </w:t>
      </w:r>
      <w:r w:rsidRPr="001C58C6">
        <w:rPr>
          <w:rFonts w:ascii="Calibri" w:hAnsi="Calibri" w:cs="Calibri"/>
          <w:i/>
          <w:iCs/>
          <w:color w:val="000000" w:themeColor="text1"/>
          <w:sz w:val="20"/>
          <w:szCs w:val="20"/>
        </w:rPr>
        <w:fldChar w:fldCharType="begin"/>
      </w:r>
      <w:r w:rsidRPr="001C58C6">
        <w:rPr>
          <w:rFonts w:ascii="Calibri" w:hAnsi="Calibri" w:cs="Calibri"/>
          <w:i/>
          <w:iCs/>
          <w:color w:val="000000" w:themeColor="text1"/>
          <w:sz w:val="20"/>
          <w:szCs w:val="20"/>
        </w:rPr>
        <w:instrText xml:space="preserve"> SEQ Tabela \* ARABIC </w:instrText>
      </w:r>
      <w:r w:rsidRPr="001C58C6">
        <w:rPr>
          <w:rFonts w:ascii="Calibri" w:hAnsi="Calibri" w:cs="Calibri"/>
          <w:i/>
          <w:iCs/>
          <w:color w:val="000000" w:themeColor="text1"/>
          <w:sz w:val="20"/>
          <w:szCs w:val="20"/>
        </w:rPr>
        <w:fldChar w:fldCharType="separate"/>
      </w:r>
      <w:r w:rsidRPr="001C58C6">
        <w:rPr>
          <w:rFonts w:ascii="Calibri" w:hAnsi="Calibri" w:cs="Calibri"/>
          <w:i/>
          <w:iCs/>
          <w:color w:val="000000" w:themeColor="text1"/>
          <w:sz w:val="20"/>
          <w:szCs w:val="20"/>
        </w:rPr>
        <w:t>12</w:t>
      </w:r>
      <w:r w:rsidRPr="001C58C6">
        <w:rPr>
          <w:rFonts w:ascii="Calibri" w:hAnsi="Calibri" w:cs="Calibri"/>
          <w:i/>
          <w:iCs/>
          <w:color w:val="000000" w:themeColor="text1"/>
          <w:sz w:val="20"/>
          <w:szCs w:val="20"/>
        </w:rPr>
        <w:fldChar w:fldCharType="end"/>
      </w:r>
      <w:r w:rsidR="001D5B6A" w:rsidRPr="001C58C6">
        <w:rPr>
          <w:rFonts w:ascii="Calibri" w:hAnsi="Calibri" w:cs="Calibri"/>
          <w:i/>
          <w:iCs/>
          <w:color w:val="000000" w:themeColor="text1"/>
          <w:sz w:val="20"/>
          <w:szCs w:val="20"/>
        </w:rPr>
        <w:t xml:space="preserve">: Koordinate mjernih mjesta u </w:t>
      </w:r>
      <w:r w:rsidR="003B196E">
        <w:rPr>
          <w:rFonts w:ascii="Calibri" w:hAnsi="Calibri" w:cs="Calibri"/>
          <w:i/>
          <w:iCs/>
          <w:color w:val="000000" w:themeColor="text1"/>
          <w:sz w:val="20"/>
          <w:szCs w:val="20"/>
        </w:rPr>
        <w:t>Centralnoj</w:t>
      </w:r>
      <w:r w:rsidR="003B196E" w:rsidRPr="001C58C6">
        <w:rPr>
          <w:rFonts w:ascii="Calibri" w:hAnsi="Calibri" w:cs="Calibri"/>
          <w:i/>
          <w:iCs/>
          <w:color w:val="000000" w:themeColor="text1"/>
          <w:sz w:val="20"/>
          <w:szCs w:val="20"/>
        </w:rPr>
        <w:t xml:space="preserve"> </w:t>
      </w:r>
      <w:r w:rsidR="001D5B6A" w:rsidRPr="001C58C6">
        <w:rPr>
          <w:rFonts w:ascii="Calibri" w:hAnsi="Calibri" w:cs="Calibri"/>
          <w:i/>
          <w:iCs/>
          <w:color w:val="000000" w:themeColor="text1"/>
          <w:sz w:val="20"/>
          <w:szCs w:val="20"/>
        </w:rPr>
        <w:t>zoni kvaliteta vazduha</w:t>
      </w:r>
      <w:bookmarkEnd w:id="180"/>
      <w:bookmarkEnd w:id="181"/>
      <w:bookmarkEnd w:id="182"/>
    </w:p>
    <w:tbl>
      <w:tblPr>
        <w:tblStyle w:val="GridTable1Light-Accent1"/>
        <w:tblW w:w="5000" w:type="pct"/>
        <w:tblLook w:val="04A0" w:firstRow="1" w:lastRow="0" w:firstColumn="1" w:lastColumn="0" w:noHBand="0" w:noVBand="1"/>
      </w:tblPr>
      <w:tblGrid>
        <w:gridCol w:w="704"/>
        <w:gridCol w:w="2791"/>
        <w:gridCol w:w="2173"/>
        <w:gridCol w:w="2005"/>
        <w:gridCol w:w="1343"/>
      </w:tblGrid>
      <w:tr w:rsidR="00C87B0E" w:rsidRPr="001C58C6" w14:paraId="346970FD" w14:textId="77777777" w:rsidTr="001D5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pct"/>
            <w:shd w:val="clear" w:color="auto" w:fill="E8E8E8" w:themeFill="background2"/>
          </w:tcPr>
          <w:p w14:paraId="6660D0E3" w14:textId="77777777" w:rsidR="001D5B6A" w:rsidRPr="001C58C6" w:rsidRDefault="001D5B6A" w:rsidP="001D5B6A">
            <w:pPr>
              <w:rPr>
                <w:rFonts w:ascii="Calibri" w:hAnsi="Calibri" w:cs="Calibri"/>
                <w:color w:val="000000" w:themeColor="text1"/>
                <w:sz w:val="22"/>
              </w:rPr>
            </w:pPr>
            <w:r w:rsidRPr="001C58C6">
              <w:rPr>
                <w:rFonts w:ascii="Calibri" w:hAnsi="Calibri" w:cs="Calibri"/>
                <w:color w:val="000000" w:themeColor="text1"/>
                <w:sz w:val="22"/>
              </w:rPr>
              <w:t>Red.</w:t>
            </w:r>
          </w:p>
          <w:p w14:paraId="2B3A8C47" w14:textId="77777777" w:rsidR="00C87B0E" w:rsidRPr="001C58C6" w:rsidRDefault="001D5B6A" w:rsidP="001D5B6A">
            <w:pPr>
              <w:rPr>
                <w:rFonts w:ascii="Calibri" w:hAnsi="Calibri" w:cs="Calibri"/>
                <w:color w:val="000000" w:themeColor="text1"/>
                <w:sz w:val="22"/>
              </w:rPr>
            </w:pPr>
            <w:r w:rsidRPr="001C58C6">
              <w:rPr>
                <w:rFonts w:ascii="Calibri" w:hAnsi="Calibri" w:cs="Calibri"/>
                <w:color w:val="000000" w:themeColor="text1"/>
                <w:sz w:val="22"/>
              </w:rPr>
              <w:t>broj</w:t>
            </w:r>
          </w:p>
        </w:tc>
        <w:tc>
          <w:tcPr>
            <w:tcW w:w="1548" w:type="pct"/>
            <w:shd w:val="clear" w:color="auto" w:fill="E8E8E8" w:themeFill="background2"/>
            <w:hideMark/>
          </w:tcPr>
          <w:p w14:paraId="00244448" w14:textId="77777777" w:rsidR="00C87B0E" w:rsidRPr="001C58C6" w:rsidRDefault="00C87B0E" w:rsidP="001D5B6A">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Geografske koordinate</w:t>
            </w:r>
          </w:p>
        </w:tc>
        <w:tc>
          <w:tcPr>
            <w:tcW w:w="1205" w:type="pct"/>
            <w:shd w:val="clear" w:color="auto" w:fill="E8E8E8" w:themeFill="background2"/>
            <w:hideMark/>
          </w:tcPr>
          <w:p w14:paraId="0A5C3263" w14:textId="77777777" w:rsidR="00C87B0E" w:rsidRPr="001C58C6" w:rsidRDefault="00C87B0E" w:rsidP="001D5B6A">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G.dužina (m)</w:t>
            </w:r>
          </w:p>
        </w:tc>
        <w:tc>
          <w:tcPr>
            <w:tcW w:w="1112" w:type="pct"/>
            <w:shd w:val="clear" w:color="auto" w:fill="E8E8E8" w:themeFill="background2"/>
            <w:hideMark/>
          </w:tcPr>
          <w:p w14:paraId="0E05A43C" w14:textId="77777777" w:rsidR="00C87B0E" w:rsidRPr="001C58C6" w:rsidRDefault="00C87B0E" w:rsidP="001D5B6A">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G.širina (m)</w:t>
            </w:r>
          </w:p>
        </w:tc>
        <w:tc>
          <w:tcPr>
            <w:tcW w:w="745" w:type="pct"/>
            <w:shd w:val="clear" w:color="auto" w:fill="E8E8E8" w:themeFill="background2"/>
            <w:hideMark/>
          </w:tcPr>
          <w:p w14:paraId="097A505B" w14:textId="77777777" w:rsidR="00C87B0E" w:rsidRPr="001C58C6" w:rsidRDefault="00C87B0E" w:rsidP="001D5B6A">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Nmv (m)</w:t>
            </w:r>
          </w:p>
        </w:tc>
      </w:tr>
      <w:tr w:rsidR="00C87B0E" w:rsidRPr="001C58C6" w14:paraId="320F3946" w14:textId="77777777" w:rsidTr="001D5B6A">
        <w:tc>
          <w:tcPr>
            <w:cnfStyle w:val="001000000000" w:firstRow="0" w:lastRow="0" w:firstColumn="1" w:lastColumn="0" w:oddVBand="0" w:evenVBand="0" w:oddHBand="0" w:evenHBand="0" w:firstRowFirstColumn="0" w:firstRowLastColumn="0" w:lastRowFirstColumn="0" w:lastRowLastColumn="0"/>
            <w:tcW w:w="390" w:type="pct"/>
            <w:hideMark/>
          </w:tcPr>
          <w:p w14:paraId="4C206566" w14:textId="77777777" w:rsidR="00C87B0E" w:rsidRPr="001C58C6" w:rsidRDefault="00C87B0E" w:rsidP="001D5B6A">
            <w:pPr>
              <w:rPr>
                <w:rFonts w:ascii="Calibri" w:hAnsi="Calibri" w:cs="Calibri"/>
                <w:color w:val="000000" w:themeColor="text1"/>
                <w:sz w:val="22"/>
              </w:rPr>
            </w:pPr>
            <w:r w:rsidRPr="001C58C6">
              <w:rPr>
                <w:rFonts w:ascii="Calibri" w:hAnsi="Calibri" w:cs="Calibri"/>
                <w:color w:val="000000" w:themeColor="text1"/>
                <w:sz w:val="22"/>
              </w:rPr>
              <w:t>1.</w:t>
            </w:r>
          </w:p>
        </w:tc>
        <w:tc>
          <w:tcPr>
            <w:tcW w:w="1548" w:type="pct"/>
            <w:hideMark/>
          </w:tcPr>
          <w:p w14:paraId="11DEE731" w14:textId="77777777" w:rsidR="00C87B0E" w:rsidRPr="001C58C6" w:rsidRDefault="00C87B0E" w:rsidP="001D5B6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Podgorica UT (kruzni tok)</w:t>
            </w:r>
          </w:p>
        </w:tc>
        <w:tc>
          <w:tcPr>
            <w:tcW w:w="1205" w:type="pct"/>
            <w:hideMark/>
          </w:tcPr>
          <w:p w14:paraId="2F57F89A" w14:textId="77777777" w:rsidR="00C87B0E" w:rsidRPr="001C58C6" w:rsidRDefault="00C87B0E" w:rsidP="001D5B6A">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22"/>
                <w:vertAlign w:val="superscript"/>
              </w:rPr>
            </w:pPr>
            <w:r w:rsidRPr="001C58C6">
              <w:rPr>
                <w:rFonts w:ascii="Calibri" w:hAnsi="Calibri" w:cs="Calibri"/>
                <w:bCs/>
                <w:color w:val="000000" w:themeColor="text1"/>
                <w:sz w:val="22"/>
              </w:rPr>
              <w:t>42</w:t>
            </w:r>
            <w:r w:rsidRPr="001C58C6">
              <w:rPr>
                <w:rFonts w:ascii="Calibri" w:hAnsi="Calibri" w:cs="Calibri"/>
                <w:bCs/>
                <w:color w:val="000000" w:themeColor="text1"/>
                <w:sz w:val="22"/>
                <w:vertAlign w:val="superscript"/>
              </w:rPr>
              <w:t>0</w:t>
            </w:r>
            <w:r w:rsidRPr="001C58C6">
              <w:rPr>
                <w:rFonts w:ascii="Calibri" w:hAnsi="Calibri" w:cs="Calibri"/>
                <w:bCs/>
                <w:color w:val="000000" w:themeColor="text1"/>
                <w:sz w:val="22"/>
              </w:rPr>
              <w:t xml:space="preserve"> 25’58.2024’’</w:t>
            </w:r>
          </w:p>
        </w:tc>
        <w:tc>
          <w:tcPr>
            <w:tcW w:w="1112" w:type="pct"/>
            <w:hideMark/>
          </w:tcPr>
          <w:p w14:paraId="5CE8EF74" w14:textId="77777777" w:rsidR="00C87B0E" w:rsidRPr="001C58C6" w:rsidRDefault="00C87B0E" w:rsidP="001D5B6A">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22"/>
                <w:vertAlign w:val="superscript"/>
              </w:rPr>
            </w:pPr>
            <w:r w:rsidRPr="001C58C6">
              <w:rPr>
                <w:rFonts w:ascii="Calibri" w:hAnsi="Calibri" w:cs="Calibri"/>
                <w:bCs/>
                <w:color w:val="000000" w:themeColor="text1"/>
                <w:sz w:val="22"/>
              </w:rPr>
              <w:t>19</w:t>
            </w:r>
            <w:r w:rsidRPr="001C58C6">
              <w:rPr>
                <w:rFonts w:ascii="Calibri" w:hAnsi="Calibri" w:cs="Calibri"/>
                <w:bCs/>
                <w:color w:val="000000" w:themeColor="text1"/>
                <w:sz w:val="22"/>
                <w:vertAlign w:val="superscript"/>
              </w:rPr>
              <w:t>0</w:t>
            </w:r>
            <w:r w:rsidRPr="001C58C6">
              <w:rPr>
                <w:rFonts w:ascii="Calibri" w:hAnsi="Calibri" w:cs="Calibri"/>
                <w:bCs/>
                <w:color w:val="000000" w:themeColor="text1"/>
                <w:sz w:val="22"/>
              </w:rPr>
              <w:t xml:space="preserve"> 15’17.9496’’</w:t>
            </w:r>
          </w:p>
        </w:tc>
        <w:tc>
          <w:tcPr>
            <w:tcW w:w="745" w:type="pct"/>
            <w:hideMark/>
          </w:tcPr>
          <w:p w14:paraId="6F37283A" w14:textId="77777777" w:rsidR="00C87B0E" w:rsidRPr="001C58C6" w:rsidRDefault="00C87B0E" w:rsidP="001D5B6A">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22"/>
              </w:rPr>
            </w:pPr>
            <w:r w:rsidRPr="001C58C6">
              <w:rPr>
                <w:rFonts w:ascii="Calibri" w:hAnsi="Calibri" w:cs="Calibri"/>
                <w:bCs/>
                <w:color w:val="000000" w:themeColor="text1"/>
                <w:sz w:val="22"/>
              </w:rPr>
              <w:t>49</w:t>
            </w:r>
          </w:p>
        </w:tc>
      </w:tr>
      <w:tr w:rsidR="00C87B0E" w:rsidRPr="001C58C6" w14:paraId="2DE32CE1" w14:textId="77777777" w:rsidTr="001D5B6A">
        <w:tc>
          <w:tcPr>
            <w:cnfStyle w:val="001000000000" w:firstRow="0" w:lastRow="0" w:firstColumn="1" w:lastColumn="0" w:oddVBand="0" w:evenVBand="0" w:oddHBand="0" w:evenHBand="0" w:firstRowFirstColumn="0" w:firstRowLastColumn="0" w:lastRowFirstColumn="0" w:lastRowLastColumn="0"/>
            <w:tcW w:w="390" w:type="pct"/>
          </w:tcPr>
          <w:p w14:paraId="0D15042E" w14:textId="77777777" w:rsidR="00C87B0E" w:rsidRPr="001C58C6" w:rsidRDefault="001D5B6A" w:rsidP="001D5B6A">
            <w:pPr>
              <w:rPr>
                <w:rFonts w:ascii="Calibri" w:hAnsi="Calibri" w:cs="Calibri"/>
                <w:color w:val="000000" w:themeColor="text1"/>
                <w:sz w:val="22"/>
              </w:rPr>
            </w:pPr>
            <w:r w:rsidRPr="001C58C6">
              <w:rPr>
                <w:rFonts w:ascii="Calibri" w:hAnsi="Calibri" w:cs="Calibri"/>
                <w:color w:val="000000" w:themeColor="text1"/>
                <w:sz w:val="22"/>
              </w:rPr>
              <w:t>2.</w:t>
            </w:r>
          </w:p>
        </w:tc>
        <w:tc>
          <w:tcPr>
            <w:tcW w:w="1548" w:type="pct"/>
            <w:hideMark/>
          </w:tcPr>
          <w:p w14:paraId="7A4E12B4" w14:textId="77777777" w:rsidR="00C87B0E" w:rsidRPr="001C58C6" w:rsidRDefault="00C87B0E" w:rsidP="001D5B6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Podgorica UB (Blok V)</w:t>
            </w:r>
          </w:p>
        </w:tc>
        <w:tc>
          <w:tcPr>
            <w:tcW w:w="1205" w:type="pct"/>
            <w:hideMark/>
          </w:tcPr>
          <w:p w14:paraId="203073DC" w14:textId="77777777" w:rsidR="00C87B0E" w:rsidRPr="001C58C6" w:rsidRDefault="00C87B0E" w:rsidP="001D5B6A">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22"/>
              </w:rPr>
            </w:pPr>
            <w:r w:rsidRPr="001C58C6">
              <w:rPr>
                <w:rFonts w:ascii="Calibri" w:hAnsi="Calibri" w:cs="Calibri"/>
                <w:bCs/>
                <w:color w:val="000000" w:themeColor="text1"/>
                <w:sz w:val="22"/>
              </w:rPr>
              <w:t>42</w:t>
            </w:r>
            <w:r w:rsidRPr="001C58C6">
              <w:rPr>
                <w:rFonts w:ascii="Calibri" w:hAnsi="Calibri" w:cs="Calibri"/>
                <w:bCs/>
                <w:color w:val="000000" w:themeColor="text1"/>
                <w:sz w:val="22"/>
                <w:vertAlign w:val="superscript"/>
              </w:rPr>
              <w:t>0</w:t>
            </w:r>
            <w:r w:rsidRPr="001C58C6">
              <w:rPr>
                <w:rFonts w:ascii="Calibri" w:hAnsi="Calibri" w:cs="Calibri"/>
                <w:bCs/>
                <w:color w:val="000000" w:themeColor="text1"/>
                <w:sz w:val="22"/>
              </w:rPr>
              <w:t xml:space="preserve"> 26’ 53.7288’’</w:t>
            </w:r>
          </w:p>
        </w:tc>
        <w:tc>
          <w:tcPr>
            <w:tcW w:w="1112" w:type="pct"/>
            <w:hideMark/>
          </w:tcPr>
          <w:p w14:paraId="7DD98B1F" w14:textId="77777777" w:rsidR="00C87B0E" w:rsidRPr="001C58C6" w:rsidRDefault="00C87B0E" w:rsidP="001D5B6A">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22"/>
              </w:rPr>
            </w:pPr>
            <w:r w:rsidRPr="001C58C6">
              <w:rPr>
                <w:rFonts w:ascii="Calibri" w:hAnsi="Calibri" w:cs="Calibri"/>
                <w:bCs/>
                <w:color w:val="000000" w:themeColor="text1"/>
                <w:sz w:val="22"/>
              </w:rPr>
              <w:t>19</w:t>
            </w:r>
            <w:r w:rsidRPr="001C58C6">
              <w:rPr>
                <w:rFonts w:ascii="Calibri" w:hAnsi="Calibri" w:cs="Calibri"/>
                <w:bCs/>
                <w:color w:val="000000" w:themeColor="text1"/>
                <w:sz w:val="22"/>
                <w:vertAlign w:val="superscript"/>
              </w:rPr>
              <w:t>0</w:t>
            </w:r>
            <w:r w:rsidRPr="001C58C6">
              <w:rPr>
                <w:rFonts w:ascii="Calibri" w:hAnsi="Calibri" w:cs="Calibri"/>
                <w:bCs/>
                <w:color w:val="000000" w:themeColor="text1"/>
                <w:sz w:val="22"/>
              </w:rPr>
              <w:t xml:space="preserve"> 14’26.9016’’</w:t>
            </w:r>
          </w:p>
        </w:tc>
        <w:tc>
          <w:tcPr>
            <w:tcW w:w="745" w:type="pct"/>
            <w:hideMark/>
          </w:tcPr>
          <w:p w14:paraId="1DBB1A0D" w14:textId="77777777" w:rsidR="00C87B0E" w:rsidRPr="001C58C6" w:rsidRDefault="00C87B0E" w:rsidP="001D5B6A">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22"/>
              </w:rPr>
            </w:pPr>
            <w:r w:rsidRPr="001C58C6">
              <w:rPr>
                <w:rFonts w:ascii="Calibri" w:hAnsi="Calibri" w:cs="Calibri"/>
                <w:bCs/>
                <w:color w:val="000000" w:themeColor="text1"/>
                <w:sz w:val="22"/>
              </w:rPr>
              <w:t>49</w:t>
            </w:r>
          </w:p>
        </w:tc>
      </w:tr>
      <w:tr w:rsidR="00C87B0E" w:rsidRPr="001C58C6" w14:paraId="051AB9F5" w14:textId="77777777" w:rsidTr="001D5B6A">
        <w:tc>
          <w:tcPr>
            <w:cnfStyle w:val="001000000000" w:firstRow="0" w:lastRow="0" w:firstColumn="1" w:lastColumn="0" w:oddVBand="0" w:evenVBand="0" w:oddHBand="0" w:evenHBand="0" w:firstRowFirstColumn="0" w:firstRowLastColumn="0" w:lastRowFirstColumn="0" w:lastRowLastColumn="0"/>
            <w:tcW w:w="390" w:type="pct"/>
            <w:hideMark/>
          </w:tcPr>
          <w:p w14:paraId="7F3D8A80" w14:textId="77777777" w:rsidR="00C87B0E" w:rsidRPr="001C58C6" w:rsidRDefault="001D5B6A" w:rsidP="001D5B6A">
            <w:pPr>
              <w:rPr>
                <w:rFonts w:ascii="Calibri" w:hAnsi="Calibri" w:cs="Calibri"/>
                <w:color w:val="000000" w:themeColor="text1"/>
                <w:sz w:val="22"/>
              </w:rPr>
            </w:pPr>
            <w:r w:rsidRPr="001C58C6">
              <w:rPr>
                <w:rFonts w:ascii="Calibri" w:hAnsi="Calibri" w:cs="Calibri"/>
                <w:color w:val="000000" w:themeColor="text1"/>
                <w:sz w:val="22"/>
              </w:rPr>
              <w:t>3.</w:t>
            </w:r>
          </w:p>
        </w:tc>
        <w:tc>
          <w:tcPr>
            <w:tcW w:w="1548" w:type="pct"/>
            <w:hideMark/>
          </w:tcPr>
          <w:p w14:paraId="76F75DBD" w14:textId="77777777" w:rsidR="00C87B0E" w:rsidRPr="001C58C6" w:rsidRDefault="00C87B0E" w:rsidP="001D5B6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Nikšić</w:t>
            </w:r>
          </w:p>
        </w:tc>
        <w:tc>
          <w:tcPr>
            <w:tcW w:w="1205" w:type="pct"/>
            <w:hideMark/>
          </w:tcPr>
          <w:p w14:paraId="0AD404A3" w14:textId="77777777" w:rsidR="00C87B0E" w:rsidRPr="001C58C6" w:rsidRDefault="00C87B0E" w:rsidP="001D5B6A">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22"/>
              </w:rPr>
            </w:pPr>
            <w:r w:rsidRPr="001C58C6">
              <w:rPr>
                <w:rFonts w:ascii="Calibri" w:hAnsi="Calibri" w:cs="Calibri"/>
                <w:bCs/>
                <w:color w:val="000000" w:themeColor="text1"/>
                <w:sz w:val="22"/>
              </w:rPr>
              <w:t>42</w:t>
            </w:r>
            <w:r w:rsidRPr="001C58C6">
              <w:rPr>
                <w:rFonts w:ascii="Calibri" w:hAnsi="Calibri" w:cs="Calibri"/>
                <w:bCs/>
                <w:color w:val="000000" w:themeColor="text1"/>
                <w:sz w:val="22"/>
                <w:vertAlign w:val="superscript"/>
              </w:rPr>
              <w:t>0</w:t>
            </w:r>
            <w:r w:rsidRPr="001C58C6">
              <w:rPr>
                <w:rFonts w:ascii="Calibri" w:hAnsi="Calibri" w:cs="Calibri"/>
                <w:bCs/>
                <w:color w:val="000000" w:themeColor="text1"/>
                <w:sz w:val="22"/>
              </w:rPr>
              <w:t xml:space="preserve"> 46’52.3812’’</w:t>
            </w:r>
          </w:p>
        </w:tc>
        <w:tc>
          <w:tcPr>
            <w:tcW w:w="1112" w:type="pct"/>
            <w:hideMark/>
          </w:tcPr>
          <w:p w14:paraId="02C2A721" w14:textId="77777777" w:rsidR="00C87B0E" w:rsidRPr="001C58C6" w:rsidRDefault="00C87B0E" w:rsidP="001D5B6A">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22"/>
              </w:rPr>
            </w:pPr>
            <w:r w:rsidRPr="001C58C6">
              <w:rPr>
                <w:rFonts w:ascii="Calibri" w:hAnsi="Calibri" w:cs="Calibri"/>
                <w:bCs/>
                <w:color w:val="000000" w:themeColor="text1"/>
                <w:sz w:val="22"/>
              </w:rPr>
              <w:t>18</w:t>
            </w:r>
            <w:r w:rsidRPr="001C58C6">
              <w:rPr>
                <w:rFonts w:ascii="Calibri" w:hAnsi="Calibri" w:cs="Calibri"/>
                <w:bCs/>
                <w:color w:val="000000" w:themeColor="text1"/>
                <w:sz w:val="22"/>
                <w:vertAlign w:val="superscript"/>
              </w:rPr>
              <w:t>0</w:t>
            </w:r>
            <w:r w:rsidRPr="001C58C6">
              <w:rPr>
                <w:rFonts w:ascii="Calibri" w:hAnsi="Calibri" w:cs="Calibri"/>
                <w:bCs/>
                <w:color w:val="000000" w:themeColor="text1"/>
                <w:sz w:val="22"/>
              </w:rPr>
              <w:t xml:space="preserve"> 56’34.602’’</w:t>
            </w:r>
          </w:p>
        </w:tc>
        <w:tc>
          <w:tcPr>
            <w:tcW w:w="745" w:type="pct"/>
            <w:hideMark/>
          </w:tcPr>
          <w:p w14:paraId="00923C2A" w14:textId="77777777" w:rsidR="00C87B0E" w:rsidRPr="001C58C6" w:rsidRDefault="00C87B0E" w:rsidP="001D5B6A">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22"/>
              </w:rPr>
            </w:pPr>
            <w:r w:rsidRPr="001C58C6">
              <w:rPr>
                <w:rFonts w:ascii="Calibri" w:hAnsi="Calibri" w:cs="Calibri"/>
                <w:bCs/>
                <w:color w:val="000000" w:themeColor="text1"/>
                <w:sz w:val="22"/>
              </w:rPr>
              <w:t>628</w:t>
            </w:r>
          </w:p>
        </w:tc>
      </w:tr>
    </w:tbl>
    <w:p w14:paraId="6D5C93EF" w14:textId="77777777" w:rsidR="001D5B6A" w:rsidRPr="001C58C6" w:rsidRDefault="001D5B6A" w:rsidP="00C87B0E">
      <w:pPr>
        <w:rPr>
          <w:rFonts w:ascii="Calibri" w:hAnsi="Calibri" w:cs="Calibri"/>
          <w:color w:val="000000" w:themeColor="text1"/>
        </w:rPr>
      </w:pPr>
    </w:p>
    <w:p w14:paraId="1A176B88" w14:textId="77777777" w:rsidR="00C87B0E" w:rsidRPr="001C58C6" w:rsidRDefault="00C87B0E" w:rsidP="00C62EC0">
      <w:pPr>
        <w:jc w:val="left"/>
        <w:rPr>
          <w:rFonts w:ascii="Calibri" w:hAnsi="Calibri" w:cs="Calibri"/>
          <w:color w:val="000000" w:themeColor="text1"/>
        </w:rPr>
      </w:pPr>
      <w:r w:rsidRPr="001C58C6">
        <w:rPr>
          <w:rFonts w:ascii="Calibri" w:hAnsi="Calibri" w:cs="Calibri"/>
          <w:color w:val="000000" w:themeColor="text1"/>
        </w:rPr>
        <w:t xml:space="preserve">Mape sa obilježenom lokacijom mjernih mjesta date su na ilustracijama </w:t>
      </w:r>
      <w:r w:rsidR="00FA25EF" w:rsidRPr="001C58C6">
        <w:rPr>
          <w:rFonts w:ascii="Calibri" w:hAnsi="Calibri" w:cs="Calibri"/>
          <w:color w:val="000000" w:themeColor="text1"/>
        </w:rPr>
        <w:t>6</w:t>
      </w:r>
      <w:r w:rsidRPr="001C58C6">
        <w:rPr>
          <w:rFonts w:ascii="Calibri" w:hAnsi="Calibri" w:cs="Calibri"/>
          <w:color w:val="000000" w:themeColor="text1"/>
        </w:rPr>
        <w:t xml:space="preserve">, </w:t>
      </w:r>
      <w:r w:rsidR="00FA25EF" w:rsidRPr="001C58C6">
        <w:rPr>
          <w:rFonts w:ascii="Calibri" w:hAnsi="Calibri" w:cs="Calibri"/>
          <w:color w:val="000000" w:themeColor="text1"/>
        </w:rPr>
        <w:t>7</w:t>
      </w:r>
      <w:r w:rsidRPr="001C58C6">
        <w:rPr>
          <w:rFonts w:ascii="Calibri" w:hAnsi="Calibri" w:cs="Calibri"/>
          <w:color w:val="000000" w:themeColor="text1"/>
        </w:rPr>
        <w:t xml:space="preserve">, i </w:t>
      </w:r>
      <w:r w:rsidR="00FA25EF" w:rsidRPr="001C58C6">
        <w:rPr>
          <w:rFonts w:ascii="Calibri" w:hAnsi="Calibri" w:cs="Calibri"/>
          <w:color w:val="000000" w:themeColor="text1"/>
        </w:rPr>
        <w:t>8</w:t>
      </w:r>
      <w:r w:rsidRPr="001C58C6">
        <w:rPr>
          <w:rFonts w:ascii="Calibri" w:hAnsi="Calibri" w:cs="Calibri"/>
          <w:color w:val="000000" w:themeColor="text1"/>
        </w:rPr>
        <w:t xml:space="preserve"> i dostupne su u interaktivnom obliku na portalu Agencije za zaštitu životne sredine</w:t>
      </w:r>
      <w:r w:rsidR="00FA25EF" w:rsidRPr="001C58C6">
        <w:rPr>
          <w:rFonts w:ascii="Calibri" w:hAnsi="Calibri" w:cs="Calibri"/>
          <w:color w:val="000000" w:themeColor="text1"/>
        </w:rPr>
        <w:t>.</w:t>
      </w:r>
      <w:r w:rsidRPr="001C58C6">
        <w:rPr>
          <w:rFonts w:ascii="Calibri" w:hAnsi="Calibri" w:cs="Calibri"/>
          <w:color w:val="000000" w:themeColor="text1"/>
        </w:rPr>
        <w:t xml:space="preserve"> </w:t>
      </w:r>
    </w:p>
    <w:p w14:paraId="0F850D23" w14:textId="77777777" w:rsidR="00752282" w:rsidRPr="001C58C6" w:rsidRDefault="00752282" w:rsidP="00C87B0E">
      <w:pPr>
        <w:rPr>
          <w:rFonts w:ascii="Calibri" w:hAnsi="Calibri" w:cs="Calibri"/>
          <w:color w:val="000000" w:themeColor="text1"/>
        </w:rPr>
      </w:pPr>
    </w:p>
    <w:p w14:paraId="7E55AB30" w14:textId="77777777" w:rsidR="00C87B0E" w:rsidRPr="001C58C6" w:rsidRDefault="00752282" w:rsidP="00B33518">
      <w:pPr>
        <w:pStyle w:val="Caption"/>
        <w:jc w:val="center"/>
        <w:rPr>
          <w:rFonts w:ascii="Calibri" w:hAnsi="Calibri" w:cs="Calibri"/>
          <w:i/>
          <w:iCs/>
          <w:color w:val="000000" w:themeColor="text1"/>
          <w:sz w:val="20"/>
          <w:szCs w:val="20"/>
        </w:rPr>
      </w:pPr>
      <w:bookmarkStart w:id="183" w:name="_Toc233584698"/>
      <w:r w:rsidRPr="001C58C6">
        <w:rPr>
          <w:rFonts w:ascii="Calibri" w:hAnsi="Calibri" w:cs="Calibri"/>
          <w:i/>
          <w:iCs/>
          <w:color w:val="000000" w:themeColor="text1"/>
          <w:sz w:val="20"/>
          <w:szCs w:val="20"/>
        </w:rPr>
        <w:t xml:space="preserve">Ilustracija </w:t>
      </w:r>
      <w:r w:rsidRPr="001C58C6">
        <w:rPr>
          <w:rFonts w:ascii="Calibri" w:hAnsi="Calibri" w:cs="Calibri"/>
          <w:i/>
          <w:iCs/>
          <w:color w:val="000000" w:themeColor="text1"/>
          <w:sz w:val="20"/>
          <w:szCs w:val="20"/>
        </w:rPr>
        <w:fldChar w:fldCharType="begin"/>
      </w:r>
      <w:r w:rsidRPr="001C58C6">
        <w:rPr>
          <w:rFonts w:ascii="Calibri" w:hAnsi="Calibri" w:cs="Calibri"/>
          <w:i/>
          <w:iCs/>
          <w:color w:val="000000" w:themeColor="text1"/>
          <w:sz w:val="20"/>
          <w:szCs w:val="20"/>
        </w:rPr>
        <w:instrText xml:space="preserve"> SEQ Ilustracija \* ARABIC </w:instrText>
      </w:r>
      <w:r w:rsidRPr="001C58C6">
        <w:rPr>
          <w:rFonts w:ascii="Calibri" w:hAnsi="Calibri" w:cs="Calibri"/>
          <w:i/>
          <w:iCs/>
          <w:color w:val="000000" w:themeColor="text1"/>
          <w:sz w:val="20"/>
          <w:szCs w:val="20"/>
        </w:rPr>
        <w:fldChar w:fldCharType="separate"/>
      </w:r>
      <w:r w:rsidRPr="001C58C6">
        <w:rPr>
          <w:rFonts w:ascii="Calibri" w:hAnsi="Calibri" w:cs="Calibri"/>
          <w:i/>
          <w:iCs/>
          <w:color w:val="000000" w:themeColor="text1"/>
          <w:sz w:val="20"/>
          <w:szCs w:val="20"/>
        </w:rPr>
        <w:t>6</w:t>
      </w:r>
      <w:r w:rsidRPr="001C58C6">
        <w:rPr>
          <w:rFonts w:ascii="Calibri" w:hAnsi="Calibri" w:cs="Calibri"/>
          <w:i/>
          <w:iCs/>
          <w:color w:val="000000" w:themeColor="text1"/>
          <w:sz w:val="20"/>
          <w:szCs w:val="20"/>
        </w:rPr>
        <w:fldChar w:fldCharType="end"/>
      </w:r>
      <w:r w:rsidR="00C87B0E" w:rsidRPr="001C58C6">
        <w:rPr>
          <w:rFonts w:ascii="Calibri" w:hAnsi="Calibri" w:cs="Calibri"/>
          <w:i/>
          <w:iCs/>
          <w:color w:val="000000" w:themeColor="text1"/>
          <w:sz w:val="20"/>
          <w:szCs w:val="20"/>
        </w:rPr>
        <w:t>– Mjerno mjesto Podgorica, kružni tok, raskrsnica bulevar Georgija Žukova i Zetskih vladara   (UT)</w:t>
      </w:r>
      <w:bookmarkEnd w:id="183"/>
    </w:p>
    <w:p w14:paraId="37954879" w14:textId="77777777" w:rsidR="00C87B0E" w:rsidRPr="001C58C6" w:rsidRDefault="00C87B0E" w:rsidP="00FA25EF">
      <w:pPr>
        <w:jc w:val="center"/>
        <w:rPr>
          <w:rFonts w:ascii="Calibri" w:hAnsi="Calibri" w:cs="Calibri"/>
          <w:b/>
          <w:bCs/>
          <w:i/>
          <w:iCs/>
          <w:color w:val="000000" w:themeColor="text1"/>
          <w:sz w:val="18"/>
          <w:szCs w:val="18"/>
        </w:rPr>
      </w:pPr>
      <w:r w:rsidRPr="001C58C6">
        <w:rPr>
          <w:rFonts w:ascii="Calibri" w:hAnsi="Calibri" w:cs="Calibri"/>
          <w:i/>
          <w:iCs/>
          <w:noProof/>
          <w:color w:val="000000" w:themeColor="text1"/>
          <w:sz w:val="18"/>
          <w:szCs w:val="18"/>
        </w:rPr>
        <w:drawing>
          <wp:inline distT="0" distB="0" distL="0" distR="0" wp14:anchorId="31E591DE" wp14:editId="25649846">
            <wp:extent cx="3724275" cy="3716826"/>
            <wp:effectExtent l="0" t="0" r="0" b="0"/>
            <wp:docPr id="809793709" name="Picture 14" descr="A map with a blue p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93709" name="Picture 14" descr="A map with a blue pin&#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24599" cy="3717149"/>
                    </a:xfrm>
                    <a:prstGeom prst="rect">
                      <a:avLst/>
                    </a:prstGeom>
                    <a:noFill/>
                    <a:ln>
                      <a:noFill/>
                    </a:ln>
                  </pic:spPr>
                </pic:pic>
              </a:graphicData>
            </a:graphic>
          </wp:inline>
        </w:drawing>
      </w:r>
    </w:p>
    <w:p w14:paraId="750A237E" w14:textId="77777777" w:rsidR="00FA25EF" w:rsidRPr="001C58C6" w:rsidRDefault="00FA25EF" w:rsidP="00FA25EF">
      <w:pPr>
        <w:jc w:val="center"/>
        <w:rPr>
          <w:rFonts w:ascii="Calibri" w:hAnsi="Calibri" w:cs="Calibri"/>
          <w:color w:val="000000" w:themeColor="text1"/>
        </w:rPr>
      </w:pPr>
      <w:r w:rsidRPr="001C58C6">
        <w:rPr>
          <w:rFonts w:ascii="Calibri" w:hAnsi="Calibri" w:cs="Calibri"/>
          <w:i/>
          <w:iCs/>
          <w:color w:val="000000" w:themeColor="text1"/>
          <w:sz w:val="18"/>
          <w:szCs w:val="18"/>
        </w:rPr>
        <w:t xml:space="preserve">Izvor: Agencije za zaštitu životne sredine, </w:t>
      </w:r>
      <w:hyperlink r:id="rId32" w:history="1">
        <w:r w:rsidRPr="001C58C6">
          <w:rPr>
            <w:rStyle w:val="Hyperlink"/>
            <w:rFonts w:ascii="Calibri" w:hAnsi="Calibri" w:cs="Calibri"/>
            <w:i/>
            <w:iCs/>
            <w:color w:val="000000" w:themeColor="text1"/>
            <w:sz w:val="18"/>
            <w:szCs w:val="18"/>
          </w:rPr>
          <w:t>https://www.epa.org.me/vazduh/stanica/1</w:t>
        </w:r>
      </w:hyperlink>
    </w:p>
    <w:p w14:paraId="21009B4D" w14:textId="77777777" w:rsidR="00752282" w:rsidRPr="001C58C6" w:rsidRDefault="00752282" w:rsidP="00FA25EF">
      <w:pPr>
        <w:jc w:val="center"/>
        <w:rPr>
          <w:rFonts w:ascii="Calibri" w:hAnsi="Calibri" w:cs="Calibri"/>
          <w:i/>
          <w:iCs/>
          <w:color w:val="000000" w:themeColor="text1"/>
          <w:sz w:val="18"/>
          <w:szCs w:val="18"/>
        </w:rPr>
      </w:pPr>
    </w:p>
    <w:p w14:paraId="6F3E699D" w14:textId="77777777" w:rsidR="006F52AD" w:rsidRDefault="006F52AD" w:rsidP="00752282">
      <w:pPr>
        <w:pStyle w:val="Caption"/>
        <w:jc w:val="center"/>
        <w:rPr>
          <w:rFonts w:ascii="Calibri" w:hAnsi="Calibri" w:cs="Calibri"/>
          <w:i/>
          <w:iCs/>
          <w:color w:val="000000" w:themeColor="text1"/>
          <w:sz w:val="20"/>
          <w:szCs w:val="20"/>
        </w:rPr>
      </w:pPr>
    </w:p>
    <w:p w14:paraId="6D373198" w14:textId="77777777" w:rsidR="006F52AD" w:rsidRDefault="006F52AD" w:rsidP="00752282">
      <w:pPr>
        <w:pStyle w:val="Caption"/>
        <w:jc w:val="center"/>
        <w:rPr>
          <w:rFonts w:ascii="Calibri" w:hAnsi="Calibri" w:cs="Calibri"/>
          <w:i/>
          <w:iCs/>
          <w:color w:val="000000" w:themeColor="text1"/>
          <w:sz w:val="20"/>
          <w:szCs w:val="20"/>
        </w:rPr>
      </w:pPr>
    </w:p>
    <w:p w14:paraId="2F529CA2" w14:textId="03E7C32C" w:rsidR="00C87B0E" w:rsidRPr="001C58C6" w:rsidRDefault="00752282" w:rsidP="00752282">
      <w:pPr>
        <w:pStyle w:val="Caption"/>
        <w:jc w:val="center"/>
        <w:rPr>
          <w:rFonts w:ascii="Calibri" w:hAnsi="Calibri" w:cs="Calibri"/>
          <w:i/>
          <w:iCs/>
          <w:color w:val="000000" w:themeColor="text1"/>
          <w:sz w:val="20"/>
          <w:szCs w:val="20"/>
        </w:rPr>
      </w:pPr>
      <w:bookmarkStart w:id="184" w:name="_Toc233584699"/>
      <w:r w:rsidRPr="001C58C6">
        <w:rPr>
          <w:rFonts w:ascii="Calibri" w:hAnsi="Calibri" w:cs="Calibri"/>
          <w:i/>
          <w:iCs/>
          <w:color w:val="000000" w:themeColor="text1"/>
          <w:sz w:val="20"/>
          <w:szCs w:val="20"/>
        </w:rPr>
        <w:lastRenderedPageBreak/>
        <w:t xml:space="preserve">Ilustracija </w:t>
      </w:r>
      <w:r w:rsidRPr="001C58C6">
        <w:rPr>
          <w:rFonts w:ascii="Calibri" w:hAnsi="Calibri" w:cs="Calibri"/>
          <w:i/>
          <w:iCs/>
          <w:color w:val="000000" w:themeColor="text1"/>
          <w:sz w:val="20"/>
          <w:szCs w:val="20"/>
        </w:rPr>
        <w:fldChar w:fldCharType="begin"/>
      </w:r>
      <w:r w:rsidRPr="001C58C6">
        <w:rPr>
          <w:rFonts w:ascii="Calibri" w:hAnsi="Calibri" w:cs="Calibri"/>
          <w:i/>
          <w:iCs/>
          <w:color w:val="000000" w:themeColor="text1"/>
          <w:sz w:val="20"/>
          <w:szCs w:val="20"/>
        </w:rPr>
        <w:instrText xml:space="preserve"> SEQ Ilustracija \* ARABIC </w:instrText>
      </w:r>
      <w:r w:rsidRPr="001C58C6">
        <w:rPr>
          <w:rFonts w:ascii="Calibri" w:hAnsi="Calibri" w:cs="Calibri"/>
          <w:i/>
          <w:iCs/>
          <w:color w:val="000000" w:themeColor="text1"/>
          <w:sz w:val="20"/>
          <w:szCs w:val="20"/>
        </w:rPr>
        <w:fldChar w:fldCharType="separate"/>
      </w:r>
      <w:r w:rsidRPr="001C58C6">
        <w:rPr>
          <w:rFonts w:ascii="Calibri" w:hAnsi="Calibri" w:cs="Calibri"/>
          <w:i/>
          <w:iCs/>
          <w:color w:val="000000" w:themeColor="text1"/>
          <w:sz w:val="20"/>
          <w:szCs w:val="20"/>
        </w:rPr>
        <w:t>7</w:t>
      </w:r>
      <w:r w:rsidRPr="001C58C6">
        <w:rPr>
          <w:rFonts w:ascii="Calibri" w:hAnsi="Calibri" w:cs="Calibri"/>
          <w:i/>
          <w:iCs/>
          <w:color w:val="000000" w:themeColor="text1"/>
          <w:sz w:val="20"/>
          <w:szCs w:val="20"/>
        </w:rPr>
        <w:fldChar w:fldCharType="end"/>
      </w:r>
      <w:r w:rsidR="00FA25EF" w:rsidRPr="001C58C6">
        <w:rPr>
          <w:rFonts w:ascii="Calibri" w:hAnsi="Calibri" w:cs="Calibri"/>
          <w:i/>
          <w:iCs/>
          <w:color w:val="000000" w:themeColor="text1"/>
          <w:sz w:val="20"/>
          <w:szCs w:val="20"/>
        </w:rPr>
        <w:t>:</w:t>
      </w:r>
      <w:r w:rsidR="00C87B0E" w:rsidRPr="001C58C6">
        <w:rPr>
          <w:rFonts w:ascii="Calibri" w:hAnsi="Calibri" w:cs="Calibri"/>
          <w:i/>
          <w:iCs/>
          <w:color w:val="000000" w:themeColor="text1"/>
          <w:sz w:val="20"/>
          <w:szCs w:val="20"/>
        </w:rPr>
        <w:t xml:space="preserve">  Mjerno mjesto Podgorica, Blok V (UB)</w:t>
      </w:r>
      <w:bookmarkEnd w:id="184"/>
    </w:p>
    <w:p w14:paraId="0F4FCD85" w14:textId="77777777" w:rsidR="00C87B0E" w:rsidRPr="001C58C6" w:rsidRDefault="00C87B0E" w:rsidP="00FA25EF">
      <w:pPr>
        <w:jc w:val="center"/>
        <w:rPr>
          <w:rFonts w:ascii="Calibri" w:hAnsi="Calibri" w:cs="Calibri"/>
          <w:b/>
          <w:bCs/>
          <w:color w:val="000000" w:themeColor="text1"/>
        </w:rPr>
      </w:pPr>
      <w:r w:rsidRPr="001C58C6">
        <w:rPr>
          <w:rFonts w:ascii="Calibri" w:hAnsi="Calibri" w:cs="Calibri"/>
          <w:noProof/>
          <w:color w:val="000000" w:themeColor="text1"/>
        </w:rPr>
        <w:drawing>
          <wp:inline distT="0" distB="0" distL="0" distR="0" wp14:anchorId="4F19CC63" wp14:editId="1A2C8272">
            <wp:extent cx="3695584" cy="3600450"/>
            <wp:effectExtent l="0" t="0" r="635" b="0"/>
            <wp:docPr id="2142112294" name="Picture 13" descr="A map with blue point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12294" name="Picture 13" descr="A map with blue points on it&#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96682" cy="3601520"/>
                    </a:xfrm>
                    <a:prstGeom prst="rect">
                      <a:avLst/>
                    </a:prstGeom>
                    <a:noFill/>
                    <a:ln>
                      <a:noFill/>
                    </a:ln>
                  </pic:spPr>
                </pic:pic>
              </a:graphicData>
            </a:graphic>
          </wp:inline>
        </w:drawing>
      </w:r>
    </w:p>
    <w:p w14:paraId="038C128E" w14:textId="77777777" w:rsidR="00FA25EF" w:rsidRPr="001C58C6" w:rsidRDefault="00FA25EF" w:rsidP="00FA25EF">
      <w:pPr>
        <w:jc w:val="center"/>
        <w:rPr>
          <w:rFonts w:ascii="Calibri" w:hAnsi="Calibri" w:cs="Calibri"/>
          <w:b/>
          <w:bCs/>
          <w:color w:val="000000" w:themeColor="text1"/>
        </w:rPr>
      </w:pPr>
      <w:r w:rsidRPr="001C58C6">
        <w:rPr>
          <w:rFonts w:ascii="Calibri" w:hAnsi="Calibri" w:cs="Calibri"/>
          <w:i/>
          <w:iCs/>
          <w:color w:val="000000" w:themeColor="text1"/>
          <w:sz w:val="18"/>
          <w:szCs w:val="18"/>
        </w:rPr>
        <w:t>Izvor: Agencije za zaštitu životne sredine, https://www.epa.org.me/vazduh/stanica/10</w:t>
      </w:r>
    </w:p>
    <w:p w14:paraId="2FB07DA5" w14:textId="77777777" w:rsidR="00C87B0E" w:rsidRPr="001C58C6" w:rsidRDefault="00752282" w:rsidP="00752282">
      <w:pPr>
        <w:pStyle w:val="Caption"/>
        <w:jc w:val="center"/>
        <w:rPr>
          <w:rFonts w:ascii="Calibri" w:hAnsi="Calibri" w:cs="Calibri"/>
          <w:i/>
          <w:iCs/>
          <w:color w:val="000000" w:themeColor="text1"/>
          <w:sz w:val="20"/>
          <w:szCs w:val="20"/>
        </w:rPr>
      </w:pPr>
      <w:bookmarkStart w:id="185" w:name="_Toc233584700"/>
      <w:r w:rsidRPr="001C58C6">
        <w:rPr>
          <w:rFonts w:ascii="Calibri" w:hAnsi="Calibri" w:cs="Calibri"/>
          <w:i/>
          <w:iCs/>
          <w:color w:val="000000" w:themeColor="text1"/>
          <w:sz w:val="20"/>
          <w:szCs w:val="20"/>
        </w:rPr>
        <w:t xml:space="preserve">Ilustracija </w:t>
      </w:r>
      <w:r w:rsidRPr="001C58C6">
        <w:rPr>
          <w:rFonts w:ascii="Calibri" w:hAnsi="Calibri" w:cs="Calibri"/>
          <w:i/>
          <w:iCs/>
          <w:color w:val="000000" w:themeColor="text1"/>
          <w:sz w:val="20"/>
          <w:szCs w:val="20"/>
        </w:rPr>
        <w:fldChar w:fldCharType="begin"/>
      </w:r>
      <w:r w:rsidRPr="001C58C6">
        <w:rPr>
          <w:rFonts w:ascii="Calibri" w:hAnsi="Calibri" w:cs="Calibri"/>
          <w:i/>
          <w:iCs/>
          <w:color w:val="000000" w:themeColor="text1"/>
          <w:sz w:val="20"/>
          <w:szCs w:val="20"/>
        </w:rPr>
        <w:instrText xml:space="preserve"> SEQ Ilustracija \* ARABIC </w:instrText>
      </w:r>
      <w:r w:rsidRPr="001C58C6">
        <w:rPr>
          <w:rFonts w:ascii="Calibri" w:hAnsi="Calibri" w:cs="Calibri"/>
          <w:i/>
          <w:iCs/>
          <w:color w:val="000000" w:themeColor="text1"/>
          <w:sz w:val="20"/>
          <w:szCs w:val="20"/>
        </w:rPr>
        <w:fldChar w:fldCharType="separate"/>
      </w:r>
      <w:r w:rsidRPr="001C58C6">
        <w:rPr>
          <w:rFonts w:ascii="Calibri" w:hAnsi="Calibri" w:cs="Calibri"/>
          <w:i/>
          <w:iCs/>
          <w:color w:val="000000" w:themeColor="text1"/>
          <w:sz w:val="20"/>
          <w:szCs w:val="20"/>
        </w:rPr>
        <w:t>8</w:t>
      </w:r>
      <w:r w:rsidRPr="001C58C6">
        <w:rPr>
          <w:rFonts w:ascii="Calibri" w:hAnsi="Calibri" w:cs="Calibri"/>
          <w:i/>
          <w:iCs/>
          <w:color w:val="000000" w:themeColor="text1"/>
          <w:sz w:val="20"/>
          <w:szCs w:val="20"/>
        </w:rPr>
        <w:fldChar w:fldCharType="end"/>
      </w:r>
      <w:r w:rsidR="00FA25EF" w:rsidRPr="001C58C6">
        <w:rPr>
          <w:rFonts w:ascii="Calibri" w:hAnsi="Calibri" w:cs="Calibri"/>
          <w:i/>
          <w:iCs/>
          <w:color w:val="000000" w:themeColor="text1"/>
          <w:sz w:val="20"/>
          <w:szCs w:val="20"/>
        </w:rPr>
        <w:t>:</w:t>
      </w:r>
      <w:r w:rsidR="00C87B0E" w:rsidRPr="001C58C6">
        <w:rPr>
          <w:rFonts w:ascii="Calibri" w:hAnsi="Calibri" w:cs="Calibri"/>
          <w:i/>
          <w:iCs/>
          <w:color w:val="000000" w:themeColor="text1"/>
          <w:sz w:val="20"/>
          <w:szCs w:val="20"/>
        </w:rPr>
        <w:t xml:space="preserve"> Mjerno mjesto Nikšić</w:t>
      </w:r>
      <w:bookmarkEnd w:id="185"/>
    </w:p>
    <w:p w14:paraId="20D0F54A" w14:textId="77777777" w:rsidR="00C87B0E" w:rsidRPr="001C58C6" w:rsidRDefault="00C87B0E" w:rsidP="00FA25EF">
      <w:pPr>
        <w:jc w:val="center"/>
        <w:rPr>
          <w:rFonts w:ascii="Calibri" w:hAnsi="Calibri" w:cs="Calibri"/>
          <w:b/>
          <w:bCs/>
          <w:color w:val="000000" w:themeColor="text1"/>
        </w:rPr>
      </w:pPr>
      <w:r w:rsidRPr="001C58C6">
        <w:rPr>
          <w:rFonts w:ascii="Calibri" w:hAnsi="Calibri" w:cs="Calibri"/>
          <w:noProof/>
          <w:color w:val="000000" w:themeColor="text1"/>
        </w:rPr>
        <w:drawing>
          <wp:inline distT="0" distB="0" distL="0" distR="0" wp14:anchorId="2BC2CA88" wp14:editId="7329277F">
            <wp:extent cx="3840480" cy="3573780"/>
            <wp:effectExtent l="0" t="0" r="7620" b="7620"/>
            <wp:docPr id="363979022" name="Picture 12" descr="A map with a location p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79022" name="Picture 12" descr="A map with a location pin&#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40480" cy="3573780"/>
                    </a:xfrm>
                    <a:prstGeom prst="rect">
                      <a:avLst/>
                    </a:prstGeom>
                    <a:noFill/>
                    <a:ln>
                      <a:noFill/>
                    </a:ln>
                  </pic:spPr>
                </pic:pic>
              </a:graphicData>
            </a:graphic>
          </wp:inline>
        </w:drawing>
      </w:r>
    </w:p>
    <w:p w14:paraId="0B5EE344" w14:textId="77777777" w:rsidR="00FA25EF" w:rsidRPr="001C58C6" w:rsidRDefault="00FA25EF" w:rsidP="00FA25EF">
      <w:pPr>
        <w:jc w:val="center"/>
        <w:rPr>
          <w:rFonts w:ascii="Calibri" w:hAnsi="Calibri" w:cs="Calibri"/>
          <w:i/>
          <w:iCs/>
          <w:color w:val="000000" w:themeColor="text1"/>
          <w:sz w:val="18"/>
          <w:szCs w:val="18"/>
        </w:rPr>
      </w:pPr>
      <w:r w:rsidRPr="001C58C6">
        <w:rPr>
          <w:rFonts w:ascii="Calibri" w:hAnsi="Calibri" w:cs="Calibri"/>
          <w:i/>
          <w:iCs/>
          <w:color w:val="000000" w:themeColor="text1"/>
          <w:sz w:val="18"/>
          <w:szCs w:val="18"/>
        </w:rPr>
        <w:t xml:space="preserve">Izvor: Agencije za zaštitu životne sredine, </w:t>
      </w:r>
      <w:hyperlink r:id="rId35" w:history="1">
        <w:r w:rsidRPr="001C58C6">
          <w:rPr>
            <w:rStyle w:val="Hyperlink"/>
            <w:rFonts w:ascii="Calibri" w:hAnsi="Calibri" w:cs="Calibri"/>
            <w:i/>
            <w:iCs/>
            <w:color w:val="000000" w:themeColor="text1"/>
            <w:sz w:val="18"/>
            <w:szCs w:val="18"/>
          </w:rPr>
          <w:t>https://www.epa.org.me/vazduh/stanica/2</w:t>
        </w:r>
      </w:hyperlink>
    </w:p>
    <w:p w14:paraId="524150D7" w14:textId="77777777" w:rsidR="00FA25EF" w:rsidRDefault="00FA25EF" w:rsidP="00FA25EF">
      <w:pPr>
        <w:jc w:val="center"/>
        <w:rPr>
          <w:rFonts w:ascii="Calibri" w:hAnsi="Calibri" w:cs="Calibri"/>
          <w:b/>
          <w:bCs/>
          <w:color w:val="000000" w:themeColor="text1"/>
        </w:rPr>
      </w:pPr>
    </w:p>
    <w:p w14:paraId="226A408E" w14:textId="77777777" w:rsidR="006F52AD" w:rsidRDefault="006F52AD" w:rsidP="00FA25EF">
      <w:pPr>
        <w:jc w:val="center"/>
        <w:rPr>
          <w:rFonts w:ascii="Calibri" w:hAnsi="Calibri" w:cs="Calibri"/>
          <w:b/>
          <w:bCs/>
          <w:color w:val="000000" w:themeColor="text1"/>
        </w:rPr>
      </w:pPr>
    </w:p>
    <w:p w14:paraId="2F079DB4" w14:textId="77777777" w:rsidR="006F52AD" w:rsidRPr="001C58C6" w:rsidRDefault="006F52AD" w:rsidP="00FA25EF">
      <w:pPr>
        <w:jc w:val="center"/>
        <w:rPr>
          <w:rFonts w:ascii="Calibri" w:hAnsi="Calibri" w:cs="Calibri"/>
          <w:b/>
          <w:bCs/>
          <w:color w:val="000000" w:themeColor="text1"/>
        </w:rPr>
      </w:pPr>
    </w:p>
    <w:p w14:paraId="2EC7173B" w14:textId="77777777" w:rsidR="00C87B0E" w:rsidRPr="001C58C6" w:rsidRDefault="00FA25EF" w:rsidP="00FA25EF">
      <w:pPr>
        <w:pStyle w:val="Heading3"/>
        <w:rPr>
          <w:rFonts w:ascii="Calibri" w:hAnsi="Calibri" w:cs="Calibri"/>
          <w:color w:val="000000" w:themeColor="text1"/>
        </w:rPr>
      </w:pPr>
      <w:bookmarkStart w:id="186" w:name="_Toc217388093"/>
      <w:bookmarkStart w:id="187" w:name="_Toc220070451"/>
      <w:bookmarkStart w:id="188" w:name="_Toc233711770"/>
      <w:r w:rsidRPr="001C58C6">
        <w:rPr>
          <w:rFonts w:ascii="Calibri" w:hAnsi="Calibri" w:cs="Calibri"/>
          <w:color w:val="000000" w:themeColor="text1"/>
        </w:rPr>
        <w:lastRenderedPageBreak/>
        <w:t xml:space="preserve">7.2.2 </w:t>
      </w:r>
      <w:r w:rsidR="00C87B0E" w:rsidRPr="001C58C6">
        <w:rPr>
          <w:rFonts w:ascii="Calibri" w:hAnsi="Calibri" w:cs="Calibri"/>
          <w:color w:val="000000" w:themeColor="text1"/>
        </w:rPr>
        <w:t>Opšte informacije</w:t>
      </w:r>
      <w:bookmarkEnd w:id="186"/>
      <w:bookmarkEnd w:id="187"/>
      <w:bookmarkEnd w:id="188"/>
    </w:p>
    <w:p w14:paraId="26D30515" w14:textId="77777777" w:rsidR="00FA25EF" w:rsidRPr="001C58C6" w:rsidRDefault="00FA25EF" w:rsidP="00C87B0E">
      <w:pPr>
        <w:rPr>
          <w:rFonts w:ascii="Calibri" w:hAnsi="Calibri" w:cs="Calibri"/>
          <w:color w:val="000000" w:themeColor="text1"/>
        </w:rPr>
      </w:pPr>
    </w:p>
    <w:p w14:paraId="0876B785"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U skladu sa Strategijom regionalnog razvoja Crne Gore, Gotovo polovina ukupnog stanovništva Crne Gore živi u središnjem regionu</w:t>
      </w:r>
      <w:r w:rsidRPr="001C58C6">
        <w:rPr>
          <w:rFonts w:ascii="Calibri" w:hAnsi="Calibri" w:cs="Calibri"/>
          <w:b/>
          <w:bCs/>
          <w:color w:val="000000" w:themeColor="text1"/>
        </w:rPr>
        <w:t xml:space="preserve"> </w:t>
      </w:r>
      <w:r w:rsidRPr="001C58C6">
        <w:rPr>
          <w:rFonts w:ascii="Calibri" w:hAnsi="Calibri" w:cs="Calibri"/>
          <w:color w:val="000000" w:themeColor="text1"/>
        </w:rPr>
        <w:t xml:space="preserve">koji prostorno obuhvata nešto više od trećine ukupne teritorije Crne Gore. Središnji region se suočava sa snažnim prilivom stanovništva iz Sjevernog regiona, uz stopu rasta stanovništva iznad prosjeka Crne Gore, i snažan priliv stranih direktnih investicija. U regionu se nalazi oko 22,4% obradive površine, 25,5% drvne mase, 30,5% stočnog fonda i bogata nalazišta boksita i značajni hidropotencijali. Takođe treba napomenuti da se na području Središnjeg regiona nalaze najznačajnije obradive površine. Središnji region je istovremeno i univerzitetski centar Crne Gore. Dosadašnji razvoj je bio zasnovan na sektoru industrije, građevinarstva, saobraćaja i skladištenja, trgovine i ugostiteljstva, a u posljednjem periodu i na razvoju poljoprivredne proizvodnje i prerade. </w:t>
      </w:r>
    </w:p>
    <w:p w14:paraId="4D6B2855" w14:textId="77777777" w:rsidR="00752282" w:rsidRPr="001C58C6" w:rsidRDefault="00752282" w:rsidP="00C87B0E">
      <w:pPr>
        <w:rPr>
          <w:rFonts w:ascii="Calibri" w:hAnsi="Calibri" w:cs="Calibri"/>
          <w:color w:val="000000" w:themeColor="text1"/>
        </w:rPr>
      </w:pPr>
    </w:p>
    <w:p w14:paraId="22F71581"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Sa aspekta praćenja kvaliteta vazduha, centralnu zonu klimatski karakterišu blage i vlažne zime i duga, suva i vrela ljeta na području Podgoričko-Skadarske kotline i Bjelopavlićke ravnice. Znatno oštriju klimu imaju kraška polja: Cetinjsko, Njeguško, Dragaljsko, Grahovsko i Nikšićko, koja se nalaze na višim nadmorskim visinama.  </w:t>
      </w:r>
    </w:p>
    <w:p w14:paraId="7C00BA6B"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Dva mjerna mjesta na kojima je prekoračenje zabilježeno su mjesta na kojima se mjeri pozadinsko zagađenje u urbanim područjima (UB Podgorica, blok V, UB Nikšić) treće mjerno mjesto namjenjeno je praćenju uticaja saobraćaja u urbanim područjima – UT kružni tok Zabjelo (Generala Žukova i Zetskih Vladara) na lokaciji sa vrlo frekventnim saobraćajem. </w:t>
      </w:r>
    </w:p>
    <w:p w14:paraId="42FCA2CB" w14:textId="77777777" w:rsidR="00752282" w:rsidRPr="001C58C6" w:rsidRDefault="00752282" w:rsidP="00C87B0E">
      <w:pPr>
        <w:rPr>
          <w:rFonts w:ascii="Calibri" w:hAnsi="Calibri" w:cs="Calibri"/>
          <w:color w:val="000000" w:themeColor="text1"/>
        </w:rPr>
      </w:pPr>
    </w:p>
    <w:p w14:paraId="5828955D" w14:textId="77777777" w:rsidR="00C87B0E" w:rsidRPr="001C58C6" w:rsidRDefault="00C87B0E" w:rsidP="00C87B0E">
      <w:pPr>
        <w:rPr>
          <w:rFonts w:ascii="Calibri" w:hAnsi="Calibri" w:cs="Calibri"/>
          <w:b/>
          <w:bCs/>
          <w:color w:val="000000" w:themeColor="text1"/>
        </w:rPr>
      </w:pPr>
      <w:r w:rsidRPr="001C58C6">
        <w:rPr>
          <w:rFonts w:ascii="Calibri" w:hAnsi="Calibri" w:cs="Calibri"/>
          <w:b/>
          <w:bCs/>
          <w:color w:val="000000" w:themeColor="text1"/>
        </w:rPr>
        <w:t xml:space="preserve">Teritorija </w:t>
      </w:r>
    </w:p>
    <w:p w14:paraId="27F6E77B" w14:textId="77777777" w:rsidR="00752282" w:rsidRPr="001C58C6" w:rsidRDefault="00752282" w:rsidP="00C87B0E">
      <w:pPr>
        <w:rPr>
          <w:rFonts w:ascii="Calibri" w:hAnsi="Calibri" w:cs="Calibri"/>
          <w:b/>
          <w:bCs/>
          <w:color w:val="000000" w:themeColor="text1"/>
        </w:rPr>
      </w:pPr>
    </w:p>
    <w:p w14:paraId="461B133A"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Ukupna površina opština koje pripadaju Centralnoj zoni kvaliteta vazduha iznosi 4,457km2. Na ovoj teritoriji nalaze se 3 opštine (Cetinje, Danilovgrad i Nikšić) i glavni grad Podgorica. Opština Nikšić je teritorijalno najveća opština u Crnoj Gori sa površinom od 2,087km2.  </w:t>
      </w:r>
    </w:p>
    <w:p w14:paraId="17BD8518" w14:textId="77777777" w:rsidR="00752282" w:rsidRPr="001C58C6" w:rsidRDefault="00752282" w:rsidP="00C87B0E">
      <w:pPr>
        <w:rPr>
          <w:rFonts w:ascii="Calibri" w:hAnsi="Calibri" w:cs="Calibri"/>
          <w:color w:val="000000" w:themeColor="text1"/>
        </w:rPr>
      </w:pPr>
    </w:p>
    <w:p w14:paraId="5CA7A835" w14:textId="77777777" w:rsidR="00C87B0E" w:rsidRPr="001C58C6" w:rsidRDefault="00C87B0E" w:rsidP="00C87B0E">
      <w:pPr>
        <w:rPr>
          <w:rFonts w:ascii="Calibri" w:hAnsi="Calibri" w:cs="Calibri"/>
          <w:b/>
          <w:bCs/>
          <w:color w:val="000000" w:themeColor="text1"/>
        </w:rPr>
      </w:pPr>
      <w:r w:rsidRPr="001C58C6">
        <w:rPr>
          <w:rFonts w:ascii="Calibri" w:hAnsi="Calibri" w:cs="Calibri"/>
          <w:b/>
          <w:bCs/>
          <w:color w:val="000000" w:themeColor="text1"/>
        </w:rPr>
        <w:t>Stanovništvo</w:t>
      </w:r>
    </w:p>
    <w:p w14:paraId="26ECE5D4" w14:textId="77777777" w:rsidR="00752282" w:rsidRPr="001C58C6" w:rsidRDefault="00752282" w:rsidP="00C87B0E">
      <w:pPr>
        <w:rPr>
          <w:rFonts w:ascii="Calibri" w:hAnsi="Calibri" w:cs="Calibri"/>
          <w:b/>
          <w:bCs/>
          <w:color w:val="000000" w:themeColor="text1"/>
        </w:rPr>
      </w:pPr>
    </w:p>
    <w:p w14:paraId="6939B10F"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Prema posljednjem popisu stanovništva (2023) na teritoriji zone živi ukupno 278,321 stanovnik. Koncentracija populacije vezuje se za glavni grad, gdje živi 179,505 stanovnika, odnosno 28,3% ukupnog stanovništva Crne Gore.  </w:t>
      </w:r>
    </w:p>
    <w:p w14:paraId="654A6B62" w14:textId="77777777" w:rsidR="00752282" w:rsidRPr="001C58C6" w:rsidRDefault="00752282" w:rsidP="00C87B0E">
      <w:pPr>
        <w:rPr>
          <w:rFonts w:ascii="Calibri" w:hAnsi="Calibri" w:cs="Calibri"/>
          <w:color w:val="000000" w:themeColor="text1"/>
        </w:rPr>
      </w:pPr>
    </w:p>
    <w:p w14:paraId="73066DC2" w14:textId="77777777" w:rsidR="00C87B0E" w:rsidRPr="001C58C6" w:rsidRDefault="00C87B0E" w:rsidP="00C87B0E">
      <w:pPr>
        <w:rPr>
          <w:rFonts w:ascii="Calibri" w:hAnsi="Calibri" w:cs="Calibri"/>
          <w:b/>
          <w:bCs/>
          <w:color w:val="000000" w:themeColor="text1"/>
        </w:rPr>
      </w:pPr>
      <w:r w:rsidRPr="001C58C6">
        <w:rPr>
          <w:rFonts w:ascii="Calibri" w:hAnsi="Calibri" w:cs="Calibri"/>
          <w:b/>
          <w:bCs/>
          <w:color w:val="000000" w:themeColor="text1"/>
        </w:rPr>
        <w:t>Koncentracije zagađujučih materija i izloženost stanovništva</w:t>
      </w:r>
    </w:p>
    <w:p w14:paraId="58AD9F8A"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Na grafičkom prikazu ispod teksta može se uočiti da je ciljna vrijednost sadržaja benzo(a)pirena povećana tokom cijelog posmatranog perioda i premašuje ciljnu vrijednost od 1ng/m3. Koncentracije su nešto veće u Nikšiću nego u Podgorici i tokom čitavog perioda, na svim mjernim mjestima kreću se u rasponu od 1.77ng/m3 do 3.55ng/m3. Prosječni sadržaj benzo(a)pirena u suspendovanim česticama u centralnoj zoni je  manji od onog zabilježenog u Sjevernoj zoni kvaliteta vazduha. </w:t>
      </w:r>
    </w:p>
    <w:p w14:paraId="17CE58E9" w14:textId="77777777" w:rsidR="00752282" w:rsidRDefault="00752282" w:rsidP="00C87B0E">
      <w:pPr>
        <w:rPr>
          <w:rFonts w:ascii="Calibri" w:hAnsi="Calibri" w:cs="Calibri"/>
          <w:color w:val="000000" w:themeColor="text1"/>
        </w:rPr>
      </w:pPr>
    </w:p>
    <w:p w14:paraId="2A7E7B0B" w14:textId="77777777" w:rsidR="006F52AD" w:rsidRDefault="006F52AD" w:rsidP="00C87B0E">
      <w:pPr>
        <w:rPr>
          <w:rFonts w:ascii="Calibri" w:hAnsi="Calibri" w:cs="Calibri"/>
          <w:color w:val="000000" w:themeColor="text1"/>
        </w:rPr>
      </w:pPr>
    </w:p>
    <w:p w14:paraId="0FD5CC52" w14:textId="77777777" w:rsidR="006F52AD" w:rsidRDefault="006F52AD" w:rsidP="00C87B0E">
      <w:pPr>
        <w:rPr>
          <w:rFonts w:ascii="Calibri" w:hAnsi="Calibri" w:cs="Calibri"/>
          <w:color w:val="000000" w:themeColor="text1"/>
        </w:rPr>
      </w:pPr>
    </w:p>
    <w:p w14:paraId="1C8717FD" w14:textId="77777777" w:rsidR="006F52AD" w:rsidRDefault="006F52AD" w:rsidP="00C87B0E">
      <w:pPr>
        <w:rPr>
          <w:rFonts w:ascii="Calibri" w:hAnsi="Calibri" w:cs="Calibri"/>
          <w:color w:val="000000" w:themeColor="text1"/>
        </w:rPr>
      </w:pPr>
    </w:p>
    <w:p w14:paraId="550A06C4" w14:textId="77777777" w:rsidR="006F52AD" w:rsidRDefault="006F52AD" w:rsidP="00C87B0E">
      <w:pPr>
        <w:rPr>
          <w:rFonts w:ascii="Calibri" w:hAnsi="Calibri" w:cs="Calibri"/>
          <w:color w:val="000000" w:themeColor="text1"/>
        </w:rPr>
      </w:pPr>
    </w:p>
    <w:p w14:paraId="181E0A69" w14:textId="77777777" w:rsidR="006F52AD" w:rsidRPr="001C58C6" w:rsidRDefault="006F52AD" w:rsidP="00C87B0E">
      <w:pPr>
        <w:rPr>
          <w:rFonts w:ascii="Calibri" w:hAnsi="Calibri" w:cs="Calibri"/>
          <w:color w:val="000000" w:themeColor="text1"/>
        </w:rPr>
      </w:pPr>
    </w:p>
    <w:p w14:paraId="6235AC13" w14:textId="77777777" w:rsidR="00C87B0E" w:rsidRPr="001C58C6" w:rsidRDefault="00C87B0E" w:rsidP="00B33518">
      <w:pPr>
        <w:pStyle w:val="Caption"/>
        <w:jc w:val="center"/>
        <w:rPr>
          <w:rFonts w:ascii="Calibri" w:hAnsi="Calibri" w:cs="Calibri"/>
          <w:i/>
          <w:iCs/>
          <w:color w:val="000000" w:themeColor="text1"/>
          <w:sz w:val="20"/>
          <w:szCs w:val="20"/>
        </w:rPr>
      </w:pPr>
      <w:bookmarkStart w:id="189" w:name="_Toc217388663"/>
      <w:bookmarkStart w:id="190" w:name="_Toc217389161"/>
      <w:bookmarkStart w:id="191" w:name="_Toc233584673"/>
      <w:r w:rsidRPr="001C58C6">
        <w:rPr>
          <w:rFonts w:ascii="Calibri" w:hAnsi="Calibri" w:cs="Calibri"/>
          <w:i/>
          <w:iCs/>
          <w:color w:val="000000" w:themeColor="text1"/>
          <w:sz w:val="20"/>
          <w:szCs w:val="20"/>
        </w:rPr>
        <w:lastRenderedPageBreak/>
        <w:t>G</w:t>
      </w:r>
      <w:r w:rsidR="00752282" w:rsidRPr="001C58C6">
        <w:rPr>
          <w:rFonts w:ascii="Calibri" w:hAnsi="Calibri" w:cs="Calibri"/>
          <w:i/>
          <w:iCs/>
          <w:color w:val="000000" w:themeColor="text1"/>
          <w:sz w:val="20"/>
          <w:szCs w:val="20"/>
        </w:rPr>
        <w:t xml:space="preserve">rafik </w:t>
      </w:r>
      <w:r w:rsidR="00752282" w:rsidRPr="001C58C6">
        <w:rPr>
          <w:rFonts w:ascii="Calibri" w:hAnsi="Calibri" w:cs="Calibri"/>
          <w:i/>
          <w:iCs/>
          <w:color w:val="000000" w:themeColor="text1"/>
          <w:sz w:val="20"/>
          <w:szCs w:val="20"/>
        </w:rPr>
        <w:fldChar w:fldCharType="begin"/>
      </w:r>
      <w:r w:rsidR="00752282" w:rsidRPr="001C58C6">
        <w:rPr>
          <w:rFonts w:ascii="Calibri" w:hAnsi="Calibri" w:cs="Calibri"/>
          <w:i/>
          <w:iCs/>
          <w:color w:val="000000" w:themeColor="text1"/>
          <w:sz w:val="20"/>
          <w:szCs w:val="20"/>
        </w:rPr>
        <w:instrText xml:space="preserve"> SEQ Grafik \* ARABIC </w:instrText>
      </w:r>
      <w:r w:rsidR="00752282" w:rsidRPr="001C58C6">
        <w:rPr>
          <w:rFonts w:ascii="Calibri" w:hAnsi="Calibri" w:cs="Calibri"/>
          <w:i/>
          <w:iCs/>
          <w:color w:val="000000" w:themeColor="text1"/>
          <w:sz w:val="20"/>
          <w:szCs w:val="20"/>
        </w:rPr>
        <w:fldChar w:fldCharType="separate"/>
      </w:r>
      <w:r w:rsidR="00752282" w:rsidRPr="001C58C6">
        <w:rPr>
          <w:rFonts w:ascii="Calibri" w:hAnsi="Calibri" w:cs="Calibri"/>
          <w:i/>
          <w:iCs/>
          <w:color w:val="000000" w:themeColor="text1"/>
          <w:sz w:val="20"/>
          <w:szCs w:val="20"/>
        </w:rPr>
        <w:t>12</w:t>
      </w:r>
      <w:r w:rsidR="00752282" w:rsidRPr="001C58C6">
        <w:rPr>
          <w:rFonts w:ascii="Calibri" w:hAnsi="Calibri" w:cs="Calibri"/>
          <w:i/>
          <w:iCs/>
          <w:color w:val="000000" w:themeColor="text1"/>
          <w:sz w:val="20"/>
          <w:szCs w:val="20"/>
        </w:rPr>
        <w:fldChar w:fldCharType="end"/>
      </w:r>
      <w:r w:rsidR="00BE363F" w:rsidRPr="001C58C6">
        <w:rPr>
          <w:rFonts w:ascii="Calibri" w:hAnsi="Calibri" w:cs="Calibri"/>
          <w:i/>
          <w:iCs/>
          <w:color w:val="000000" w:themeColor="text1"/>
          <w:sz w:val="20"/>
          <w:szCs w:val="20"/>
        </w:rPr>
        <w:t xml:space="preserve">: </w:t>
      </w:r>
      <w:r w:rsidRPr="001C58C6">
        <w:rPr>
          <w:rFonts w:ascii="Calibri" w:hAnsi="Calibri" w:cs="Calibri"/>
          <w:i/>
          <w:iCs/>
          <w:color w:val="000000" w:themeColor="text1"/>
          <w:sz w:val="20"/>
          <w:szCs w:val="20"/>
        </w:rPr>
        <w:t>Sadržaj benzo(a)pirena u suspendovanim česticama, Podgorica, Nikšić (2020 – 2024)</w:t>
      </w:r>
      <w:bookmarkEnd w:id="189"/>
      <w:bookmarkEnd w:id="190"/>
      <w:bookmarkEnd w:id="191"/>
    </w:p>
    <w:p w14:paraId="40172F0B" w14:textId="77777777" w:rsidR="00C87B0E" w:rsidRPr="001C58C6" w:rsidRDefault="00C87B0E" w:rsidP="00FA25EF">
      <w:pPr>
        <w:jc w:val="center"/>
        <w:rPr>
          <w:rFonts w:ascii="Calibri" w:hAnsi="Calibri" w:cs="Calibri"/>
          <w:b/>
          <w:bCs/>
          <w:color w:val="000000" w:themeColor="text1"/>
        </w:rPr>
      </w:pPr>
      <w:r w:rsidRPr="001C58C6">
        <w:rPr>
          <w:rFonts w:ascii="Calibri" w:hAnsi="Calibri" w:cs="Calibri"/>
          <w:noProof/>
          <w:color w:val="000000" w:themeColor="text1"/>
        </w:rPr>
        <w:drawing>
          <wp:inline distT="0" distB="0" distL="0" distR="0" wp14:anchorId="6AE091B4" wp14:editId="0CDD1F56">
            <wp:extent cx="4579620" cy="2750820"/>
            <wp:effectExtent l="0" t="0" r="0" b="0"/>
            <wp:docPr id="487253133" name="Picture 11" descr="A graph showing the number of people in different countries/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53133" name="Picture 11" descr="A graph showing the number of people in different countries/regions&#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9620" cy="2750820"/>
                    </a:xfrm>
                    <a:prstGeom prst="rect">
                      <a:avLst/>
                    </a:prstGeom>
                    <a:noFill/>
                    <a:ln>
                      <a:noFill/>
                    </a:ln>
                  </pic:spPr>
                </pic:pic>
              </a:graphicData>
            </a:graphic>
          </wp:inline>
        </w:drawing>
      </w:r>
    </w:p>
    <w:p w14:paraId="5474802D"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Benzo(a)piren (BaP) predstavlja karakterističan i najčešće praćeni predstavnik policikličnih aromatičnih ugljovodonika (PAH), i koristi se kao njihov marker zato što se uobičajeno javlja u najvećim koncentracijama i ima izražena toksična, mutagena i kancerogena svojstva. Nastaje prvenstveno tokom nepotpunog sagorijevanja organskih materija, uključujući fosilna goriva, biomasu i otpad.</w:t>
      </w:r>
    </w:p>
    <w:p w14:paraId="14662D9F" w14:textId="77777777" w:rsidR="00752282" w:rsidRPr="001C58C6" w:rsidRDefault="00752282" w:rsidP="00C87B0E">
      <w:pPr>
        <w:rPr>
          <w:rFonts w:ascii="Calibri" w:hAnsi="Calibri" w:cs="Calibri"/>
          <w:color w:val="000000" w:themeColor="text1"/>
        </w:rPr>
      </w:pPr>
    </w:p>
    <w:p w14:paraId="2EF0D620"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Najznačajniji procesi nastanka benzo(a)pirena su:</w:t>
      </w:r>
    </w:p>
    <w:p w14:paraId="6853474A" w14:textId="77777777" w:rsidR="00C87B0E" w:rsidRPr="001C58C6" w:rsidRDefault="00C87B0E" w:rsidP="00E53052">
      <w:pPr>
        <w:numPr>
          <w:ilvl w:val="0"/>
          <w:numId w:val="43"/>
        </w:numPr>
        <w:rPr>
          <w:rFonts w:ascii="Calibri" w:hAnsi="Calibri" w:cs="Calibri"/>
          <w:color w:val="000000" w:themeColor="text1"/>
        </w:rPr>
      </w:pPr>
      <w:r w:rsidRPr="001C58C6">
        <w:rPr>
          <w:rFonts w:ascii="Calibri" w:hAnsi="Calibri" w:cs="Calibri"/>
          <w:color w:val="000000" w:themeColor="text1"/>
        </w:rPr>
        <w:t>Nepotpuno sagorijevanje drveta, uglja, peleta i drugih oblika biomase, posebno u individualnim ložištima i kotlarnicama bez adekvatne kontrole sagorijevanja.</w:t>
      </w:r>
    </w:p>
    <w:p w14:paraId="5DE2CE87" w14:textId="77777777" w:rsidR="00C87B0E" w:rsidRPr="001C58C6" w:rsidRDefault="00C87B0E" w:rsidP="00E53052">
      <w:pPr>
        <w:numPr>
          <w:ilvl w:val="0"/>
          <w:numId w:val="43"/>
        </w:numPr>
        <w:rPr>
          <w:rFonts w:ascii="Calibri" w:hAnsi="Calibri" w:cs="Calibri"/>
          <w:color w:val="000000" w:themeColor="text1"/>
        </w:rPr>
      </w:pPr>
      <w:r w:rsidRPr="001C58C6">
        <w:rPr>
          <w:rFonts w:ascii="Calibri" w:hAnsi="Calibri" w:cs="Calibri"/>
          <w:color w:val="000000" w:themeColor="text1"/>
        </w:rPr>
        <w:t>Sagorijevanje fosilnih goriva u saobraćaju, naročito dizel goriva u starijim vozilima i motorima bez efikasnih filtera čestica.</w:t>
      </w:r>
    </w:p>
    <w:p w14:paraId="6119F96B" w14:textId="77777777" w:rsidR="00C87B0E" w:rsidRPr="001C58C6" w:rsidRDefault="00C87B0E" w:rsidP="00E53052">
      <w:pPr>
        <w:numPr>
          <w:ilvl w:val="0"/>
          <w:numId w:val="43"/>
        </w:numPr>
        <w:rPr>
          <w:rFonts w:ascii="Calibri" w:hAnsi="Calibri" w:cs="Calibri"/>
          <w:color w:val="000000" w:themeColor="text1"/>
        </w:rPr>
      </w:pPr>
      <w:r w:rsidRPr="001C58C6">
        <w:rPr>
          <w:rFonts w:ascii="Calibri" w:hAnsi="Calibri" w:cs="Calibri"/>
          <w:color w:val="000000" w:themeColor="text1"/>
        </w:rPr>
        <w:t>Industrijski procesi, kao što su metalurgija, koksare, rafinerije i postrojenja za dobijanje energije.</w:t>
      </w:r>
    </w:p>
    <w:p w14:paraId="3C8258AF" w14:textId="77777777" w:rsidR="00C87B0E" w:rsidRPr="001C58C6" w:rsidRDefault="00C87B0E" w:rsidP="00E53052">
      <w:pPr>
        <w:numPr>
          <w:ilvl w:val="0"/>
          <w:numId w:val="43"/>
        </w:numPr>
        <w:rPr>
          <w:rFonts w:ascii="Calibri" w:hAnsi="Calibri" w:cs="Calibri"/>
          <w:color w:val="000000" w:themeColor="text1"/>
        </w:rPr>
      </w:pPr>
      <w:r w:rsidRPr="001C58C6">
        <w:rPr>
          <w:rFonts w:ascii="Calibri" w:hAnsi="Calibri" w:cs="Calibri"/>
          <w:color w:val="000000" w:themeColor="text1"/>
        </w:rPr>
        <w:t>Otvoreno spaljivanje otpada i poljoprivrednih ostataka.</w:t>
      </w:r>
    </w:p>
    <w:p w14:paraId="6F91111B" w14:textId="77777777" w:rsidR="00C87B0E" w:rsidRPr="001C58C6" w:rsidRDefault="00C87B0E" w:rsidP="00E53052">
      <w:pPr>
        <w:numPr>
          <w:ilvl w:val="0"/>
          <w:numId w:val="43"/>
        </w:numPr>
        <w:rPr>
          <w:rFonts w:ascii="Calibri" w:hAnsi="Calibri" w:cs="Calibri"/>
          <w:color w:val="000000" w:themeColor="text1"/>
        </w:rPr>
      </w:pPr>
      <w:r w:rsidRPr="001C58C6">
        <w:rPr>
          <w:rFonts w:ascii="Calibri" w:hAnsi="Calibri" w:cs="Calibri"/>
          <w:color w:val="000000" w:themeColor="text1"/>
        </w:rPr>
        <w:t>Prirodni izvori, poput šumskih požara (manje značajno, ali relevantno u ljetnjim periodima).</w:t>
      </w:r>
    </w:p>
    <w:p w14:paraId="2B4A295A"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 Benzo(a)piren se vezuje za čestice PM10 i PM2.5, zbog čega njegovo prisustvo zavisi od sezonskih faktora (najviše u zimskom periodu) i strukture emisija u pojedinim sredinama.</w:t>
      </w:r>
    </w:p>
    <w:p w14:paraId="572134F1" w14:textId="77777777" w:rsidR="00C87B0E" w:rsidRPr="001C58C6" w:rsidRDefault="00FA25EF" w:rsidP="00FA25EF">
      <w:pPr>
        <w:pStyle w:val="Heading3"/>
        <w:rPr>
          <w:rFonts w:ascii="Calibri" w:hAnsi="Calibri" w:cs="Calibri"/>
          <w:color w:val="000000" w:themeColor="text1"/>
        </w:rPr>
      </w:pPr>
      <w:bookmarkStart w:id="192" w:name="_Toc217388094"/>
      <w:bookmarkStart w:id="193" w:name="_Toc220070452"/>
      <w:bookmarkStart w:id="194" w:name="_Toc233711771"/>
      <w:r w:rsidRPr="001C58C6">
        <w:rPr>
          <w:rFonts w:ascii="Calibri" w:hAnsi="Calibri" w:cs="Calibri"/>
          <w:color w:val="000000" w:themeColor="text1"/>
        </w:rPr>
        <w:t xml:space="preserve">7.2.3 </w:t>
      </w:r>
      <w:r w:rsidR="00C87B0E" w:rsidRPr="001C58C6">
        <w:rPr>
          <w:rFonts w:ascii="Calibri" w:hAnsi="Calibri" w:cs="Calibri"/>
          <w:color w:val="000000" w:themeColor="text1"/>
        </w:rPr>
        <w:t>Nadležni organi</w:t>
      </w:r>
      <w:bookmarkEnd w:id="192"/>
      <w:bookmarkEnd w:id="193"/>
      <w:bookmarkEnd w:id="194"/>
    </w:p>
    <w:p w14:paraId="2FF8D3D3" w14:textId="70FA4A55"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Nadležni organ za koordinaciju i nadzor nad sprovođenjem ove strategije, uključuju</w:t>
      </w:r>
      <w:r w:rsidR="003B196E">
        <w:rPr>
          <w:rFonts w:ascii="Calibri" w:hAnsi="Calibri" w:cs="Calibri"/>
          <w:color w:val="000000" w:themeColor="text1"/>
        </w:rPr>
        <w:t>ć</w:t>
      </w:r>
      <w:r w:rsidRPr="001C58C6">
        <w:rPr>
          <w:rFonts w:ascii="Calibri" w:hAnsi="Calibri" w:cs="Calibri"/>
          <w:color w:val="000000" w:themeColor="text1"/>
        </w:rPr>
        <w:t xml:space="preserve">i i planove kvaliteta vazduha na nivou zona je Ministarstvo ekologije, održivog razvoja i razvoja sjevera. </w:t>
      </w:r>
    </w:p>
    <w:p w14:paraId="77E30A0F"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Jjedinice lokalne samouprave koje pripadaju ovoj zoni dužne su da u svojim lokalnim akcionim planovima za životnu sredinu razrađuju i planiraju sprovođenje mjera za smanjenje zagađenja na svojoj teritoriji. </w:t>
      </w:r>
    </w:p>
    <w:p w14:paraId="5C05DB6E"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Ministarstvo energetike i rudarstva je nadležno za sprovođenje Nacionalnog klimatskog i energetskog plana čija će implementacija doprinijeti smanjenju zagađenja. </w:t>
      </w:r>
    </w:p>
    <w:p w14:paraId="67C00012"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Eko fond igra značajnu ulogu u implementaciji određenih mjera, kroz sufinansiranje projekata, programa i ostalih aktivnosti iz djelokruga rada Eko-fonda. </w:t>
      </w:r>
    </w:p>
    <w:p w14:paraId="4BCFAF12"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lastRenderedPageBreak/>
        <w:t xml:space="preserve">Ministarstvo saobraćaja, Ministarstvo unutrašnjih poslova i ostale institucije imaju ulogu u implementaciji određenih mjera iz svog resora. </w:t>
      </w:r>
    </w:p>
    <w:p w14:paraId="797C1B07" w14:textId="77777777" w:rsidR="00C87B0E" w:rsidRPr="001C58C6" w:rsidRDefault="00FA25EF" w:rsidP="00FA25EF">
      <w:pPr>
        <w:pStyle w:val="Heading3"/>
        <w:rPr>
          <w:rFonts w:ascii="Calibri" w:hAnsi="Calibri" w:cs="Calibri"/>
          <w:color w:val="000000" w:themeColor="text1"/>
        </w:rPr>
      </w:pPr>
      <w:bookmarkStart w:id="195" w:name="_Toc217388095"/>
      <w:bookmarkStart w:id="196" w:name="_Toc220070453"/>
      <w:bookmarkStart w:id="197" w:name="_Toc233711772"/>
      <w:r w:rsidRPr="001C58C6">
        <w:rPr>
          <w:rFonts w:ascii="Calibri" w:hAnsi="Calibri" w:cs="Calibri"/>
          <w:color w:val="000000" w:themeColor="text1"/>
        </w:rPr>
        <w:t xml:space="preserve">7.2.4 </w:t>
      </w:r>
      <w:r w:rsidR="00C87B0E" w:rsidRPr="001C58C6">
        <w:rPr>
          <w:rFonts w:ascii="Calibri" w:hAnsi="Calibri" w:cs="Calibri"/>
          <w:color w:val="000000" w:themeColor="text1"/>
        </w:rPr>
        <w:t>Porijeklo zagađenja, uzimajući u obzir podatke iz inventara emisija zagađujućih materija u vazduh i podatke iz Programa kontrole zagađenja vazduha</w:t>
      </w:r>
      <w:bookmarkEnd w:id="195"/>
      <w:bookmarkEnd w:id="196"/>
      <w:bookmarkEnd w:id="197"/>
    </w:p>
    <w:p w14:paraId="2925E56A"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Ključni izvor benzo(a)pirena je grijanje domaćinstava koji ukupnim emisijama ovog polutanta, u skladu sa podacima iz inventara zagađujučih materija u vazduh doprinosi 99%. Ukupne emisije benzo(a)pirena tokom 2023. godine iznosile su 0.83g/I TEQ izraženo u međunarodnim ekvivalentima toksičnosti.  U terminologiji i metodologiji izrade inventara emisija ovaj sektor nosi oznaku 1A4bi i odnosi se uglavnom na sagorijevanje drveta za ogrijev u individualnim ložištima. </w:t>
      </w:r>
    </w:p>
    <w:p w14:paraId="2DDECF61" w14:textId="77777777" w:rsidR="00C87B0E" w:rsidRPr="001C58C6" w:rsidRDefault="00FA25EF" w:rsidP="00FA25EF">
      <w:pPr>
        <w:pStyle w:val="Heading3"/>
        <w:rPr>
          <w:rFonts w:ascii="Calibri" w:hAnsi="Calibri" w:cs="Calibri"/>
          <w:color w:val="000000" w:themeColor="text1"/>
        </w:rPr>
      </w:pPr>
      <w:bookmarkStart w:id="198" w:name="_Toc217388096"/>
      <w:bookmarkStart w:id="199" w:name="_Toc220070454"/>
      <w:bookmarkStart w:id="200" w:name="_Toc233711773"/>
      <w:r w:rsidRPr="001C58C6">
        <w:rPr>
          <w:rFonts w:ascii="Calibri" w:hAnsi="Calibri" w:cs="Calibri"/>
          <w:color w:val="000000" w:themeColor="text1"/>
        </w:rPr>
        <w:t xml:space="preserve">7.2.5 </w:t>
      </w:r>
      <w:r w:rsidR="00C87B0E" w:rsidRPr="001C58C6">
        <w:rPr>
          <w:rFonts w:ascii="Calibri" w:hAnsi="Calibri" w:cs="Calibri"/>
          <w:color w:val="000000" w:themeColor="text1"/>
        </w:rPr>
        <w:t>Opis osnovnog scenarija na kojem se zasniva plan kvaliteta vazduha radi prikaza posljedica nedjelovanja, uključujući predviđeni razvoj emisija i koncentracija.</w:t>
      </w:r>
      <w:bookmarkEnd w:id="198"/>
      <w:bookmarkEnd w:id="199"/>
      <w:bookmarkEnd w:id="200"/>
    </w:p>
    <w:p w14:paraId="57C674BC" w14:textId="77777777" w:rsidR="00C87B0E" w:rsidRPr="001C58C6" w:rsidRDefault="00C87B0E" w:rsidP="00E53052">
      <w:pPr>
        <w:pStyle w:val="ListParagraph"/>
        <w:numPr>
          <w:ilvl w:val="3"/>
          <w:numId w:val="44"/>
        </w:numPr>
        <w:rPr>
          <w:rFonts w:ascii="Calibri" w:hAnsi="Calibri" w:cs="Calibri"/>
          <w:b/>
          <w:bCs/>
          <w:i/>
          <w:iCs/>
          <w:color w:val="000000" w:themeColor="text1"/>
        </w:rPr>
      </w:pPr>
      <w:r w:rsidRPr="001C58C6">
        <w:rPr>
          <w:rFonts w:ascii="Calibri" w:hAnsi="Calibri" w:cs="Calibri"/>
          <w:b/>
          <w:bCs/>
          <w:i/>
          <w:iCs/>
          <w:color w:val="000000" w:themeColor="text1"/>
        </w:rPr>
        <w:t>Utvrđivanje mjera za smanjenje zagađenja vazduha koje se mogu razmotriti, i detaljni podaci o tim mjerama</w:t>
      </w:r>
    </w:p>
    <w:p w14:paraId="7379287C"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U skladu sa obavezom usklađivanja Programa smanjenja zagađivanja vazduha sa Nacionalnim energetskim i klimatskim planom, kao i obavezom usklađivanja planova kvaliteta vazduha sa Programom smanjenja zagađivanja vazduha, brojne mjere (od ukupno 56 mjera) iz NEKP-a razmatrane su kao moguća sinergija u ovom dijelu politike zaštite vazduha, koja bi mogla doprinijeti rapidnom poboljšanju kvaliteta vazduha, unapređenju zdravlja ljudi u skladu sa Evropskim zelenim dogovorom kao i postizanju strožih standarda koji očekuju Crnu Goru kao buduću članicu EU. </w:t>
      </w:r>
    </w:p>
    <w:p w14:paraId="0A13153C"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Razmatrane mjere su predstavljene u tabeli: </w:t>
      </w:r>
    </w:p>
    <w:p w14:paraId="19225FC3" w14:textId="77777777" w:rsidR="00752282" w:rsidRPr="001C58C6" w:rsidRDefault="00752282" w:rsidP="00C87B0E">
      <w:pPr>
        <w:rPr>
          <w:rFonts w:ascii="Calibri" w:hAnsi="Calibri" w:cs="Calibri"/>
          <w:color w:val="000000" w:themeColor="text1"/>
        </w:rPr>
      </w:pPr>
    </w:p>
    <w:p w14:paraId="56C081D2" w14:textId="77777777" w:rsidR="00C87B0E" w:rsidRPr="001C58C6" w:rsidRDefault="00752282" w:rsidP="00B33518">
      <w:pPr>
        <w:pStyle w:val="Caption"/>
        <w:jc w:val="center"/>
        <w:rPr>
          <w:rFonts w:ascii="Calibri" w:hAnsi="Calibri" w:cs="Calibri"/>
          <w:i/>
          <w:iCs/>
          <w:color w:val="000000" w:themeColor="text1"/>
          <w:sz w:val="20"/>
          <w:szCs w:val="20"/>
        </w:rPr>
      </w:pPr>
      <w:bookmarkStart w:id="201" w:name="_Toc217388769"/>
      <w:bookmarkStart w:id="202" w:name="_Toc217388814"/>
      <w:bookmarkStart w:id="203" w:name="_Toc233584688"/>
      <w:r w:rsidRPr="001C58C6">
        <w:rPr>
          <w:rFonts w:ascii="Calibri" w:hAnsi="Calibri" w:cs="Calibri"/>
          <w:i/>
          <w:iCs/>
          <w:color w:val="000000" w:themeColor="text1"/>
          <w:sz w:val="20"/>
          <w:szCs w:val="20"/>
        </w:rPr>
        <w:t xml:space="preserve">Tabela </w:t>
      </w:r>
      <w:r w:rsidRPr="001C58C6">
        <w:rPr>
          <w:rFonts w:ascii="Calibri" w:hAnsi="Calibri" w:cs="Calibri"/>
          <w:i/>
          <w:iCs/>
          <w:color w:val="000000" w:themeColor="text1"/>
          <w:sz w:val="20"/>
          <w:szCs w:val="20"/>
        </w:rPr>
        <w:fldChar w:fldCharType="begin"/>
      </w:r>
      <w:r w:rsidRPr="001C58C6">
        <w:rPr>
          <w:rFonts w:ascii="Calibri" w:hAnsi="Calibri" w:cs="Calibri"/>
          <w:i/>
          <w:iCs/>
          <w:color w:val="000000" w:themeColor="text1"/>
          <w:sz w:val="20"/>
          <w:szCs w:val="20"/>
        </w:rPr>
        <w:instrText xml:space="preserve"> SEQ Tabela \* ARABIC </w:instrText>
      </w:r>
      <w:r w:rsidRPr="001C58C6">
        <w:rPr>
          <w:rFonts w:ascii="Calibri" w:hAnsi="Calibri" w:cs="Calibri"/>
          <w:i/>
          <w:iCs/>
          <w:color w:val="000000" w:themeColor="text1"/>
          <w:sz w:val="20"/>
          <w:szCs w:val="20"/>
        </w:rPr>
        <w:fldChar w:fldCharType="separate"/>
      </w:r>
      <w:r w:rsidRPr="001C58C6">
        <w:rPr>
          <w:rFonts w:ascii="Calibri" w:hAnsi="Calibri" w:cs="Calibri"/>
          <w:i/>
          <w:iCs/>
          <w:color w:val="000000" w:themeColor="text1"/>
          <w:sz w:val="20"/>
          <w:szCs w:val="20"/>
        </w:rPr>
        <w:t>13</w:t>
      </w:r>
      <w:r w:rsidRPr="001C58C6">
        <w:rPr>
          <w:rFonts w:ascii="Calibri" w:hAnsi="Calibri" w:cs="Calibri"/>
          <w:i/>
          <w:iCs/>
          <w:color w:val="000000" w:themeColor="text1"/>
          <w:sz w:val="20"/>
          <w:szCs w:val="20"/>
        </w:rPr>
        <w:fldChar w:fldCharType="end"/>
      </w:r>
      <w:r w:rsidR="00AB5C9D" w:rsidRPr="001C58C6">
        <w:rPr>
          <w:rFonts w:ascii="Calibri" w:hAnsi="Calibri" w:cs="Calibri"/>
          <w:i/>
          <w:iCs/>
          <w:color w:val="000000" w:themeColor="text1"/>
          <w:sz w:val="20"/>
          <w:szCs w:val="20"/>
        </w:rPr>
        <w:t xml:space="preserve">: </w:t>
      </w:r>
      <w:r w:rsidR="00C87B0E" w:rsidRPr="001C58C6">
        <w:rPr>
          <w:rFonts w:ascii="Calibri" w:hAnsi="Calibri" w:cs="Calibri"/>
          <w:i/>
          <w:iCs/>
          <w:color w:val="000000" w:themeColor="text1"/>
          <w:sz w:val="20"/>
          <w:szCs w:val="20"/>
        </w:rPr>
        <w:t>Razmatrane mjere iz NEKP-a</w:t>
      </w:r>
      <w:bookmarkEnd w:id="201"/>
      <w:bookmarkEnd w:id="202"/>
      <w:bookmarkEnd w:id="203"/>
    </w:p>
    <w:tbl>
      <w:tblPr>
        <w:tblStyle w:val="GridTable1Light-Accent1"/>
        <w:tblW w:w="0" w:type="auto"/>
        <w:tblLook w:val="04A0" w:firstRow="1" w:lastRow="0" w:firstColumn="1" w:lastColumn="0" w:noHBand="0" w:noVBand="1"/>
      </w:tblPr>
      <w:tblGrid>
        <w:gridCol w:w="487"/>
        <w:gridCol w:w="4430"/>
        <w:gridCol w:w="4059"/>
      </w:tblGrid>
      <w:tr w:rsidR="00C87B0E" w:rsidRPr="001C58C6" w14:paraId="700892F7" w14:textId="77777777" w:rsidTr="00AB5C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E8E8E8" w:themeFill="background2"/>
          </w:tcPr>
          <w:p w14:paraId="32414828" w14:textId="77777777" w:rsidR="00C87B0E" w:rsidRPr="001C58C6" w:rsidRDefault="00AB5C9D" w:rsidP="00AB5C9D">
            <w:pPr>
              <w:jc w:val="center"/>
              <w:rPr>
                <w:rFonts w:ascii="Calibri" w:hAnsi="Calibri" w:cs="Calibri"/>
                <w:color w:val="000000" w:themeColor="text1"/>
                <w:sz w:val="22"/>
              </w:rPr>
            </w:pPr>
            <w:r w:rsidRPr="001C58C6">
              <w:rPr>
                <w:rFonts w:ascii="Calibri" w:hAnsi="Calibri" w:cs="Calibri"/>
                <w:color w:val="000000" w:themeColor="text1"/>
                <w:sz w:val="22"/>
              </w:rPr>
              <w:t>R.b</w:t>
            </w:r>
          </w:p>
        </w:tc>
        <w:tc>
          <w:tcPr>
            <w:tcW w:w="4430" w:type="dxa"/>
            <w:shd w:val="clear" w:color="auto" w:fill="E8E8E8" w:themeFill="background2"/>
            <w:hideMark/>
          </w:tcPr>
          <w:p w14:paraId="0D79EB78" w14:textId="77777777" w:rsidR="00C87B0E" w:rsidRPr="001C58C6" w:rsidRDefault="00C87B0E" w:rsidP="00AB5C9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Politike i mjere</w:t>
            </w:r>
          </w:p>
        </w:tc>
        <w:tc>
          <w:tcPr>
            <w:tcW w:w="4059" w:type="dxa"/>
            <w:shd w:val="clear" w:color="auto" w:fill="E8E8E8" w:themeFill="background2"/>
            <w:hideMark/>
          </w:tcPr>
          <w:p w14:paraId="194B1245" w14:textId="77777777" w:rsidR="00C87B0E" w:rsidRPr="001C58C6" w:rsidRDefault="00C87B0E" w:rsidP="00AB5C9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Ciljni sektor</w:t>
            </w:r>
          </w:p>
        </w:tc>
      </w:tr>
      <w:tr w:rsidR="00C87B0E" w:rsidRPr="001C58C6" w14:paraId="4D0E4052" w14:textId="77777777" w:rsidTr="00AB5C9D">
        <w:tc>
          <w:tcPr>
            <w:cnfStyle w:val="001000000000" w:firstRow="0" w:lastRow="0" w:firstColumn="1" w:lastColumn="0" w:oddVBand="0" w:evenVBand="0" w:oddHBand="0" w:evenHBand="0" w:firstRowFirstColumn="0" w:firstRowLastColumn="0" w:lastRowFirstColumn="0" w:lastRowLastColumn="0"/>
            <w:tcW w:w="0" w:type="auto"/>
            <w:hideMark/>
          </w:tcPr>
          <w:p w14:paraId="13FB0CE3" w14:textId="77777777" w:rsidR="00C87B0E" w:rsidRPr="001C58C6" w:rsidRDefault="00C87B0E" w:rsidP="00AB5C9D">
            <w:pPr>
              <w:jc w:val="center"/>
              <w:rPr>
                <w:rFonts w:ascii="Calibri" w:hAnsi="Calibri" w:cs="Calibri"/>
                <w:color w:val="000000" w:themeColor="text1"/>
                <w:sz w:val="22"/>
              </w:rPr>
            </w:pPr>
            <w:r w:rsidRPr="001C58C6">
              <w:rPr>
                <w:rFonts w:ascii="Calibri" w:hAnsi="Calibri" w:cs="Calibri"/>
                <w:color w:val="000000" w:themeColor="text1"/>
                <w:sz w:val="22"/>
              </w:rPr>
              <w:t>1</w:t>
            </w:r>
          </w:p>
        </w:tc>
        <w:tc>
          <w:tcPr>
            <w:tcW w:w="4430" w:type="dxa"/>
            <w:hideMark/>
          </w:tcPr>
          <w:p w14:paraId="212A1D62"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Rekonstrukcija Termoelektrane (TE) Pljevlja i plan budućeg angažovanja</w:t>
            </w:r>
          </w:p>
        </w:tc>
        <w:tc>
          <w:tcPr>
            <w:tcW w:w="4059" w:type="dxa"/>
            <w:hideMark/>
          </w:tcPr>
          <w:p w14:paraId="67B605ED"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Energetska industrija / proizvodnja električne energije</w:t>
            </w:r>
          </w:p>
        </w:tc>
      </w:tr>
      <w:tr w:rsidR="00C87B0E" w:rsidRPr="001C58C6" w14:paraId="158E5E3F" w14:textId="77777777" w:rsidTr="00AB5C9D">
        <w:tc>
          <w:tcPr>
            <w:cnfStyle w:val="001000000000" w:firstRow="0" w:lastRow="0" w:firstColumn="1" w:lastColumn="0" w:oddVBand="0" w:evenVBand="0" w:oddHBand="0" w:evenHBand="0" w:firstRowFirstColumn="0" w:firstRowLastColumn="0" w:lastRowFirstColumn="0" w:lastRowLastColumn="0"/>
            <w:tcW w:w="0" w:type="auto"/>
            <w:hideMark/>
          </w:tcPr>
          <w:p w14:paraId="36C660DB" w14:textId="77777777" w:rsidR="00C87B0E" w:rsidRPr="001C58C6" w:rsidRDefault="00C87B0E" w:rsidP="00AB5C9D">
            <w:pPr>
              <w:jc w:val="center"/>
              <w:rPr>
                <w:rFonts w:ascii="Calibri" w:hAnsi="Calibri" w:cs="Calibri"/>
                <w:color w:val="000000" w:themeColor="text1"/>
                <w:sz w:val="22"/>
              </w:rPr>
            </w:pPr>
            <w:r w:rsidRPr="001C58C6">
              <w:rPr>
                <w:rFonts w:ascii="Calibri" w:hAnsi="Calibri" w:cs="Calibri"/>
                <w:color w:val="000000" w:themeColor="text1"/>
                <w:sz w:val="22"/>
              </w:rPr>
              <w:t>2</w:t>
            </w:r>
          </w:p>
        </w:tc>
        <w:tc>
          <w:tcPr>
            <w:tcW w:w="4430" w:type="dxa"/>
            <w:hideMark/>
          </w:tcPr>
          <w:p w14:paraId="737E8DF1"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Nove OIE elektrane</w:t>
            </w:r>
          </w:p>
        </w:tc>
        <w:tc>
          <w:tcPr>
            <w:tcW w:w="4059" w:type="dxa"/>
            <w:hideMark/>
          </w:tcPr>
          <w:p w14:paraId="59185554"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Energetska industrija / proizvodnja električne energije</w:t>
            </w:r>
          </w:p>
        </w:tc>
      </w:tr>
      <w:tr w:rsidR="00C87B0E" w:rsidRPr="001C58C6" w14:paraId="51310A75" w14:textId="77777777" w:rsidTr="00AB5C9D">
        <w:tc>
          <w:tcPr>
            <w:cnfStyle w:val="001000000000" w:firstRow="0" w:lastRow="0" w:firstColumn="1" w:lastColumn="0" w:oddVBand="0" w:evenVBand="0" w:oddHBand="0" w:evenHBand="0" w:firstRowFirstColumn="0" w:firstRowLastColumn="0" w:lastRowFirstColumn="0" w:lastRowLastColumn="0"/>
            <w:tcW w:w="0" w:type="auto"/>
            <w:hideMark/>
          </w:tcPr>
          <w:p w14:paraId="11C24B7D" w14:textId="77777777" w:rsidR="00C87B0E" w:rsidRPr="001C58C6" w:rsidRDefault="00C87B0E" w:rsidP="00AB5C9D">
            <w:pPr>
              <w:jc w:val="center"/>
              <w:rPr>
                <w:rFonts w:ascii="Calibri" w:hAnsi="Calibri" w:cs="Calibri"/>
                <w:color w:val="000000" w:themeColor="text1"/>
                <w:sz w:val="22"/>
              </w:rPr>
            </w:pPr>
            <w:r w:rsidRPr="001C58C6">
              <w:rPr>
                <w:rFonts w:ascii="Calibri" w:hAnsi="Calibri" w:cs="Calibri"/>
                <w:color w:val="000000" w:themeColor="text1"/>
                <w:sz w:val="22"/>
              </w:rPr>
              <w:t>3</w:t>
            </w:r>
          </w:p>
        </w:tc>
        <w:tc>
          <w:tcPr>
            <w:tcW w:w="4430" w:type="dxa"/>
            <w:hideMark/>
          </w:tcPr>
          <w:p w14:paraId="65D6C184"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Dodatne OIE elektrane</w:t>
            </w:r>
          </w:p>
        </w:tc>
        <w:tc>
          <w:tcPr>
            <w:tcW w:w="4059" w:type="dxa"/>
            <w:hideMark/>
          </w:tcPr>
          <w:p w14:paraId="7ACACD40"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Energetska industrija / proizvodnja električne energije</w:t>
            </w:r>
          </w:p>
        </w:tc>
      </w:tr>
      <w:tr w:rsidR="00C87B0E" w:rsidRPr="001C58C6" w14:paraId="408A6C16" w14:textId="77777777" w:rsidTr="00AB5C9D">
        <w:tc>
          <w:tcPr>
            <w:cnfStyle w:val="001000000000" w:firstRow="0" w:lastRow="0" w:firstColumn="1" w:lastColumn="0" w:oddVBand="0" w:evenVBand="0" w:oddHBand="0" w:evenHBand="0" w:firstRowFirstColumn="0" w:firstRowLastColumn="0" w:lastRowFirstColumn="0" w:lastRowLastColumn="0"/>
            <w:tcW w:w="0" w:type="auto"/>
            <w:hideMark/>
          </w:tcPr>
          <w:p w14:paraId="616B0E3B" w14:textId="77777777" w:rsidR="00C87B0E" w:rsidRPr="001C58C6" w:rsidRDefault="00C87B0E" w:rsidP="00AB5C9D">
            <w:pPr>
              <w:jc w:val="center"/>
              <w:rPr>
                <w:rFonts w:ascii="Calibri" w:hAnsi="Calibri" w:cs="Calibri"/>
                <w:color w:val="000000" w:themeColor="text1"/>
                <w:sz w:val="22"/>
              </w:rPr>
            </w:pPr>
            <w:r w:rsidRPr="001C58C6">
              <w:rPr>
                <w:rFonts w:ascii="Calibri" w:hAnsi="Calibri" w:cs="Calibri"/>
                <w:color w:val="000000" w:themeColor="text1"/>
                <w:sz w:val="22"/>
              </w:rPr>
              <w:t>4</w:t>
            </w:r>
          </w:p>
        </w:tc>
        <w:tc>
          <w:tcPr>
            <w:tcW w:w="4430" w:type="dxa"/>
            <w:hideMark/>
          </w:tcPr>
          <w:p w14:paraId="630DE491"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OIE aukcije</w:t>
            </w:r>
          </w:p>
        </w:tc>
        <w:tc>
          <w:tcPr>
            <w:tcW w:w="4059" w:type="dxa"/>
            <w:hideMark/>
          </w:tcPr>
          <w:p w14:paraId="27068789"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Energetska industrija / proizvodnja električne energije</w:t>
            </w:r>
          </w:p>
        </w:tc>
      </w:tr>
      <w:tr w:rsidR="00C87B0E" w:rsidRPr="001C58C6" w14:paraId="5623DA79" w14:textId="77777777" w:rsidTr="00AB5C9D">
        <w:tc>
          <w:tcPr>
            <w:cnfStyle w:val="001000000000" w:firstRow="0" w:lastRow="0" w:firstColumn="1" w:lastColumn="0" w:oddVBand="0" w:evenVBand="0" w:oddHBand="0" w:evenHBand="0" w:firstRowFirstColumn="0" w:firstRowLastColumn="0" w:lastRowFirstColumn="0" w:lastRowLastColumn="0"/>
            <w:tcW w:w="0" w:type="auto"/>
            <w:hideMark/>
          </w:tcPr>
          <w:p w14:paraId="19614F40" w14:textId="77777777" w:rsidR="00C87B0E" w:rsidRPr="001C58C6" w:rsidRDefault="00C87B0E" w:rsidP="00AB5C9D">
            <w:pPr>
              <w:jc w:val="center"/>
              <w:rPr>
                <w:rFonts w:ascii="Calibri" w:hAnsi="Calibri" w:cs="Calibri"/>
                <w:color w:val="000000" w:themeColor="text1"/>
                <w:sz w:val="22"/>
              </w:rPr>
            </w:pPr>
            <w:r w:rsidRPr="001C58C6">
              <w:rPr>
                <w:rFonts w:ascii="Calibri" w:hAnsi="Calibri" w:cs="Calibri"/>
                <w:color w:val="000000" w:themeColor="text1"/>
                <w:sz w:val="22"/>
              </w:rPr>
              <w:t>5</w:t>
            </w:r>
          </w:p>
        </w:tc>
        <w:tc>
          <w:tcPr>
            <w:tcW w:w="4430" w:type="dxa"/>
            <w:hideMark/>
          </w:tcPr>
          <w:p w14:paraId="452A1A20"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Razvoj CP mehanizama (EU ETS)</w:t>
            </w:r>
          </w:p>
        </w:tc>
        <w:tc>
          <w:tcPr>
            <w:tcW w:w="4059" w:type="dxa"/>
            <w:hideMark/>
          </w:tcPr>
          <w:p w14:paraId="7B390939"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Energetska industrija / proizvodnja električne energije</w:t>
            </w:r>
          </w:p>
        </w:tc>
      </w:tr>
      <w:tr w:rsidR="00C87B0E" w:rsidRPr="001C58C6" w14:paraId="4C6E69F3" w14:textId="77777777" w:rsidTr="00AB5C9D">
        <w:tc>
          <w:tcPr>
            <w:cnfStyle w:val="001000000000" w:firstRow="0" w:lastRow="0" w:firstColumn="1" w:lastColumn="0" w:oddVBand="0" w:evenVBand="0" w:oddHBand="0" w:evenHBand="0" w:firstRowFirstColumn="0" w:firstRowLastColumn="0" w:lastRowFirstColumn="0" w:lastRowLastColumn="0"/>
            <w:tcW w:w="0" w:type="auto"/>
            <w:hideMark/>
          </w:tcPr>
          <w:p w14:paraId="38813D15" w14:textId="77777777" w:rsidR="00C87B0E" w:rsidRPr="001C58C6" w:rsidRDefault="00C87B0E" w:rsidP="00AB5C9D">
            <w:pPr>
              <w:jc w:val="center"/>
              <w:rPr>
                <w:rFonts w:ascii="Calibri" w:hAnsi="Calibri" w:cs="Calibri"/>
                <w:color w:val="000000" w:themeColor="text1"/>
                <w:sz w:val="22"/>
              </w:rPr>
            </w:pPr>
            <w:r w:rsidRPr="001C58C6">
              <w:rPr>
                <w:rFonts w:ascii="Calibri" w:hAnsi="Calibri" w:cs="Calibri"/>
                <w:color w:val="000000" w:themeColor="text1"/>
                <w:sz w:val="22"/>
              </w:rPr>
              <w:t>6</w:t>
            </w:r>
          </w:p>
        </w:tc>
        <w:tc>
          <w:tcPr>
            <w:tcW w:w="4430" w:type="dxa"/>
            <w:hideMark/>
          </w:tcPr>
          <w:p w14:paraId="51112266"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Obnova malih hidroelektrana (povećana EE)</w:t>
            </w:r>
          </w:p>
        </w:tc>
        <w:tc>
          <w:tcPr>
            <w:tcW w:w="4059" w:type="dxa"/>
            <w:hideMark/>
          </w:tcPr>
          <w:p w14:paraId="19617FBE"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Energetska industrija / proizvodnja električne energije</w:t>
            </w:r>
          </w:p>
        </w:tc>
      </w:tr>
      <w:tr w:rsidR="00C87B0E" w:rsidRPr="001C58C6" w14:paraId="3C28AF74" w14:textId="77777777" w:rsidTr="00AB5C9D">
        <w:tc>
          <w:tcPr>
            <w:cnfStyle w:val="001000000000" w:firstRow="0" w:lastRow="0" w:firstColumn="1" w:lastColumn="0" w:oddVBand="0" w:evenVBand="0" w:oddHBand="0" w:evenHBand="0" w:firstRowFirstColumn="0" w:firstRowLastColumn="0" w:lastRowFirstColumn="0" w:lastRowLastColumn="0"/>
            <w:tcW w:w="0" w:type="auto"/>
            <w:hideMark/>
          </w:tcPr>
          <w:p w14:paraId="42E36585" w14:textId="77777777" w:rsidR="00C87B0E" w:rsidRPr="001C58C6" w:rsidRDefault="00C87B0E" w:rsidP="00AB5C9D">
            <w:pPr>
              <w:jc w:val="center"/>
              <w:rPr>
                <w:rFonts w:ascii="Calibri" w:hAnsi="Calibri" w:cs="Calibri"/>
                <w:color w:val="000000" w:themeColor="text1"/>
                <w:sz w:val="22"/>
              </w:rPr>
            </w:pPr>
            <w:r w:rsidRPr="001C58C6">
              <w:rPr>
                <w:rFonts w:ascii="Calibri" w:hAnsi="Calibri" w:cs="Calibri"/>
                <w:color w:val="000000" w:themeColor="text1"/>
                <w:sz w:val="22"/>
              </w:rPr>
              <w:t>7</w:t>
            </w:r>
          </w:p>
        </w:tc>
        <w:tc>
          <w:tcPr>
            <w:tcW w:w="4430" w:type="dxa"/>
            <w:hideMark/>
          </w:tcPr>
          <w:p w14:paraId="28BA7BC8"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Razvoj decentralizovane proizvodnje energije (distributivni srednjenaponski priključak)</w:t>
            </w:r>
          </w:p>
        </w:tc>
        <w:tc>
          <w:tcPr>
            <w:tcW w:w="4059" w:type="dxa"/>
            <w:hideMark/>
          </w:tcPr>
          <w:p w14:paraId="152B60AE"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Energetska industrija / proizvodnja električne energije</w:t>
            </w:r>
          </w:p>
        </w:tc>
      </w:tr>
      <w:tr w:rsidR="00C87B0E" w:rsidRPr="001C58C6" w14:paraId="4E1D624C" w14:textId="77777777" w:rsidTr="00AB5C9D">
        <w:tc>
          <w:tcPr>
            <w:cnfStyle w:val="001000000000" w:firstRow="0" w:lastRow="0" w:firstColumn="1" w:lastColumn="0" w:oddVBand="0" w:evenVBand="0" w:oddHBand="0" w:evenHBand="0" w:firstRowFirstColumn="0" w:firstRowLastColumn="0" w:lastRowFirstColumn="0" w:lastRowLastColumn="0"/>
            <w:tcW w:w="0" w:type="auto"/>
            <w:hideMark/>
          </w:tcPr>
          <w:p w14:paraId="7FDFD07A" w14:textId="77777777" w:rsidR="00C87B0E" w:rsidRPr="001C58C6" w:rsidRDefault="00C87B0E" w:rsidP="00AB5C9D">
            <w:pPr>
              <w:jc w:val="center"/>
              <w:rPr>
                <w:rFonts w:ascii="Calibri" w:hAnsi="Calibri" w:cs="Calibri"/>
                <w:color w:val="000000" w:themeColor="text1"/>
                <w:sz w:val="22"/>
              </w:rPr>
            </w:pPr>
            <w:r w:rsidRPr="001C58C6">
              <w:rPr>
                <w:rFonts w:ascii="Calibri" w:hAnsi="Calibri" w:cs="Calibri"/>
                <w:color w:val="000000" w:themeColor="text1"/>
                <w:sz w:val="22"/>
              </w:rPr>
              <w:t>8</w:t>
            </w:r>
          </w:p>
        </w:tc>
        <w:tc>
          <w:tcPr>
            <w:tcW w:w="4430" w:type="dxa"/>
            <w:hideMark/>
          </w:tcPr>
          <w:p w14:paraId="484DC245"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Dodatni razvoj decentralizovane proizvodnje energije (distributivni srednjenaponski priključak)</w:t>
            </w:r>
          </w:p>
        </w:tc>
        <w:tc>
          <w:tcPr>
            <w:tcW w:w="4059" w:type="dxa"/>
            <w:hideMark/>
          </w:tcPr>
          <w:p w14:paraId="6A22A4E9"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Energetska industrija / proizvodnja električne energije</w:t>
            </w:r>
          </w:p>
        </w:tc>
      </w:tr>
      <w:tr w:rsidR="00C87B0E" w:rsidRPr="001C58C6" w14:paraId="06B1A546" w14:textId="77777777" w:rsidTr="00AB5C9D">
        <w:tc>
          <w:tcPr>
            <w:cnfStyle w:val="001000000000" w:firstRow="0" w:lastRow="0" w:firstColumn="1" w:lastColumn="0" w:oddVBand="0" w:evenVBand="0" w:oddHBand="0" w:evenHBand="0" w:firstRowFirstColumn="0" w:firstRowLastColumn="0" w:lastRowFirstColumn="0" w:lastRowLastColumn="0"/>
            <w:tcW w:w="0" w:type="auto"/>
            <w:hideMark/>
          </w:tcPr>
          <w:p w14:paraId="5850EDC7" w14:textId="77777777" w:rsidR="00C87B0E" w:rsidRPr="001C58C6" w:rsidRDefault="00C87B0E" w:rsidP="00AB5C9D">
            <w:pPr>
              <w:jc w:val="center"/>
              <w:rPr>
                <w:rFonts w:ascii="Calibri" w:hAnsi="Calibri" w:cs="Calibri"/>
                <w:color w:val="000000" w:themeColor="text1"/>
                <w:sz w:val="22"/>
              </w:rPr>
            </w:pPr>
            <w:r w:rsidRPr="001C58C6">
              <w:rPr>
                <w:rFonts w:ascii="Calibri" w:hAnsi="Calibri" w:cs="Calibri"/>
                <w:color w:val="000000" w:themeColor="text1"/>
                <w:sz w:val="22"/>
              </w:rPr>
              <w:t>9</w:t>
            </w:r>
          </w:p>
        </w:tc>
        <w:tc>
          <w:tcPr>
            <w:tcW w:w="4430" w:type="dxa"/>
            <w:hideMark/>
          </w:tcPr>
          <w:p w14:paraId="33BEC1E9"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Promocija e-mobilnosti</w:t>
            </w:r>
          </w:p>
        </w:tc>
        <w:tc>
          <w:tcPr>
            <w:tcW w:w="4059" w:type="dxa"/>
            <w:hideMark/>
          </w:tcPr>
          <w:p w14:paraId="3821E096"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Saobraćaj</w:t>
            </w:r>
          </w:p>
        </w:tc>
      </w:tr>
      <w:tr w:rsidR="00C87B0E" w:rsidRPr="001C58C6" w14:paraId="0FCDA1ED" w14:textId="77777777" w:rsidTr="00AB5C9D">
        <w:tc>
          <w:tcPr>
            <w:cnfStyle w:val="001000000000" w:firstRow="0" w:lastRow="0" w:firstColumn="1" w:lastColumn="0" w:oddVBand="0" w:evenVBand="0" w:oddHBand="0" w:evenHBand="0" w:firstRowFirstColumn="0" w:firstRowLastColumn="0" w:lastRowFirstColumn="0" w:lastRowLastColumn="0"/>
            <w:tcW w:w="0" w:type="auto"/>
            <w:hideMark/>
          </w:tcPr>
          <w:p w14:paraId="681E2C8B" w14:textId="77777777" w:rsidR="00C87B0E" w:rsidRPr="001C58C6" w:rsidRDefault="00C87B0E" w:rsidP="00AB5C9D">
            <w:pPr>
              <w:jc w:val="center"/>
              <w:rPr>
                <w:rFonts w:ascii="Calibri" w:hAnsi="Calibri" w:cs="Calibri"/>
                <w:color w:val="000000" w:themeColor="text1"/>
                <w:sz w:val="22"/>
              </w:rPr>
            </w:pPr>
            <w:r w:rsidRPr="001C58C6">
              <w:rPr>
                <w:rFonts w:ascii="Calibri" w:hAnsi="Calibri" w:cs="Calibri"/>
                <w:color w:val="000000" w:themeColor="text1"/>
                <w:sz w:val="22"/>
              </w:rPr>
              <w:t>10</w:t>
            </w:r>
          </w:p>
        </w:tc>
        <w:tc>
          <w:tcPr>
            <w:tcW w:w="4430" w:type="dxa"/>
            <w:hideMark/>
          </w:tcPr>
          <w:p w14:paraId="689FC096"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Uvođenje obaveznog udjela biogoriva u snabdijevanju gorivom</w:t>
            </w:r>
          </w:p>
        </w:tc>
        <w:tc>
          <w:tcPr>
            <w:tcW w:w="4059" w:type="dxa"/>
            <w:hideMark/>
          </w:tcPr>
          <w:p w14:paraId="53AC3081"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Saobraćaj</w:t>
            </w:r>
          </w:p>
        </w:tc>
      </w:tr>
      <w:tr w:rsidR="00C87B0E" w:rsidRPr="001C58C6" w14:paraId="6F917897" w14:textId="77777777" w:rsidTr="00AB5C9D">
        <w:tc>
          <w:tcPr>
            <w:cnfStyle w:val="001000000000" w:firstRow="0" w:lastRow="0" w:firstColumn="1" w:lastColumn="0" w:oddVBand="0" w:evenVBand="0" w:oddHBand="0" w:evenHBand="0" w:firstRowFirstColumn="0" w:firstRowLastColumn="0" w:lastRowFirstColumn="0" w:lastRowLastColumn="0"/>
            <w:tcW w:w="0" w:type="auto"/>
            <w:hideMark/>
          </w:tcPr>
          <w:p w14:paraId="5EC9CB80" w14:textId="77777777" w:rsidR="00C87B0E" w:rsidRPr="001C58C6" w:rsidRDefault="00C87B0E" w:rsidP="00AB5C9D">
            <w:pPr>
              <w:jc w:val="center"/>
              <w:rPr>
                <w:rFonts w:ascii="Calibri" w:hAnsi="Calibri" w:cs="Calibri"/>
                <w:color w:val="000000" w:themeColor="text1"/>
                <w:sz w:val="22"/>
              </w:rPr>
            </w:pPr>
            <w:r w:rsidRPr="001C58C6">
              <w:rPr>
                <w:rFonts w:ascii="Calibri" w:hAnsi="Calibri" w:cs="Calibri"/>
                <w:color w:val="000000" w:themeColor="text1"/>
                <w:sz w:val="22"/>
              </w:rPr>
              <w:t>11</w:t>
            </w:r>
          </w:p>
        </w:tc>
        <w:tc>
          <w:tcPr>
            <w:tcW w:w="4430" w:type="dxa"/>
            <w:hideMark/>
          </w:tcPr>
          <w:p w14:paraId="7E90D57F"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Proizvođači - kupci (prozjumer) u industriji</w:t>
            </w:r>
          </w:p>
        </w:tc>
        <w:tc>
          <w:tcPr>
            <w:tcW w:w="4059" w:type="dxa"/>
            <w:hideMark/>
          </w:tcPr>
          <w:p w14:paraId="155B6DD6"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Industrija</w:t>
            </w:r>
          </w:p>
        </w:tc>
      </w:tr>
      <w:tr w:rsidR="00C87B0E" w:rsidRPr="001C58C6" w14:paraId="4F9FB815" w14:textId="77777777" w:rsidTr="00AB5C9D">
        <w:tc>
          <w:tcPr>
            <w:cnfStyle w:val="001000000000" w:firstRow="0" w:lastRow="0" w:firstColumn="1" w:lastColumn="0" w:oddVBand="0" w:evenVBand="0" w:oddHBand="0" w:evenHBand="0" w:firstRowFirstColumn="0" w:firstRowLastColumn="0" w:lastRowFirstColumn="0" w:lastRowLastColumn="0"/>
            <w:tcW w:w="0" w:type="auto"/>
            <w:hideMark/>
          </w:tcPr>
          <w:p w14:paraId="3ACC2E7E" w14:textId="77777777" w:rsidR="00C87B0E" w:rsidRPr="001C58C6" w:rsidRDefault="00C87B0E" w:rsidP="00AB5C9D">
            <w:pPr>
              <w:jc w:val="center"/>
              <w:rPr>
                <w:rFonts w:ascii="Calibri" w:hAnsi="Calibri" w:cs="Calibri"/>
                <w:color w:val="000000" w:themeColor="text1"/>
                <w:sz w:val="22"/>
              </w:rPr>
            </w:pPr>
            <w:r w:rsidRPr="001C58C6">
              <w:rPr>
                <w:rFonts w:ascii="Calibri" w:hAnsi="Calibri" w:cs="Calibri"/>
                <w:color w:val="000000" w:themeColor="text1"/>
                <w:sz w:val="22"/>
              </w:rPr>
              <w:lastRenderedPageBreak/>
              <w:t>12</w:t>
            </w:r>
          </w:p>
        </w:tc>
        <w:tc>
          <w:tcPr>
            <w:tcW w:w="4430" w:type="dxa"/>
            <w:hideMark/>
          </w:tcPr>
          <w:p w14:paraId="46207881"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Biogoriva u industriji</w:t>
            </w:r>
          </w:p>
        </w:tc>
        <w:tc>
          <w:tcPr>
            <w:tcW w:w="4059" w:type="dxa"/>
            <w:hideMark/>
          </w:tcPr>
          <w:p w14:paraId="66BBD9CF"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Industrija</w:t>
            </w:r>
          </w:p>
        </w:tc>
      </w:tr>
      <w:tr w:rsidR="00C87B0E" w:rsidRPr="001C58C6" w14:paraId="3F53BECA" w14:textId="77777777" w:rsidTr="00AB5C9D">
        <w:tc>
          <w:tcPr>
            <w:cnfStyle w:val="001000000000" w:firstRow="0" w:lastRow="0" w:firstColumn="1" w:lastColumn="0" w:oddVBand="0" w:evenVBand="0" w:oddHBand="0" w:evenHBand="0" w:firstRowFirstColumn="0" w:firstRowLastColumn="0" w:lastRowFirstColumn="0" w:lastRowLastColumn="0"/>
            <w:tcW w:w="0" w:type="auto"/>
            <w:hideMark/>
          </w:tcPr>
          <w:p w14:paraId="3D65EE52" w14:textId="77777777" w:rsidR="00C87B0E" w:rsidRPr="001C58C6" w:rsidRDefault="00C87B0E" w:rsidP="00AB5C9D">
            <w:pPr>
              <w:jc w:val="center"/>
              <w:rPr>
                <w:rFonts w:ascii="Calibri" w:hAnsi="Calibri" w:cs="Calibri"/>
                <w:color w:val="000000" w:themeColor="text1"/>
                <w:sz w:val="22"/>
              </w:rPr>
            </w:pPr>
            <w:r w:rsidRPr="001C58C6">
              <w:rPr>
                <w:rFonts w:ascii="Calibri" w:hAnsi="Calibri" w:cs="Calibri"/>
                <w:color w:val="000000" w:themeColor="text1"/>
                <w:sz w:val="22"/>
              </w:rPr>
              <w:t>13</w:t>
            </w:r>
          </w:p>
        </w:tc>
        <w:tc>
          <w:tcPr>
            <w:tcW w:w="4430" w:type="dxa"/>
            <w:hideMark/>
          </w:tcPr>
          <w:p w14:paraId="0A74A0D3"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Finansijski podsticaji za uvođenje hibridnih specijalnih radnih mašina u industrijski sektor</w:t>
            </w:r>
          </w:p>
        </w:tc>
        <w:tc>
          <w:tcPr>
            <w:tcW w:w="4059" w:type="dxa"/>
            <w:hideMark/>
          </w:tcPr>
          <w:p w14:paraId="374A7ABF"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Industrija</w:t>
            </w:r>
          </w:p>
        </w:tc>
      </w:tr>
      <w:tr w:rsidR="00C87B0E" w:rsidRPr="001C58C6" w14:paraId="3275E7CC" w14:textId="77777777" w:rsidTr="00AB5C9D">
        <w:tc>
          <w:tcPr>
            <w:cnfStyle w:val="001000000000" w:firstRow="0" w:lastRow="0" w:firstColumn="1" w:lastColumn="0" w:oddVBand="0" w:evenVBand="0" w:oddHBand="0" w:evenHBand="0" w:firstRowFirstColumn="0" w:firstRowLastColumn="0" w:lastRowFirstColumn="0" w:lastRowLastColumn="0"/>
            <w:tcW w:w="0" w:type="auto"/>
            <w:hideMark/>
          </w:tcPr>
          <w:p w14:paraId="0ACB1737" w14:textId="77777777" w:rsidR="00C87B0E" w:rsidRPr="001C58C6" w:rsidRDefault="00C87B0E" w:rsidP="00AB5C9D">
            <w:pPr>
              <w:jc w:val="center"/>
              <w:rPr>
                <w:rFonts w:ascii="Calibri" w:hAnsi="Calibri" w:cs="Calibri"/>
                <w:color w:val="000000" w:themeColor="text1"/>
                <w:sz w:val="22"/>
              </w:rPr>
            </w:pPr>
            <w:r w:rsidRPr="001C58C6">
              <w:rPr>
                <w:rFonts w:ascii="Calibri" w:hAnsi="Calibri" w:cs="Calibri"/>
                <w:color w:val="000000" w:themeColor="text1"/>
                <w:sz w:val="22"/>
              </w:rPr>
              <w:t>14</w:t>
            </w:r>
          </w:p>
        </w:tc>
        <w:tc>
          <w:tcPr>
            <w:tcW w:w="4430" w:type="dxa"/>
            <w:hideMark/>
          </w:tcPr>
          <w:p w14:paraId="2C464590"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Razvoj decentralizovane proizvodnje energije od strane proizvođača - kupaca (prozjumer)</w:t>
            </w:r>
          </w:p>
        </w:tc>
        <w:tc>
          <w:tcPr>
            <w:tcW w:w="4059" w:type="dxa"/>
            <w:hideMark/>
          </w:tcPr>
          <w:p w14:paraId="1EE78213"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Stambeni/komercijalni sektor</w:t>
            </w:r>
          </w:p>
        </w:tc>
      </w:tr>
      <w:tr w:rsidR="00C87B0E" w:rsidRPr="001C58C6" w14:paraId="56266168" w14:textId="77777777" w:rsidTr="00AB5C9D">
        <w:tc>
          <w:tcPr>
            <w:cnfStyle w:val="001000000000" w:firstRow="0" w:lastRow="0" w:firstColumn="1" w:lastColumn="0" w:oddVBand="0" w:evenVBand="0" w:oddHBand="0" w:evenHBand="0" w:firstRowFirstColumn="0" w:firstRowLastColumn="0" w:lastRowFirstColumn="0" w:lastRowLastColumn="0"/>
            <w:tcW w:w="0" w:type="auto"/>
            <w:hideMark/>
          </w:tcPr>
          <w:p w14:paraId="704A4F3A" w14:textId="77777777" w:rsidR="00C87B0E" w:rsidRPr="001C58C6" w:rsidRDefault="00C87B0E" w:rsidP="00AB5C9D">
            <w:pPr>
              <w:jc w:val="center"/>
              <w:rPr>
                <w:rFonts w:ascii="Calibri" w:hAnsi="Calibri" w:cs="Calibri"/>
                <w:color w:val="000000" w:themeColor="text1"/>
                <w:sz w:val="22"/>
              </w:rPr>
            </w:pPr>
            <w:r w:rsidRPr="001C58C6">
              <w:rPr>
                <w:rFonts w:ascii="Calibri" w:hAnsi="Calibri" w:cs="Calibri"/>
                <w:color w:val="000000" w:themeColor="text1"/>
                <w:sz w:val="22"/>
              </w:rPr>
              <w:t>15</w:t>
            </w:r>
          </w:p>
        </w:tc>
        <w:tc>
          <w:tcPr>
            <w:tcW w:w="4430" w:type="dxa"/>
            <w:hideMark/>
          </w:tcPr>
          <w:p w14:paraId="6DCE6744"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Dodatni razvoj decentralizovane proizvodnje energije od strane proizvođača - kupaca (prozjumer)</w:t>
            </w:r>
          </w:p>
        </w:tc>
        <w:tc>
          <w:tcPr>
            <w:tcW w:w="4059" w:type="dxa"/>
            <w:hideMark/>
          </w:tcPr>
          <w:p w14:paraId="225C9E01"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Stambeni/komercijalni sektor</w:t>
            </w:r>
          </w:p>
        </w:tc>
      </w:tr>
      <w:tr w:rsidR="00C87B0E" w:rsidRPr="001C58C6" w14:paraId="0116D38A" w14:textId="77777777" w:rsidTr="00AB5C9D">
        <w:tc>
          <w:tcPr>
            <w:cnfStyle w:val="001000000000" w:firstRow="0" w:lastRow="0" w:firstColumn="1" w:lastColumn="0" w:oddVBand="0" w:evenVBand="0" w:oddHBand="0" w:evenHBand="0" w:firstRowFirstColumn="0" w:firstRowLastColumn="0" w:lastRowFirstColumn="0" w:lastRowLastColumn="0"/>
            <w:tcW w:w="0" w:type="auto"/>
            <w:hideMark/>
          </w:tcPr>
          <w:p w14:paraId="1973B2D8" w14:textId="77777777" w:rsidR="00C87B0E" w:rsidRPr="001C58C6" w:rsidRDefault="00C87B0E" w:rsidP="00AB5C9D">
            <w:pPr>
              <w:jc w:val="center"/>
              <w:rPr>
                <w:rFonts w:ascii="Calibri" w:hAnsi="Calibri" w:cs="Calibri"/>
                <w:color w:val="000000" w:themeColor="text1"/>
                <w:sz w:val="22"/>
              </w:rPr>
            </w:pPr>
            <w:r w:rsidRPr="001C58C6">
              <w:rPr>
                <w:rFonts w:ascii="Calibri" w:hAnsi="Calibri" w:cs="Calibri"/>
                <w:color w:val="000000" w:themeColor="text1"/>
                <w:sz w:val="22"/>
              </w:rPr>
              <w:t>16</w:t>
            </w:r>
          </w:p>
        </w:tc>
        <w:tc>
          <w:tcPr>
            <w:tcW w:w="4430" w:type="dxa"/>
            <w:hideMark/>
          </w:tcPr>
          <w:p w14:paraId="06A0B6B4"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Podrška organskoj poljoprivrednoj proizvodnji</w:t>
            </w:r>
          </w:p>
        </w:tc>
        <w:tc>
          <w:tcPr>
            <w:tcW w:w="4059" w:type="dxa"/>
            <w:hideMark/>
          </w:tcPr>
          <w:p w14:paraId="5E8DCDA3"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Poljoprivreda</w:t>
            </w:r>
          </w:p>
        </w:tc>
      </w:tr>
      <w:tr w:rsidR="00C87B0E" w:rsidRPr="001C58C6" w14:paraId="40FF4448" w14:textId="77777777" w:rsidTr="00AB5C9D">
        <w:tc>
          <w:tcPr>
            <w:cnfStyle w:val="001000000000" w:firstRow="0" w:lastRow="0" w:firstColumn="1" w:lastColumn="0" w:oddVBand="0" w:evenVBand="0" w:oddHBand="0" w:evenHBand="0" w:firstRowFirstColumn="0" w:firstRowLastColumn="0" w:lastRowFirstColumn="0" w:lastRowLastColumn="0"/>
            <w:tcW w:w="0" w:type="auto"/>
            <w:hideMark/>
          </w:tcPr>
          <w:p w14:paraId="63BE0922" w14:textId="77777777" w:rsidR="00C87B0E" w:rsidRPr="001C58C6" w:rsidRDefault="00C87B0E" w:rsidP="00AB5C9D">
            <w:pPr>
              <w:jc w:val="center"/>
              <w:rPr>
                <w:rFonts w:ascii="Calibri" w:hAnsi="Calibri" w:cs="Calibri"/>
                <w:color w:val="000000" w:themeColor="text1"/>
                <w:sz w:val="22"/>
              </w:rPr>
            </w:pPr>
            <w:r w:rsidRPr="001C58C6">
              <w:rPr>
                <w:rFonts w:ascii="Calibri" w:hAnsi="Calibri" w:cs="Calibri"/>
                <w:color w:val="000000" w:themeColor="text1"/>
                <w:sz w:val="22"/>
              </w:rPr>
              <w:t>17</w:t>
            </w:r>
          </w:p>
        </w:tc>
        <w:tc>
          <w:tcPr>
            <w:tcW w:w="4430" w:type="dxa"/>
            <w:hideMark/>
          </w:tcPr>
          <w:p w14:paraId="0C713971"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Podrška upravljanju stajskim đubrivom</w:t>
            </w:r>
          </w:p>
        </w:tc>
        <w:tc>
          <w:tcPr>
            <w:tcW w:w="4059" w:type="dxa"/>
            <w:hideMark/>
          </w:tcPr>
          <w:p w14:paraId="6EB56C0E"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Poljoprivreda</w:t>
            </w:r>
          </w:p>
        </w:tc>
      </w:tr>
      <w:tr w:rsidR="00C87B0E" w:rsidRPr="001C58C6" w14:paraId="49BABD59" w14:textId="77777777" w:rsidTr="00AB5C9D">
        <w:tc>
          <w:tcPr>
            <w:cnfStyle w:val="001000000000" w:firstRow="0" w:lastRow="0" w:firstColumn="1" w:lastColumn="0" w:oddVBand="0" w:evenVBand="0" w:oddHBand="0" w:evenHBand="0" w:firstRowFirstColumn="0" w:firstRowLastColumn="0" w:lastRowFirstColumn="0" w:lastRowLastColumn="0"/>
            <w:tcW w:w="0" w:type="auto"/>
            <w:hideMark/>
          </w:tcPr>
          <w:p w14:paraId="1BEB46EA" w14:textId="77777777" w:rsidR="00C87B0E" w:rsidRPr="001C58C6" w:rsidRDefault="00C87B0E" w:rsidP="00AB5C9D">
            <w:pPr>
              <w:jc w:val="center"/>
              <w:rPr>
                <w:rFonts w:ascii="Calibri" w:hAnsi="Calibri" w:cs="Calibri"/>
                <w:color w:val="000000" w:themeColor="text1"/>
                <w:sz w:val="22"/>
              </w:rPr>
            </w:pPr>
            <w:r w:rsidRPr="001C58C6">
              <w:rPr>
                <w:rFonts w:ascii="Calibri" w:hAnsi="Calibri" w:cs="Calibri"/>
                <w:color w:val="000000" w:themeColor="text1"/>
                <w:sz w:val="22"/>
              </w:rPr>
              <w:t>18</w:t>
            </w:r>
          </w:p>
        </w:tc>
        <w:tc>
          <w:tcPr>
            <w:tcW w:w="4430" w:type="dxa"/>
            <w:hideMark/>
          </w:tcPr>
          <w:p w14:paraId="2C0C40CC"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Smanjenje bio-otpada u komunalnom otpadu</w:t>
            </w:r>
          </w:p>
        </w:tc>
        <w:tc>
          <w:tcPr>
            <w:tcW w:w="4059" w:type="dxa"/>
            <w:hideMark/>
          </w:tcPr>
          <w:p w14:paraId="6D1E9804"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Otpad</w:t>
            </w:r>
          </w:p>
        </w:tc>
      </w:tr>
      <w:tr w:rsidR="00C87B0E" w:rsidRPr="001C58C6" w14:paraId="40F013DB" w14:textId="77777777" w:rsidTr="00AB5C9D">
        <w:tc>
          <w:tcPr>
            <w:cnfStyle w:val="001000000000" w:firstRow="0" w:lastRow="0" w:firstColumn="1" w:lastColumn="0" w:oddVBand="0" w:evenVBand="0" w:oddHBand="0" w:evenHBand="0" w:firstRowFirstColumn="0" w:firstRowLastColumn="0" w:lastRowFirstColumn="0" w:lastRowLastColumn="0"/>
            <w:tcW w:w="0" w:type="auto"/>
            <w:hideMark/>
          </w:tcPr>
          <w:p w14:paraId="1BFEEEC1" w14:textId="77777777" w:rsidR="00C87B0E" w:rsidRPr="001C58C6" w:rsidRDefault="00C87B0E" w:rsidP="00AB5C9D">
            <w:pPr>
              <w:jc w:val="center"/>
              <w:rPr>
                <w:rFonts w:ascii="Calibri" w:hAnsi="Calibri" w:cs="Calibri"/>
                <w:color w:val="000000" w:themeColor="text1"/>
                <w:sz w:val="22"/>
              </w:rPr>
            </w:pPr>
            <w:r w:rsidRPr="001C58C6">
              <w:rPr>
                <w:rFonts w:ascii="Calibri" w:hAnsi="Calibri" w:cs="Calibri"/>
                <w:color w:val="000000" w:themeColor="text1"/>
                <w:sz w:val="22"/>
              </w:rPr>
              <w:t>19</w:t>
            </w:r>
          </w:p>
        </w:tc>
        <w:tc>
          <w:tcPr>
            <w:tcW w:w="4430" w:type="dxa"/>
            <w:hideMark/>
          </w:tcPr>
          <w:p w14:paraId="1E1A196A"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Povećanje stope priključenja na kanalizacioni sistem (cilj 93% do 2035.)</w:t>
            </w:r>
          </w:p>
        </w:tc>
        <w:tc>
          <w:tcPr>
            <w:tcW w:w="4059" w:type="dxa"/>
            <w:hideMark/>
          </w:tcPr>
          <w:p w14:paraId="6A4DACEE"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Otpad</w:t>
            </w:r>
          </w:p>
        </w:tc>
      </w:tr>
      <w:tr w:rsidR="00C87B0E" w:rsidRPr="001C58C6" w14:paraId="5E7F1BDE" w14:textId="77777777" w:rsidTr="00AB5C9D">
        <w:tc>
          <w:tcPr>
            <w:cnfStyle w:val="001000000000" w:firstRow="0" w:lastRow="0" w:firstColumn="1" w:lastColumn="0" w:oddVBand="0" w:evenVBand="0" w:oddHBand="0" w:evenHBand="0" w:firstRowFirstColumn="0" w:firstRowLastColumn="0" w:lastRowFirstColumn="0" w:lastRowLastColumn="0"/>
            <w:tcW w:w="0" w:type="auto"/>
            <w:hideMark/>
          </w:tcPr>
          <w:p w14:paraId="553699E4" w14:textId="77777777" w:rsidR="00C87B0E" w:rsidRPr="001C58C6" w:rsidRDefault="00C87B0E" w:rsidP="00AB5C9D">
            <w:pPr>
              <w:jc w:val="center"/>
              <w:rPr>
                <w:rFonts w:ascii="Calibri" w:hAnsi="Calibri" w:cs="Calibri"/>
                <w:color w:val="000000" w:themeColor="text1"/>
                <w:sz w:val="22"/>
              </w:rPr>
            </w:pPr>
            <w:r w:rsidRPr="001C58C6">
              <w:rPr>
                <w:rFonts w:ascii="Calibri" w:hAnsi="Calibri" w:cs="Calibri"/>
                <w:color w:val="000000" w:themeColor="text1"/>
                <w:sz w:val="22"/>
              </w:rPr>
              <w:t>20</w:t>
            </w:r>
          </w:p>
        </w:tc>
        <w:tc>
          <w:tcPr>
            <w:tcW w:w="4430" w:type="dxa"/>
            <w:hideMark/>
          </w:tcPr>
          <w:p w14:paraId="2ABA97CC"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Daljinsko grijanje u Pljevljima</w:t>
            </w:r>
          </w:p>
        </w:tc>
        <w:tc>
          <w:tcPr>
            <w:tcW w:w="4059" w:type="dxa"/>
            <w:hideMark/>
          </w:tcPr>
          <w:p w14:paraId="535E2A06"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Energetska industrija / proizvodnja toplote</w:t>
            </w:r>
          </w:p>
        </w:tc>
      </w:tr>
      <w:tr w:rsidR="00C87B0E" w:rsidRPr="001C58C6" w14:paraId="09B73616" w14:textId="77777777" w:rsidTr="00AB5C9D">
        <w:tc>
          <w:tcPr>
            <w:cnfStyle w:val="001000000000" w:firstRow="0" w:lastRow="0" w:firstColumn="1" w:lastColumn="0" w:oddVBand="0" w:evenVBand="0" w:oddHBand="0" w:evenHBand="0" w:firstRowFirstColumn="0" w:firstRowLastColumn="0" w:lastRowFirstColumn="0" w:lastRowLastColumn="0"/>
            <w:tcW w:w="0" w:type="auto"/>
            <w:hideMark/>
          </w:tcPr>
          <w:p w14:paraId="4D5CFEDF" w14:textId="77777777" w:rsidR="00C87B0E" w:rsidRPr="001C58C6" w:rsidRDefault="00C87B0E" w:rsidP="00AB5C9D">
            <w:pPr>
              <w:jc w:val="center"/>
              <w:rPr>
                <w:rFonts w:ascii="Calibri" w:hAnsi="Calibri" w:cs="Calibri"/>
                <w:color w:val="000000" w:themeColor="text1"/>
                <w:sz w:val="22"/>
              </w:rPr>
            </w:pPr>
            <w:r w:rsidRPr="001C58C6">
              <w:rPr>
                <w:rFonts w:ascii="Calibri" w:hAnsi="Calibri" w:cs="Calibri"/>
                <w:color w:val="000000" w:themeColor="text1"/>
                <w:sz w:val="22"/>
              </w:rPr>
              <w:t>21</w:t>
            </w:r>
          </w:p>
        </w:tc>
        <w:tc>
          <w:tcPr>
            <w:tcW w:w="4430" w:type="dxa"/>
            <w:hideMark/>
          </w:tcPr>
          <w:p w14:paraId="03AA8815"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Zabrana uvoza starih vozila (Euro 4 ili niži standard)</w:t>
            </w:r>
          </w:p>
        </w:tc>
        <w:tc>
          <w:tcPr>
            <w:tcW w:w="4059" w:type="dxa"/>
            <w:hideMark/>
          </w:tcPr>
          <w:p w14:paraId="403343A7"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Saobraćaj</w:t>
            </w:r>
          </w:p>
        </w:tc>
      </w:tr>
      <w:tr w:rsidR="00C87B0E" w:rsidRPr="001C58C6" w14:paraId="298DF1E5" w14:textId="77777777" w:rsidTr="00AB5C9D">
        <w:tc>
          <w:tcPr>
            <w:cnfStyle w:val="001000000000" w:firstRow="0" w:lastRow="0" w:firstColumn="1" w:lastColumn="0" w:oddVBand="0" w:evenVBand="0" w:oddHBand="0" w:evenHBand="0" w:firstRowFirstColumn="0" w:firstRowLastColumn="0" w:lastRowFirstColumn="0" w:lastRowLastColumn="0"/>
            <w:tcW w:w="0" w:type="auto"/>
            <w:hideMark/>
          </w:tcPr>
          <w:p w14:paraId="54A2AA5B" w14:textId="77777777" w:rsidR="00C87B0E" w:rsidRPr="001C58C6" w:rsidRDefault="00C87B0E" w:rsidP="00AB5C9D">
            <w:pPr>
              <w:jc w:val="center"/>
              <w:rPr>
                <w:rFonts w:ascii="Calibri" w:hAnsi="Calibri" w:cs="Calibri"/>
                <w:color w:val="000000" w:themeColor="text1"/>
                <w:sz w:val="22"/>
              </w:rPr>
            </w:pPr>
            <w:r w:rsidRPr="001C58C6">
              <w:rPr>
                <w:rFonts w:ascii="Calibri" w:hAnsi="Calibri" w:cs="Calibri"/>
                <w:color w:val="000000" w:themeColor="text1"/>
                <w:sz w:val="22"/>
              </w:rPr>
              <w:t>22</w:t>
            </w:r>
          </w:p>
        </w:tc>
        <w:tc>
          <w:tcPr>
            <w:tcW w:w="4430" w:type="dxa"/>
            <w:hideMark/>
          </w:tcPr>
          <w:p w14:paraId="7F6E4005"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Modalni prelaz prevoza putnika na javni autobuski prevoz</w:t>
            </w:r>
          </w:p>
        </w:tc>
        <w:tc>
          <w:tcPr>
            <w:tcW w:w="4059" w:type="dxa"/>
            <w:hideMark/>
          </w:tcPr>
          <w:p w14:paraId="439AED49"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Saobraćaj</w:t>
            </w:r>
          </w:p>
        </w:tc>
      </w:tr>
      <w:tr w:rsidR="00C87B0E" w:rsidRPr="001C58C6" w14:paraId="63082664" w14:textId="77777777" w:rsidTr="00AB5C9D">
        <w:tc>
          <w:tcPr>
            <w:cnfStyle w:val="001000000000" w:firstRow="0" w:lastRow="0" w:firstColumn="1" w:lastColumn="0" w:oddVBand="0" w:evenVBand="0" w:oddHBand="0" w:evenHBand="0" w:firstRowFirstColumn="0" w:firstRowLastColumn="0" w:lastRowFirstColumn="0" w:lastRowLastColumn="0"/>
            <w:tcW w:w="0" w:type="auto"/>
            <w:hideMark/>
          </w:tcPr>
          <w:p w14:paraId="4585B901" w14:textId="77777777" w:rsidR="00C87B0E" w:rsidRPr="001C58C6" w:rsidRDefault="00C87B0E" w:rsidP="00AB5C9D">
            <w:pPr>
              <w:jc w:val="center"/>
              <w:rPr>
                <w:rFonts w:ascii="Calibri" w:hAnsi="Calibri" w:cs="Calibri"/>
                <w:color w:val="000000" w:themeColor="text1"/>
                <w:sz w:val="22"/>
              </w:rPr>
            </w:pPr>
            <w:r w:rsidRPr="001C58C6">
              <w:rPr>
                <w:rFonts w:ascii="Calibri" w:hAnsi="Calibri" w:cs="Calibri"/>
                <w:color w:val="000000" w:themeColor="text1"/>
                <w:sz w:val="22"/>
              </w:rPr>
              <w:t>23</w:t>
            </w:r>
          </w:p>
        </w:tc>
        <w:tc>
          <w:tcPr>
            <w:tcW w:w="4430" w:type="dxa"/>
            <w:hideMark/>
          </w:tcPr>
          <w:p w14:paraId="36173AE6"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Modalni prelaz prevoza putnika i tereta na željeznicu</w:t>
            </w:r>
          </w:p>
        </w:tc>
        <w:tc>
          <w:tcPr>
            <w:tcW w:w="4059" w:type="dxa"/>
            <w:hideMark/>
          </w:tcPr>
          <w:p w14:paraId="343B53BC"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Saobraćaj</w:t>
            </w:r>
          </w:p>
        </w:tc>
      </w:tr>
      <w:tr w:rsidR="00C87B0E" w:rsidRPr="001C58C6" w14:paraId="6D7E860F" w14:textId="77777777" w:rsidTr="00AB5C9D">
        <w:tc>
          <w:tcPr>
            <w:cnfStyle w:val="001000000000" w:firstRow="0" w:lastRow="0" w:firstColumn="1" w:lastColumn="0" w:oddVBand="0" w:evenVBand="0" w:oddHBand="0" w:evenHBand="0" w:firstRowFirstColumn="0" w:firstRowLastColumn="0" w:lastRowFirstColumn="0" w:lastRowLastColumn="0"/>
            <w:tcW w:w="0" w:type="auto"/>
            <w:hideMark/>
          </w:tcPr>
          <w:p w14:paraId="4AB5B507" w14:textId="77777777" w:rsidR="00C87B0E" w:rsidRPr="001C58C6" w:rsidRDefault="00C87B0E" w:rsidP="00AB5C9D">
            <w:pPr>
              <w:jc w:val="center"/>
              <w:rPr>
                <w:rFonts w:ascii="Calibri" w:hAnsi="Calibri" w:cs="Calibri"/>
                <w:color w:val="000000" w:themeColor="text1"/>
                <w:sz w:val="22"/>
              </w:rPr>
            </w:pPr>
            <w:r w:rsidRPr="001C58C6">
              <w:rPr>
                <w:rFonts w:ascii="Calibri" w:hAnsi="Calibri" w:cs="Calibri"/>
                <w:color w:val="000000" w:themeColor="text1"/>
                <w:sz w:val="22"/>
              </w:rPr>
              <w:t>24</w:t>
            </w:r>
          </w:p>
        </w:tc>
        <w:tc>
          <w:tcPr>
            <w:tcW w:w="4430" w:type="dxa"/>
            <w:hideMark/>
          </w:tcPr>
          <w:p w14:paraId="37EE9A32"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Razvoj i implementacija regulatornog okvira energetske efikasnosti u zgradama</w:t>
            </w:r>
          </w:p>
        </w:tc>
        <w:tc>
          <w:tcPr>
            <w:tcW w:w="4059" w:type="dxa"/>
            <w:hideMark/>
          </w:tcPr>
          <w:p w14:paraId="579E4309"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Stambeni / javni / poslovni</w:t>
            </w:r>
          </w:p>
        </w:tc>
      </w:tr>
      <w:tr w:rsidR="00C87B0E" w:rsidRPr="001C58C6" w14:paraId="79C6E5A1" w14:textId="77777777" w:rsidTr="00AB5C9D">
        <w:tc>
          <w:tcPr>
            <w:cnfStyle w:val="001000000000" w:firstRow="0" w:lastRow="0" w:firstColumn="1" w:lastColumn="0" w:oddVBand="0" w:evenVBand="0" w:oddHBand="0" w:evenHBand="0" w:firstRowFirstColumn="0" w:firstRowLastColumn="0" w:lastRowFirstColumn="0" w:lastRowLastColumn="0"/>
            <w:tcW w:w="0" w:type="auto"/>
            <w:hideMark/>
          </w:tcPr>
          <w:p w14:paraId="29E9ECD4" w14:textId="77777777" w:rsidR="00C87B0E" w:rsidRPr="001C58C6" w:rsidRDefault="00C87B0E" w:rsidP="00AB5C9D">
            <w:pPr>
              <w:jc w:val="center"/>
              <w:rPr>
                <w:rFonts w:ascii="Calibri" w:hAnsi="Calibri" w:cs="Calibri"/>
                <w:color w:val="000000" w:themeColor="text1"/>
                <w:sz w:val="22"/>
              </w:rPr>
            </w:pPr>
            <w:r w:rsidRPr="001C58C6">
              <w:rPr>
                <w:rFonts w:ascii="Calibri" w:hAnsi="Calibri" w:cs="Calibri"/>
                <w:color w:val="000000" w:themeColor="text1"/>
                <w:sz w:val="22"/>
              </w:rPr>
              <w:t>25</w:t>
            </w:r>
          </w:p>
        </w:tc>
        <w:tc>
          <w:tcPr>
            <w:tcW w:w="4430" w:type="dxa"/>
            <w:hideMark/>
          </w:tcPr>
          <w:p w14:paraId="0E2F52C4"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Povećana energetska efikasnost u javnim zgradama</w:t>
            </w:r>
          </w:p>
        </w:tc>
        <w:tc>
          <w:tcPr>
            <w:tcW w:w="4059" w:type="dxa"/>
            <w:hideMark/>
          </w:tcPr>
          <w:p w14:paraId="4886E333"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Javno</w:t>
            </w:r>
          </w:p>
        </w:tc>
      </w:tr>
      <w:tr w:rsidR="00C87B0E" w:rsidRPr="001C58C6" w14:paraId="534AC6F3" w14:textId="77777777" w:rsidTr="00AB5C9D">
        <w:tc>
          <w:tcPr>
            <w:cnfStyle w:val="001000000000" w:firstRow="0" w:lastRow="0" w:firstColumn="1" w:lastColumn="0" w:oddVBand="0" w:evenVBand="0" w:oddHBand="0" w:evenHBand="0" w:firstRowFirstColumn="0" w:firstRowLastColumn="0" w:lastRowFirstColumn="0" w:lastRowLastColumn="0"/>
            <w:tcW w:w="0" w:type="auto"/>
            <w:hideMark/>
          </w:tcPr>
          <w:p w14:paraId="5E6443FA" w14:textId="77777777" w:rsidR="00C87B0E" w:rsidRPr="001C58C6" w:rsidRDefault="00C87B0E" w:rsidP="00AB5C9D">
            <w:pPr>
              <w:jc w:val="center"/>
              <w:rPr>
                <w:rFonts w:ascii="Calibri" w:hAnsi="Calibri" w:cs="Calibri"/>
                <w:color w:val="000000" w:themeColor="text1"/>
                <w:sz w:val="22"/>
              </w:rPr>
            </w:pPr>
            <w:r w:rsidRPr="001C58C6">
              <w:rPr>
                <w:rFonts w:ascii="Calibri" w:hAnsi="Calibri" w:cs="Calibri"/>
                <w:color w:val="000000" w:themeColor="text1"/>
                <w:sz w:val="22"/>
              </w:rPr>
              <w:t>26</w:t>
            </w:r>
          </w:p>
        </w:tc>
        <w:tc>
          <w:tcPr>
            <w:tcW w:w="4430" w:type="dxa"/>
            <w:hideMark/>
          </w:tcPr>
          <w:p w14:paraId="4790BCA4"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Sprovođenje mjera energetske efikasnosti u javnoj infrastrukturi</w:t>
            </w:r>
          </w:p>
        </w:tc>
        <w:tc>
          <w:tcPr>
            <w:tcW w:w="4059" w:type="dxa"/>
            <w:hideMark/>
          </w:tcPr>
          <w:p w14:paraId="16A1ABDC"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Javni</w:t>
            </w:r>
          </w:p>
        </w:tc>
      </w:tr>
      <w:tr w:rsidR="00C87B0E" w:rsidRPr="001C58C6" w14:paraId="16AEC2DF" w14:textId="77777777" w:rsidTr="00AB5C9D">
        <w:tc>
          <w:tcPr>
            <w:cnfStyle w:val="001000000000" w:firstRow="0" w:lastRow="0" w:firstColumn="1" w:lastColumn="0" w:oddVBand="0" w:evenVBand="0" w:oddHBand="0" w:evenHBand="0" w:firstRowFirstColumn="0" w:firstRowLastColumn="0" w:lastRowFirstColumn="0" w:lastRowLastColumn="0"/>
            <w:tcW w:w="0" w:type="auto"/>
            <w:hideMark/>
          </w:tcPr>
          <w:p w14:paraId="76BF42AC" w14:textId="77777777" w:rsidR="00C87B0E" w:rsidRPr="001C58C6" w:rsidRDefault="00C87B0E" w:rsidP="00AB5C9D">
            <w:pPr>
              <w:jc w:val="center"/>
              <w:rPr>
                <w:rFonts w:ascii="Calibri" w:hAnsi="Calibri" w:cs="Calibri"/>
                <w:color w:val="000000" w:themeColor="text1"/>
                <w:sz w:val="22"/>
              </w:rPr>
            </w:pPr>
            <w:r w:rsidRPr="001C58C6">
              <w:rPr>
                <w:rFonts w:ascii="Calibri" w:hAnsi="Calibri" w:cs="Calibri"/>
                <w:color w:val="000000" w:themeColor="text1"/>
                <w:sz w:val="22"/>
              </w:rPr>
              <w:t>27</w:t>
            </w:r>
          </w:p>
        </w:tc>
        <w:tc>
          <w:tcPr>
            <w:tcW w:w="4430" w:type="dxa"/>
            <w:hideMark/>
          </w:tcPr>
          <w:p w14:paraId="226DBDFE" w14:textId="77777777" w:rsidR="00C87B0E" w:rsidRPr="001C58C6" w:rsidRDefault="00C87B0E" w:rsidP="00C06DD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C06DD3">
              <w:rPr>
                <w:rFonts w:ascii="Calibri" w:hAnsi="Calibri" w:cs="Calibri"/>
                <w:color w:val="000000" w:themeColor="text1"/>
                <w:sz w:val="22"/>
              </w:rPr>
              <w:t>Finansijski podsticaji za građane i građanke/privatna domaćinstva (za ulaganja u energetsku efikasnost i smanjenje energetskog siromaštva)</w:t>
            </w:r>
          </w:p>
        </w:tc>
        <w:tc>
          <w:tcPr>
            <w:tcW w:w="4059" w:type="dxa"/>
            <w:hideMark/>
          </w:tcPr>
          <w:p w14:paraId="671E7657"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Stambeni</w:t>
            </w:r>
          </w:p>
        </w:tc>
      </w:tr>
    </w:tbl>
    <w:p w14:paraId="4976A1A1"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 </w:t>
      </w:r>
    </w:p>
    <w:p w14:paraId="6723754D" w14:textId="77777777" w:rsidR="00C87B0E" w:rsidRPr="001C58C6" w:rsidRDefault="00C87B0E" w:rsidP="00E53052">
      <w:pPr>
        <w:pStyle w:val="ListParagraph"/>
        <w:numPr>
          <w:ilvl w:val="3"/>
          <w:numId w:val="44"/>
        </w:numPr>
        <w:rPr>
          <w:rFonts w:ascii="Calibri" w:hAnsi="Calibri" w:cs="Calibri"/>
          <w:b/>
          <w:bCs/>
          <w:i/>
          <w:iCs/>
          <w:color w:val="000000" w:themeColor="text1"/>
        </w:rPr>
      </w:pPr>
      <w:r w:rsidRPr="001C58C6">
        <w:rPr>
          <w:rFonts w:ascii="Calibri" w:hAnsi="Calibri" w:cs="Calibri"/>
          <w:b/>
          <w:bCs/>
          <w:i/>
          <w:iCs/>
          <w:color w:val="000000" w:themeColor="text1"/>
        </w:rPr>
        <w:t xml:space="preserve">Odabrane mjere i njihov očekivani efekat za postizanje usklađenosti </w:t>
      </w:r>
    </w:p>
    <w:p w14:paraId="565806AE" w14:textId="77777777" w:rsidR="00752282" w:rsidRPr="001C58C6" w:rsidRDefault="00752282" w:rsidP="009B5D2A">
      <w:pPr>
        <w:pStyle w:val="ListParagraph"/>
        <w:ind w:left="1080"/>
        <w:rPr>
          <w:rFonts w:ascii="Calibri" w:hAnsi="Calibri" w:cs="Calibri"/>
          <w:b/>
          <w:bCs/>
          <w:i/>
          <w:iCs/>
          <w:color w:val="000000" w:themeColor="text1"/>
        </w:rPr>
      </w:pPr>
    </w:p>
    <w:p w14:paraId="0A0516C8"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Imajući u vidu ključne izvore zagađivanja koji su objašnjeni u prethodnom tekstu, u odnosu na razmatranu listu mjera prioritizovane su one koje su povezane sa smanjenjem emisija suspendovanih čestica iz sektora grijanja domaćinstava. Imajući u vidu ne samo aktuelna prekoračenja ciljne vrijednosti benzo(a)pirena, već i potrebu usklađivanja sa strožim standardima kvaliteta vazduha u budućnosti, u plan kvaliteta vazduha za Centralnu zonu uključene su i mjere za smanjenje zagađivanja vazduha iz sektora saobraćaja. </w:t>
      </w:r>
    </w:p>
    <w:p w14:paraId="0047BAC5"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Prije svega, to su sljedeće mjere: </w:t>
      </w:r>
    </w:p>
    <w:p w14:paraId="5AD4CF50" w14:textId="77777777" w:rsidR="00752282" w:rsidRPr="001C58C6" w:rsidRDefault="00752282" w:rsidP="00C87B0E">
      <w:pPr>
        <w:rPr>
          <w:rFonts w:ascii="Calibri" w:hAnsi="Calibri" w:cs="Calibri"/>
          <w:color w:val="000000" w:themeColor="text1"/>
        </w:rPr>
      </w:pPr>
    </w:p>
    <w:p w14:paraId="31220F4D" w14:textId="77777777" w:rsidR="00C87B0E" w:rsidRPr="001C58C6" w:rsidRDefault="00752282" w:rsidP="00B33518">
      <w:pPr>
        <w:pStyle w:val="Caption"/>
        <w:jc w:val="center"/>
        <w:rPr>
          <w:rFonts w:ascii="Calibri" w:hAnsi="Calibri" w:cs="Calibri"/>
          <w:i/>
          <w:iCs/>
          <w:color w:val="000000" w:themeColor="text1"/>
          <w:sz w:val="20"/>
          <w:szCs w:val="20"/>
        </w:rPr>
      </w:pPr>
      <w:bookmarkStart w:id="204" w:name="_Toc217388770"/>
      <w:bookmarkStart w:id="205" w:name="_Toc217388815"/>
      <w:bookmarkStart w:id="206" w:name="_Toc233584689"/>
      <w:r w:rsidRPr="001C58C6">
        <w:rPr>
          <w:rFonts w:ascii="Calibri" w:hAnsi="Calibri" w:cs="Calibri"/>
          <w:i/>
          <w:iCs/>
          <w:color w:val="000000" w:themeColor="text1"/>
          <w:sz w:val="20"/>
          <w:szCs w:val="20"/>
        </w:rPr>
        <w:t xml:space="preserve">Tabela </w:t>
      </w:r>
      <w:r w:rsidRPr="001C58C6">
        <w:rPr>
          <w:rFonts w:ascii="Calibri" w:hAnsi="Calibri" w:cs="Calibri"/>
          <w:i/>
          <w:iCs/>
          <w:color w:val="000000" w:themeColor="text1"/>
          <w:sz w:val="20"/>
          <w:szCs w:val="20"/>
        </w:rPr>
        <w:fldChar w:fldCharType="begin"/>
      </w:r>
      <w:r w:rsidRPr="001C58C6">
        <w:rPr>
          <w:rFonts w:ascii="Calibri" w:hAnsi="Calibri" w:cs="Calibri"/>
          <w:i/>
          <w:iCs/>
          <w:color w:val="000000" w:themeColor="text1"/>
          <w:sz w:val="20"/>
          <w:szCs w:val="20"/>
        </w:rPr>
        <w:instrText xml:space="preserve"> SEQ Tabela \* ARABIC </w:instrText>
      </w:r>
      <w:r w:rsidRPr="001C58C6">
        <w:rPr>
          <w:rFonts w:ascii="Calibri" w:hAnsi="Calibri" w:cs="Calibri"/>
          <w:i/>
          <w:iCs/>
          <w:color w:val="000000" w:themeColor="text1"/>
          <w:sz w:val="20"/>
          <w:szCs w:val="20"/>
        </w:rPr>
        <w:fldChar w:fldCharType="separate"/>
      </w:r>
      <w:r w:rsidRPr="001C58C6">
        <w:rPr>
          <w:rFonts w:ascii="Calibri" w:hAnsi="Calibri" w:cs="Calibri"/>
          <w:i/>
          <w:iCs/>
          <w:color w:val="000000" w:themeColor="text1"/>
          <w:sz w:val="20"/>
          <w:szCs w:val="20"/>
        </w:rPr>
        <w:t>14</w:t>
      </w:r>
      <w:r w:rsidRPr="001C58C6">
        <w:rPr>
          <w:rFonts w:ascii="Calibri" w:hAnsi="Calibri" w:cs="Calibri"/>
          <w:i/>
          <w:iCs/>
          <w:color w:val="000000" w:themeColor="text1"/>
          <w:sz w:val="20"/>
          <w:szCs w:val="20"/>
        </w:rPr>
        <w:fldChar w:fldCharType="end"/>
      </w:r>
      <w:r w:rsidR="00AB5C9D" w:rsidRPr="001C58C6">
        <w:rPr>
          <w:rFonts w:ascii="Calibri" w:hAnsi="Calibri" w:cs="Calibri"/>
          <w:i/>
          <w:iCs/>
          <w:color w:val="000000" w:themeColor="text1"/>
          <w:sz w:val="20"/>
          <w:szCs w:val="20"/>
        </w:rPr>
        <w:t xml:space="preserve">: </w:t>
      </w:r>
      <w:r w:rsidR="00C87B0E" w:rsidRPr="001C58C6">
        <w:rPr>
          <w:rFonts w:ascii="Calibri" w:hAnsi="Calibri" w:cs="Calibri"/>
          <w:i/>
          <w:iCs/>
          <w:color w:val="000000" w:themeColor="text1"/>
          <w:sz w:val="20"/>
          <w:szCs w:val="20"/>
        </w:rPr>
        <w:t>Odabrane mjere iz NEKP-a</w:t>
      </w:r>
      <w:bookmarkEnd w:id="204"/>
      <w:bookmarkEnd w:id="205"/>
      <w:bookmarkEnd w:id="206"/>
    </w:p>
    <w:tbl>
      <w:tblPr>
        <w:tblStyle w:val="GridTable1Light-Accent1"/>
        <w:tblW w:w="0" w:type="auto"/>
        <w:jc w:val="center"/>
        <w:tblLook w:val="04A0" w:firstRow="1" w:lastRow="0" w:firstColumn="1" w:lastColumn="0" w:noHBand="0" w:noVBand="1"/>
      </w:tblPr>
      <w:tblGrid>
        <w:gridCol w:w="487"/>
        <w:gridCol w:w="6232"/>
        <w:gridCol w:w="2297"/>
      </w:tblGrid>
      <w:tr w:rsidR="00C06DD3" w:rsidRPr="001C58C6" w14:paraId="1DF325DE" w14:textId="77777777" w:rsidTr="00AB5C9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8E8E8" w:themeFill="background2"/>
          </w:tcPr>
          <w:p w14:paraId="02B1B9AB" w14:textId="77777777" w:rsidR="00C87B0E" w:rsidRPr="001C58C6" w:rsidRDefault="00AB5C9D" w:rsidP="00AB5C9D">
            <w:pPr>
              <w:jc w:val="center"/>
              <w:rPr>
                <w:rFonts w:ascii="Calibri" w:hAnsi="Calibri" w:cs="Calibri"/>
                <w:color w:val="000000" w:themeColor="text1"/>
                <w:sz w:val="22"/>
              </w:rPr>
            </w:pPr>
            <w:r w:rsidRPr="001C58C6">
              <w:rPr>
                <w:rFonts w:ascii="Calibri" w:hAnsi="Calibri" w:cs="Calibri"/>
                <w:color w:val="000000" w:themeColor="text1"/>
                <w:sz w:val="22"/>
              </w:rPr>
              <w:t>R.b</w:t>
            </w:r>
          </w:p>
        </w:tc>
        <w:tc>
          <w:tcPr>
            <w:tcW w:w="0" w:type="auto"/>
            <w:shd w:val="clear" w:color="auto" w:fill="E8E8E8" w:themeFill="background2"/>
            <w:hideMark/>
          </w:tcPr>
          <w:p w14:paraId="772C8D8A" w14:textId="77777777" w:rsidR="00C87B0E" w:rsidRPr="001C58C6" w:rsidRDefault="00C87B0E" w:rsidP="00AB5C9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Mjere koje će se realizovati u okviru NEKP</w:t>
            </w:r>
          </w:p>
        </w:tc>
        <w:tc>
          <w:tcPr>
            <w:tcW w:w="0" w:type="auto"/>
            <w:shd w:val="clear" w:color="auto" w:fill="E8E8E8" w:themeFill="background2"/>
            <w:hideMark/>
          </w:tcPr>
          <w:p w14:paraId="033EDEBA" w14:textId="77777777" w:rsidR="00C87B0E" w:rsidRPr="001C58C6" w:rsidRDefault="00C87B0E" w:rsidP="00AB5C9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Sektor</w:t>
            </w:r>
          </w:p>
        </w:tc>
      </w:tr>
      <w:tr w:rsidR="00C06DD3" w:rsidRPr="001C58C6" w14:paraId="54F3538A" w14:textId="77777777" w:rsidTr="00AB5C9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4007425" w14:textId="77777777" w:rsidR="00C87B0E" w:rsidRPr="001C58C6" w:rsidRDefault="00C87B0E" w:rsidP="00AB5C9D">
            <w:pPr>
              <w:jc w:val="center"/>
              <w:rPr>
                <w:rFonts w:ascii="Calibri" w:hAnsi="Calibri" w:cs="Calibri"/>
                <w:color w:val="000000" w:themeColor="text1"/>
                <w:sz w:val="22"/>
              </w:rPr>
            </w:pPr>
            <w:r w:rsidRPr="001C58C6">
              <w:rPr>
                <w:rFonts w:ascii="Calibri" w:hAnsi="Calibri" w:cs="Calibri"/>
                <w:color w:val="000000" w:themeColor="text1"/>
                <w:sz w:val="22"/>
              </w:rPr>
              <w:t>1</w:t>
            </w:r>
          </w:p>
        </w:tc>
        <w:tc>
          <w:tcPr>
            <w:tcW w:w="0" w:type="auto"/>
            <w:hideMark/>
          </w:tcPr>
          <w:p w14:paraId="70746649" w14:textId="77777777" w:rsidR="00C87B0E" w:rsidRPr="001C58C6" w:rsidRDefault="00C87B0E" w:rsidP="00C06DD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C06DD3">
              <w:rPr>
                <w:rFonts w:ascii="Calibri" w:hAnsi="Calibri" w:cs="Calibri"/>
                <w:color w:val="000000" w:themeColor="text1"/>
                <w:sz w:val="22"/>
              </w:rPr>
              <w:t>Finansijski podsticaji za građane i građanke/privatna domaćinstva (za ulaganja u energetsku efikasnost i smanjenje energetskog siromaštva)</w:t>
            </w:r>
          </w:p>
        </w:tc>
        <w:tc>
          <w:tcPr>
            <w:tcW w:w="0" w:type="auto"/>
            <w:hideMark/>
          </w:tcPr>
          <w:p w14:paraId="3C84FD39"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Stambeni</w:t>
            </w:r>
          </w:p>
        </w:tc>
      </w:tr>
      <w:tr w:rsidR="00C06DD3" w:rsidRPr="001C58C6" w14:paraId="08ED3F85" w14:textId="77777777" w:rsidTr="00AB5C9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5D8BB30" w14:textId="77777777" w:rsidR="00C87B0E" w:rsidRPr="001C58C6" w:rsidRDefault="00C87B0E" w:rsidP="00AB5C9D">
            <w:pPr>
              <w:jc w:val="center"/>
              <w:rPr>
                <w:rFonts w:ascii="Calibri" w:hAnsi="Calibri" w:cs="Calibri"/>
                <w:color w:val="000000" w:themeColor="text1"/>
                <w:sz w:val="22"/>
              </w:rPr>
            </w:pPr>
            <w:r w:rsidRPr="001C58C6">
              <w:rPr>
                <w:rFonts w:ascii="Calibri" w:hAnsi="Calibri" w:cs="Calibri"/>
                <w:color w:val="000000" w:themeColor="text1"/>
                <w:sz w:val="22"/>
              </w:rPr>
              <w:t>2</w:t>
            </w:r>
          </w:p>
        </w:tc>
        <w:tc>
          <w:tcPr>
            <w:tcW w:w="0" w:type="auto"/>
            <w:hideMark/>
          </w:tcPr>
          <w:p w14:paraId="3691E30D"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Razvoj i implementacija regulatornog okvira energetske efikasnosti u zgradama</w:t>
            </w:r>
          </w:p>
        </w:tc>
        <w:tc>
          <w:tcPr>
            <w:tcW w:w="0" w:type="auto"/>
            <w:hideMark/>
          </w:tcPr>
          <w:p w14:paraId="15C02F8F"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Stambeni / javni / poslovni</w:t>
            </w:r>
          </w:p>
        </w:tc>
      </w:tr>
      <w:tr w:rsidR="00C06DD3" w:rsidRPr="001C58C6" w14:paraId="2B30794D" w14:textId="77777777" w:rsidTr="00AB5C9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0AA7822" w14:textId="77777777" w:rsidR="00C87B0E" w:rsidRPr="001C58C6" w:rsidRDefault="00C87B0E" w:rsidP="00AB5C9D">
            <w:pPr>
              <w:jc w:val="center"/>
              <w:rPr>
                <w:rFonts w:ascii="Calibri" w:hAnsi="Calibri" w:cs="Calibri"/>
                <w:color w:val="000000" w:themeColor="text1"/>
                <w:sz w:val="22"/>
              </w:rPr>
            </w:pPr>
          </w:p>
        </w:tc>
        <w:tc>
          <w:tcPr>
            <w:tcW w:w="0" w:type="auto"/>
            <w:hideMark/>
          </w:tcPr>
          <w:p w14:paraId="76CF6745"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Povećana energetska efikasnost u javnim zgradama</w:t>
            </w:r>
          </w:p>
        </w:tc>
        <w:tc>
          <w:tcPr>
            <w:tcW w:w="0" w:type="auto"/>
            <w:hideMark/>
          </w:tcPr>
          <w:p w14:paraId="0DB9C7BE"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Javni sektor</w:t>
            </w:r>
          </w:p>
        </w:tc>
      </w:tr>
      <w:tr w:rsidR="00C06DD3" w:rsidRPr="001C58C6" w14:paraId="32116EED" w14:textId="77777777" w:rsidTr="00AB5C9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DAA3811" w14:textId="77777777" w:rsidR="00C87B0E" w:rsidRPr="001C58C6" w:rsidRDefault="00C87B0E" w:rsidP="00AB5C9D">
            <w:pPr>
              <w:jc w:val="center"/>
              <w:rPr>
                <w:rFonts w:ascii="Calibri" w:hAnsi="Calibri" w:cs="Calibri"/>
                <w:color w:val="000000" w:themeColor="text1"/>
                <w:sz w:val="22"/>
              </w:rPr>
            </w:pPr>
            <w:r w:rsidRPr="001C58C6">
              <w:rPr>
                <w:rFonts w:ascii="Calibri" w:hAnsi="Calibri" w:cs="Calibri"/>
                <w:color w:val="000000" w:themeColor="text1"/>
                <w:sz w:val="22"/>
              </w:rPr>
              <w:t>4</w:t>
            </w:r>
          </w:p>
        </w:tc>
        <w:tc>
          <w:tcPr>
            <w:tcW w:w="0" w:type="auto"/>
            <w:hideMark/>
          </w:tcPr>
          <w:p w14:paraId="0635CDC1"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Razvoj decentralizovane proizvodnje energije od strane proizvođača - kupaca (prozjumer)</w:t>
            </w:r>
          </w:p>
        </w:tc>
        <w:tc>
          <w:tcPr>
            <w:tcW w:w="0" w:type="auto"/>
            <w:hideMark/>
          </w:tcPr>
          <w:p w14:paraId="5923160A"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Stambeni/komercijalni sektor</w:t>
            </w:r>
          </w:p>
        </w:tc>
      </w:tr>
      <w:tr w:rsidR="00C06DD3" w:rsidRPr="001C58C6" w14:paraId="18F5B9FB" w14:textId="77777777" w:rsidTr="00AB5C9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1D94626" w14:textId="77777777" w:rsidR="00C87B0E" w:rsidRPr="001C58C6" w:rsidRDefault="00C87B0E" w:rsidP="00AB5C9D">
            <w:pPr>
              <w:jc w:val="center"/>
              <w:rPr>
                <w:rFonts w:ascii="Calibri" w:hAnsi="Calibri" w:cs="Calibri"/>
                <w:color w:val="000000" w:themeColor="text1"/>
                <w:sz w:val="22"/>
              </w:rPr>
            </w:pPr>
            <w:r w:rsidRPr="001C58C6">
              <w:rPr>
                <w:rFonts w:ascii="Calibri" w:hAnsi="Calibri" w:cs="Calibri"/>
                <w:color w:val="000000" w:themeColor="text1"/>
                <w:sz w:val="22"/>
              </w:rPr>
              <w:t>5</w:t>
            </w:r>
          </w:p>
        </w:tc>
        <w:tc>
          <w:tcPr>
            <w:tcW w:w="0" w:type="auto"/>
            <w:hideMark/>
          </w:tcPr>
          <w:p w14:paraId="676507A7"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Dodatni razvoj decentralizovane proizvodnje energije od strane proizvođača - kupaca (prozjumer)</w:t>
            </w:r>
          </w:p>
        </w:tc>
        <w:tc>
          <w:tcPr>
            <w:tcW w:w="0" w:type="auto"/>
            <w:hideMark/>
          </w:tcPr>
          <w:p w14:paraId="29E3886E"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Stambeni/komercijalni sektor</w:t>
            </w:r>
          </w:p>
        </w:tc>
      </w:tr>
      <w:tr w:rsidR="00C06DD3" w:rsidRPr="001C58C6" w14:paraId="6666D63E" w14:textId="77777777" w:rsidTr="00AB5C9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5EC99BE" w14:textId="77777777" w:rsidR="00C87B0E" w:rsidRPr="001C58C6" w:rsidRDefault="00C87B0E" w:rsidP="00AB5C9D">
            <w:pPr>
              <w:jc w:val="center"/>
              <w:rPr>
                <w:rFonts w:ascii="Calibri" w:hAnsi="Calibri" w:cs="Calibri"/>
                <w:color w:val="000000" w:themeColor="text1"/>
                <w:sz w:val="22"/>
              </w:rPr>
            </w:pPr>
            <w:r w:rsidRPr="001C58C6">
              <w:rPr>
                <w:rFonts w:ascii="Calibri" w:hAnsi="Calibri" w:cs="Calibri"/>
                <w:color w:val="000000" w:themeColor="text1"/>
                <w:sz w:val="22"/>
              </w:rPr>
              <w:t>6</w:t>
            </w:r>
          </w:p>
        </w:tc>
        <w:tc>
          <w:tcPr>
            <w:tcW w:w="0" w:type="auto"/>
            <w:hideMark/>
          </w:tcPr>
          <w:p w14:paraId="00D2D369"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Promocija e-mobilnosti</w:t>
            </w:r>
          </w:p>
        </w:tc>
        <w:tc>
          <w:tcPr>
            <w:tcW w:w="0" w:type="auto"/>
            <w:hideMark/>
          </w:tcPr>
          <w:p w14:paraId="33051E44"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Saobraćaj</w:t>
            </w:r>
          </w:p>
        </w:tc>
      </w:tr>
      <w:tr w:rsidR="00C06DD3" w:rsidRPr="001C58C6" w14:paraId="5EE49EBB" w14:textId="77777777" w:rsidTr="00AB5C9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235EF11" w14:textId="77777777" w:rsidR="00C87B0E" w:rsidRPr="001C58C6" w:rsidRDefault="00C87B0E" w:rsidP="00AB5C9D">
            <w:pPr>
              <w:jc w:val="center"/>
              <w:rPr>
                <w:rFonts w:ascii="Calibri" w:hAnsi="Calibri" w:cs="Calibri"/>
                <w:color w:val="000000" w:themeColor="text1"/>
                <w:sz w:val="22"/>
              </w:rPr>
            </w:pPr>
            <w:r w:rsidRPr="001C58C6">
              <w:rPr>
                <w:rFonts w:ascii="Calibri" w:hAnsi="Calibri" w:cs="Calibri"/>
                <w:color w:val="000000" w:themeColor="text1"/>
                <w:sz w:val="22"/>
              </w:rPr>
              <w:t>7</w:t>
            </w:r>
          </w:p>
        </w:tc>
        <w:tc>
          <w:tcPr>
            <w:tcW w:w="0" w:type="auto"/>
            <w:hideMark/>
          </w:tcPr>
          <w:p w14:paraId="3A211593"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i/>
                <w:color w:val="000000" w:themeColor="text1"/>
                <w:sz w:val="22"/>
              </w:rPr>
            </w:pPr>
            <w:r w:rsidRPr="001C58C6">
              <w:rPr>
                <w:rFonts w:ascii="Calibri" w:hAnsi="Calibri" w:cs="Calibri"/>
                <w:bCs/>
                <w:iCs/>
                <w:color w:val="000000" w:themeColor="text1"/>
                <w:sz w:val="22"/>
              </w:rPr>
              <w:t xml:space="preserve">Modalni prelaz </w:t>
            </w:r>
            <w:r w:rsidRPr="001C58C6">
              <w:rPr>
                <w:rFonts w:ascii="Calibri" w:hAnsi="Calibri" w:cs="Calibri"/>
                <w:color w:val="000000" w:themeColor="text1"/>
                <w:sz w:val="22"/>
              </w:rPr>
              <w:t>prevoza putnika i tereta na željeznicu</w:t>
            </w:r>
          </w:p>
        </w:tc>
        <w:tc>
          <w:tcPr>
            <w:tcW w:w="0" w:type="auto"/>
            <w:hideMark/>
          </w:tcPr>
          <w:p w14:paraId="22457D4C" w14:textId="77777777" w:rsidR="00C87B0E" w:rsidRPr="001C58C6" w:rsidRDefault="00C87B0E" w:rsidP="00AB5C9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Saobraćaj</w:t>
            </w:r>
          </w:p>
        </w:tc>
      </w:tr>
    </w:tbl>
    <w:p w14:paraId="03AA48C6" w14:textId="77777777" w:rsidR="00AB5C9D" w:rsidRPr="001C58C6" w:rsidRDefault="00AB5C9D" w:rsidP="00AB5C9D">
      <w:pPr>
        <w:ind w:left="720"/>
        <w:rPr>
          <w:rFonts w:ascii="Calibri" w:hAnsi="Calibri" w:cs="Calibri"/>
          <w:b/>
          <w:bCs/>
          <w:i/>
          <w:iCs/>
          <w:color w:val="000000" w:themeColor="text1"/>
        </w:rPr>
      </w:pPr>
    </w:p>
    <w:p w14:paraId="36B6896E" w14:textId="77777777" w:rsidR="00752282" w:rsidRPr="001C58C6" w:rsidRDefault="00C06DD3" w:rsidP="00E53052">
      <w:pPr>
        <w:pStyle w:val="ListParagraph"/>
        <w:numPr>
          <w:ilvl w:val="3"/>
          <w:numId w:val="44"/>
        </w:numPr>
        <w:rPr>
          <w:rFonts w:ascii="Calibri" w:hAnsi="Calibri" w:cs="Calibri"/>
          <w:b/>
          <w:bCs/>
          <w:i/>
          <w:iCs/>
          <w:color w:val="000000" w:themeColor="text1"/>
        </w:rPr>
      </w:pPr>
      <w:r w:rsidRPr="00C06DD3">
        <w:rPr>
          <w:rFonts w:ascii="Calibri" w:hAnsi="Calibri" w:cs="Calibri"/>
          <w:b/>
          <w:bCs/>
          <w:i/>
          <w:iCs/>
          <w:color w:val="000000" w:themeColor="text1"/>
        </w:rPr>
        <w:t>Finansijski podsticaji za građane i građanke/privatna domaćinstva (za ulaganja u energetsku efikasnost i smanjenje energetskog siromaštva)</w:t>
      </w:r>
    </w:p>
    <w:p w14:paraId="13C30EF7"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Stambeni sektor je odgovoran za preko 36% udjela u ukupnoj potražnji za energijom i energetski je najintenzivniji sektor zajedno sa sektorom saobraćaja u zemlji. Prosječan energetski intenzitet stambenog sektora je 169 kWh/m</w:t>
      </w:r>
      <w:r w:rsidRPr="001C58C6">
        <w:rPr>
          <w:rFonts w:ascii="Calibri" w:hAnsi="Calibri" w:cs="Calibri"/>
          <w:color w:val="000000" w:themeColor="text1"/>
          <w:vertAlign w:val="superscript"/>
        </w:rPr>
        <w:t xml:space="preserve">2 </w:t>
      </w:r>
      <w:r w:rsidRPr="001C58C6">
        <w:rPr>
          <w:rFonts w:ascii="Calibri" w:hAnsi="Calibri" w:cs="Calibri"/>
          <w:color w:val="000000" w:themeColor="text1"/>
        </w:rPr>
        <w:t>godišnje. Postoje 3 klimatske zone i energetski intenzitet varira u svakoj od njih. Da bi se postigli ciljevi energetske efikasnosti, važno je mjerama se usmjeriti na energetski najintenzivnije sektore. Grijanje prostora predstavlja najdominantniji udio energije koja se troši u stambenom sektoru (60%). Električna energija i drvo su gotovo jedina goriva koja se koriste u sektoru (99% udjela). Iako je udio potrošnje drva veći (55%), posljednjih godina se postepeno smanjuje. Drvo se pretežno koristi za grijanje prostora (77%), a ostatak se koristi za potrebe kuvanja. Energetska efikasnost ovih tehnologija je veoma niska. Takođe, skoro 70% stambenih zgrada izgrađeno je prije 2000. godine, odnosno prije uspostavljanja nekog od savremenih standarda koji se odnose na energetsku efikasnost.</w:t>
      </w:r>
    </w:p>
    <w:p w14:paraId="3D21D094" w14:textId="77777777" w:rsidR="00752282" w:rsidRPr="001C58C6" w:rsidRDefault="00752282" w:rsidP="00C87B0E">
      <w:pPr>
        <w:rPr>
          <w:rFonts w:ascii="Calibri" w:hAnsi="Calibri" w:cs="Calibri"/>
          <w:color w:val="000000" w:themeColor="text1"/>
        </w:rPr>
      </w:pPr>
    </w:p>
    <w:p w14:paraId="554B961B"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Cilj ove mjere je obezbjeđivanje mehanizama finansijske podrške pojedincima za ulaganje u energetsku efikasnost i OIE. To uključuje uvođenje namjenskih državnih i lokalnih programa subvencionisanja za uštedu energije u privatnim domaćinstvima i korišćenje OIE. </w:t>
      </w:r>
    </w:p>
    <w:p w14:paraId="4FCA6991" w14:textId="77777777" w:rsidR="00752282" w:rsidRPr="001C58C6" w:rsidRDefault="00752282" w:rsidP="00C87B0E">
      <w:pPr>
        <w:rPr>
          <w:rFonts w:ascii="Calibri" w:hAnsi="Calibri" w:cs="Calibri"/>
          <w:color w:val="000000" w:themeColor="text1"/>
        </w:rPr>
      </w:pPr>
    </w:p>
    <w:p w14:paraId="2340BEC3"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U toku je realizacija programa subvencionisanja domaćinstava sa ciljem poboljšanja energetske efikasnosti. Ukupan budžet za program je 8,8 miliona eura, od čega je 2,8 miliona eura dodijeljeno opštini Pljevlja, a preostalih 6 miliona eura za ostale opštine širom zemlje. Maksimalni iznos bespovratnih sredstava po korisniku je 10.000 eura, a iznosi za pojedinačne mjere se kreću od 2.000 do 6.000 eura. Program se realizuje u saradnji Ministarstva energetike i rudarstva sa Eko-fondom, koji ima ulogu implementacionog tijela, uz tehničku podršku Programa Ujedinjenih nacija za razvoj (UNDP). Važno je obezbijediti nastavak realizacije sličnih programa podrške i u narednom periodu u cilju dalje obnove stambenog sektora. </w:t>
      </w:r>
    </w:p>
    <w:p w14:paraId="05E30593" w14:textId="77777777" w:rsidR="00752282" w:rsidRPr="001C58C6" w:rsidRDefault="00752282" w:rsidP="00C87B0E">
      <w:pPr>
        <w:rPr>
          <w:rFonts w:ascii="Calibri" w:hAnsi="Calibri" w:cs="Calibri"/>
          <w:color w:val="000000" w:themeColor="text1"/>
        </w:rPr>
      </w:pPr>
    </w:p>
    <w:p w14:paraId="71599DDC"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u w:val="single"/>
        </w:rPr>
        <w:t>Odgovorna lica za implementaciju:</w:t>
      </w:r>
      <w:r w:rsidRPr="001C58C6">
        <w:rPr>
          <w:rFonts w:ascii="Calibri" w:hAnsi="Calibri" w:cs="Calibri"/>
          <w:b/>
          <w:bCs/>
          <w:color w:val="000000" w:themeColor="text1"/>
        </w:rPr>
        <w:t xml:space="preserve"> </w:t>
      </w:r>
      <w:r w:rsidRPr="001C58C6">
        <w:rPr>
          <w:rFonts w:ascii="Calibri" w:hAnsi="Calibri" w:cs="Calibri"/>
          <w:color w:val="000000" w:themeColor="text1"/>
        </w:rPr>
        <w:t>Ministarstvo energetike i rudarstva, Eko-fond, lokalni kvalifikovani distributeri i instalateri EE opreme kao i lokalne komercijalne banke.</w:t>
      </w:r>
    </w:p>
    <w:p w14:paraId="1609E960"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u w:val="single"/>
        </w:rPr>
        <w:t>Troškovi:</w:t>
      </w:r>
      <w:r w:rsidRPr="001C58C6">
        <w:rPr>
          <w:rFonts w:ascii="Calibri" w:hAnsi="Calibri" w:cs="Calibri"/>
          <w:color w:val="000000" w:themeColor="text1"/>
        </w:rPr>
        <w:t xml:space="preserve"> U okviru tekućeg programa podsticanja energetske efikasnosti u domaćinstvima opredijeljeno 8.8 miliona eura za podršku sektoru domaćinstava. Neophodno obezbijediti dodatna sredstva za nastavak programa podrške u narednom periodu. Za period do 2027. godine voditi se indikatorima iz Reformske agende za period 2024-2027. godina.</w:t>
      </w:r>
    </w:p>
    <w:p w14:paraId="154AC372" w14:textId="77777777" w:rsidR="00752282" w:rsidRPr="001C58C6" w:rsidRDefault="00752282" w:rsidP="00C87B0E">
      <w:pPr>
        <w:rPr>
          <w:rFonts w:ascii="Calibri" w:hAnsi="Calibri" w:cs="Calibri"/>
          <w:color w:val="000000" w:themeColor="text1"/>
        </w:rPr>
      </w:pPr>
    </w:p>
    <w:p w14:paraId="7038AF66" w14:textId="77777777" w:rsidR="00C87B0E" w:rsidRPr="001C58C6" w:rsidRDefault="00C87B0E" w:rsidP="00E53052">
      <w:pPr>
        <w:pStyle w:val="ListParagraph"/>
        <w:numPr>
          <w:ilvl w:val="3"/>
          <w:numId w:val="45"/>
        </w:numPr>
        <w:rPr>
          <w:rFonts w:ascii="Calibri" w:hAnsi="Calibri" w:cs="Calibri"/>
          <w:b/>
          <w:bCs/>
          <w:i/>
          <w:iCs/>
          <w:color w:val="000000" w:themeColor="text1"/>
        </w:rPr>
      </w:pPr>
      <w:r w:rsidRPr="001C58C6">
        <w:rPr>
          <w:rFonts w:ascii="Calibri" w:hAnsi="Calibri" w:cs="Calibri"/>
          <w:b/>
          <w:bCs/>
          <w:i/>
          <w:iCs/>
          <w:color w:val="000000" w:themeColor="text1"/>
        </w:rPr>
        <w:t>Razvoj i implementacija regulatornog okvira energetske efikasnosti u zgradama</w:t>
      </w:r>
    </w:p>
    <w:p w14:paraId="49ADC4BB"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NEKP obuhvata paket mjera koji se odnosi na energetsku efikasnost u sektoru zgradarstva: </w:t>
      </w:r>
    </w:p>
    <w:p w14:paraId="2A610A55" w14:textId="77777777" w:rsidR="00C87B0E" w:rsidRPr="001C58C6" w:rsidRDefault="00C87B0E" w:rsidP="001A616D">
      <w:pPr>
        <w:numPr>
          <w:ilvl w:val="0"/>
          <w:numId w:val="4"/>
        </w:numPr>
        <w:rPr>
          <w:rFonts w:ascii="Calibri" w:hAnsi="Calibri" w:cs="Calibri"/>
          <w:color w:val="000000" w:themeColor="text1"/>
        </w:rPr>
      </w:pPr>
      <w:r w:rsidRPr="001C58C6">
        <w:rPr>
          <w:rFonts w:ascii="Calibri" w:hAnsi="Calibri" w:cs="Calibri"/>
          <w:color w:val="000000" w:themeColor="text1"/>
        </w:rPr>
        <w:t>Razvoj i implementacija regulatornog okvira energetske efikasnosti u zgradama</w:t>
      </w:r>
    </w:p>
    <w:p w14:paraId="67D634E5" w14:textId="77777777" w:rsidR="00C87B0E" w:rsidRPr="001C58C6" w:rsidRDefault="00C87B0E" w:rsidP="001A616D">
      <w:pPr>
        <w:numPr>
          <w:ilvl w:val="0"/>
          <w:numId w:val="4"/>
        </w:numPr>
        <w:rPr>
          <w:rFonts w:ascii="Calibri" w:hAnsi="Calibri" w:cs="Calibri"/>
          <w:color w:val="000000" w:themeColor="text1"/>
        </w:rPr>
      </w:pPr>
      <w:r w:rsidRPr="001C58C6">
        <w:rPr>
          <w:rFonts w:ascii="Calibri" w:hAnsi="Calibri" w:cs="Calibri"/>
          <w:color w:val="000000" w:themeColor="text1"/>
        </w:rPr>
        <w:t>Povećana energetska efikasnost u javnim zgradama</w:t>
      </w:r>
    </w:p>
    <w:p w14:paraId="1FB8231D" w14:textId="77777777" w:rsidR="00C87B0E" w:rsidRPr="001C58C6" w:rsidRDefault="00C87B0E" w:rsidP="001A616D">
      <w:pPr>
        <w:numPr>
          <w:ilvl w:val="0"/>
          <w:numId w:val="4"/>
        </w:numPr>
        <w:rPr>
          <w:rFonts w:ascii="Calibri" w:hAnsi="Calibri" w:cs="Calibri"/>
          <w:color w:val="000000" w:themeColor="text1"/>
        </w:rPr>
      </w:pPr>
      <w:r w:rsidRPr="001C58C6">
        <w:rPr>
          <w:rFonts w:ascii="Calibri" w:hAnsi="Calibri" w:cs="Calibri"/>
          <w:color w:val="000000" w:themeColor="text1"/>
        </w:rPr>
        <w:t>Sprovođenje mjera energetske efikasnosti u javnoj infrastrukturi</w:t>
      </w:r>
    </w:p>
    <w:p w14:paraId="7627D4EA"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Za sprovođenje ovih mjera izrađen je pravni okvir usklađen sa relevantnim evropskim propisima  i izrađena Studija unaprjeđenja energetske efikasnosti zgrada u Crnoj Gori. Izrađen je inventara zgrad, određivanje referentnih zgrada po kategorijama i određivanje energetskih klasa, što je omogućilo finalizaciju nacionalnog softvera za proračun energetskih karakteristika zgrada i njihovo sertifikovanje. Utvrđene su promjene u obavezama lokalnih </w:t>
      </w:r>
      <w:r w:rsidRPr="001C58C6">
        <w:rPr>
          <w:rFonts w:ascii="Calibri" w:hAnsi="Calibri" w:cs="Calibri"/>
          <w:color w:val="000000" w:themeColor="text1"/>
        </w:rPr>
        <w:lastRenderedPageBreak/>
        <w:t xml:space="preserve">opština i velikih pravnih lica (više od 500 zaposlenih) koji treba da pripreme programe za unapređenje energetske efikasnosti, svake godine izvještavaju o njihovoj realizaciji i najmanje jednom u četiri godine vrše energetske preglede svojih objekata. </w:t>
      </w:r>
    </w:p>
    <w:p w14:paraId="71201CDA"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u w:val="single"/>
        </w:rPr>
        <w:t>Odgovorna lica za implementaciju</w:t>
      </w:r>
      <w:r w:rsidRPr="001C58C6">
        <w:rPr>
          <w:rFonts w:ascii="Calibri" w:hAnsi="Calibri" w:cs="Calibri"/>
          <w:color w:val="000000" w:themeColor="text1"/>
        </w:rPr>
        <w:t>: Javna uprava (Ministarstvo energetike i rudarstva, lokalne samouprave), građani, privatna preduzeća/vlasnici poslovnih objekata, investitori u objekte za stanovanje i komercijalni sektor.</w:t>
      </w:r>
    </w:p>
    <w:p w14:paraId="77FFBD2B" w14:textId="77777777" w:rsidR="00752282" w:rsidRPr="001C58C6" w:rsidRDefault="00752282" w:rsidP="00C87B0E">
      <w:pPr>
        <w:rPr>
          <w:rFonts w:ascii="Calibri" w:hAnsi="Calibri" w:cs="Calibri"/>
          <w:color w:val="000000" w:themeColor="text1"/>
        </w:rPr>
      </w:pPr>
    </w:p>
    <w:p w14:paraId="29092311" w14:textId="77777777" w:rsidR="00C87B0E" w:rsidRPr="001C58C6" w:rsidRDefault="00C87B0E" w:rsidP="00E53052">
      <w:pPr>
        <w:pStyle w:val="ListParagraph"/>
        <w:numPr>
          <w:ilvl w:val="3"/>
          <w:numId w:val="45"/>
        </w:numPr>
        <w:rPr>
          <w:rFonts w:ascii="Calibri" w:hAnsi="Calibri" w:cs="Calibri"/>
          <w:b/>
          <w:bCs/>
          <w:i/>
          <w:iCs/>
          <w:color w:val="000000" w:themeColor="text1"/>
        </w:rPr>
      </w:pPr>
      <w:r w:rsidRPr="001C58C6">
        <w:rPr>
          <w:rFonts w:ascii="Calibri" w:hAnsi="Calibri" w:cs="Calibri"/>
          <w:b/>
          <w:bCs/>
          <w:i/>
          <w:iCs/>
          <w:color w:val="000000" w:themeColor="text1"/>
        </w:rPr>
        <w:t>Povećana energetska efikasnost u javnim zgradama</w:t>
      </w:r>
    </w:p>
    <w:p w14:paraId="5E93142C" w14:textId="77777777" w:rsidR="00752282" w:rsidRPr="001C58C6" w:rsidRDefault="00752282" w:rsidP="00752282">
      <w:pPr>
        <w:pStyle w:val="ListParagraph"/>
        <w:ind w:left="1080"/>
        <w:rPr>
          <w:rFonts w:ascii="Calibri" w:hAnsi="Calibri" w:cs="Calibri"/>
          <w:b/>
          <w:bCs/>
          <w:i/>
          <w:iCs/>
          <w:color w:val="000000" w:themeColor="text1"/>
        </w:rPr>
      </w:pPr>
    </w:p>
    <w:p w14:paraId="4B79C363"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Javne zgrade imaju učešće od 9% u ukupnoj potražnji za energijom uslužnog sektora. Električna energija je dominantno korišćeno gorivo (64% udjela), ali tu su i ekstra lako lož ulje (15%), ugalj (15%), drvo (6%) i zanemarljiva upotreba TNG-a. Zgrade se odlikuju niskom energetskom efikasnošću i u nekim slučajevima vrlo niskim komfornim uslovima. Postoji potreba za značajnim poboljšanjem omotača zgrade, sistema grijanja/hlađenja, priprema sanitarne vode vode, rasvjete, ali je takođe potrebno uvesti sisteme upravljanja energijom, integraciju obnovljivih izvora energije i promjene u ponašanju i radu. Budući da su javne zgrade dio javne uprave, mjere energetske efikasnosti je znatno lakše implementirati nego u stambenom sektoru zbog manjih finansijskih i organizacionih izazova.</w:t>
      </w:r>
    </w:p>
    <w:p w14:paraId="194979EB" w14:textId="77777777" w:rsidR="00752282" w:rsidRPr="001C58C6" w:rsidRDefault="00752282" w:rsidP="00C87B0E">
      <w:pPr>
        <w:rPr>
          <w:rFonts w:ascii="Calibri" w:hAnsi="Calibri" w:cs="Calibri"/>
          <w:color w:val="000000" w:themeColor="text1"/>
        </w:rPr>
      </w:pPr>
    </w:p>
    <w:p w14:paraId="32D6F4C1"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Vlada je izradila Plan rekonstrukcije državnih službenih zgrada za period 2024-2026. Završeni su radovi na obrazovnim ustanovama u Tuzima, Kotoru, Nikšiću, Cetinju i Baru. Utrošeno je oko 40 % budžeta. U fazi razvoja i pripreme su projekti za javne objekte i škole u Podgorici, Plavu, Gusinju i Rožajama i Nikšiću.</w:t>
      </w:r>
    </w:p>
    <w:p w14:paraId="7B78556B"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u w:val="single"/>
        </w:rPr>
        <w:t>Odgovorna lica za implementaciju</w:t>
      </w:r>
      <w:r w:rsidRPr="001C58C6">
        <w:rPr>
          <w:rFonts w:ascii="Calibri" w:hAnsi="Calibri" w:cs="Calibri"/>
          <w:color w:val="000000" w:themeColor="text1"/>
        </w:rPr>
        <w:t>: Javna uprava (Ministarstvo energetike i rudarstva, organi nadležni za upravljanja javnim objektima lokalne samouprave).</w:t>
      </w:r>
    </w:p>
    <w:p w14:paraId="5271EABF" w14:textId="77777777" w:rsidR="00C87B0E" w:rsidRPr="001C58C6" w:rsidRDefault="00C87B0E" w:rsidP="00C87B0E">
      <w:pPr>
        <w:rPr>
          <w:rFonts w:ascii="Calibri" w:hAnsi="Calibri" w:cs="Calibri"/>
          <w:bCs/>
          <w:iCs/>
          <w:color w:val="000000" w:themeColor="text1"/>
        </w:rPr>
      </w:pPr>
      <w:r w:rsidRPr="001C58C6">
        <w:rPr>
          <w:rFonts w:ascii="Calibri" w:hAnsi="Calibri" w:cs="Calibri"/>
          <w:iCs/>
          <w:color w:val="000000" w:themeColor="text1"/>
          <w:u w:val="single"/>
        </w:rPr>
        <w:t>Troškovi</w:t>
      </w:r>
      <w:r w:rsidRPr="001C58C6">
        <w:rPr>
          <w:rFonts w:ascii="Calibri" w:hAnsi="Calibri" w:cs="Calibri"/>
          <w:b/>
          <w:bCs/>
          <w:iCs/>
          <w:color w:val="000000" w:themeColor="text1"/>
        </w:rPr>
        <w:t xml:space="preserve">: </w:t>
      </w:r>
      <w:r w:rsidRPr="001C58C6">
        <w:rPr>
          <w:rFonts w:ascii="Calibri" w:hAnsi="Calibri" w:cs="Calibri"/>
          <w:bCs/>
          <w:iCs/>
          <w:color w:val="000000" w:themeColor="text1"/>
        </w:rPr>
        <w:t>Ukupan budžet iznosi 80 miliona eura.</w:t>
      </w:r>
    </w:p>
    <w:p w14:paraId="77478B68" w14:textId="77777777" w:rsidR="00752282" w:rsidRPr="001C58C6" w:rsidRDefault="00752282" w:rsidP="00C87B0E">
      <w:pPr>
        <w:rPr>
          <w:rFonts w:ascii="Calibri" w:hAnsi="Calibri" w:cs="Calibri"/>
          <w:color w:val="000000" w:themeColor="text1"/>
        </w:rPr>
      </w:pPr>
    </w:p>
    <w:p w14:paraId="0EBC15D0" w14:textId="77777777" w:rsidR="00C87B0E" w:rsidRPr="001C58C6" w:rsidRDefault="00C87B0E" w:rsidP="00E53052">
      <w:pPr>
        <w:pStyle w:val="ListParagraph"/>
        <w:numPr>
          <w:ilvl w:val="3"/>
          <w:numId w:val="45"/>
        </w:numPr>
        <w:rPr>
          <w:rFonts w:ascii="Calibri" w:hAnsi="Calibri" w:cs="Calibri"/>
          <w:b/>
          <w:bCs/>
          <w:i/>
          <w:iCs/>
          <w:color w:val="000000" w:themeColor="text1"/>
        </w:rPr>
      </w:pPr>
      <w:r w:rsidRPr="001C58C6">
        <w:rPr>
          <w:rFonts w:ascii="Calibri" w:hAnsi="Calibri" w:cs="Calibri"/>
          <w:b/>
          <w:bCs/>
          <w:i/>
          <w:iCs/>
          <w:color w:val="000000" w:themeColor="text1"/>
        </w:rPr>
        <w:t>Razvoj decentralizovane proizvodnje energije od strane proizvođača - kupaca (prozjumer) i 5) Dodatni razvoj decentralizovane proizvodnje energije od strane proizvođača - kupaca (prozjumer)</w:t>
      </w:r>
    </w:p>
    <w:p w14:paraId="609D77F2" w14:textId="77777777" w:rsidR="00752282" w:rsidRPr="001C58C6" w:rsidRDefault="00752282" w:rsidP="00752282">
      <w:pPr>
        <w:pStyle w:val="ListParagraph"/>
        <w:ind w:left="1080"/>
        <w:rPr>
          <w:rFonts w:ascii="Calibri" w:hAnsi="Calibri" w:cs="Calibri"/>
          <w:b/>
          <w:bCs/>
          <w:i/>
          <w:iCs/>
          <w:color w:val="000000" w:themeColor="text1"/>
        </w:rPr>
      </w:pPr>
    </w:p>
    <w:p w14:paraId="140F5F46"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Razvoj decentralizovane proizvodnje je postao neizostavan dio energetske tranzicije koji je u Crnoj Gori naišao na široku primjenu. Zahvaljujući projektu Solari+ veliki broj domaćinstava i poslovnih objekata odlučuju se da ugrade fotonaponske sisteme na krovovima svojih objekata i na taj način ostvaruju lične benefite kao što su umanjenje računa za struju i energetska nezavisnost ali i benefiti koji se odnose na širu zajednicu među kojima je smanjenje emisije GHG i zaštita životne sredine.</w:t>
      </w:r>
    </w:p>
    <w:p w14:paraId="2CC6CA89"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EPCG je glavni pokretač razvoja koncepta kupac-proizvođač u Crnoj Gori. Ova kompanija nudi sve potrebne tehničke usluge i finansiranje (u vidu kredita koji se otplaćuje putem računa za struju na način da je dio računa investicija). Trenutno je ovaj koncept uglavnom usmjeren na stambeni sektor, ali se može efikasno primijeniti i na veće potrošače. Postoji veliko interesovanje potrošača (potencijalnih 26000 potrošača), a energetski se očekuje da će do 2030. godine ukupna snaga biti blizu 250 MW. Postoje planovi za još veću integraciju potrošača, ali i potreba za razvojem metodologije za proračun mogućnosti priključenja, kao i za uključivanjem baterijskih električnih sistema za skladištenje kao obaveznog dijela instalacije za korisnike.</w:t>
      </w:r>
    </w:p>
    <w:p w14:paraId="6154B5E5" w14:textId="77777777" w:rsidR="00752282" w:rsidRPr="001C58C6" w:rsidRDefault="00752282" w:rsidP="00C87B0E">
      <w:pPr>
        <w:rPr>
          <w:rFonts w:ascii="Calibri" w:hAnsi="Calibri" w:cs="Calibri"/>
          <w:color w:val="000000" w:themeColor="text1"/>
        </w:rPr>
      </w:pPr>
    </w:p>
    <w:p w14:paraId="09D30104" w14:textId="77777777" w:rsidR="00C87B0E" w:rsidRPr="001C58C6" w:rsidRDefault="00AB5C9D" w:rsidP="00C87B0E">
      <w:pPr>
        <w:rPr>
          <w:rFonts w:ascii="Calibri" w:hAnsi="Calibri" w:cs="Calibri"/>
          <w:b/>
          <w:bCs/>
          <w:i/>
          <w:iCs/>
          <w:color w:val="000000" w:themeColor="text1"/>
        </w:rPr>
      </w:pPr>
      <w:r w:rsidRPr="001C58C6">
        <w:rPr>
          <w:rFonts w:ascii="Calibri" w:hAnsi="Calibri" w:cs="Calibri"/>
          <w:b/>
          <w:bCs/>
          <w:i/>
          <w:iCs/>
          <w:color w:val="000000" w:themeColor="text1"/>
        </w:rPr>
        <w:lastRenderedPageBreak/>
        <w:t xml:space="preserve">7.2.5.7 </w:t>
      </w:r>
      <w:r w:rsidR="00C87B0E" w:rsidRPr="001C58C6">
        <w:rPr>
          <w:rFonts w:ascii="Calibri" w:hAnsi="Calibri" w:cs="Calibri"/>
          <w:b/>
          <w:bCs/>
          <w:i/>
          <w:iCs/>
          <w:color w:val="000000" w:themeColor="text1"/>
        </w:rPr>
        <w:t>Ostale mjere</w:t>
      </w:r>
    </w:p>
    <w:p w14:paraId="7EDA9C5D" w14:textId="77777777" w:rsidR="00C87B0E" w:rsidRPr="001C58C6" w:rsidRDefault="00AB5C9D" w:rsidP="00C87B0E">
      <w:pPr>
        <w:rPr>
          <w:rFonts w:ascii="Calibri" w:hAnsi="Calibri" w:cs="Calibri"/>
          <w:b/>
          <w:bCs/>
          <w:color w:val="000000" w:themeColor="text1"/>
        </w:rPr>
      </w:pPr>
      <w:r w:rsidRPr="001C58C6">
        <w:rPr>
          <w:rFonts w:ascii="Calibri" w:hAnsi="Calibri" w:cs="Calibri"/>
          <w:b/>
          <w:bCs/>
          <w:color w:val="000000" w:themeColor="text1"/>
        </w:rPr>
        <w:t xml:space="preserve">1) </w:t>
      </w:r>
      <w:r w:rsidR="00C87B0E" w:rsidRPr="001C58C6">
        <w:rPr>
          <w:rFonts w:ascii="Calibri" w:hAnsi="Calibri" w:cs="Calibri"/>
          <w:b/>
          <w:bCs/>
          <w:color w:val="000000" w:themeColor="text1"/>
        </w:rPr>
        <w:t>Promocija e-mobilnosti</w:t>
      </w:r>
    </w:p>
    <w:p w14:paraId="23AD988B" w14:textId="77777777" w:rsidR="00752282" w:rsidRPr="001C58C6" w:rsidRDefault="00752282" w:rsidP="00C87B0E">
      <w:pPr>
        <w:rPr>
          <w:rFonts w:ascii="Calibri" w:hAnsi="Calibri" w:cs="Calibri"/>
          <w:b/>
          <w:bCs/>
          <w:color w:val="000000" w:themeColor="text1"/>
        </w:rPr>
      </w:pPr>
    </w:p>
    <w:p w14:paraId="55C1D09B"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Iako sektor saobraćaja znatno doprinosi emisijama gasova sa efektom staklene bašte (23%), doprinos saobraćaja koncentracijama suspendovanih čestica je ograničen na ukupno (5%) i uglavnom se odnosi na emisije teretnih vozila i autobusa koje čine 3% ukupnih emisija suspendovanih čestica u Crnoj Gori.  Doprinos putničkih automobila procjenjen je nacionalnim inventarom emisija zagađujućih materija u vazduh na 0.15%. U tom kontekstu, mjere iz sektora saobraćaja posmatrane su u kontekstu dodatnog seta mjera kojima se kvalitet vazduha može ograničeno unaprijediti u odnosu na prepoznata prekoračenja i eventualni porast zagađenja u budućem periodu. Drumski saobraćaj u Crnoj Gori karakteriše dominantan energetski udio dizel goriva (80%), zatim slijedi benzin (15%), TNG (4%) i vrlo niska potrošnja električne energije (1%). Prelazak sa dizela na električnu energiju donosi poboljšanja efikasnosti vozila, povećanja udjela obnovljivih izvora energije i značajno smanjenje emisija gasova sa efektom staklene bašte iz sektora saobraćaja. Ipak, veliki izazovi ostaju visoki troškovi električnih vozila i ograničena infrastruktura za podršku e-mobilnosti. </w:t>
      </w:r>
    </w:p>
    <w:p w14:paraId="076CA86C"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Dosadašnja promocija e-mobilnosti uključivala je subvencije za kupovinu putničkih vozila (M1) i lakih teretnih vozila (N1). </w:t>
      </w:r>
    </w:p>
    <w:p w14:paraId="6E85F01A" w14:textId="77777777" w:rsidR="00752282" w:rsidRPr="001C58C6" w:rsidRDefault="00C87B0E" w:rsidP="00C87B0E">
      <w:pPr>
        <w:rPr>
          <w:rFonts w:ascii="Calibri" w:hAnsi="Calibri" w:cs="Calibri"/>
          <w:color w:val="000000" w:themeColor="text1"/>
        </w:rPr>
      </w:pPr>
      <w:r w:rsidRPr="001C58C6">
        <w:rPr>
          <w:rFonts w:ascii="Calibri" w:hAnsi="Calibri" w:cs="Calibri"/>
          <w:color w:val="000000" w:themeColor="text1"/>
        </w:rPr>
        <w:t>U kontekstu smanjenja zagađenja vazduha značajna bi bila podrška transformaciji sektora teških teretnih vozila i javnog p</w:t>
      </w:r>
    </w:p>
    <w:p w14:paraId="2359107B"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revoza, kao i povećanje učešća željeznice u transportu roba što je predstavljeno kroz sljedeću mjeru. Modalni prelaz prevoza putnika na javni autobuski prevoz nema značajnog uticaja ukoliko se nastavi praksa koja je sprovedena u Podgorici – vozni park je obnovljen sa 45 novih autobusa na dizel gorivo. </w:t>
      </w:r>
    </w:p>
    <w:p w14:paraId="2AD9FC0D"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u w:val="single"/>
        </w:rPr>
        <w:t>Odgovorna lica za implementaciju</w:t>
      </w:r>
      <w:r w:rsidRPr="001C58C6">
        <w:rPr>
          <w:rFonts w:ascii="Calibri" w:hAnsi="Calibri" w:cs="Calibri"/>
          <w:color w:val="000000" w:themeColor="text1"/>
        </w:rPr>
        <w:t>: Ministarstvo energetike i rudarstva, Ministarstvo saobraćaja, Eko-fond, lokalne samouprave.</w:t>
      </w:r>
    </w:p>
    <w:p w14:paraId="07A74F80"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u w:val="single"/>
        </w:rPr>
        <w:t>Troškovi</w:t>
      </w:r>
      <w:r w:rsidRPr="001C58C6">
        <w:rPr>
          <w:rFonts w:ascii="Calibri" w:hAnsi="Calibri" w:cs="Calibri"/>
          <w:color w:val="000000" w:themeColor="text1"/>
        </w:rPr>
        <w:t>: Ukupan budžet za projekat je 353 miliona eura, raspoređen na 6 godina (2025-2030.).</w:t>
      </w:r>
    </w:p>
    <w:p w14:paraId="38A18DA2" w14:textId="77777777" w:rsidR="00752282" w:rsidRPr="001C58C6" w:rsidRDefault="00752282" w:rsidP="00C87B0E">
      <w:pPr>
        <w:rPr>
          <w:rFonts w:ascii="Calibri" w:hAnsi="Calibri" w:cs="Calibri"/>
          <w:color w:val="000000" w:themeColor="text1"/>
        </w:rPr>
      </w:pPr>
    </w:p>
    <w:p w14:paraId="28C3592B" w14:textId="77777777" w:rsidR="00C87B0E" w:rsidRPr="001C58C6" w:rsidRDefault="00C87B0E" w:rsidP="00C87B0E">
      <w:pPr>
        <w:rPr>
          <w:rFonts w:ascii="Calibri" w:hAnsi="Calibri" w:cs="Calibri"/>
          <w:b/>
          <w:bCs/>
          <w:color w:val="000000" w:themeColor="text1"/>
        </w:rPr>
      </w:pPr>
      <w:r w:rsidRPr="001C58C6">
        <w:rPr>
          <w:rFonts w:ascii="Calibri" w:hAnsi="Calibri" w:cs="Calibri"/>
          <w:b/>
          <w:bCs/>
          <w:color w:val="000000" w:themeColor="text1"/>
        </w:rPr>
        <w:t>2) Modalni prelaz prevoza putnika i tereta na željeznicu</w:t>
      </w:r>
    </w:p>
    <w:p w14:paraId="69408DE0"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NEKP postavlja cilj od 70% učešća željeznice u ukupnom teretnom saobraćaju u 2030. godini. </w:t>
      </w:r>
    </w:p>
    <w:p w14:paraId="6C8FC09C" w14:textId="77777777" w:rsidR="00C87B0E" w:rsidRPr="001C58C6" w:rsidRDefault="00C87B0E" w:rsidP="00C87B0E">
      <w:pPr>
        <w:rPr>
          <w:rFonts w:ascii="Calibri" w:hAnsi="Calibri" w:cs="Calibri"/>
          <w:bCs/>
          <w:iCs/>
          <w:color w:val="000000" w:themeColor="text1"/>
        </w:rPr>
      </w:pPr>
      <w:r w:rsidRPr="001C58C6">
        <w:rPr>
          <w:rFonts w:ascii="Calibri" w:hAnsi="Calibri" w:cs="Calibri"/>
          <w:iCs/>
          <w:color w:val="000000" w:themeColor="text1"/>
          <w:u w:val="single"/>
        </w:rPr>
        <w:t>Odgovorna lica za implementaciju</w:t>
      </w:r>
      <w:r w:rsidRPr="001C58C6">
        <w:rPr>
          <w:rFonts w:ascii="Calibri" w:hAnsi="Calibri" w:cs="Calibri"/>
          <w:b/>
          <w:bCs/>
          <w:iCs/>
          <w:color w:val="000000" w:themeColor="text1"/>
        </w:rPr>
        <w:t xml:space="preserve">: </w:t>
      </w:r>
      <w:r w:rsidRPr="001C58C6">
        <w:rPr>
          <w:rFonts w:ascii="Calibri" w:hAnsi="Calibri" w:cs="Calibri"/>
          <w:bCs/>
          <w:iCs/>
          <w:color w:val="000000" w:themeColor="text1"/>
        </w:rPr>
        <w:t>Ministarstvo saobraćaja.</w:t>
      </w:r>
    </w:p>
    <w:p w14:paraId="61DD12A3"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u w:val="single"/>
        </w:rPr>
        <w:t>Troškovi</w:t>
      </w:r>
      <w:r w:rsidRPr="001C58C6">
        <w:rPr>
          <w:rFonts w:ascii="Calibri" w:hAnsi="Calibri" w:cs="Calibri"/>
          <w:color w:val="000000" w:themeColor="text1"/>
        </w:rPr>
        <w:t>: Ukupan budžet za projekat je 112 miliona eura, finansiran iz granta EU</w:t>
      </w:r>
    </w:p>
    <w:p w14:paraId="7920DBB1" w14:textId="77777777" w:rsidR="00752282" w:rsidRPr="001C58C6" w:rsidRDefault="00752282" w:rsidP="00C87B0E">
      <w:pPr>
        <w:rPr>
          <w:rFonts w:ascii="Calibri" w:hAnsi="Calibri" w:cs="Calibri"/>
          <w:color w:val="000000" w:themeColor="text1"/>
        </w:rPr>
      </w:pPr>
    </w:p>
    <w:p w14:paraId="7C990564" w14:textId="77777777" w:rsidR="00C87B0E" w:rsidRPr="001C58C6" w:rsidRDefault="00C87B0E" w:rsidP="00C87B0E">
      <w:pPr>
        <w:rPr>
          <w:rFonts w:ascii="Calibri" w:hAnsi="Calibri" w:cs="Calibri"/>
          <w:b/>
          <w:bCs/>
          <w:color w:val="000000" w:themeColor="text1"/>
        </w:rPr>
      </w:pPr>
      <w:r w:rsidRPr="001C58C6">
        <w:rPr>
          <w:rFonts w:ascii="Calibri" w:hAnsi="Calibri" w:cs="Calibri"/>
          <w:b/>
          <w:bCs/>
          <w:color w:val="000000" w:themeColor="text1"/>
        </w:rPr>
        <w:t>3)</w:t>
      </w:r>
      <w:r w:rsidRPr="001C58C6">
        <w:rPr>
          <w:rFonts w:ascii="Calibri" w:hAnsi="Calibri" w:cs="Calibri"/>
          <w:color w:val="000000" w:themeColor="text1"/>
        </w:rPr>
        <w:t xml:space="preserve"> </w:t>
      </w:r>
      <w:r w:rsidRPr="001C58C6">
        <w:rPr>
          <w:rFonts w:ascii="Calibri" w:hAnsi="Calibri" w:cs="Calibri"/>
          <w:b/>
          <w:bCs/>
          <w:color w:val="000000" w:themeColor="text1"/>
        </w:rPr>
        <w:t>Metodologija za definisanje energetski siromašnih grupa i mjera smanjenja energetskog siromaštva</w:t>
      </w:r>
    </w:p>
    <w:p w14:paraId="1570C358" w14:textId="13EA59FC"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Zaštita ranjivih kupaca i smanjenje energetskog siromaštva su obaveze preuzete Trećim Energetskim i klimatskim paketom (Energy and Climate Package), koji je usvojio Evropski parlament, koji uključuje subvencionisanje troškova grijanja ranjivih kupaca i poboljšanje izolacije i energetske efikasnosti zgrada, kao i korišćenje efikasnih i zdravstveno bezbjednih lokalnih ložišta. Usvajanjem novog zakona o energetici izvršeno je transponovanje evropske direktive o zajedničkim pravilima o unutrašnjem tržištu električne energije (br. 2019/944) čime se po prvi put u nacionalno za</w:t>
      </w:r>
      <w:r w:rsidR="003B196E">
        <w:rPr>
          <w:rFonts w:ascii="Calibri" w:hAnsi="Calibri" w:cs="Calibri"/>
          <w:color w:val="000000" w:themeColor="text1"/>
        </w:rPr>
        <w:t>k</w:t>
      </w:r>
      <w:r w:rsidRPr="001C58C6">
        <w:rPr>
          <w:rFonts w:ascii="Calibri" w:hAnsi="Calibri" w:cs="Calibri"/>
          <w:color w:val="000000" w:themeColor="text1"/>
        </w:rPr>
        <w:t xml:space="preserve">onodavstvo uvodi definicija energetskog siromaštva. Energetsko siromaštvo je stanje u kojem domaćinstvo nema pristup osnovnim energetskim uslugama, koje obezbjeđuju pristojne standarde života i zdravlja, uključujući adekvatno grijanje i hlađenje, toplu vodu, osvjetljenje i energiju za napajanje kućnih aparata. Sekretarijat Energetske zajednice pripremio je studiju o suzbijanju energetskog siromaštva u ugovornim </w:t>
      </w:r>
      <w:r w:rsidRPr="001C58C6">
        <w:rPr>
          <w:rFonts w:ascii="Calibri" w:hAnsi="Calibri" w:cs="Calibri"/>
          <w:color w:val="000000" w:themeColor="text1"/>
        </w:rPr>
        <w:lastRenderedPageBreak/>
        <w:t xml:space="preserve">stranama Energetske zajednice u kojoj su date smjernice o tome kako izmjeriti nivo energetskog siromaštva i osmisliti odgovarajuće politike za njegovo smanjenje. U skladu sa tim potrebno je preduzeti aktivnosti pomoću kojih će se izvršiti prikupljanje podataka relevantnih za praćenje energetskog siromaštva i suzbijanje ove pojave u Crnoj Gori. </w:t>
      </w:r>
    </w:p>
    <w:p w14:paraId="2202BDBE"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Sprovođenjem politike za suzbijanje energetskog siromaštva postigli bi se višestruki benefiti, kako za pogođena domaćinstva tako i za cjelokupnu zajednicu:</w:t>
      </w:r>
    </w:p>
    <w:p w14:paraId="5E35F365" w14:textId="77777777" w:rsidR="00C87B0E" w:rsidRPr="001C58C6" w:rsidRDefault="00C87B0E" w:rsidP="001A616D">
      <w:pPr>
        <w:numPr>
          <w:ilvl w:val="0"/>
          <w:numId w:val="5"/>
        </w:numPr>
        <w:rPr>
          <w:rFonts w:ascii="Calibri" w:hAnsi="Calibri" w:cs="Calibri"/>
          <w:color w:val="000000" w:themeColor="text1"/>
        </w:rPr>
      </w:pPr>
      <w:r w:rsidRPr="001C58C6">
        <w:rPr>
          <w:rFonts w:ascii="Calibri" w:hAnsi="Calibri" w:cs="Calibri"/>
          <w:color w:val="000000" w:themeColor="text1"/>
        </w:rPr>
        <w:t>poboljšanje kvaliteta života i zdravlja ljudi,</w:t>
      </w:r>
    </w:p>
    <w:p w14:paraId="56C74D92" w14:textId="77777777" w:rsidR="00C87B0E" w:rsidRPr="001C58C6" w:rsidRDefault="00C87B0E" w:rsidP="001A616D">
      <w:pPr>
        <w:numPr>
          <w:ilvl w:val="0"/>
          <w:numId w:val="5"/>
        </w:numPr>
        <w:rPr>
          <w:rFonts w:ascii="Calibri" w:hAnsi="Calibri" w:cs="Calibri"/>
          <w:color w:val="000000" w:themeColor="text1"/>
        </w:rPr>
      </w:pPr>
      <w:r w:rsidRPr="001C58C6">
        <w:rPr>
          <w:rFonts w:ascii="Calibri" w:hAnsi="Calibri" w:cs="Calibri"/>
          <w:color w:val="000000" w:themeColor="text1"/>
        </w:rPr>
        <w:t>smanjena upotreba individualnih ložišta poput šporeta i peći na čvrsta goriva čime se direktno utiče na smanjenje zagađenosti vazduha, kako van tako i unutar prostorija,</w:t>
      </w:r>
    </w:p>
    <w:p w14:paraId="36F7B8C0" w14:textId="77777777" w:rsidR="00C87B0E" w:rsidRPr="001C58C6" w:rsidRDefault="00C87B0E" w:rsidP="001A616D">
      <w:pPr>
        <w:numPr>
          <w:ilvl w:val="0"/>
          <w:numId w:val="5"/>
        </w:numPr>
        <w:rPr>
          <w:rFonts w:ascii="Calibri" w:hAnsi="Calibri" w:cs="Calibri"/>
          <w:color w:val="000000" w:themeColor="text1"/>
        </w:rPr>
      </w:pPr>
      <w:r w:rsidRPr="001C58C6">
        <w:rPr>
          <w:rFonts w:ascii="Calibri" w:hAnsi="Calibri" w:cs="Calibri"/>
          <w:color w:val="000000" w:themeColor="text1"/>
        </w:rPr>
        <w:t>smanjena upotreba uređaja koji su niskog kvaliteta i tehnološki zastarjeli,</w:t>
      </w:r>
    </w:p>
    <w:p w14:paraId="58776801" w14:textId="77777777" w:rsidR="00C87B0E" w:rsidRPr="001C58C6" w:rsidRDefault="00C87B0E" w:rsidP="001A616D">
      <w:pPr>
        <w:numPr>
          <w:ilvl w:val="0"/>
          <w:numId w:val="5"/>
        </w:numPr>
        <w:rPr>
          <w:rFonts w:ascii="Calibri" w:hAnsi="Calibri" w:cs="Calibri"/>
          <w:color w:val="000000" w:themeColor="text1"/>
        </w:rPr>
      </w:pPr>
      <w:r w:rsidRPr="001C58C6">
        <w:rPr>
          <w:rFonts w:ascii="Calibri" w:hAnsi="Calibri" w:cs="Calibri"/>
          <w:color w:val="000000" w:themeColor="text1"/>
        </w:rPr>
        <w:t>smanjeni izdaci za energiju u ukupnom prihodu domaćinstva.</w:t>
      </w:r>
    </w:p>
    <w:p w14:paraId="77DDC86D" w14:textId="77777777" w:rsidR="00752282" w:rsidRPr="001C58C6" w:rsidRDefault="00752282" w:rsidP="00752282">
      <w:pPr>
        <w:ind w:left="720"/>
        <w:rPr>
          <w:rFonts w:ascii="Calibri" w:hAnsi="Calibri" w:cs="Calibri"/>
          <w:color w:val="000000" w:themeColor="text1"/>
        </w:rPr>
      </w:pPr>
    </w:p>
    <w:p w14:paraId="125EE42D"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Iako su neke od predloženih mjera usklađene sa postojećim okvirom i dopunjuju mjere predložene u 4. Akcionom planu za energetsku efikasnost (APEE), njihova dostupnost energetski siromašnim domaćinstvima zahtijeva uzimanje u obzir kriterijuma ranjivosti i obezbjeđivanje veće stope sufinansiranja. Osim toga, za razliku od šire javnosti, dizajn šema za sprovođenje mjera usmjerenih na smanjenje energetskog siromaštva zahtijeva razvoj i osmišljavanje i uspostavljanje specifičnih sistema podrške. Ovi sistemi trebali bi biti detaljno razrađeni u okviru Programa za ublažavanje energetskog siromaštva. Glavni cilj ovakvih sistema podrške bio bi identifikacija osoba kojima je potrebna pomoć, kao i pružanje podrške u procesu prijavljivanja i korišćenja dostupnih mjera pomoći.</w:t>
      </w:r>
    </w:p>
    <w:p w14:paraId="5D645F73"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u w:val="single"/>
        </w:rPr>
        <w:t>Odgovorna lica za implementaciju</w:t>
      </w:r>
      <w:r w:rsidRPr="001C58C6">
        <w:rPr>
          <w:rFonts w:ascii="Calibri" w:hAnsi="Calibri" w:cs="Calibri"/>
          <w:color w:val="000000" w:themeColor="text1"/>
        </w:rPr>
        <w:t>: Ministarstvo energetike i rudarstva, Ministarstvo socijalnog staranja, brige o porodici i demografije, Eko-fond, Monstat.</w:t>
      </w:r>
    </w:p>
    <w:p w14:paraId="6EAE9518" w14:textId="77777777" w:rsidR="00752282" w:rsidRPr="001C58C6" w:rsidRDefault="00752282" w:rsidP="00C87B0E">
      <w:pPr>
        <w:rPr>
          <w:rFonts w:ascii="Calibri" w:hAnsi="Calibri" w:cs="Calibri"/>
          <w:color w:val="000000" w:themeColor="text1"/>
        </w:rPr>
      </w:pPr>
    </w:p>
    <w:p w14:paraId="3A9A9D26" w14:textId="77777777" w:rsidR="00C87B0E" w:rsidRPr="001C58C6" w:rsidRDefault="00C87B0E" w:rsidP="00C87B0E">
      <w:pPr>
        <w:rPr>
          <w:rFonts w:ascii="Calibri" w:hAnsi="Calibri" w:cs="Calibri"/>
          <w:b/>
          <w:bCs/>
          <w:color w:val="000000" w:themeColor="text1"/>
        </w:rPr>
      </w:pPr>
      <w:r w:rsidRPr="001C58C6">
        <w:rPr>
          <w:rFonts w:ascii="Calibri" w:hAnsi="Calibri" w:cs="Calibri"/>
          <w:b/>
          <w:bCs/>
          <w:color w:val="000000" w:themeColor="text1"/>
        </w:rPr>
        <w:t>4) Korišćenje derogativnih mehanizama i priprema mape puta za postizanje strožih standarda</w:t>
      </w:r>
    </w:p>
    <w:p w14:paraId="588B9624" w14:textId="34BF6B79"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Na kraju, iako je cilj ovog plana kvaliteta vazduha dostizanje trenutno važećih graničnih vrjednosti za polutante čije su koncentracije prekoračene (PM10, PM2.5 BaP), neophodno je na vrijeme djelovati u smjeru smanjenja zagađenja vazduha u odnosu na nove, unapređene standarde u skladu sa Direktivom 2024/2881, koja još nije prenesena u crnogorsko zakonodavstvo. Član 18 ove direktive omogućava državama članicama odgađanje krajnjeg roka primjene graničnih vrijednosti za suspendovane čestice (PM10 i PM2,5), azot-dioksid, benzen ili benzo(a)piren do 1.januara 2040. godine ako je to opravdano disperzionim karakteristikama određenog mjesta, graničnim orografskim uslovima, nepovoljnim klimatskim uslovima ili prekograničnim prenosom zagađenja ili ako se potrebna smanjenja mogu postići samo zamjenom značajnog dijela postojećih sistema grijanja domaćinstava koja su izvor zagađenja ili uzrokuju prekoračenja. U ovom kontekstu Crna Gora u procesu pristupanja može zatražiti primjenu ovog mehanizma, uz obaveznu pripremu mape puta za dostizanje graničnih vrijednosti tokom perioda odložene primjene. </w:t>
      </w:r>
    </w:p>
    <w:p w14:paraId="7E0BCD06"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u w:val="single"/>
        </w:rPr>
        <w:t>Odgovorna lica za implementaciju</w:t>
      </w:r>
      <w:r w:rsidRPr="001C58C6">
        <w:rPr>
          <w:rFonts w:ascii="Calibri" w:hAnsi="Calibri" w:cs="Calibri"/>
          <w:color w:val="000000" w:themeColor="text1"/>
        </w:rPr>
        <w:t>: Ministarstvo ekologije, održivog razvoja i razvoja sjevera</w:t>
      </w:r>
    </w:p>
    <w:p w14:paraId="25C5593D" w14:textId="77777777" w:rsidR="00752282" w:rsidRPr="001C58C6" w:rsidRDefault="00752282" w:rsidP="00C87B0E">
      <w:pPr>
        <w:rPr>
          <w:rFonts w:ascii="Calibri" w:hAnsi="Calibri" w:cs="Calibri"/>
          <w:color w:val="000000" w:themeColor="text1"/>
        </w:rPr>
      </w:pPr>
    </w:p>
    <w:p w14:paraId="1EFD4EF5" w14:textId="77777777" w:rsidR="00C87B0E" w:rsidRPr="001C58C6" w:rsidRDefault="00C87B0E" w:rsidP="00C87B0E">
      <w:pPr>
        <w:rPr>
          <w:rFonts w:ascii="Calibri" w:hAnsi="Calibri" w:cs="Calibri"/>
          <w:b/>
          <w:bCs/>
          <w:color w:val="000000" w:themeColor="text1"/>
        </w:rPr>
      </w:pPr>
      <w:r w:rsidRPr="001C58C6">
        <w:rPr>
          <w:rFonts w:ascii="Calibri" w:hAnsi="Calibri" w:cs="Calibri"/>
          <w:b/>
          <w:bCs/>
          <w:color w:val="000000" w:themeColor="text1"/>
        </w:rPr>
        <w:t>5) Lokalni planovi zaštite životne sredine</w:t>
      </w:r>
    </w:p>
    <w:p w14:paraId="76CABFA7" w14:textId="77777777" w:rsidR="00C87B0E" w:rsidRPr="001C58C6" w:rsidRDefault="00C87B0E" w:rsidP="00C87B0E">
      <w:pPr>
        <w:rPr>
          <w:rFonts w:ascii="Calibri" w:hAnsi="Calibri" w:cs="Calibri"/>
          <w:color w:val="000000" w:themeColor="text1"/>
        </w:rPr>
      </w:pPr>
      <w:r w:rsidRPr="001C58C6">
        <w:rPr>
          <w:rFonts w:ascii="Calibri" w:hAnsi="Calibri" w:cs="Calibri"/>
          <w:b/>
          <w:bCs/>
          <w:color w:val="000000" w:themeColor="text1"/>
        </w:rPr>
        <w:t xml:space="preserve">Obaveza izrade lokalnih planova </w:t>
      </w:r>
      <w:r w:rsidRPr="001C58C6">
        <w:rPr>
          <w:rFonts w:ascii="Calibri" w:hAnsi="Calibri" w:cs="Calibri"/>
          <w:color w:val="000000" w:themeColor="text1"/>
        </w:rPr>
        <w:t>zaštite životne sredine utvrđena je članom 37 Zakona o životnoj sredini kojim se jedinice lokalne samouprave obavezuju da u okviru plana razrade mjere zaštite životne sredine za područje lokalne samouprave u skladu sa lokalnim specifičnostima i obilježjima područja za koje se plan donosi. Planom se uspostavljaju ciljevi i zadaci od značaja za zaštitu životne sredine i održivi razvoj na lokalnom nivou.</w:t>
      </w:r>
    </w:p>
    <w:p w14:paraId="5B2761C7"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lastRenderedPageBreak/>
        <w:t>Smjernice za definisanje mjera zaštite vazduha na lokalnom nivou mogu se pronaći u Priručniku koje je Ministarstvo ekologije, održivog razvoja i razvoja sjevera izradilo u saradnji sa švedskom agencijom za zaštitu životne sredine, koji je neophodno prevesti na crnogorski.</w:t>
      </w:r>
    </w:p>
    <w:p w14:paraId="10DEEFBB"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u w:val="single"/>
        </w:rPr>
        <w:t>Odgovorna lica za implementaciju</w:t>
      </w:r>
      <w:r w:rsidRPr="001C58C6">
        <w:rPr>
          <w:rFonts w:ascii="Calibri" w:hAnsi="Calibri" w:cs="Calibri"/>
          <w:color w:val="000000" w:themeColor="text1"/>
        </w:rPr>
        <w:t xml:space="preserve">: Jedinice lokalne samouprave </w:t>
      </w:r>
    </w:p>
    <w:p w14:paraId="539F83A4" w14:textId="77777777" w:rsidR="00752282" w:rsidRPr="001C58C6" w:rsidRDefault="00752282" w:rsidP="00C87B0E">
      <w:pPr>
        <w:rPr>
          <w:rFonts w:ascii="Calibri" w:hAnsi="Calibri" w:cs="Calibri"/>
          <w:color w:val="000000" w:themeColor="text1"/>
        </w:rPr>
      </w:pPr>
    </w:p>
    <w:p w14:paraId="298A18F3" w14:textId="77777777" w:rsidR="00C87B0E" w:rsidRPr="001C58C6" w:rsidRDefault="00C87B0E" w:rsidP="00C87B0E">
      <w:pPr>
        <w:rPr>
          <w:rFonts w:ascii="Calibri" w:hAnsi="Calibri" w:cs="Calibri"/>
          <w:b/>
          <w:bCs/>
          <w:color w:val="000000" w:themeColor="text1"/>
        </w:rPr>
      </w:pPr>
      <w:r w:rsidRPr="001C58C6">
        <w:rPr>
          <w:rFonts w:ascii="Calibri" w:hAnsi="Calibri" w:cs="Calibri"/>
          <w:b/>
          <w:bCs/>
          <w:color w:val="000000" w:themeColor="text1"/>
        </w:rPr>
        <w:t>6) Sprečavanje šumskih požara</w:t>
      </w:r>
    </w:p>
    <w:p w14:paraId="31EBEB1C"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Šumski požari uslijed sagrijevanja biomase imaju sličan efekat na kvalitet vazduha kao i grijanje domaćinstava, s tim da je ovaj izvor zagađenja sporadičan, privremen i nepredvidiv. Sprečavanja šumskih požara naročito je važno u Centralnom i Južnom regionu Crne Gore gdje izuzetno sušna i vrela ljeta, kao i nepristupačni tereni pogoduju pojavi i nekontrolisanom širenju šumskih požara.  </w:t>
      </w:r>
    </w:p>
    <w:p w14:paraId="42A759ED"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Podgorica je u proteklim decenijama zabilježila i rekordne maksimalne temperature – u avgustu 2007. izmjereno je čak 44,8 °C, što je najviša zabilježena vrijednost na državnom nivou.  Grad je takođe bio pogođen brojnim sušama (2003, 2007, 2012, 2017, 2018, 2020), koje su često bile praćene toplotnim talasima, požarima i velikim gubicima u poljoprivredi. Služba zaštite i spašavanja Glavnog grada je u izvještaju za 2022. evidentirala 1.633 intervencije na požarima, a tokom perioda 1. jun–25. jul 2025. zabilježeno je čak 675 požara na teritoriji Glavnog grada.</w:t>
      </w:r>
    </w:p>
    <w:p w14:paraId="2931C140"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Sprečavanje šumskih požara predlaže se kroz: </w:t>
      </w:r>
    </w:p>
    <w:p w14:paraId="74CF7A28" w14:textId="77777777" w:rsidR="00C87B0E" w:rsidRPr="001C58C6" w:rsidRDefault="00C87B0E" w:rsidP="001A616D">
      <w:pPr>
        <w:numPr>
          <w:ilvl w:val="0"/>
          <w:numId w:val="5"/>
        </w:numPr>
        <w:rPr>
          <w:rFonts w:ascii="Calibri" w:hAnsi="Calibri" w:cs="Calibri"/>
          <w:color w:val="000000" w:themeColor="text1"/>
        </w:rPr>
      </w:pPr>
      <w:r w:rsidRPr="001C58C6">
        <w:rPr>
          <w:rFonts w:ascii="Calibri" w:hAnsi="Calibri" w:cs="Calibri"/>
          <w:color w:val="000000" w:themeColor="text1"/>
        </w:rPr>
        <w:t xml:space="preserve">Implementaciju Strategije za smanjenje rizika od katastrofa za period 2025-2030, koja predviđa izradu Preduzetnog plana za zaštitu i spašavanje od požara za Privredno društvo za gazdovanje šumama, kao i izradu i revidovanje/ ažuriranje planova zaštite i spašavanja za nacionalne parkove Crne Gore.  </w:t>
      </w:r>
    </w:p>
    <w:p w14:paraId="568E3C6D"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u w:val="single"/>
        </w:rPr>
        <w:t>Odgovorna lica za implementaciju</w:t>
      </w:r>
      <w:r w:rsidRPr="001C58C6">
        <w:rPr>
          <w:rFonts w:ascii="Calibri" w:hAnsi="Calibri" w:cs="Calibri"/>
          <w:color w:val="000000" w:themeColor="text1"/>
        </w:rPr>
        <w:t>: JP Nacionalni parkovi Crne Gore, Privredno društvo za gazdovanje šumama</w:t>
      </w:r>
    </w:p>
    <w:p w14:paraId="29B11105" w14:textId="77777777" w:rsidR="00C87B0E" w:rsidRPr="001C58C6" w:rsidRDefault="00C87B0E" w:rsidP="001A616D">
      <w:pPr>
        <w:numPr>
          <w:ilvl w:val="0"/>
          <w:numId w:val="6"/>
        </w:numPr>
        <w:rPr>
          <w:rFonts w:ascii="Calibri" w:hAnsi="Calibri" w:cs="Calibri"/>
          <w:color w:val="000000" w:themeColor="text1"/>
        </w:rPr>
      </w:pPr>
      <w:r w:rsidRPr="001C58C6">
        <w:rPr>
          <w:rFonts w:ascii="Calibri" w:hAnsi="Calibri" w:cs="Calibri"/>
          <w:color w:val="000000" w:themeColor="text1"/>
        </w:rPr>
        <w:t xml:space="preserve">Sprovođenje kampanje o štetnosti paljenja poljoprivrednog otpada </w:t>
      </w:r>
    </w:p>
    <w:p w14:paraId="08E6A41E" w14:textId="77777777" w:rsidR="00C87B0E" w:rsidRPr="001C58C6" w:rsidRDefault="00C87B0E" w:rsidP="001A616D">
      <w:pPr>
        <w:numPr>
          <w:ilvl w:val="0"/>
          <w:numId w:val="6"/>
        </w:numPr>
        <w:rPr>
          <w:rFonts w:ascii="Calibri" w:hAnsi="Calibri" w:cs="Calibri"/>
          <w:color w:val="000000" w:themeColor="text1"/>
        </w:rPr>
      </w:pPr>
      <w:r w:rsidRPr="001C58C6">
        <w:rPr>
          <w:rFonts w:ascii="Calibri" w:hAnsi="Calibri" w:cs="Calibri"/>
          <w:color w:val="000000" w:themeColor="text1"/>
        </w:rPr>
        <w:t>Uvođenje strožije kaznene politike za paljenje otpada na otvorenom</w:t>
      </w:r>
    </w:p>
    <w:p w14:paraId="1332C853"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u w:val="single"/>
        </w:rPr>
        <w:t>Odgovorna lica za implementaciju</w:t>
      </w:r>
      <w:r w:rsidRPr="001C58C6">
        <w:rPr>
          <w:rFonts w:ascii="Calibri" w:hAnsi="Calibri" w:cs="Calibri"/>
          <w:color w:val="000000" w:themeColor="text1"/>
        </w:rPr>
        <w:t xml:space="preserve">: Ministarstvo ekologije, održivog razvoja i razvoja sjevera uz podršku IPA projekta. </w:t>
      </w:r>
    </w:p>
    <w:p w14:paraId="1E3BDF30" w14:textId="77777777" w:rsidR="00C87B0E" w:rsidRPr="001C58C6" w:rsidRDefault="00C87B0E" w:rsidP="001A616D">
      <w:pPr>
        <w:numPr>
          <w:ilvl w:val="0"/>
          <w:numId w:val="6"/>
        </w:numPr>
        <w:rPr>
          <w:rFonts w:ascii="Calibri" w:hAnsi="Calibri" w:cs="Calibri"/>
          <w:color w:val="000000" w:themeColor="text1"/>
        </w:rPr>
      </w:pPr>
      <w:r w:rsidRPr="001C58C6">
        <w:rPr>
          <w:rFonts w:ascii="Calibri" w:hAnsi="Calibri" w:cs="Calibri"/>
          <w:color w:val="000000" w:themeColor="text1"/>
        </w:rPr>
        <w:t xml:space="preserve">Na lokalnom nivou treba razmotriti osnivanje dobrovoljnih vatrogasnih društava i obučiti dobrovoljce da u situacijama kada je to potrebno pomognu stručnim službama. </w:t>
      </w:r>
    </w:p>
    <w:p w14:paraId="79EDEF67"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 </w:t>
      </w:r>
    </w:p>
    <w:p w14:paraId="380640BF" w14:textId="77777777" w:rsidR="00C87B0E" w:rsidRPr="001C58C6" w:rsidRDefault="00AB5C9D" w:rsidP="00AB5C9D">
      <w:pPr>
        <w:pStyle w:val="Heading2"/>
        <w:rPr>
          <w:rFonts w:ascii="Calibri" w:hAnsi="Calibri" w:cs="Calibri"/>
          <w:color w:val="000000" w:themeColor="text1"/>
        </w:rPr>
      </w:pPr>
      <w:bookmarkStart w:id="207" w:name="_Toc220070455"/>
      <w:bookmarkStart w:id="208" w:name="_Toc233711774"/>
      <w:r w:rsidRPr="001C58C6">
        <w:rPr>
          <w:rFonts w:ascii="Calibri" w:hAnsi="Calibri" w:cs="Calibri"/>
          <w:color w:val="000000" w:themeColor="text1"/>
        </w:rPr>
        <w:t xml:space="preserve">7.3 </w:t>
      </w:r>
      <w:r w:rsidR="00C87B0E" w:rsidRPr="001C58C6">
        <w:rPr>
          <w:rFonts w:ascii="Calibri" w:hAnsi="Calibri" w:cs="Calibri"/>
          <w:color w:val="000000" w:themeColor="text1"/>
        </w:rPr>
        <w:t>PLAN ODRŽAVANJA KVALITETA VAZDUHA ZA JUŽNU ZONU</w:t>
      </w:r>
      <w:bookmarkEnd w:id="207"/>
      <w:bookmarkEnd w:id="208"/>
    </w:p>
    <w:p w14:paraId="62EEC2D1" w14:textId="77777777" w:rsidR="00AB5C9D" w:rsidRPr="001C58C6" w:rsidRDefault="00AB5C9D" w:rsidP="00C87B0E">
      <w:pPr>
        <w:rPr>
          <w:rFonts w:ascii="Calibri" w:hAnsi="Calibri" w:cs="Calibri"/>
          <w:color w:val="000000" w:themeColor="text1"/>
        </w:rPr>
      </w:pPr>
    </w:p>
    <w:p w14:paraId="7CB4A72F"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Relevantno domaće i evropsko zakonodavstvo ne zahtijeva izradu plana kvaliteta vazduha za zone u kojima nijesu zabilježena prekoračenja. Član 27 Zakona o zaštiti vazduha propisuje sljedeće: </w:t>
      </w:r>
    </w:p>
    <w:p w14:paraId="397EBF6B" w14:textId="77777777" w:rsidR="00C87B0E" w:rsidRPr="001C58C6" w:rsidRDefault="00C87B0E" w:rsidP="00C87B0E">
      <w:pPr>
        <w:rPr>
          <w:rFonts w:ascii="Calibri" w:hAnsi="Calibri" w:cs="Calibri"/>
          <w:i/>
          <w:iCs/>
          <w:color w:val="000000" w:themeColor="text1"/>
        </w:rPr>
      </w:pPr>
      <w:r w:rsidRPr="001C58C6">
        <w:rPr>
          <w:rFonts w:ascii="Calibri" w:hAnsi="Calibri" w:cs="Calibri"/>
          <w:i/>
          <w:iCs/>
          <w:color w:val="000000" w:themeColor="text1"/>
        </w:rPr>
        <w:t>„U zonama gdje koncentracije zagađujućih materija ne prelaze nivo propisanih graničnih vrijednosti ili dugoročnih ciljeva za ozon, Agencija i jedinice lokalne samouprave na čijoj se teritoriji zona nalazi dužne su da svaku aktivnost planiraju, odobravaju i sprovode u skladu sa principom prevencije, tako da prouzrokuje najmanju moguću promjenu kvaliteta vazduha, odnosno da predstavlja najmanji mogući rizik po životnu sredinu i zdravlje ljudi i da spriječi ili ograniči uticaj na kvalitet vazduha na samom izvoru zagađenja kako se ove vrijednosti ne bi prekoračile i da nastoje da očuvaju najbolji kvalitet vazduha u skladu sa održivim razvojem.“</w:t>
      </w:r>
    </w:p>
    <w:p w14:paraId="4E8243C3"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lastRenderedPageBreak/>
        <w:t xml:space="preserve">U skladu s navedenim, ovaj plan ima znatno drugačiju strukturu i namjenu od planova kvaliteta vazduha za zone u kojima kvalitet vazduha treba poboljšati i postići smanjenje zagađenja. </w:t>
      </w:r>
    </w:p>
    <w:p w14:paraId="766E6C26"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Južna zona kvaliteta vazduha obuhvata primorski region Crne Gore i uključuje sljedeće opštine: Bar, Budva, Kotor, Tivat, Ulcinj i Herceg Novi, u skladu sa Uredbom o uspostavljanju mreže mjernih mjesta za praćenje kvaliteta vazduha kojom su utvrđene zone kvaliteta vazduha u Crnoj Gori. </w:t>
      </w:r>
    </w:p>
    <w:p w14:paraId="0537E59E"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U okviru Južne zone kvaliteta vazduha kvalitet vazduha se kontinuirano prati na 2 mjerna mjesta: </w:t>
      </w:r>
    </w:p>
    <w:p w14:paraId="4C70A2F5" w14:textId="4D028442" w:rsidR="00C87B0E" w:rsidRPr="001C58C6" w:rsidRDefault="00752282" w:rsidP="00B33518">
      <w:pPr>
        <w:pStyle w:val="Caption"/>
        <w:jc w:val="center"/>
        <w:rPr>
          <w:rFonts w:ascii="Calibri" w:hAnsi="Calibri" w:cs="Calibri"/>
          <w:i/>
          <w:iCs/>
          <w:color w:val="000000" w:themeColor="text1"/>
          <w:sz w:val="20"/>
          <w:szCs w:val="20"/>
        </w:rPr>
      </w:pPr>
      <w:bookmarkStart w:id="209" w:name="_Toc217388771"/>
      <w:bookmarkStart w:id="210" w:name="_Toc217388816"/>
      <w:bookmarkStart w:id="211" w:name="_Toc233584690"/>
      <w:r w:rsidRPr="001C58C6">
        <w:rPr>
          <w:rFonts w:ascii="Calibri" w:hAnsi="Calibri" w:cs="Calibri"/>
          <w:i/>
          <w:iCs/>
          <w:color w:val="000000" w:themeColor="text1"/>
          <w:sz w:val="20"/>
          <w:szCs w:val="20"/>
        </w:rPr>
        <w:t xml:space="preserve">Tabela </w:t>
      </w:r>
      <w:r w:rsidRPr="001C58C6">
        <w:rPr>
          <w:rFonts w:ascii="Calibri" w:hAnsi="Calibri" w:cs="Calibri"/>
          <w:i/>
          <w:iCs/>
          <w:color w:val="000000" w:themeColor="text1"/>
          <w:sz w:val="20"/>
          <w:szCs w:val="20"/>
        </w:rPr>
        <w:fldChar w:fldCharType="begin"/>
      </w:r>
      <w:r w:rsidRPr="001C58C6">
        <w:rPr>
          <w:rFonts w:ascii="Calibri" w:hAnsi="Calibri" w:cs="Calibri"/>
          <w:i/>
          <w:iCs/>
          <w:color w:val="000000" w:themeColor="text1"/>
          <w:sz w:val="20"/>
          <w:szCs w:val="20"/>
        </w:rPr>
        <w:instrText xml:space="preserve"> SEQ Tabela \* ARABIC </w:instrText>
      </w:r>
      <w:r w:rsidRPr="001C58C6">
        <w:rPr>
          <w:rFonts w:ascii="Calibri" w:hAnsi="Calibri" w:cs="Calibri"/>
          <w:i/>
          <w:iCs/>
          <w:color w:val="000000" w:themeColor="text1"/>
          <w:sz w:val="20"/>
          <w:szCs w:val="20"/>
        </w:rPr>
        <w:fldChar w:fldCharType="separate"/>
      </w:r>
      <w:r w:rsidRPr="001C58C6">
        <w:rPr>
          <w:rFonts w:ascii="Calibri" w:hAnsi="Calibri" w:cs="Calibri"/>
          <w:i/>
          <w:iCs/>
          <w:color w:val="000000" w:themeColor="text1"/>
          <w:sz w:val="20"/>
          <w:szCs w:val="20"/>
        </w:rPr>
        <w:t>15</w:t>
      </w:r>
      <w:r w:rsidRPr="001C58C6">
        <w:rPr>
          <w:rFonts w:ascii="Calibri" w:hAnsi="Calibri" w:cs="Calibri"/>
          <w:i/>
          <w:iCs/>
          <w:color w:val="000000" w:themeColor="text1"/>
          <w:sz w:val="20"/>
          <w:szCs w:val="20"/>
        </w:rPr>
        <w:fldChar w:fldCharType="end"/>
      </w:r>
      <w:r w:rsidR="00AB5C9D" w:rsidRPr="001C58C6">
        <w:rPr>
          <w:rFonts w:ascii="Calibri" w:hAnsi="Calibri" w:cs="Calibri"/>
          <w:i/>
          <w:iCs/>
          <w:color w:val="000000" w:themeColor="text1"/>
          <w:sz w:val="20"/>
          <w:szCs w:val="20"/>
        </w:rPr>
        <w:t>:</w:t>
      </w:r>
      <w:r w:rsidRPr="001C58C6">
        <w:rPr>
          <w:rFonts w:ascii="Calibri" w:hAnsi="Calibri" w:cs="Calibri"/>
          <w:i/>
          <w:iCs/>
          <w:color w:val="000000" w:themeColor="text1"/>
          <w:sz w:val="20"/>
          <w:szCs w:val="20"/>
        </w:rPr>
        <w:t xml:space="preserve"> </w:t>
      </w:r>
      <w:r w:rsidR="00C87B0E" w:rsidRPr="001C58C6">
        <w:rPr>
          <w:rFonts w:ascii="Calibri" w:hAnsi="Calibri" w:cs="Calibri"/>
          <w:i/>
          <w:iCs/>
          <w:color w:val="000000" w:themeColor="text1"/>
          <w:sz w:val="20"/>
          <w:szCs w:val="20"/>
        </w:rPr>
        <w:t xml:space="preserve">Mjerna mjesta u </w:t>
      </w:r>
      <w:r w:rsidR="003B196E">
        <w:rPr>
          <w:rFonts w:ascii="Calibri" w:hAnsi="Calibri" w:cs="Calibri"/>
          <w:i/>
          <w:iCs/>
          <w:color w:val="000000" w:themeColor="text1"/>
          <w:sz w:val="20"/>
          <w:szCs w:val="20"/>
        </w:rPr>
        <w:t>Južnoj</w:t>
      </w:r>
      <w:r w:rsidR="003B196E" w:rsidRPr="001C58C6">
        <w:rPr>
          <w:rFonts w:ascii="Calibri" w:hAnsi="Calibri" w:cs="Calibri"/>
          <w:i/>
          <w:iCs/>
          <w:color w:val="000000" w:themeColor="text1"/>
          <w:sz w:val="20"/>
          <w:szCs w:val="20"/>
        </w:rPr>
        <w:t xml:space="preserve"> </w:t>
      </w:r>
      <w:r w:rsidR="00C87B0E" w:rsidRPr="001C58C6">
        <w:rPr>
          <w:rFonts w:ascii="Calibri" w:hAnsi="Calibri" w:cs="Calibri"/>
          <w:i/>
          <w:iCs/>
          <w:color w:val="000000" w:themeColor="text1"/>
          <w:sz w:val="20"/>
          <w:szCs w:val="20"/>
        </w:rPr>
        <w:t>zoni kvaliteta vazduha</w:t>
      </w:r>
      <w:bookmarkEnd w:id="209"/>
      <w:bookmarkEnd w:id="210"/>
      <w:bookmarkEnd w:id="211"/>
    </w:p>
    <w:tbl>
      <w:tblPr>
        <w:tblStyle w:val="GridTable1Light-Accent1"/>
        <w:tblW w:w="5000" w:type="pct"/>
        <w:tblLook w:val="04A0" w:firstRow="1" w:lastRow="0" w:firstColumn="1" w:lastColumn="0" w:noHBand="0" w:noVBand="1"/>
      </w:tblPr>
      <w:tblGrid>
        <w:gridCol w:w="820"/>
        <w:gridCol w:w="1286"/>
        <w:gridCol w:w="1504"/>
        <w:gridCol w:w="1672"/>
        <w:gridCol w:w="3734"/>
      </w:tblGrid>
      <w:tr w:rsidR="00C87B0E" w:rsidRPr="001C58C6" w14:paraId="746CB123" w14:textId="77777777" w:rsidTr="00AB5C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 w:type="pct"/>
            <w:shd w:val="clear" w:color="auto" w:fill="E8E8E8" w:themeFill="background2"/>
            <w:hideMark/>
          </w:tcPr>
          <w:p w14:paraId="18287290" w14:textId="77777777" w:rsidR="00C87B0E" w:rsidRPr="001C58C6" w:rsidRDefault="00C87B0E" w:rsidP="00AB5C9D">
            <w:pPr>
              <w:rPr>
                <w:rFonts w:ascii="Calibri" w:hAnsi="Calibri" w:cs="Calibri"/>
                <w:color w:val="000000" w:themeColor="text1"/>
                <w:sz w:val="22"/>
              </w:rPr>
            </w:pPr>
            <w:r w:rsidRPr="001C58C6">
              <w:rPr>
                <w:rFonts w:ascii="Calibri" w:hAnsi="Calibri" w:cs="Calibri"/>
                <w:color w:val="000000" w:themeColor="text1"/>
                <w:sz w:val="22"/>
              </w:rPr>
              <w:t>Red.</w:t>
            </w:r>
          </w:p>
          <w:p w14:paraId="62BFC4D1" w14:textId="77777777" w:rsidR="00C87B0E" w:rsidRPr="001C58C6" w:rsidRDefault="00C87B0E" w:rsidP="00AB5C9D">
            <w:pPr>
              <w:rPr>
                <w:rFonts w:ascii="Calibri" w:hAnsi="Calibri" w:cs="Calibri"/>
                <w:color w:val="000000" w:themeColor="text1"/>
                <w:sz w:val="22"/>
              </w:rPr>
            </w:pPr>
            <w:r w:rsidRPr="001C58C6">
              <w:rPr>
                <w:rFonts w:ascii="Calibri" w:hAnsi="Calibri" w:cs="Calibri"/>
                <w:color w:val="000000" w:themeColor="text1"/>
                <w:sz w:val="22"/>
              </w:rPr>
              <w:t>broj</w:t>
            </w:r>
          </w:p>
        </w:tc>
        <w:tc>
          <w:tcPr>
            <w:tcW w:w="713" w:type="pct"/>
            <w:shd w:val="clear" w:color="auto" w:fill="E8E8E8" w:themeFill="background2"/>
            <w:hideMark/>
          </w:tcPr>
          <w:p w14:paraId="71EE8334" w14:textId="77777777" w:rsidR="00C87B0E" w:rsidRPr="001C58C6" w:rsidRDefault="00C87B0E" w:rsidP="00AB5C9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Mjerno mjesto</w:t>
            </w:r>
          </w:p>
        </w:tc>
        <w:tc>
          <w:tcPr>
            <w:tcW w:w="834" w:type="pct"/>
            <w:shd w:val="clear" w:color="auto" w:fill="E8E8E8" w:themeFill="background2"/>
            <w:hideMark/>
          </w:tcPr>
          <w:p w14:paraId="662C56B4" w14:textId="77777777" w:rsidR="00C87B0E" w:rsidRPr="001C58C6" w:rsidRDefault="00C87B0E" w:rsidP="00AB5C9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Zona</w:t>
            </w:r>
          </w:p>
        </w:tc>
        <w:tc>
          <w:tcPr>
            <w:tcW w:w="927" w:type="pct"/>
            <w:shd w:val="clear" w:color="auto" w:fill="E8E8E8" w:themeFill="background2"/>
            <w:hideMark/>
          </w:tcPr>
          <w:p w14:paraId="4E07181F" w14:textId="77777777" w:rsidR="00C87B0E" w:rsidRPr="001C58C6" w:rsidRDefault="00C87B0E" w:rsidP="00AB5C9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Vrsta mjernog mjesta</w:t>
            </w:r>
          </w:p>
        </w:tc>
        <w:tc>
          <w:tcPr>
            <w:tcW w:w="2071" w:type="pct"/>
            <w:shd w:val="clear" w:color="auto" w:fill="E8E8E8" w:themeFill="background2"/>
            <w:hideMark/>
          </w:tcPr>
          <w:p w14:paraId="01354A36" w14:textId="77777777" w:rsidR="00C87B0E" w:rsidRPr="001C58C6" w:rsidRDefault="00C87B0E" w:rsidP="00AB5C9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Zagađujuće materije koje se mjere</w:t>
            </w:r>
          </w:p>
        </w:tc>
      </w:tr>
      <w:tr w:rsidR="00C87B0E" w:rsidRPr="001C58C6" w14:paraId="3A89FA1D" w14:textId="77777777" w:rsidTr="00AB5C9D">
        <w:tc>
          <w:tcPr>
            <w:cnfStyle w:val="001000000000" w:firstRow="0" w:lastRow="0" w:firstColumn="1" w:lastColumn="0" w:oddVBand="0" w:evenVBand="0" w:oddHBand="0" w:evenHBand="0" w:firstRowFirstColumn="0" w:firstRowLastColumn="0" w:lastRowFirstColumn="0" w:lastRowLastColumn="0"/>
            <w:tcW w:w="455" w:type="pct"/>
            <w:hideMark/>
          </w:tcPr>
          <w:p w14:paraId="08D47C69" w14:textId="77777777" w:rsidR="00C87B0E" w:rsidRPr="001C58C6" w:rsidRDefault="00C87B0E" w:rsidP="00AB5C9D">
            <w:pPr>
              <w:rPr>
                <w:rFonts w:ascii="Calibri" w:hAnsi="Calibri" w:cs="Calibri"/>
                <w:color w:val="000000" w:themeColor="text1"/>
                <w:sz w:val="22"/>
              </w:rPr>
            </w:pPr>
            <w:r w:rsidRPr="001C58C6">
              <w:rPr>
                <w:rFonts w:ascii="Calibri" w:hAnsi="Calibri" w:cs="Calibri"/>
                <w:color w:val="000000" w:themeColor="text1"/>
                <w:sz w:val="22"/>
              </w:rPr>
              <w:t>1.</w:t>
            </w:r>
          </w:p>
        </w:tc>
        <w:tc>
          <w:tcPr>
            <w:tcW w:w="713" w:type="pct"/>
            <w:hideMark/>
          </w:tcPr>
          <w:p w14:paraId="5AB58E5A" w14:textId="77777777" w:rsidR="00C87B0E" w:rsidRPr="001C58C6" w:rsidRDefault="00C87B0E" w:rsidP="00AB5C9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Bar</w:t>
            </w:r>
          </w:p>
        </w:tc>
        <w:tc>
          <w:tcPr>
            <w:tcW w:w="834" w:type="pct"/>
            <w:hideMark/>
          </w:tcPr>
          <w:p w14:paraId="0222F41B" w14:textId="77777777" w:rsidR="00C87B0E" w:rsidRPr="001C58C6" w:rsidRDefault="00C87B0E" w:rsidP="00AB5C9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Južna</w:t>
            </w:r>
          </w:p>
        </w:tc>
        <w:tc>
          <w:tcPr>
            <w:tcW w:w="927" w:type="pct"/>
            <w:hideMark/>
          </w:tcPr>
          <w:p w14:paraId="11FB6862" w14:textId="77777777" w:rsidR="00C87B0E" w:rsidRPr="001C58C6" w:rsidRDefault="00C87B0E" w:rsidP="00AB5C9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UB</w:t>
            </w:r>
          </w:p>
        </w:tc>
        <w:tc>
          <w:tcPr>
            <w:tcW w:w="2071" w:type="pct"/>
            <w:hideMark/>
          </w:tcPr>
          <w:p w14:paraId="74E03066" w14:textId="77777777" w:rsidR="00C87B0E" w:rsidRPr="001C58C6" w:rsidRDefault="00C87B0E" w:rsidP="00AB5C9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vertAlign w:val="subscript"/>
              </w:rPr>
            </w:pPr>
            <w:r w:rsidRPr="001C58C6">
              <w:rPr>
                <w:rFonts w:ascii="Calibri" w:hAnsi="Calibri" w:cs="Calibri"/>
                <w:color w:val="000000" w:themeColor="text1"/>
                <w:sz w:val="22"/>
              </w:rPr>
              <w:t>NO, NO</w:t>
            </w:r>
            <w:r w:rsidRPr="001C58C6">
              <w:rPr>
                <w:rFonts w:ascii="Calibri" w:hAnsi="Calibri" w:cs="Calibri"/>
                <w:color w:val="000000" w:themeColor="text1"/>
                <w:sz w:val="22"/>
                <w:vertAlign w:val="subscript"/>
              </w:rPr>
              <w:t xml:space="preserve">2, </w:t>
            </w:r>
            <w:r w:rsidRPr="001C58C6">
              <w:rPr>
                <w:rFonts w:ascii="Calibri" w:hAnsi="Calibri" w:cs="Calibri"/>
                <w:color w:val="000000" w:themeColor="text1"/>
                <w:sz w:val="22"/>
              </w:rPr>
              <w:t>NOx, O</w:t>
            </w:r>
            <w:r w:rsidRPr="001C58C6">
              <w:rPr>
                <w:rFonts w:ascii="Calibri" w:hAnsi="Calibri" w:cs="Calibri"/>
                <w:color w:val="000000" w:themeColor="text1"/>
                <w:sz w:val="22"/>
                <w:vertAlign w:val="subscript"/>
              </w:rPr>
              <w:t xml:space="preserve">3, </w:t>
            </w:r>
            <w:r w:rsidRPr="001C58C6">
              <w:rPr>
                <w:rFonts w:ascii="Calibri" w:hAnsi="Calibri" w:cs="Calibri"/>
                <w:color w:val="000000" w:themeColor="text1"/>
                <w:sz w:val="22"/>
              </w:rPr>
              <w:t>PM</w:t>
            </w:r>
            <w:r w:rsidRPr="001C58C6">
              <w:rPr>
                <w:rFonts w:ascii="Calibri" w:hAnsi="Calibri" w:cs="Calibri"/>
                <w:color w:val="000000" w:themeColor="text1"/>
                <w:sz w:val="22"/>
                <w:vertAlign w:val="subscript"/>
              </w:rPr>
              <w:t>2.5</w:t>
            </w:r>
            <w:r w:rsidRPr="001C58C6">
              <w:rPr>
                <w:rFonts w:ascii="Calibri" w:hAnsi="Calibri" w:cs="Calibri"/>
                <w:color w:val="000000" w:themeColor="text1"/>
                <w:sz w:val="22"/>
              </w:rPr>
              <w:t>, PM</w:t>
            </w:r>
            <w:r w:rsidRPr="001C58C6">
              <w:rPr>
                <w:rFonts w:ascii="Calibri" w:hAnsi="Calibri" w:cs="Calibri"/>
                <w:color w:val="000000" w:themeColor="text1"/>
                <w:sz w:val="22"/>
                <w:vertAlign w:val="subscript"/>
              </w:rPr>
              <w:t>10</w:t>
            </w:r>
          </w:p>
          <w:p w14:paraId="57AD9DC2" w14:textId="77777777" w:rsidR="00C87B0E" w:rsidRPr="001C58C6" w:rsidRDefault="00C87B0E" w:rsidP="00AB5C9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(Pb, As, Cd, Ni i BaP u PM</w:t>
            </w:r>
            <w:r w:rsidRPr="001C58C6">
              <w:rPr>
                <w:rFonts w:ascii="Calibri" w:hAnsi="Calibri" w:cs="Calibri"/>
                <w:color w:val="000000" w:themeColor="text1"/>
                <w:sz w:val="22"/>
                <w:vertAlign w:val="subscript"/>
              </w:rPr>
              <w:t>10</w:t>
            </w:r>
            <w:r w:rsidRPr="001C58C6">
              <w:rPr>
                <w:rFonts w:ascii="Calibri" w:hAnsi="Calibri" w:cs="Calibri"/>
                <w:color w:val="000000" w:themeColor="text1"/>
                <w:sz w:val="22"/>
              </w:rPr>
              <w:t>)</w:t>
            </w:r>
          </w:p>
        </w:tc>
      </w:tr>
      <w:tr w:rsidR="00C87B0E" w:rsidRPr="001C58C6" w14:paraId="3EE2D731" w14:textId="77777777" w:rsidTr="00AB5C9D">
        <w:tc>
          <w:tcPr>
            <w:cnfStyle w:val="001000000000" w:firstRow="0" w:lastRow="0" w:firstColumn="1" w:lastColumn="0" w:oddVBand="0" w:evenVBand="0" w:oddHBand="0" w:evenHBand="0" w:firstRowFirstColumn="0" w:firstRowLastColumn="0" w:lastRowFirstColumn="0" w:lastRowLastColumn="0"/>
            <w:tcW w:w="455" w:type="pct"/>
            <w:hideMark/>
          </w:tcPr>
          <w:p w14:paraId="5A4CEDD2" w14:textId="77777777" w:rsidR="00C87B0E" w:rsidRPr="001C58C6" w:rsidRDefault="00C87B0E" w:rsidP="00AB5C9D">
            <w:pPr>
              <w:rPr>
                <w:rFonts w:ascii="Calibri" w:hAnsi="Calibri" w:cs="Calibri"/>
                <w:color w:val="000000" w:themeColor="text1"/>
                <w:sz w:val="22"/>
              </w:rPr>
            </w:pPr>
            <w:r w:rsidRPr="001C58C6">
              <w:rPr>
                <w:rFonts w:ascii="Calibri" w:hAnsi="Calibri" w:cs="Calibri"/>
                <w:color w:val="000000" w:themeColor="text1"/>
                <w:sz w:val="22"/>
              </w:rPr>
              <w:t>2.</w:t>
            </w:r>
          </w:p>
        </w:tc>
        <w:tc>
          <w:tcPr>
            <w:tcW w:w="713" w:type="pct"/>
            <w:hideMark/>
          </w:tcPr>
          <w:p w14:paraId="544C6F79" w14:textId="77777777" w:rsidR="00C87B0E" w:rsidRPr="001C58C6" w:rsidRDefault="00C87B0E" w:rsidP="00AB5C9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Kotor</w:t>
            </w:r>
          </w:p>
        </w:tc>
        <w:tc>
          <w:tcPr>
            <w:tcW w:w="834" w:type="pct"/>
            <w:hideMark/>
          </w:tcPr>
          <w:p w14:paraId="135D5B2A" w14:textId="77777777" w:rsidR="00C87B0E" w:rsidRPr="001C58C6" w:rsidRDefault="00C87B0E" w:rsidP="00AB5C9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Južna</w:t>
            </w:r>
          </w:p>
        </w:tc>
        <w:tc>
          <w:tcPr>
            <w:tcW w:w="927" w:type="pct"/>
            <w:hideMark/>
          </w:tcPr>
          <w:p w14:paraId="7F7F0470" w14:textId="77777777" w:rsidR="00C87B0E" w:rsidRPr="001C58C6" w:rsidRDefault="00C87B0E" w:rsidP="00AB5C9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UT</w:t>
            </w:r>
          </w:p>
        </w:tc>
        <w:tc>
          <w:tcPr>
            <w:tcW w:w="2071" w:type="pct"/>
            <w:hideMark/>
          </w:tcPr>
          <w:p w14:paraId="46DA4701" w14:textId="77777777" w:rsidR="00C87B0E" w:rsidRPr="001C58C6" w:rsidRDefault="00C87B0E" w:rsidP="00AB5C9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NO, NO</w:t>
            </w:r>
            <w:r w:rsidRPr="001C58C6">
              <w:rPr>
                <w:rFonts w:ascii="Calibri" w:hAnsi="Calibri" w:cs="Calibri"/>
                <w:color w:val="000000" w:themeColor="text1"/>
                <w:sz w:val="22"/>
                <w:vertAlign w:val="subscript"/>
              </w:rPr>
              <w:t xml:space="preserve">2, </w:t>
            </w:r>
            <w:r w:rsidRPr="001C58C6">
              <w:rPr>
                <w:rFonts w:ascii="Calibri" w:hAnsi="Calibri" w:cs="Calibri"/>
                <w:color w:val="000000" w:themeColor="text1"/>
                <w:sz w:val="22"/>
              </w:rPr>
              <w:t>NOx, CO, SO</w:t>
            </w:r>
            <w:r w:rsidRPr="001C58C6">
              <w:rPr>
                <w:rFonts w:ascii="Calibri" w:hAnsi="Calibri" w:cs="Calibri"/>
                <w:color w:val="000000" w:themeColor="text1"/>
                <w:sz w:val="22"/>
                <w:vertAlign w:val="subscript"/>
              </w:rPr>
              <w:t>2</w:t>
            </w:r>
            <w:r w:rsidRPr="001C58C6">
              <w:rPr>
                <w:rFonts w:ascii="Calibri" w:hAnsi="Calibri" w:cs="Calibri"/>
                <w:color w:val="000000" w:themeColor="text1"/>
                <w:sz w:val="22"/>
              </w:rPr>
              <w:t>, C</w:t>
            </w:r>
            <w:r w:rsidRPr="001C58C6">
              <w:rPr>
                <w:rFonts w:ascii="Calibri" w:hAnsi="Calibri" w:cs="Calibri"/>
                <w:color w:val="000000" w:themeColor="text1"/>
                <w:sz w:val="22"/>
                <w:vertAlign w:val="subscript"/>
              </w:rPr>
              <w:t>6</w:t>
            </w:r>
            <w:r w:rsidRPr="001C58C6">
              <w:rPr>
                <w:rFonts w:ascii="Calibri" w:hAnsi="Calibri" w:cs="Calibri"/>
                <w:color w:val="000000" w:themeColor="text1"/>
                <w:sz w:val="22"/>
              </w:rPr>
              <w:t>H</w:t>
            </w:r>
            <w:r w:rsidRPr="001C58C6">
              <w:rPr>
                <w:rFonts w:ascii="Calibri" w:hAnsi="Calibri" w:cs="Calibri"/>
                <w:color w:val="000000" w:themeColor="text1"/>
                <w:sz w:val="22"/>
                <w:vertAlign w:val="subscript"/>
              </w:rPr>
              <w:t xml:space="preserve">6,, </w:t>
            </w:r>
            <w:r w:rsidRPr="001C58C6">
              <w:rPr>
                <w:rFonts w:ascii="Calibri" w:hAnsi="Calibri" w:cs="Calibri"/>
                <w:color w:val="000000" w:themeColor="text1"/>
                <w:sz w:val="22"/>
              </w:rPr>
              <w:t>PM</w:t>
            </w:r>
            <w:r w:rsidRPr="001C58C6">
              <w:rPr>
                <w:rFonts w:ascii="Calibri" w:hAnsi="Calibri" w:cs="Calibri"/>
                <w:color w:val="000000" w:themeColor="text1"/>
                <w:sz w:val="22"/>
                <w:vertAlign w:val="subscript"/>
              </w:rPr>
              <w:t xml:space="preserve">10,  </w:t>
            </w:r>
            <w:r w:rsidRPr="001C58C6">
              <w:rPr>
                <w:rFonts w:ascii="Calibri" w:hAnsi="Calibri" w:cs="Calibri"/>
                <w:color w:val="000000" w:themeColor="text1"/>
                <w:sz w:val="22"/>
              </w:rPr>
              <w:t>(Pb, As, Cd, Ni i BaP u PM</w:t>
            </w:r>
            <w:r w:rsidRPr="001C58C6">
              <w:rPr>
                <w:rFonts w:ascii="Calibri" w:hAnsi="Calibri" w:cs="Calibri"/>
                <w:color w:val="000000" w:themeColor="text1"/>
                <w:sz w:val="22"/>
                <w:vertAlign w:val="subscript"/>
              </w:rPr>
              <w:t>10</w:t>
            </w:r>
            <w:r w:rsidRPr="001C58C6">
              <w:rPr>
                <w:rFonts w:ascii="Calibri" w:hAnsi="Calibri" w:cs="Calibri"/>
                <w:color w:val="000000" w:themeColor="text1"/>
                <w:sz w:val="22"/>
              </w:rPr>
              <w:t>)</w:t>
            </w:r>
          </w:p>
        </w:tc>
      </w:tr>
    </w:tbl>
    <w:p w14:paraId="1F6646DF" w14:textId="77777777" w:rsidR="00C87B0E" w:rsidRPr="001C58C6" w:rsidRDefault="00C87B0E" w:rsidP="00C87B0E">
      <w:pPr>
        <w:rPr>
          <w:rFonts w:ascii="Calibri" w:hAnsi="Calibri" w:cs="Calibri"/>
          <w:color w:val="000000" w:themeColor="text1"/>
        </w:rPr>
      </w:pPr>
    </w:p>
    <w:p w14:paraId="31B9AB36"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Mjerno mjesto u Baru (SC Topolica) je mjesto za praćenje pozadinskog zagađenja u urbanim područjima, dok je mjerno mjesto u Kotoru (Sv. Stasije) namjenjeno praćenju uticaja drumskog i pomorskog saobraćaja. </w:t>
      </w:r>
    </w:p>
    <w:p w14:paraId="3AE9F40F" w14:textId="77777777" w:rsidR="00C87B0E" w:rsidRPr="001C58C6" w:rsidRDefault="005E3F1A" w:rsidP="005E3F1A">
      <w:pPr>
        <w:pStyle w:val="Heading3"/>
        <w:rPr>
          <w:rFonts w:ascii="Calibri" w:hAnsi="Calibri" w:cs="Calibri"/>
          <w:color w:val="000000" w:themeColor="text1"/>
        </w:rPr>
      </w:pPr>
      <w:bookmarkStart w:id="212" w:name="_Toc217387953"/>
      <w:bookmarkStart w:id="213" w:name="_Toc217388098"/>
      <w:bookmarkStart w:id="214" w:name="_Toc220070456"/>
      <w:bookmarkStart w:id="215" w:name="_Toc233711775"/>
      <w:r w:rsidRPr="001C58C6">
        <w:rPr>
          <w:rFonts w:ascii="Calibri" w:hAnsi="Calibri" w:cs="Calibri"/>
          <w:color w:val="000000" w:themeColor="text1"/>
        </w:rPr>
        <w:t>7.3.1</w:t>
      </w:r>
      <w:r w:rsidR="00C87B0E" w:rsidRPr="001C58C6">
        <w:rPr>
          <w:rFonts w:ascii="Calibri" w:hAnsi="Calibri" w:cs="Calibri"/>
          <w:color w:val="000000" w:themeColor="text1"/>
        </w:rPr>
        <w:t xml:space="preserve"> Opšte informacije</w:t>
      </w:r>
      <w:bookmarkEnd w:id="212"/>
      <w:bookmarkEnd w:id="213"/>
      <w:bookmarkEnd w:id="214"/>
      <w:bookmarkEnd w:id="215"/>
    </w:p>
    <w:p w14:paraId="3C44BB31"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U skladu sa Strategijom regionalnog razvoja Crne Gore, Primorski region</w:t>
      </w:r>
      <w:r w:rsidRPr="001C58C6">
        <w:rPr>
          <w:rFonts w:ascii="Calibri" w:hAnsi="Calibri" w:cs="Calibri"/>
          <w:b/>
          <w:bCs/>
          <w:color w:val="000000" w:themeColor="text1"/>
        </w:rPr>
        <w:t xml:space="preserve"> </w:t>
      </w:r>
      <w:r w:rsidRPr="001C58C6">
        <w:rPr>
          <w:rFonts w:ascii="Calibri" w:hAnsi="Calibri" w:cs="Calibri"/>
          <w:color w:val="000000" w:themeColor="text1"/>
        </w:rPr>
        <w:t xml:space="preserve">predstavlja najgušće naseljen region u Crnoj Gori. Na svega 12% ukupne teritorije koju pokriva primorski region živi četvrtina ukupne populacije. Snage za dalji razvoj ovog regiona se upravo ogledaju kroz pozitivne demografske trendove, kao značajan priliv direktnih stranih investicija. Region raspolaže velikim potencijalom za razvoj turizma, pomorske privrede i poljoprivrede, i u njemu su smješteni značajni obrazovni kapaciteti i značajni kapaciteti za razvoj preduzetništva. Dosadašnji razvoj je bio baziran na razvoju turizma, ugostiteljstva, preduzetništva, a u određenoj mjeri i na poljoprivredi. Karakterišu ga migracije stanovništva iz drugih regiona, kao i priliv radnika iz drugih zemalja, posebno za vrijeme turističke i građevinske sezone. </w:t>
      </w:r>
    </w:p>
    <w:p w14:paraId="33CE152D"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U pogledu klimatskih karakteristika, crnogorsko primorje ima sve odlike jadransko-sredozemne klime, što znači da to područje karakterišu duga, vrela i suva ljeta i relativno blage i kišovite zime. Prosječna temperatura vazduha u svim primorskim mjestima ima šest mjeseci veću vrijednost od 18°C, koju prati odgovarajuća temperatura morske vode i velika insolacija. Prema ovim pokazateljima crnogorsko primorje spada u grupu najtoplijih i najosunčanijih regija Evrope. Padavine su najobilnije na području Boke Kotorske, a mediteranski pluviometrijski režim karakteriše maksimalne padavine u kasnoj jeseni i početkom zime, a izraziti minimum padavina je vezan za ljetnji dio godine, kada su veoma česti dugi, sušni periodi. </w:t>
      </w:r>
    </w:p>
    <w:p w14:paraId="040F390A" w14:textId="77777777" w:rsidR="00C87B0E" w:rsidRPr="001C58C6" w:rsidRDefault="00C87B0E" w:rsidP="00C87B0E">
      <w:pPr>
        <w:rPr>
          <w:rFonts w:ascii="Calibri" w:hAnsi="Calibri" w:cs="Calibri"/>
          <w:b/>
          <w:bCs/>
          <w:color w:val="000000" w:themeColor="text1"/>
        </w:rPr>
      </w:pPr>
      <w:r w:rsidRPr="001C58C6">
        <w:rPr>
          <w:rFonts w:ascii="Calibri" w:hAnsi="Calibri" w:cs="Calibri"/>
          <w:b/>
          <w:bCs/>
          <w:color w:val="000000" w:themeColor="text1"/>
        </w:rPr>
        <w:t xml:space="preserve">Teritorija </w:t>
      </w:r>
    </w:p>
    <w:p w14:paraId="570BF85E" w14:textId="77777777" w:rsidR="005E3F1A" w:rsidRDefault="00C87B0E" w:rsidP="00C87B0E">
      <w:pPr>
        <w:rPr>
          <w:rFonts w:ascii="Calibri" w:hAnsi="Calibri" w:cs="Calibri"/>
          <w:color w:val="000000" w:themeColor="text1"/>
        </w:rPr>
      </w:pPr>
      <w:r w:rsidRPr="001C58C6">
        <w:rPr>
          <w:rFonts w:ascii="Calibri" w:hAnsi="Calibri" w:cs="Calibri"/>
          <w:color w:val="000000" w:themeColor="text1"/>
        </w:rPr>
        <w:t xml:space="preserve">Ukupna površina opština koje pripadaju Južnoj zoni kvaliteta vazduha iznosi 1,504km2. Na ovoj teritoriji nalazi se 6 opština (Bar, Budva, Kotor, Tivat, Ulcinj i Herceg Novi). Najveću teritoriju zauzima opština Bar (504 km2) dok je opština Tivat teritorijalno najmanja opština u Crnoj Gori (47km2).  </w:t>
      </w:r>
    </w:p>
    <w:p w14:paraId="1D0FF662" w14:textId="77777777" w:rsidR="006F52AD" w:rsidRPr="001C58C6" w:rsidRDefault="006F52AD" w:rsidP="00C87B0E">
      <w:pPr>
        <w:rPr>
          <w:rFonts w:ascii="Calibri" w:hAnsi="Calibri" w:cs="Calibri"/>
          <w:color w:val="000000" w:themeColor="text1"/>
        </w:rPr>
      </w:pPr>
    </w:p>
    <w:p w14:paraId="01440FC9" w14:textId="77777777" w:rsidR="00752282" w:rsidRPr="001C58C6" w:rsidRDefault="00752282" w:rsidP="00C87B0E">
      <w:pPr>
        <w:rPr>
          <w:rFonts w:ascii="Calibri" w:hAnsi="Calibri" w:cs="Calibri"/>
          <w:color w:val="000000" w:themeColor="text1"/>
        </w:rPr>
      </w:pPr>
    </w:p>
    <w:p w14:paraId="2B1E3922" w14:textId="77777777" w:rsidR="00C87B0E" w:rsidRPr="001C58C6" w:rsidRDefault="00C87B0E" w:rsidP="00C87B0E">
      <w:pPr>
        <w:rPr>
          <w:rFonts w:ascii="Calibri" w:hAnsi="Calibri" w:cs="Calibri"/>
          <w:b/>
          <w:bCs/>
          <w:color w:val="000000" w:themeColor="text1"/>
        </w:rPr>
      </w:pPr>
      <w:r w:rsidRPr="001C58C6">
        <w:rPr>
          <w:rFonts w:ascii="Calibri" w:hAnsi="Calibri" w:cs="Calibri"/>
          <w:b/>
          <w:bCs/>
          <w:color w:val="000000" w:themeColor="text1"/>
        </w:rPr>
        <w:lastRenderedPageBreak/>
        <w:t>Stanovništvo</w:t>
      </w:r>
    </w:p>
    <w:p w14:paraId="4182A026"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Prema posljednjem popisu stanovništva (2023) na teritoriji zone živi ukupno 163,672  stanovnika. Najnaseljenija opština u primorskom regionu Crne Gore je Bar sa 45,812 stanovnika.  </w:t>
      </w:r>
    </w:p>
    <w:p w14:paraId="4B46AC21" w14:textId="77777777" w:rsidR="00752282" w:rsidRPr="001C58C6" w:rsidRDefault="00752282" w:rsidP="00C87B0E">
      <w:pPr>
        <w:rPr>
          <w:rFonts w:ascii="Calibri" w:hAnsi="Calibri" w:cs="Calibri"/>
          <w:color w:val="000000" w:themeColor="text1"/>
        </w:rPr>
      </w:pPr>
    </w:p>
    <w:p w14:paraId="714659BC" w14:textId="77777777" w:rsidR="00C87B0E" w:rsidRPr="001C58C6" w:rsidRDefault="00C87B0E" w:rsidP="00C87B0E">
      <w:pPr>
        <w:rPr>
          <w:rFonts w:ascii="Calibri" w:hAnsi="Calibri" w:cs="Calibri"/>
          <w:b/>
          <w:bCs/>
          <w:color w:val="000000" w:themeColor="text1"/>
        </w:rPr>
      </w:pPr>
      <w:r w:rsidRPr="001C58C6">
        <w:rPr>
          <w:rFonts w:ascii="Calibri" w:hAnsi="Calibri" w:cs="Calibri"/>
          <w:b/>
          <w:bCs/>
          <w:color w:val="000000" w:themeColor="text1"/>
        </w:rPr>
        <w:t>Koncentracije zagađujučih materija i izloženost stanovništva</w:t>
      </w:r>
    </w:p>
    <w:p w14:paraId="32ED62C8" w14:textId="77777777" w:rsidR="00752282" w:rsidRPr="001C58C6" w:rsidRDefault="00752282" w:rsidP="00C87B0E">
      <w:pPr>
        <w:rPr>
          <w:rFonts w:ascii="Calibri" w:hAnsi="Calibri" w:cs="Calibri"/>
          <w:b/>
          <w:bCs/>
          <w:color w:val="000000" w:themeColor="text1"/>
        </w:rPr>
      </w:pPr>
    </w:p>
    <w:p w14:paraId="57F35245"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Koncentracije zagađujućih materija zabilježene tokom 2024. godine u skladu su sa strožim standardima koji će se u EU primjenjivati od 2030. godine, iako su za neke polutante veoma bliske predviđenim graničnim vrijednostima. Na primjer, prosječna koncentracija suspendovanih čestica PM10 iznosila je 18.97 µg/m3 u odnosu na graničnu vrijednost od 20 µg/m3 a koncentracija suspendovanih čestica PM2.5 9.46 µg/m3 u odnosu na novu graničnu vrijednost (koja se još ne primjenjuje) od 10 µg/m3. Ovo ukazuje na potrebu pažljivog planiranja aktivnosti u ovom regionu i aktivnog pristupa očuvanja kvaliteta vazduha. </w:t>
      </w:r>
    </w:p>
    <w:p w14:paraId="2CA80313"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Za razliku od druge dvije zone, zbog blage klime i rijetke upotrebe čvrstih goriva za grijanje domaćinstava, u ovoj zoni je prosječan sadržaj benzo(a)pirena u suspendovanim česticama 0.29 ng/m3, ispod ciljne vrijednosti koja iznosi 1ng/m3. </w:t>
      </w:r>
    </w:p>
    <w:p w14:paraId="448AB9DB"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Klimatske zone u Crnoj Gori u skladu sa Kopenovim sistemom prikazan je na Ilustraciji </w:t>
      </w:r>
      <w:r w:rsidR="005E3F1A" w:rsidRPr="001C58C6">
        <w:rPr>
          <w:rFonts w:ascii="Calibri" w:hAnsi="Calibri" w:cs="Calibri"/>
          <w:color w:val="000000" w:themeColor="text1"/>
        </w:rPr>
        <w:t>9</w:t>
      </w:r>
      <w:r w:rsidRPr="001C58C6">
        <w:rPr>
          <w:rFonts w:ascii="Calibri" w:hAnsi="Calibri" w:cs="Calibri"/>
          <w:color w:val="000000" w:themeColor="text1"/>
        </w:rPr>
        <w:t xml:space="preserve">. </w:t>
      </w:r>
    </w:p>
    <w:p w14:paraId="1908EB1D" w14:textId="77777777" w:rsidR="00B33518" w:rsidRPr="001C58C6" w:rsidRDefault="00B33518" w:rsidP="00C87B0E">
      <w:pPr>
        <w:rPr>
          <w:rFonts w:ascii="Calibri" w:hAnsi="Calibri" w:cs="Calibri"/>
          <w:color w:val="000000" w:themeColor="text1"/>
        </w:rPr>
      </w:pPr>
    </w:p>
    <w:p w14:paraId="0630883D" w14:textId="77777777" w:rsidR="005E3F1A" w:rsidRPr="001C58C6" w:rsidRDefault="00752282" w:rsidP="00B33518">
      <w:pPr>
        <w:pStyle w:val="Caption"/>
        <w:jc w:val="center"/>
        <w:rPr>
          <w:rFonts w:ascii="Calibri" w:hAnsi="Calibri" w:cs="Calibri"/>
          <w:i/>
          <w:iCs/>
          <w:color w:val="000000" w:themeColor="text1"/>
          <w:sz w:val="20"/>
          <w:szCs w:val="20"/>
        </w:rPr>
      </w:pPr>
      <w:bookmarkStart w:id="216" w:name="_Toc217389341"/>
      <w:bookmarkStart w:id="217" w:name="_Toc233584701"/>
      <w:r w:rsidRPr="001C58C6">
        <w:rPr>
          <w:rFonts w:ascii="Calibri" w:hAnsi="Calibri" w:cs="Calibri"/>
          <w:i/>
          <w:iCs/>
          <w:color w:val="000000" w:themeColor="text1"/>
          <w:sz w:val="20"/>
          <w:szCs w:val="20"/>
        </w:rPr>
        <w:t xml:space="preserve">Ilustracija </w:t>
      </w:r>
      <w:r w:rsidRPr="001C58C6">
        <w:rPr>
          <w:rFonts w:ascii="Calibri" w:hAnsi="Calibri" w:cs="Calibri"/>
          <w:i/>
          <w:iCs/>
          <w:color w:val="000000" w:themeColor="text1"/>
          <w:sz w:val="20"/>
          <w:szCs w:val="20"/>
        </w:rPr>
        <w:fldChar w:fldCharType="begin"/>
      </w:r>
      <w:r w:rsidRPr="001C58C6">
        <w:rPr>
          <w:rFonts w:ascii="Calibri" w:hAnsi="Calibri" w:cs="Calibri"/>
          <w:i/>
          <w:iCs/>
          <w:color w:val="000000" w:themeColor="text1"/>
          <w:sz w:val="20"/>
          <w:szCs w:val="20"/>
        </w:rPr>
        <w:instrText xml:space="preserve"> SEQ Ilustracija \* ARABIC </w:instrText>
      </w:r>
      <w:r w:rsidRPr="001C58C6">
        <w:rPr>
          <w:rFonts w:ascii="Calibri" w:hAnsi="Calibri" w:cs="Calibri"/>
          <w:i/>
          <w:iCs/>
          <w:color w:val="000000" w:themeColor="text1"/>
          <w:sz w:val="20"/>
          <w:szCs w:val="20"/>
        </w:rPr>
        <w:fldChar w:fldCharType="separate"/>
      </w:r>
      <w:r w:rsidRPr="001C58C6">
        <w:rPr>
          <w:rFonts w:ascii="Calibri" w:hAnsi="Calibri" w:cs="Calibri"/>
          <w:i/>
          <w:iCs/>
          <w:color w:val="000000" w:themeColor="text1"/>
          <w:sz w:val="20"/>
          <w:szCs w:val="20"/>
        </w:rPr>
        <w:t>9</w:t>
      </w:r>
      <w:r w:rsidRPr="001C58C6">
        <w:rPr>
          <w:rFonts w:ascii="Calibri" w:hAnsi="Calibri" w:cs="Calibri"/>
          <w:i/>
          <w:iCs/>
          <w:color w:val="000000" w:themeColor="text1"/>
          <w:sz w:val="20"/>
          <w:szCs w:val="20"/>
        </w:rPr>
        <w:fldChar w:fldCharType="end"/>
      </w:r>
      <w:r w:rsidR="005E3F1A" w:rsidRPr="001C58C6">
        <w:rPr>
          <w:rFonts w:ascii="Calibri" w:hAnsi="Calibri" w:cs="Calibri"/>
          <w:i/>
          <w:iCs/>
          <w:color w:val="000000" w:themeColor="text1"/>
          <w:sz w:val="20"/>
          <w:szCs w:val="20"/>
        </w:rPr>
        <w:t xml:space="preserve">: </w:t>
      </w:r>
      <w:r w:rsidR="00C87B0E" w:rsidRPr="001C58C6">
        <w:rPr>
          <w:rFonts w:ascii="Calibri" w:hAnsi="Calibri" w:cs="Calibri"/>
          <w:i/>
          <w:iCs/>
          <w:color w:val="000000" w:themeColor="text1"/>
          <w:sz w:val="20"/>
          <w:szCs w:val="20"/>
        </w:rPr>
        <w:t>Kopenov sistem u Crnoj Gori – klimatska rejonizacija</w:t>
      </w:r>
      <w:bookmarkEnd w:id="216"/>
      <w:bookmarkEnd w:id="217"/>
    </w:p>
    <w:p w14:paraId="0EE73154" w14:textId="77777777" w:rsidR="00C87B0E" w:rsidRPr="001C58C6" w:rsidRDefault="00C87B0E" w:rsidP="005E3F1A">
      <w:pPr>
        <w:jc w:val="center"/>
        <w:rPr>
          <w:rFonts w:ascii="Calibri" w:hAnsi="Calibri" w:cs="Calibri"/>
          <w:i/>
          <w:iCs/>
          <w:color w:val="000000" w:themeColor="text1"/>
        </w:rPr>
      </w:pPr>
      <w:r w:rsidRPr="001C58C6">
        <w:rPr>
          <w:rFonts w:ascii="Calibri" w:hAnsi="Calibri" w:cs="Calibri"/>
          <w:i/>
          <w:iCs/>
          <w:noProof/>
          <w:color w:val="000000" w:themeColor="text1"/>
        </w:rPr>
        <w:drawing>
          <wp:inline distT="0" distB="0" distL="0" distR="0" wp14:anchorId="44429F7A" wp14:editId="202BF838">
            <wp:extent cx="3847465" cy="4295150"/>
            <wp:effectExtent l="0" t="0" r="635" b="0"/>
            <wp:docPr id="41562733" name="Picture 10" descr="A map of a reg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2733" name="Picture 10" descr="A map of a region&#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53296" cy="4301660"/>
                    </a:xfrm>
                    <a:prstGeom prst="rect">
                      <a:avLst/>
                    </a:prstGeom>
                    <a:noFill/>
                    <a:ln>
                      <a:noFill/>
                    </a:ln>
                  </pic:spPr>
                </pic:pic>
              </a:graphicData>
            </a:graphic>
          </wp:inline>
        </w:drawing>
      </w:r>
    </w:p>
    <w:p w14:paraId="565C1A96" w14:textId="77777777" w:rsidR="00C87B0E" w:rsidRPr="001C58C6" w:rsidRDefault="00C87B0E" w:rsidP="005E3F1A">
      <w:pPr>
        <w:jc w:val="center"/>
        <w:rPr>
          <w:rFonts w:ascii="Calibri" w:hAnsi="Calibri" w:cs="Calibri"/>
          <w:color w:val="000000" w:themeColor="text1"/>
          <w:sz w:val="18"/>
          <w:szCs w:val="18"/>
        </w:rPr>
      </w:pPr>
      <w:r w:rsidRPr="001C58C6">
        <w:rPr>
          <w:rFonts w:ascii="Calibri" w:hAnsi="Calibri" w:cs="Calibri"/>
          <w:color w:val="000000" w:themeColor="text1"/>
          <w:sz w:val="18"/>
          <w:szCs w:val="18"/>
        </w:rPr>
        <w:t>Izvor podataka: Botanički leksikon Crne Gore, Crnogorska akademija nauka i umjetnosti,</w:t>
      </w:r>
      <w:r w:rsidR="005E3F1A" w:rsidRPr="001C58C6">
        <w:rPr>
          <w:rFonts w:ascii="Calibri" w:hAnsi="Calibri" w:cs="Calibri"/>
          <w:color w:val="000000" w:themeColor="text1"/>
          <w:sz w:val="18"/>
          <w:szCs w:val="18"/>
        </w:rPr>
        <w:t xml:space="preserve"> </w:t>
      </w:r>
      <w:hyperlink r:id="rId38" w:history="1">
        <w:r w:rsidR="005E3F1A" w:rsidRPr="001C58C6">
          <w:rPr>
            <w:rStyle w:val="Hyperlink"/>
            <w:rFonts w:ascii="Calibri" w:hAnsi="Calibri" w:cs="Calibri"/>
            <w:color w:val="000000" w:themeColor="text1"/>
            <w:sz w:val="18"/>
            <w:szCs w:val="18"/>
          </w:rPr>
          <w:t>https://leks.canu.ac.me/web/blcg.php?OID=1678</w:t>
        </w:r>
      </w:hyperlink>
    </w:p>
    <w:p w14:paraId="2674D9BD" w14:textId="77777777" w:rsidR="00C87B0E" w:rsidRPr="001C58C6" w:rsidRDefault="005E3F1A" w:rsidP="005E3F1A">
      <w:pPr>
        <w:pStyle w:val="Heading3"/>
        <w:rPr>
          <w:rFonts w:ascii="Calibri" w:hAnsi="Calibri" w:cs="Calibri"/>
          <w:color w:val="000000" w:themeColor="text1"/>
        </w:rPr>
      </w:pPr>
      <w:bookmarkStart w:id="218" w:name="_Toc217387954"/>
      <w:bookmarkStart w:id="219" w:name="_Toc217388099"/>
      <w:bookmarkStart w:id="220" w:name="_Toc220070457"/>
      <w:bookmarkStart w:id="221" w:name="_Toc233711776"/>
      <w:r w:rsidRPr="001C58C6">
        <w:rPr>
          <w:rFonts w:ascii="Calibri" w:hAnsi="Calibri" w:cs="Calibri"/>
          <w:color w:val="000000" w:themeColor="text1"/>
        </w:rPr>
        <w:lastRenderedPageBreak/>
        <w:t xml:space="preserve">7.3.2 </w:t>
      </w:r>
      <w:r w:rsidR="00C87B0E" w:rsidRPr="001C58C6">
        <w:rPr>
          <w:rFonts w:ascii="Calibri" w:hAnsi="Calibri" w:cs="Calibri"/>
          <w:color w:val="000000" w:themeColor="text1"/>
        </w:rPr>
        <w:t>Nadležni organi</w:t>
      </w:r>
      <w:bookmarkEnd w:id="218"/>
      <w:bookmarkEnd w:id="219"/>
      <w:bookmarkEnd w:id="220"/>
      <w:bookmarkEnd w:id="221"/>
    </w:p>
    <w:p w14:paraId="6BD1FB0E"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Nadležni organ za koordinaciju i nadzor nad sprovođenjem ove strategije, uključujuči i planove kvaliteta vazduha na nivou zona je Ministarstvo ekologije, održivog razvoja i razvoja sjevera. </w:t>
      </w:r>
    </w:p>
    <w:p w14:paraId="7199284B"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Jjedinice lokalne samouprave koje pripadaju ovoj zoni dužne su da u svojim lokalnim akcionim planovima za životnu sredinu razrađuju i planiraju sprovođenje mjera za smanjenje zagađenja na svojoj teritoriji. </w:t>
      </w:r>
    </w:p>
    <w:p w14:paraId="1BABA7C8"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Ministarstvo energetike i rudarstva je nadležno za sprovođenje Nacionalnog klimatskog i energetskog plana čija će implementacija doprinijeti smanjenju zagađenja. </w:t>
      </w:r>
    </w:p>
    <w:p w14:paraId="235051BD"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Eko fond igra značajnu ulogu u implementaciji određenih mjera, kroz sufinansiranje projekata, programa i ostalih aktivnosti iz djelokruga rada Eko-fonda. </w:t>
      </w:r>
    </w:p>
    <w:p w14:paraId="5B5C8E55"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Ministarstvo saobraćaja, Ministarstvo unutrašnjih poslova i ostale institucije imaju ulogu u implementaciji određenih mjera iz svog resora. </w:t>
      </w:r>
    </w:p>
    <w:p w14:paraId="08CD4872" w14:textId="77777777" w:rsidR="00C87B0E" w:rsidRPr="001C58C6" w:rsidRDefault="005E3F1A" w:rsidP="005E3F1A">
      <w:pPr>
        <w:pStyle w:val="Heading3"/>
        <w:rPr>
          <w:rFonts w:ascii="Calibri" w:hAnsi="Calibri" w:cs="Calibri"/>
          <w:color w:val="000000" w:themeColor="text1"/>
        </w:rPr>
      </w:pPr>
      <w:bookmarkStart w:id="222" w:name="_Toc217387955"/>
      <w:bookmarkStart w:id="223" w:name="_Toc217388100"/>
      <w:bookmarkStart w:id="224" w:name="_Toc220070458"/>
      <w:bookmarkStart w:id="225" w:name="_Toc233711777"/>
      <w:r w:rsidRPr="001C58C6">
        <w:rPr>
          <w:rFonts w:ascii="Calibri" w:hAnsi="Calibri" w:cs="Calibri"/>
          <w:color w:val="000000" w:themeColor="text1"/>
        </w:rPr>
        <w:t xml:space="preserve">7.3.3 </w:t>
      </w:r>
      <w:r w:rsidR="00C87B0E" w:rsidRPr="001C58C6">
        <w:rPr>
          <w:rFonts w:ascii="Calibri" w:hAnsi="Calibri" w:cs="Calibri"/>
          <w:color w:val="000000" w:themeColor="text1"/>
        </w:rPr>
        <w:t>Opis osnovnog scenarija na kojem se zasniva plan kvaliteta vazduha radi prikaza posljedica nedjelovanja, uključujući predviđeni razvoj emisija i koncentracija.</w:t>
      </w:r>
      <w:bookmarkEnd w:id="222"/>
      <w:bookmarkEnd w:id="223"/>
      <w:bookmarkEnd w:id="224"/>
      <w:bookmarkEnd w:id="225"/>
    </w:p>
    <w:p w14:paraId="4660F0AA" w14:textId="77777777" w:rsidR="00C87B0E" w:rsidRPr="001C58C6" w:rsidRDefault="00C87B0E" w:rsidP="00E53052">
      <w:pPr>
        <w:pStyle w:val="ListParagraph"/>
        <w:numPr>
          <w:ilvl w:val="3"/>
          <w:numId w:val="46"/>
        </w:numPr>
        <w:rPr>
          <w:rFonts w:ascii="Calibri" w:hAnsi="Calibri" w:cs="Calibri"/>
          <w:b/>
          <w:bCs/>
          <w:color w:val="000000" w:themeColor="text1"/>
        </w:rPr>
      </w:pPr>
      <w:r w:rsidRPr="001C58C6">
        <w:rPr>
          <w:rFonts w:ascii="Calibri" w:hAnsi="Calibri" w:cs="Calibri"/>
          <w:b/>
          <w:bCs/>
          <w:color w:val="000000" w:themeColor="text1"/>
        </w:rPr>
        <w:t>Utvrđivanje mjera za smanjenje zagađenja vazduha koje se mogu razmotriti, i detaljni podaci o tim mjerama</w:t>
      </w:r>
    </w:p>
    <w:p w14:paraId="0FFD8CE4"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U skladu sa obavezom usklađivanja Programa smanjenja zagađivanja vazduha sa Nacionalnim energetskim i klimatskim planom, kao i obavezom usklađivanja planova kvaliteta vazduha sa Programom smanjenja zagađivanja vazduha, brojne mjere (od ukupno 56 mjera) iz NEKP-a razmatrane su kao moguća sinergija u ovom dijelu politike zaštite vazduha, koja bi mogla doprinijeti rapidnom poboljšanju kvaliteta vazduha, unapređenju zdravlja ljudi u skladu sa Evropskim zelenim dogovorom kao i postizanju strožih standarda koji očekuju Crnu Goru kao buduću članicu EU. </w:t>
      </w:r>
    </w:p>
    <w:p w14:paraId="0D12C639" w14:textId="77777777" w:rsidR="00752282" w:rsidRPr="001C58C6" w:rsidRDefault="00752282" w:rsidP="00C87B0E">
      <w:pPr>
        <w:rPr>
          <w:rFonts w:ascii="Calibri" w:hAnsi="Calibri" w:cs="Calibri"/>
          <w:color w:val="000000" w:themeColor="text1"/>
        </w:rPr>
      </w:pPr>
    </w:p>
    <w:p w14:paraId="244B1F72" w14:textId="77777777" w:rsidR="00752282" w:rsidRPr="001C58C6" w:rsidRDefault="00752282" w:rsidP="00C87B0E">
      <w:pPr>
        <w:rPr>
          <w:rFonts w:ascii="Calibri" w:hAnsi="Calibri" w:cs="Calibri"/>
          <w:color w:val="000000" w:themeColor="text1"/>
        </w:rPr>
      </w:pPr>
    </w:p>
    <w:p w14:paraId="71022EBB"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Razmatrane mjere su predstavljene u tabeli: </w:t>
      </w:r>
    </w:p>
    <w:p w14:paraId="7BC79F5C" w14:textId="77777777" w:rsidR="00752282" w:rsidRPr="001C58C6" w:rsidRDefault="00752282" w:rsidP="00C87B0E">
      <w:pPr>
        <w:rPr>
          <w:rFonts w:ascii="Calibri" w:hAnsi="Calibri" w:cs="Calibri"/>
          <w:color w:val="000000" w:themeColor="text1"/>
        </w:rPr>
      </w:pPr>
    </w:p>
    <w:p w14:paraId="34398E20" w14:textId="77777777" w:rsidR="00C87B0E" w:rsidRPr="001C58C6" w:rsidRDefault="00752282" w:rsidP="00B33518">
      <w:pPr>
        <w:pStyle w:val="Caption"/>
        <w:jc w:val="center"/>
        <w:rPr>
          <w:rFonts w:ascii="Calibri" w:hAnsi="Calibri" w:cs="Calibri"/>
          <w:i/>
          <w:iCs/>
          <w:color w:val="000000" w:themeColor="text1"/>
          <w:sz w:val="20"/>
          <w:szCs w:val="20"/>
        </w:rPr>
      </w:pPr>
      <w:bookmarkStart w:id="226" w:name="_Toc217388772"/>
      <w:bookmarkStart w:id="227" w:name="_Toc217388817"/>
      <w:bookmarkStart w:id="228" w:name="_Toc233584691"/>
      <w:r w:rsidRPr="001C58C6">
        <w:rPr>
          <w:rFonts w:ascii="Calibri" w:hAnsi="Calibri" w:cs="Calibri"/>
          <w:i/>
          <w:iCs/>
          <w:color w:val="000000" w:themeColor="text1"/>
          <w:sz w:val="20"/>
          <w:szCs w:val="20"/>
        </w:rPr>
        <w:t xml:space="preserve">Tabela </w:t>
      </w:r>
      <w:r w:rsidRPr="001C58C6">
        <w:rPr>
          <w:rFonts w:ascii="Calibri" w:hAnsi="Calibri" w:cs="Calibri"/>
          <w:i/>
          <w:iCs/>
          <w:color w:val="000000" w:themeColor="text1"/>
          <w:sz w:val="20"/>
          <w:szCs w:val="20"/>
        </w:rPr>
        <w:fldChar w:fldCharType="begin"/>
      </w:r>
      <w:r w:rsidRPr="001C58C6">
        <w:rPr>
          <w:rFonts w:ascii="Calibri" w:hAnsi="Calibri" w:cs="Calibri"/>
          <w:i/>
          <w:iCs/>
          <w:color w:val="000000" w:themeColor="text1"/>
          <w:sz w:val="20"/>
          <w:szCs w:val="20"/>
        </w:rPr>
        <w:instrText xml:space="preserve"> SEQ Tabela \* ARABIC </w:instrText>
      </w:r>
      <w:r w:rsidRPr="001C58C6">
        <w:rPr>
          <w:rFonts w:ascii="Calibri" w:hAnsi="Calibri" w:cs="Calibri"/>
          <w:i/>
          <w:iCs/>
          <w:color w:val="000000" w:themeColor="text1"/>
          <w:sz w:val="20"/>
          <w:szCs w:val="20"/>
        </w:rPr>
        <w:fldChar w:fldCharType="separate"/>
      </w:r>
      <w:r w:rsidRPr="001C58C6">
        <w:rPr>
          <w:rFonts w:ascii="Calibri" w:hAnsi="Calibri" w:cs="Calibri"/>
          <w:i/>
          <w:iCs/>
          <w:color w:val="000000" w:themeColor="text1"/>
          <w:sz w:val="20"/>
          <w:szCs w:val="20"/>
        </w:rPr>
        <w:t>16</w:t>
      </w:r>
      <w:r w:rsidRPr="001C58C6">
        <w:rPr>
          <w:rFonts w:ascii="Calibri" w:hAnsi="Calibri" w:cs="Calibri"/>
          <w:i/>
          <w:iCs/>
          <w:color w:val="000000" w:themeColor="text1"/>
          <w:sz w:val="20"/>
          <w:szCs w:val="20"/>
        </w:rPr>
        <w:fldChar w:fldCharType="end"/>
      </w:r>
      <w:r w:rsidR="005E3F1A" w:rsidRPr="001C58C6">
        <w:rPr>
          <w:rFonts w:ascii="Calibri" w:hAnsi="Calibri" w:cs="Calibri"/>
          <w:i/>
          <w:iCs/>
          <w:color w:val="000000" w:themeColor="text1"/>
          <w:sz w:val="20"/>
          <w:szCs w:val="20"/>
        </w:rPr>
        <w:t xml:space="preserve">: </w:t>
      </w:r>
      <w:r w:rsidR="00C87B0E" w:rsidRPr="001C58C6">
        <w:rPr>
          <w:rFonts w:ascii="Calibri" w:hAnsi="Calibri" w:cs="Calibri"/>
          <w:i/>
          <w:iCs/>
          <w:color w:val="000000" w:themeColor="text1"/>
          <w:sz w:val="20"/>
          <w:szCs w:val="20"/>
        </w:rPr>
        <w:t>Razmatrane mjere iz NEKP-a</w:t>
      </w:r>
      <w:bookmarkEnd w:id="226"/>
      <w:bookmarkEnd w:id="227"/>
      <w:bookmarkEnd w:id="228"/>
    </w:p>
    <w:tbl>
      <w:tblPr>
        <w:tblStyle w:val="GridTable1Light-Accent1"/>
        <w:tblW w:w="0" w:type="auto"/>
        <w:tblLook w:val="04A0" w:firstRow="1" w:lastRow="0" w:firstColumn="1" w:lastColumn="0" w:noHBand="0" w:noVBand="1"/>
      </w:tblPr>
      <w:tblGrid>
        <w:gridCol w:w="540"/>
        <w:gridCol w:w="4056"/>
        <w:gridCol w:w="4343"/>
      </w:tblGrid>
      <w:tr w:rsidR="00C87B0E" w:rsidRPr="001C58C6" w14:paraId="56C1A0FB" w14:textId="77777777" w:rsidTr="005E3F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E8E8E8" w:themeFill="background2"/>
            <w:vAlign w:val="center"/>
          </w:tcPr>
          <w:p w14:paraId="1F0E254A" w14:textId="77777777" w:rsidR="00C87B0E" w:rsidRPr="001C58C6" w:rsidRDefault="005E3F1A" w:rsidP="005E3F1A">
            <w:pPr>
              <w:jc w:val="center"/>
              <w:rPr>
                <w:rFonts w:ascii="Calibri" w:hAnsi="Calibri" w:cs="Calibri"/>
                <w:color w:val="000000" w:themeColor="text1"/>
                <w:sz w:val="22"/>
              </w:rPr>
            </w:pPr>
            <w:r w:rsidRPr="001C58C6">
              <w:rPr>
                <w:rFonts w:ascii="Calibri" w:hAnsi="Calibri" w:cs="Calibri"/>
                <w:color w:val="000000" w:themeColor="text1"/>
                <w:sz w:val="22"/>
              </w:rPr>
              <w:t>R.b.</w:t>
            </w:r>
          </w:p>
        </w:tc>
        <w:tc>
          <w:tcPr>
            <w:tcW w:w="4056" w:type="dxa"/>
            <w:shd w:val="clear" w:color="auto" w:fill="E8E8E8" w:themeFill="background2"/>
            <w:vAlign w:val="center"/>
            <w:hideMark/>
          </w:tcPr>
          <w:p w14:paraId="7CB93C2E" w14:textId="77777777" w:rsidR="00C87B0E" w:rsidRPr="001C58C6" w:rsidRDefault="00C87B0E" w:rsidP="005E3F1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Politike i mjere</w:t>
            </w:r>
          </w:p>
        </w:tc>
        <w:tc>
          <w:tcPr>
            <w:tcW w:w="4343" w:type="dxa"/>
            <w:shd w:val="clear" w:color="auto" w:fill="E8E8E8" w:themeFill="background2"/>
            <w:vAlign w:val="center"/>
            <w:hideMark/>
          </w:tcPr>
          <w:p w14:paraId="6946A8AB" w14:textId="77777777" w:rsidR="00C87B0E" w:rsidRPr="001C58C6" w:rsidRDefault="00C87B0E" w:rsidP="005E3F1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Ciljni sektor</w:t>
            </w:r>
          </w:p>
        </w:tc>
      </w:tr>
      <w:tr w:rsidR="00C87B0E" w:rsidRPr="001C58C6" w14:paraId="5175AD72" w14:textId="77777777" w:rsidTr="005E3F1A">
        <w:tc>
          <w:tcPr>
            <w:cnfStyle w:val="001000000000" w:firstRow="0" w:lastRow="0" w:firstColumn="1" w:lastColumn="0" w:oddVBand="0" w:evenVBand="0" w:oddHBand="0" w:evenHBand="0" w:firstRowFirstColumn="0" w:firstRowLastColumn="0" w:lastRowFirstColumn="0" w:lastRowLastColumn="0"/>
            <w:tcW w:w="0" w:type="auto"/>
            <w:hideMark/>
          </w:tcPr>
          <w:p w14:paraId="5D49967F" w14:textId="77777777" w:rsidR="00C87B0E" w:rsidRPr="001C58C6" w:rsidRDefault="00C87B0E" w:rsidP="005E3F1A">
            <w:pPr>
              <w:jc w:val="center"/>
              <w:rPr>
                <w:rFonts w:ascii="Calibri" w:hAnsi="Calibri" w:cs="Calibri"/>
                <w:color w:val="000000" w:themeColor="text1"/>
                <w:sz w:val="22"/>
              </w:rPr>
            </w:pPr>
            <w:r w:rsidRPr="001C58C6">
              <w:rPr>
                <w:rFonts w:ascii="Calibri" w:hAnsi="Calibri" w:cs="Calibri"/>
                <w:color w:val="000000" w:themeColor="text1"/>
                <w:sz w:val="22"/>
              </w:rPr>
              <w:t>1</w:t>
            </w:r>
          </w:p>
        </w:tc>
        <w:tc>
          <w:tcPr>
            <w:tcW w:w="4056" w:type="dxa"/>
            <w:hideMark/>
          </w:tcPr>
          <w:p w14:paraId="6B1F73C1"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Rekonstrukcija Termoelektrane (TE) Pljevlja i plan budućeg angažovanja</w:t>
            </w:r>
          </w:p>
        </w:tc>
        <w:tc>
          <w:tcPr>
            <w:tcW w:w="4343" w:type="dxa"/>
            <w:hideMark/>
          </w:tcPr>
          <w:p w14:paraId="30A8A95A"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Energetska industrija / proizvodnja električne energije</w:t>
            </w:r>
          </w:p>
        </w:tc>
      </w:tr>
      <w:tr w:rsidR="00C87B0E" w:rsidRPr="001C58C6" w14:paraId="2F685F2D" w14:textId="77777777" w:rsidTr="005E3F1A">
        <w:tc>
          <w:tcPr>
            <w:cnfStyle w:val="001000000000" w:firstRow="0" w:lastRow="0" w:firstColumn="1" w:lastColumn="0" w:oddVBand="0" w:evenVBand="0" w:oddHBand="0" w:evenHBand="0" w:firstRowFirstColumn="0" w:firstRowLastColumn="0" w:lastRowFirstColumn="0" w:lastRowLastColumn="0"/>
            <w:tcW w:w="0" w:type="auto"/>
            <w:hideMark/>
          </w:tcPr>
          <w:p w14:paraId="2A8BE0C2" w14:textId="77777777" w:rsidR="00C87B0E" w:rsidRPr="001C58C6" w:rsidRDefault="00C87B0E" w:rsidP="005E3F1A">
            <w:pPr>
              <w:jc w:val="center"/>
              <w:rPr>
                <w:rFonts w:ascii="Calibri" w:hAnsi="Calibri" w:cs="Calibri"/>
                <w:color w:val="000000" w:themeColor="text1"/>
                <w:sz w:val="22"/>
              </w:rPr>
            </w:pPr>
            <w:r w:rsidRPr="001C58C6">
              <w:rPr>
                <w:rFonts w:ascii="Calibri" w:hAnsi="Calibri" w:cs="Calibri"/>
                <w:color w:val="000000" w:themeColor="text1"/>
                <w:sz w:val="22"/>
              </w:rPr>
              <w:t>2</w:t>
            </w:r>
          </w:p>
        </w:tc>
        <w:tc>
          <w:tcPr>
            <w:tcW w:w="4056" w:type="dxa"/>
            <w:hideMark/>
          </w:tcPr>
          <w:p w14:paraId="533A2CFF"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Nove OIE elektrane</w:t>
            </w:r>
          </w:p>
        </w:tc>
        <w:tc>
          <w:tcPr>
            <w:tcW w:w="4343" w:type="dxa"/>
            <w:hideMark/>
          </w:tcPr>
          <w:p w14:paraId="79DD0727"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Energetska industrija / proizvodnja električne energije</w:t>
            </w:r>
          </w:p>
        </w:tc>
      </w:tr>
      <w:tr w:rsidR="00C87B0E" w:rsidRPr="001C58C6" w14:paraId="6805DBDE" w14:textId="77777777" w:rsidTr="005E3F1A">
        <w:tc>
          <w:tcPr>
            <w:cnfStyle w:val="001000000000" w:firstRow="0" w:lastRow="0" w:firstColumn="1" w:lastColumn="0" w:oddVBand="0" w:evenVBand="0" w:oddHBand="0" w:evenHBand="0" w:firstRowFirstColumn="0" w:firstRowLastColumn="0" w:lastRowFirstColumn="0" w:lastRowLastColumn="0"/>
            <w:tcW w:w="0" w:type="auto"/>
            <w:hideMark/>
          </w:tcPr>
          <w:p w14:paraId="52180C80" w14:textId="77777777" w:rsidR="00C87B0E" w:rsidRPr="001C58C6" w:rsidRDefault="00C87B0E" w:rsidP="005E3F1A">
            <w:pPr>
              <w:jc w:val="center"/>
              <w:rPr>
                <w:rFonts w:ascii="Calibri" w:hAnsi="Calibri" w:cs="Calibri"/>
                <w:color w:val="000000" w:themeColor="text1"/>
                <w:sz w:val="22"/>
              </w:rPr>
            </w:pPr>
            <w:r w:rsidRPr="001C58C6">
              <w:rPr>
                <w:rFonts w:ascii="Calibri" w:hAnsi="Calibri" w:cs="Calibri"/>
                <w:color w:val="000000" w:themeColor="text1"/>
                <w:sz w:val="22"/>
              </w:rPr>
              <w:t>3</w:t>
            </w:r>
          </w:p>
        </w:tc>
        <w:tc>
          <w:tcPr>
            <w:tcW w:w="4056" w:type="dxa"/>
            <w:hideMark/>
          </w:tcPr>
          <w:p w14:paraId="7FA46B74"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Dodatne OIE elektrane</w:t>
            </w:r>
          </w:p>
        </w:tc>
        <w:tc>
          <w:tcPr>
            <w:tcW w:w="4343" w:type="dxa"/>
            <w:hideMark/>
          </w:tcPr>
          <w:p w14:paraId="61BB42FD"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Energetska industrija / proizvodnja električne energije</w:t>
            </w:r>
          </w:p>
        </w:tc>
      </w:tr>
      <w:tr w:rsidR="00C87B0E" w:rsidRPr="001C58C6" w14:paraId="5CEEAAC8" w14:textId="77777777" w:rsidTr="005E3F1A">
        <w:tc>
          <w:tcPr>
            <w:cnfStyle w:val="001000000000" w:firstRow="0" w:lastRow="0" w:firstColumn="1" w:lastColumn="0" w:oddVBand="0" w:evenVBand="0" w:oddHBand="0" w:evenHBand="0" w:firstRowFirstColumn="0" w:firstRowLastColumn="0" w:lastRowFirstColumn="0" w:lastRowLastColumn="0"/>
            <w:tcW w:w="0" w:type="auto"/>
            <w:hideMark/>
          </w:tcPr>
          <w:p w14:paraId="43D0CC6F" w14:textId="77777777" w:rsidR="00C87B0E" w:rsidRPr="001C58C6" w:rsidRDefault="00C87B0E" w:rsidP="005E3F1A">
            <w:pPr>
              <w:jc w:val="center"/>
              <w:rPr>
                <w:rFonts w:ascii="Calibri" w:hAnsi="Calibri" w:cs="Calibri"/>
                <w:color w:val="000000" w:themeColor="text1"/>
                <w:sz w:val="22"/>
              </w:rPr>
            </w:pPr>
            <w:r w:rsidRPr="001C58C6">
              <w:rPr>
                <w:rFonts w:ascii="Calibri" w:hAnsi="Calibri" w:cs="Calibri"/>
                <w:color w:val="000000" w:themeColor="text1"/>
                <w:sz w:val="22"/>
              </w:rPr>
              <w:t>4</w:t>
            </w:r>
          </w:p>
        </w:tc>
        <w:tc>
          <w:tcPr>
            <w:tcW w:w="4056" w:type="dxa"/>
            <w:hideMark/>
          </w:tcPr>
          <w:p w14:paraId="3C3F90AC"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OIE aukcije</w:t>
            </w:r>
          </w:p>
        </w:tc>
        <w:tc>
          <w:tcPr>
            <w:tcW w:w="4343" w:type="dxa"/>
            <w:hideMark/>
          </w:tcPr>
          <w:p w14:paraId="6D9DE1DC"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Energetska industrija / proizvodnja električne energije</w:t>
            </w:r>
          </w:p>
        </w:tc>
      </w:tr>
      <w:tr w:rsidR="00C87B0E" w:rsidRPr="001C58C6" w14:paraId="2EAE451B" w14:textId="77777777" w:rsidTr="005E3F1A">
        <w:tc>
          <w:tcPr>
            <w:cnfStyle w:val="001000000000" w:firstRow="0" w:lastRow="0" w:firstColumn="1" w:lastColumn="0" w:oddVBand="0" w:evenVBand="0" w:oddHBand="0" w:evenHBand="0" w:firstRowFirstColumn="0" w:firstRowLastColumn="0" w:lastRowFirstColumn="0" w:lastRowLastColumn="0"/>
            <w:tcW w:w="0" w:type="auto"/>
            <w:hideMark/>
          </w:tcPr>
          <w:p w14:paraId="4B1AB038" w14:textId="77777777" w:rsidR="00C87B0E" w:rsidRPr="001C58C6" w:rsidRDefault="00C87B0E" w:rsidP="005E3F1A">
            <w:pPr>
              <w:jc w:val="center"/>
              <w:rPr>
                <w:rFonts w:ascii="Calibri" w:hAnsi="Calibri" w:cs="Calibri"/>
                <w:color w:val="000000" w:themeColor="text1"/>
                <w:sz w:val="22"/>
              </w:rPr>
            </w:pPr>
            <w:r w:rsidRPr="001C58C6">
              <w:rPr>
                <w:rFonts w:ascii="Calibri" w:hAnsi="Calibri" w:cs="Calibri"/>
                <w:color w:val="000000" w:themeColor="text1"/>
                <w:sz w:val="22"/>
              </w:rPr>
              <w:t>5</w:t>
            </w:r>
          </w:p>
        </w:tc>
        <w:tc>
          <w:tcPr>
            <w:tcW w:w="4056" w:type="dxa"/>
            <w:hideMark/>
          </w:tcPr>
          <w:p w14:paraId="59E72DF5"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Razvoj CP mehanizama (EU ETS)</w:t>
            </w:r>
          </w:p>
        </w:tc>
        <w:tc>
          <w:tcPr>
            <w:tcW w:w="4343" w:type="dxa"/>
            <w:hideMark/>
          </w:tcPr>
          <w:p w14:paraId="14DAF323"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Energetska industrija / proizvodnja električne energije</w:t>
            </w:r>
          </w:p>
        </w:tc>
      </w:tr>
      <w:tr w:rsidR="00C87B0E" w:rsidRPr="001C58C6" w14:paraId="4A197A5F" w14:textId="77777777" w:rsidTr="005E3F1A">
        <w:tc>
          <w:tcPr>
            <w:cnfStyle w:val="001000000000" w:firstRow="0" w:lastRow="0" w:firstColumn="1" w:lastColumn="0" w:oddVBand="0" w:evenVBand="0" w:oddHBand="0" w:evenHBand="0" w:firstRowFirstColumn="0" w:firstRowLastColumn="0" w:lastRowFirstColumn="0" w:lastRowLastColumn="0"/>
            <w:tcW w:w="0" w:type="auto"/>
            <w:hideMark/>
          </w:tcPr>
          <w:p w14:paraId="6E9DE9E8" w14:textId="77777777" w:rsidR="00C87B0E" w:rsidRPr="001C58C6" w:rsidRDefault="00C87B0E" w:rsidP="005E3F1A">
            <w:pPr>
              <w:jc w:val="center"/>
              <w:rPr>
                <w:rFonts w:ascii="Calibri" w:hAnsi="Calibri" w:cs="Calibri"/>
                <w:color w:val="000000" w:themeColor="text1"/>
                <w:sz w:val="22"/>
              </w:rPr>
            </w:pPr>
            <w:r w:rsidRPr="001C58C6">
              <w:rPr>
                <w:rFonts w:ascii="Calibri" w:hAnsi="Calibri" w:cs="Calibri"/>
                <w:color w:val="000000" w:themeColor="text1"/>
                <w:sz w:val="22"/>
              </w:rPr>
              <w:t>6</w:t>
            </w:r>
          </w:p>
        </w:tc>
        <w:tc>
          <w:tcPr>
            <w:tcW w:w="4056" w:type="dxa"/>
            <w:hideMark/>
          </w:tcPr>
          <w:p w14:paraId="3B2365F6"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Obnova malih hidroelektrana (povećana EE)</w:t>
            </w:r>
          </w:p>
        </w:tc>
        <w:tc>
          <w:tcPr>
            <w:tcW w:w="4343" w:type="dxa"/>
            <w:hideMark/>
          </w:tcPr>
          <w:p w14:paraId="580B71CC"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Energetska industrija / proizvodnja električne energije</w:t>
            </w:r>
          </w:p>
        </w:tc>
      </w:tr>
      <w:tr w:rsidR="00C87B0E" w:rsidRPr="001C58C6" w14:paraId="3C99CE2C" w14:textId="77777777" w:rsidTr="005E3F1A">
        <w:tc>
          <w:tcPr>
            <w:cnfStyle w:val="001000000000" w:firstRow="0" w:lastRow="0" w:firstColumn="1" w:lastColumn="0" w:oddVBand="0" w:evenVBand="0" w:oddHBand="0" w:evenHBand="0" w:firstRowFirstColumn="0" w:firstRowLastColumn="0" w:lastRowFirstColumn="0" w:lastRowLastColumn="0"/>
            <w:tcW w:w="0" w:type="auto"/>
            <w:hideMark/>
          </w:tcPr>
          <w:p w14:paraId="4E78717E" w14:textId="77777777" w:rsidR="00C87B0E" w:rsidRPr="001C58C6" w:rsidRDefault="00C87B0E" w:rsidP="005E3F1A">
            <w:pPr>
              <w:jc w:val="center"/>
              <w:rPr>
                <w:rFonts w:ascii="Calibri" w:hAnsi="Calibri" w:cs="Calibri"/>
                <w:color w:val="000000" w:themeColor="text1"/>
                <w:sz w:val="22"/>
              </w:rPr>
            </w:pPr>
            <w:r w:rsidRPr="001C58C6">
              <w:rPr>
                <w:rFonts w:ascii="Calibri" w:hAnsi="Calibri" w:cs="Calibri"/>
                <w:color w:val="000000" w:themeColor="text1"/>
                <w:sz w:val="22"/>
              </w:rPr>
              <w:t>7</w:t>
            </w:r>
          </w:p>
        </w:tc>
        <w:tc>
          <w:tcPr>
            <w:tcW w:w="4056" w:type="dxa"/>
            <w:hideMark/>
          </w:tcPr>
          <w:p w14:paraId="7DA6C696"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Razvoj decentralizovane proizvodnje energije (distributivni srednjenaponski priključak)</w:t>
            </w:r>
          </w:p>
        </w:tc>
        <w:tc>
          <w:tcPr>
            <w:tcW w:w="4343" w:type="dxa"/>
            <w:hideMark/>
          </w:tcPr>
          <w:p w14:paraId="021D6434"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Energetska industrija / proizvodnja električne energije</w:t>
            </w:r>
          </w:p>
        </w:tc>
      </w:tr>
      <w:tr w:rsidR="00C87B0E" w:rsidRPr="001C58C6" w14:paraId="138EBF36" w14:textId="77777777" w:rsidTr="005E3F1A">
        <w:tc>
          <w:tcPr>
            <w:cnfStyle w:val="001000000000" w:firstRow="0" w:lastRow="0" w:firstColumn="1" w:lastColumn="0" w:oddVBand="0" w:evenVBand="0" w:oddHBand="0" w:evenHBand="0" w:firstRowFirstColumn="0" w:firstRowLastColumn="0" w:lastRowFirstColumn="0" w:lastRowLastColumn="0"/>
            <w:tcW w:w="0" w:type="auto"/>
            <w:hideMark/>
          </w:tcPr>
          <w:p w14:paraId="73873910" w14:textId="77777777" w:rsidR="00C87B0E" w:rsidRPr="001C58C6" w:rsidRDefault="00C87B0E" w:rsidP="005E3F1A">
            <w:pPr>
              <w:jc w:val="center"/>
              <w:rPr>
                <w:rFonts w:ascii="Calibri" w:hAnsi="Calibri" w:cs="Calibri"/>
                <w:color w:val="000000" w:themeColor="text1"/>
                <w:sz w:val="22"/>
              </w:rPr>
            </w:pPr>
            <w:r w:rsidRPr="001C58C6">
              <w:rPr>
                <w:rFonts w:ascii="Calibri" w:hAnsi="Calibri" w:cs="Calibri"/>
                <w:color w:val="000000" w:themeColor="text1"/>
                <w:sz w:val="22"/>
              </w:rPr>
              <w:lastRenderedPageBreak/>
              <w:t>8</w:t>
            </w:r>
          </w:p>
        </w:tc>
        <w:tc>
          <w:tcPr>
            <w:tcW w:w="4056" w:type="dxa"/>
            <w:hideMark/>
          </w:tcPr>
          <w:p w14:paraId="25A50BCE"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Dodatni razvoj decentralizovane proizvodnje energije (distributivni srednjenaponski priključak)</w:t>
            </w:r>
          </w:p>
        </w:tc>
        <w:tc>
          <w:tcPr>
            <w:tcW w:w="4343" w:type="dxa"/>
            <w:hideMark/>
          </w:tcPr>
          <w:p w14:paraId="47C2B461"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Energetska industrija / proizvodnja električne energije</w:t>
            </w:r>
          </w:p>
        </w:tc>
      </w:tr>
      <w:tr w:rsidR="00C87B0E" w:rsidRPr="001C58C6" w14:paraId="1E858C49" w14:textId="77777777" w:rsidTr="005E3F1A">
        <w:tc>
          <w:tcPr>
            <w:cnfStyle w:val="001000000000" w:firstRow="0" w:lastRow="0" w:firstColumn="1" w:lastColumn="0" w:oddVBand="0" w:evenVBand="0" w:oddHBand="0" w:evenHBand="0" w:firstRowFirstColumn="0" w:firstRowLastColumn="0" w:lastRowFirstColumn="0" w:lastRowLastColumn="0"/>
            <w:tcW w:w="0" w:type="auto"/>
            <w:hideMark/>
          </w:tcPr>
          <w:p w14:paraId="664A4984" w14:textId="77777777" w:rsidR="00C87B0E" w:rsidRPr="001C58C6" w:rsidRDefault="00C87B0E" w:rsidP="005E3F1A">
            <w:pPr>
              <w:jc w:val="center"/>
              <w:rPr>
                <w:rFonts w:ascii="Calibri" w:hAnsi="Calibri" w:cs="Calibri"/>
                <w:color w:val="000000" w:themeColor="text1"/>
                <w:sz w:val="22"/>
              </w:rPr>
            </w:pPr>
            <w:r w:rsidRPr="001C58C6">
              <w:rPr>
                <w:rFonts w:ascii="Calibri" w:hAnsi="Calibri" w:cs="Calibri"/>
                <w:color w:val="000000" w:themeColor="text1"/>
                <w:sz w:val="22"/>
              </w:rPr>
              <w:t>9</w:t>
            </w:r>
          </w:p>
        </w:tc>
        <w:tc>
          <w:tcPr>
            <w:tcW w:w="4056" w:type="dxa"/>
            <w:hideMark/>
          </w:tcPr>
          <w:p w14:paraId="4AF3310F"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Promocija e-mobilnosti</w:t>
            </w:r>
          </w:p>
        </w:tc>
        <w:tc>
          <w:tcPr>
            <w:tcW w:w="4343" w:type="dxa"/>
            <w:hideMark/>
          </w:tcPr>
          <w:p w14:paraId="6EADD9B3"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Saobraćaj</w:t>
            </w:r>
          </w:p>
        </w:tc>
      </w:tr>
      <w:tr w:rsidR="00C87B0E" w:rsidRPr="001C58C6" w14:paraId="5D4137B6" w14:textId="77777777" w:rsidTr="005E3F1A">
        <w:tc>
          <w:tcPr>
            <w:cnfStyle w:val="001000000000" w:firstRow="0" w:lastRow="0" w:firstColumn="1" w:lastColumn="0" w:oddVBand="0" w:evenVBand="0" w:oddHBand="0" w:evenHBand="0" w:firstRowFirstColumn="0" w:firstRowLastColumn="0" w:lastRowFirstColumn="0" w:lastRowLastColumn="0"/>
            <w:tcW w:w="0" w:type="auto"/>
            <w:hideMark/>
          </w:tcPr>
          <w:p w14:paraId="0463817F" w14:textId="77777777" w:rsidR="00C87B0E" w:rsidRPr="001C58C6" w:rsidRDefault="00C87B0E" w:rsidP="005E3F1A">
            <w:pPr>
              <w:jc w:val="center"/>
              <w:rPr>
                <w:rFonts w:ascii="Calibri" w:hAnsi="Calibri" w:cs="Calibri"/>
                <w:color w:val="000000" w:themeColor="text1"/>
                <w:sz w:val="22"/>
              </w:rPr>
            </w:pPr>
            <w:r w:rsidRPr="001C58C6">
              <w:rPr>
                <w:rFonts w:ascii="Calibri" w:hAnsi="Calibri" w:cs="Calibri"/>
                <w:color w:val="000000" w:themeColor="text1"/>
                <w:sz w:val="22"/>
              </w:rPr>
              <w:t>10</w:t>
            </w:r>
          </w:p>
        </w:tc>
        <w:tc>
          <w:tcPr>
            <w:tcW w:w="4056" w:type="dxa"/>
            <w:hideMark/>
          </w:tcPr>
          <w:p w14:paraId="786BA8B8"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Uvođenje obaveznog udjela biogoriva u snabdijevanju gorivom</w:t>
            </w:r>
          </w:p>
        </w:tc>
        <w:tc>
          <w:tcPr>
            <w:tcW w:w="4343" w:type="dxa"/>
            <w:hideMark/>
          </w:tcPr>
          <w:p w14:paraId="553494E7"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Saobraćaj</w:t>
            </w:r>
          </w:p>
        </w:tc>
      </w:tr>
      <w:tr w:rsidR="00C87B0E" w:rsidRPr="001C58C6" w14:paraId="24F3B828" w14:textId="77777777" w:rsidTr="005E3F1A">
        <w:tc>
          <w:tcPr>
            <w:cnfStyle w:val="001000000000" w:firstRow="0" w:lastRow="0" w:firstColumn="1" w:lastColumn="0" w:oddVBand="0" w:evenVBand="0" w:oddHBand="0" w:evenHBand="0" w:firstRowFirstColumn="0" w:firstRowLastColumn="0" w:lastRowFirstColumn="0" w:lastRowLastColumn="0"/>
            <w:tcW w:w="0" w:type="auto"/>
            <w:hideMark/>
          </w:tcPr>
          <w:p w14:paraId="2A031A22" w14:textId="77777777" w:rsidR="00C87B0E" w:rsidRPr="001C58C6" w:rsidRDefault="00C87B0E" w:rsidP="005E3F1A">
            <w:pPr>
              <w:jc w:val="center"/>
              <w:rPr>
                <w:rFonts w:ascii="Calibri" w:hAnsi="Calibri" w:cs="Calibri"/>
                <w:color w:val="000000" w:themeColor="text1"/>
                <w:sz w:val="22"/>
              </w:rPr>
            </w:pPr>
            <w:r w:rsidRPr="001C58C6">
              <w:rPr>
                <w:rFonts w:ascii="Calibri" w:hAnsi="Calibri" w:cs="Calibri"/>
                <w:color w:val="000000" w:themeColor="text1"/>
                <w:sz w:val="22"/>
              </w:rPr>
              <w:t>11</w:t>
            </w:r>
          </w:p>
        </w:tc>
        <w:tc>
          <w:tcPr>
            <w:tcW w:w="4056" w:type="dxa"/>
            <w:hideMark/>
          </w:tcPr>
          <w:p w14:paraId="540E5C19"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Proizvođači - kupci (prozjumer) u industriji</w:t>
            </w:r>
          </w:p>
        </w:tc>
        <w:tc>
          <w:tcPr>
            <w:tcW w:w="4343" w:type="dxa"/>
            <w:hideMark/>
          </w:tcPr>
          <w:p w14:paraId="45F00B71"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Industrija</w:t>
            </w:r>
          </w:p>
        </w:tc>
      </w:tr>
      <w:tr w:rsidR="00C87B0E" w:rsidRPr="001C58C6" w14:paraId="3F569080" w14:textId="77777777" w:rsidTr="005E3F1A">
        <w:tc>
          <w:tcPr>
            <w:cnfStyle w:val="001000000000" w:firstRow="0" w:lastRow="0" w:firstColumn="1" w:lastColumn="0" w:oddVBand="0" w:evenVBand="0" w:oddHBand="0" w:evenHBand="0" w:firstRowFirstColumn="0" w:firstRowLastColumn="0" w:lastRowFirstColumn="0" w:lastRowLastColumn="0"/>
            <w:tcW w:w="0" w:type="auto"/>
            <w:hideMark/>
          </w:tcPr>
          <w:p w14:paraId="34ECA2A9" w14:textId="77777777" w:rsidR="00C87B0E" w:rsidRPr="001C58C6" w:rsidRDefault="00C87B0E" w:rsidP="005E3F1A">
            <w:pPr>
              <w:jc w:val="center"/>
              <w:rPr>
                <w:rFonts w:ascii="Calibri" w:hAnsi="Calibri" w:cs="Calibri"/>
                <w:color w:val="000000" w:themeColor="text1"/>
                <w:sz w:val="22"/>
              </w:rPr>
            </w:pPr>
            <w:r w:rsidRPr="001C58C6">
              <w:rPr>
                <w:rFonts w:ascii="Calibri" w:hAnsi="Calibri" w:cs="Calibri"/>
                <w:color w:val="000000" w:themeColor="text1"/>
                <w:sz w:val="22"/>
              </w:rPr>
              <w:t>12</w:t>
            </w:r>
          </w:p>
        </w:tc>
        <w:tc>
          <w:tcPr>
            <w:tcW w:w="4056" w:type="dxa"/>
            <w:hideMark/>
          </w:tcPr>
          <w:p w14:paraId="7528F5D9"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Biogoriva u industriji</w:t>
            </w:r>
          </w:p>
        </w:tc>
        <w:tc>
          <w:tcPr>
            <w:tcW w:w="4343" w:type="dxa"/>
            <w:hideMark/>
          </w:tcPr>
          <w:p w14:paraId="3F6C7879"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Industrija</w:t>
            </w:r>
          </w:p>
        </w:tc>
      </w:tr>
      <w:tr w:rsidR="00C87B0E" w:rsidRPr="001C58C6" w14:paraId="0757E7E2" w14:textId="77777777" w:rsidTr="005E3F1A">
        <w:tc>
          <w:tcPr>
            <w:cnfStyle w:val="001000000000" w:firstRow="0" w:lastRow="0" w:firstColumn="1" w:lastColumn="0" w:oddVBand="0" w:evenVBand="0" w:oddHBand="0" w:evenHBand="0" w:firstRowFirstColumn="0" w:firstRowLastColumn="0" w:lastRowFirstColumn="0" w:lastRowLastColumn="0"/>
            <w:tcW w:w="0" w:type="auto"/>
            <w:hideMark/>
          </w:tcPr>
          <w:p w14:paraId="76F25078" w14:textId="77777777" w:rsidR="00C87B0E" w:rsidRPr="001C58C6" w:rsidRDefault="00C87B0E" w:rsidP="005E3F1A">
            <w:pPr>
              <w:jc w:val="center"/>
              <w:rPr>
                <w:rFonts w:ascii="Calibri" w:hAnsi="Calibri" w:cs="Calibri"/>
                <w:color w:val="000000" w:themeColor="text1"/>
                <w:sz w:val="22"/>
              </w:rPr>
            </w:pPr>
            <w:r w:rsidRPr="001C58C6">
              <w:rPr>
                <w:rFonts w:ascii="Calibri" w:hAnsi="Calibri" w:cs="Calibri"/>
                <w:color w:val="000000" w:themeColor="text1"/>
                <w:sz w:val="22"/>
              </w:rPr>
              <w:t>13</w:t>
            </w:r>
          </w:p>
        </w:tc>
        <w:tc>
          <w:tcPr>
            <w:tcW w:w="4056" w:type="dxa"/>
            <w:hideMark/>
          </w:tcPr>
          <w:p w14:paraId="490600DB"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Finansijski podsticaji za uvođenje hibridnih specijalnih radnih mašina u industrijski sektor</w:t>
            </w:r>
          </w:p>
        </w:tc>
        <w:tc>
          <w:tcPr>
            <w:tcW w:w="4343" w:type="dxa"/>
            <w:hideMark/>
          </w:tcPr>
          <w:p w14:paraId="065BB5BE"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Industrija</w:t>
            </w:r>
          </w:p>
        </w:tc>
      </w:tr>
      <w:tr w:rsidR="00C87B0E" w:rsidRPr="001C58C6" w14:paraId="7E8C9B85" w14:textId="77777777" w:rsidTr="005E3F1A">
        <w:tc>
          <w:tcPr>
            <w:cnfStyle w:val="001000000000" w:firstRow="0" w:lastRow="0" w:firstColumn="1" w:lastColumn="0" w:oddVBand="0" w:evenVBand="0" w:oddHBand="0" w:evenHBand="0" w:firstRowFirstColumn="0" w:firstRowLastColumn="0" w:lastRowFirstColumn="0" w:lastRowLastColumn="0"/>
            <w:tcW w:w="0" w:type="auto"/>
            <w:hideMark/>
          </w:tcPr>
          <w:p w14:paraId="526782DF" w14:textId="77777777" w:rsidR="00C87B0E" w:rsidRPr="001C58C6" w:rsidRDefault="00C87B0E" w:rsidP="005E3F1A">
            <w:pPr>
              <w:jc w:val="center"/>
              <w:rPr>
                <w:rFonts w:ascii="Calibri" w:hAnsi="Calibri" w:cs="Calibri"/>
                <w:color w:val="000000" w:themeColor="text1"/>
                <w:sz w:val="22"/>
              </w:rPr>
            </w:pPr>
            <w:r w:rsidRPr="001C58C6">
              <w:rPr>
                <w:rFonts w:ascii="Calibri" w:hAnsi="Calibri" w:cs="Calibri"/>
                <w:color w:val="000000" w:themeColor="text1"/>
                <w:sz w:val="22"/>
              </w:rPr>
              <w:t>14</w:t>
            </w:r>
          </w:p>
        </w:tc>
        <w:tc>
          <w:tcPr>
            <w:tcW w:w="4056" w:type="dxa"/>
            <w:hideMark/>
          </w:tcPr>
          <w:p w14:paraId="68148092"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Razvoj decentralizovane proizvodnje energije od strane proizvođača - kupaca (prozjumer)</w:t>
            </w:r>
          </w:p>
        </w:tc>
        <w:tc>
          <w:tcPr>
            <w:tcW w:w="4343" w:type="dxa"/>
            <w:hideMark/>
          </w:tcPr>
          <w:p w14:paraId="75955FE4"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Stambeni/komercijalni sektor</w:t>
            </w:r>
          </w:p>
        </w:tc>
      </w:tr>
      <w:tr w:rsidR="00C87B0E" w:rsidRPr="001C58C6" w14:paraId="194D18DA" w14:textId="77777777" w:rsidTr="005E3F1A">
        <w:tc>
          <w:tcPr>
            <w:cnfStyle w:val="001000000000" w:firstRow="0" w:lastRow="0" w:firstColumn="1" w:lastColumn="0" w:oddVBand="0" w:evenVBand="0" w:oddHBand="0" w:evenHBand="0" w:firstRowFirstColumn="0" w:firstRowLastColumn="0" w:lastRowFirstColumn="0" w:lastRowLastColumn="0"/>
            <w:tcW w:w="0" w:type="auto"/>
            <w:hideMark/>
          </w:tcPr>
          <w:p w14:paraId="73373A85" w14:textId="77777777" w:rsidR="00C87B0E" w:rsidRPr="001C58C6" w:rsidRDefault="00C87B0E" w:rsidP="005E3F1A">
            <w:pPr>
              <w:jc w:val="center"/>
              <w:rPr>
                <w:rFonts w:ascii="Calibri" w:hAnsi="Calibri" w:cs="Calibri"/>
                <w:color w:val="000000" w:themeColor="text1"/>
                <w:sz w:val="22"/>
              </w:rPr>
            </w:pPr>
            <w:r w:rsidRPr="001C58C6">
              <w:rPr>
                <w:rFonts w:ascii="Calibri" w:hAnsi="Calibri" w:cs="Calibri"/>
                <w:color w:val="000000" w:themeColor="text1"/>
                <w:sz w:val="22"/>
              </w:rPr>
              <w:t>15</w:t>
            </w:r>
          </w:p>
        </w:tc>
        <w:tc>
          <w:tcPr>
            <w:tcW w:w="4056" w:type="dxa"/>
            <w:hideMark/>
          </w:tcPr>
          <w:p w14:paraId="28CCEE3D"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Dodatni razvoj decentralizovane proizvodnje energije od strane proizvođača - kupaca (prozjumer)</w:t>
            </w:r>
          </w:p>
        </w:tc>
        <w:tc>
          <w:tcPr>
            <w:tcW w:w="4343" w:type="dxa"/>
            <w:hideMark/>
          </w:tcPr>
          <w:p w14:paraId="58DC5F9E"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Stambeni/komercijalni sektor</w:t>
            </w:r>
          </w:p>
        </w:tc>
      </w:tr>
      <w:tr w:rsidR="00C87B0E" w:rsidRPr="001C58C6" w14:paraId="71FC4273" w14:textId="77777777" w:rsidTr="005E3F1A">
        <w:tc>
          <w:tcPr>
            <w:cnfStyle w:val="001000000000" w:firstRow="0" w:lastRow="0" w:firstColumn="1" w:lastColumn="0" w:oddVBand="0" w:evenVBand="0" w:oddHBand="0" w:evenHBand="0" w:firstRowFirstColumn="0" w:firstRowLastColumn="0" w:lastRowFirstColumn="0" w:lastRowLastColumn="0"/>
            <w:tcW w:w="0" w:type="auto"/>
            <w:hideMark/>
          </w:tcPr>
          <w:p w14:paraId="3DBF1E9D" w14:textId="77777777" w:rsidR="00C87B0E" w:rsidRPr="001C58C6" w:rsidRDefault="00C87B0E" w:rsidP="005E3F1A">
            <w:pPr>
              <w:jc w:val="center"/>
              <w:rPr>
                <w:rFonts w:ascii="Calibri" w:hAnsi="Calibri" w:cs="Calibri"/>
                <w:color w:val="000000" w:themeColor="text1"/>
                <w:sz w:val="22"/>
              </w:rPr>
            </w:pPr>
            <w:r w:rsidRPr="001C58C6">
              <w:rPr>
                <w:rFonts w:ascii="Calibri" w:hAnsi="Calibri" w:cs="Calibri"/>
                <w:color w:val="000000" w:themeColor="text1"/>
                <w:sz w:val="22"/>
              </w:rPr>
              <w:t>16</w:t>
            </w:r>
          </w:p>
        </w:tc>
        <w:tc>
          <w:tcPr>
            <w:tcW w:w="4056" w:type="dxa"/>
            <w:hideMark/>
          </w:tcPr>
          <w:p w14:paraId="68064872"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Podrška organskoj poljoprivrednoj proizvodnji</w:t>
            </w:r>
          </w:p>
        </w:tc>
        <w:tc>
          <w:tcPr>
            <w:tcW w:w="4343" w:type="dxa"/>
            <w:hideMark/>
          </w:tcPr>
          <w:p w14:paraId="54162E55"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Poljoprivreda</w:t>
            </w:r>
          </w:p>
        </w:tc>
      </w:tr>
      <w:tr w:rsidR="00C87B0E" w:rsidRPr="001C58C6" w14:paraId="47630133" w14:textId="77777777" w:rsidTr="005E3F1A">
        <w:tc>
          <w:tcPr>
            <w:cnfStyle w:val="001000000000" w:firstRow="0" w:lastRow="0" w:firstColumn="1" w:lastColumn="0" w:oddVBand="0" w:evenVBand="0" w:oddHBand="0" w:evenHBand="0" w:firstRowFirstColumn="0" w:firstRowLastColumn="0" w:lastRowFirstColumn="0" w:lastRowLastColumn="0"/>
            <w:tcW w:w="0" w:type="auto"/>
            <w:hideMark/>
          </w:tcPr>
          <w:p w14:paraId="758E323B" w14:textId="77777777" w:rsidR="00C87B0E" w:rsidRPr="001C58C6" w:rsidRDefault="00C87B0E" w:rsidP="005E3F1A">
            <w:pPr>
              <w:jc w:val="center"/>
              <w:rPr>
                <w:rFonts w:ascii="Calibri" w:hAnsi="Calibri" w:cs="Calibri"/>
                <w:color w:val="000000" w:themeColor="text1"/>
                <w:sz w:val="22"/>
              </w:rPr>
            </w:pPr>
            <w:r w:rsidRPr="001C58C6">
              <w:rPr>
                <w:rFonts w:ascii="Calibri" w:hAnsi="Calibri" w:cs="Calibri"/>
                <w:color w:val="000000" w:themeColor="text1"/>
                <w:sz w:val="22"/>
              </w:rPr>
              <w:t>17</w:t>
            </w:r>
          </w:p>
        </w:tc>
        <w:tc>
          <w:tcPr>
            <w:tcW w:w="4056" w:type="dxa"/>
            <w:hideMark/>
          </w:tcPr>
          <w:p w14:paraId="6B29F665"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Podrška upravljanju stajskim đubrivom</w:t>
            </w:r>
          </w:p>
        </w:tc>
        <w:tc>
          <w:tcPr>
            <w:tcW w:w="4343" w:type="dxa"/>
            <w:hideMark/>
          </w:tcPr>
          <w:p w14:paraId="43DE6F5C"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Poljoprivreda</w:t>
            </w:r>
          </w:p>
        </w:tc>
      </w:tr>
      <w:tr w:rsidR="00C87B0E" w:rsidRPr="001C58C6" w14:paraId="32CF2446" w14:textId="77777777" w:rsidTr="005E3F1A">
        <w:tc>
          <w:tcPr>
            <w:cnfStyle w:val="001000000000" w:firstRow="0" w:lastRow="0" w:firstColumn="1" w:lastColumn="0" w:oddVBand="0" w:evenVBand="0" w:oddHBand="0" w:evenHBand="0" w:firstRowFirstColumn="0" w:firstRowLastColumn="0" w:lastRowFirstColumn="0" w:lastRowLastColumn="0"/>
            <w:tcW w:w="0" w:type="auto"/>
            <w:hideMark/>
          </w:tcPr>
          <w:p w14:paraId="3C31E721" w14:textId="77777777" w:rsidR="00C87B0E" w:rsidRPr="001C58C6" w:rsidRDefault="00C87B0E" w:rsidP="005E3F1A">
            <w:pPr>
              <w:jc w:val="center"/>
              <w:rPr>
                <w:rFonts w:ascii="Calibri" w:hAnsi="Calibri" w:cs="Calibri"/>
                <w:color w:val="000000" w:themeColor="text1"/>
                <w:sz w:val="22"/>
              </w:rPr>
            </w:pPr>
            <w:r w:rsidRPr="001C58C6">
              <w:rPr>
                <w:rFonts w:ascii="Calibri" w:hAnsi="Calibri" w:cs="Calibri"/>
                <w:color w:val="000000" w:themeColor="text1"/>
                <w:sz w:val="22"/>
              </w:rPr>
              <w:t>18</w:t>
            </w:r>
          </w:p>
        </w:tc>
        <w:tc>
          <w:tcPr>
            <w:tcW w:w="4056" w:type="dxa"/>
            <w:hideMark/>
          </w:tcPr>
          <w:p w14:paraId="617CC284"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Smanjenje bio-otpada u komunalnom otpadu</w:t>
            </w:r>
          </w:p>
        </w:tc>
        <w:tc>
          <w:tcPr>
            <w:tcW w:w="4343" w:type="dxa"/>
            <w:hideMark/>
          </w:tcPr>
          <w:p w14:paraId="0A3F2084"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Otpad</w:t>
            </w:r>
          </w:p>
        </w:tc>
      </w:tr>
      <w:tr w:rsidR="00C87B0E" w:rsidRPr="001C58C6" w14:paraId="72563B0B" w14:textId="77777777" w:rsidTr="005E3F1A">
        <w:tc>
          <w:tcPr>
            <w:cnfStyle w:val="001000000000" w:firstRow="0" w:lastRow="0" w:firstColumn="1" w:lastColumn="0" w:oddVBand="0" w:evenVBand="0" w:oddHBand="0" w:evenHBand="0" w:firstRowFirstColumn="0" w:firstRowLastColumn="0" w:lastRowFirstColumn="0" w:lastRowLastColumn="0"/>
            <w:tcW w:w="0" w:type="auto"/>
            <w:hideMark/>
          </w:tcPr>
          <w:p w14:paraId="4FAF4D5F" w14:textId="77777777" w:rsidR="00C87B0E" w:rsidRPr="001C58C6" w:rsidRDefault="00C87B0E" w:rsidP="005E3F1A">
            <w:pPr>
              <w:jc w:val="center"/>
              <w:rPr>
                <w:rFonts w:ascii="Calibri" w:hAnsi="Calibri" w:cs="Calibri"/>
                <w:color w:val="000000" w:themeColor="text1"/>
                <w:sz w:val="22"/>
              </w:rPr>
            </w:pPr>
            <w:r w:rsidRPr="001C58C6">
              <w:rPr>
                <w:rFonts w:ascii="Calibri" w:hAnsi="Calibri" w:cs="Calibri"/>
                <w:color w:val="000000" w:themeColor="text1"/>
                <w:sz w:val="22"/>
              </w:rPr>
              <w:t>19</w:t>
            </w:r>
          </w:p>
        </w:tc>
        <w:tc>
          <w:tcPr>
            <w:tcW w:w="4056" w:type="dxa"/>
            <w:hideMark/>
          </w:tcPr>
          <w:p w14:paraId="13381B58"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Povećanje stope priključenja na kanalizacioni sistem (cilj 93% do 2035.)</w:t>
            </w:r>
          </w:p>
        </w:tc>
        <w:tc>
          <w:tcPr>
            <w:tcW w:w="4343" w:type="dxa"/>
            <w:hideMark/>
          </w:tcPr>
          <w:p w14:paraId="6A7DACAC"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Otpad</w:t>
            </w:r>
          </w:p>
        </w:tc>
      </w:tr>
      <w:tr w:rsidR="00C87B0E" w:rsidRPr="001C58C6" w14:paraId="3782A09F" w14:textId="77777777" w:rsidTr="005E3F1A">
        <w:tc>
          <w:tcPr>
            <w:cnfStyle w:val="001000000000" w:firstRow="0" w:lastRow="0" w:firstColumn="1" w:lastColumn="0" w:oddVBand="0" w:evenVBand="0" w:oddHBand="0" w:evenHBand="0" w:firstRowFirstColumn="0" w:firstRowLastColumn="0" w:lastRowFirstColumn="0" w:lastRowLastColumn="0"/>
            <w:tcW w:w="0" w:type="auto"/>
            <w:hideMark/>
          </w:tcPr>
          <w:p w14:paraId="7123F8CC" w14:textId="77777777" w:rsidR="00C87B0E" w:rsidRPr="001C58C6" w:rsidRDefault="00C87B0E" w:rsidP="005E3F1A">
            <w:pPr>
              <w:jc w:val="center"/>
              <w:rPr>
                <w:rFonts w:ascii="Calibri" w:hAnsi="Calibri" w:cs="Calibri"/>
                <w:color w:val="000000" w:themeColor="text1"/>
                <w:sz w:val="22"/>
              </w:rPr>
            </w:pPr>
            <w:r w:rsidRPr="001C58C6">
              <w:rPr>
                <w:rFonts w:ascii="Calibri" w:hAnsi="Calibri" w:cs="Calibri"/>
                <w:color w:val="000000" w:themeColor="text1"/>
                <w:sz w:val="22"/>
              </w:rPr>
              <w:t>20</w:t>
            </w:r>
          </w:p>
        </w:tc>
        <w:tc>
          <w:tcPr>
            <w:tcW w:w="4056" w:type="dxa"/>
            <w:hideMark/>
          </w:tcPr>
          <w:p w14:paraId="0C0CA838"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Daljinsko grijanje u Pljevljima</w:t>
            </w:r>
          </w:p>
        </w:tc>
        <w:tc>
          <w:tcPr>
            <w:tcW w:w="4343" w:type="dxa"/>
            <w:hideMark/>
          </w:tcPr>
          <w:p w14:paraId="5C9E146E"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Energetska industrija / proizvodnja toplote</w:t>
            </w:r>
          </w:p>
        </w:tc>
      </w:tr>
      <w:tr w:rsidR="00C87B0E" w:rsidRPr="001C58C6" w14:paraId="3121E8A4" w14:textId="77777777" w:rsidTr="005E3F1A">
        <w:tc>
          <w:tcPr>
            <w:cnfStyle w:val="001000000000" w:firstRow="0" w:lastRow="0" w:firstColumn="1" w:lastColumn="0" w:oddVBand="0" w:evenVBand="0" w:oddHBand="0" w:evenHBand="0" w:firstRowFirstColumn="0" w:firstRowLastColumn="0" w:lastRowFirstColumn="0" w:lastRowLastColumn="0"/>
            <w:tcW w:w="0" w:type="auto"/>
            <w:hideMark/>
          </w:tcPr>
          <w:p w14:paraId="2958B361" w14:textId="77777777" w:rsidR="00C87B0E" w:rsidRPr="001C58C6" w:rsidRDefault="00C87B0E" w:rsidP="005E3F1A">
            <w:pPr>
              <w:jc w:val="center"/>
              <w:rPr>
                <w:rFonts w:ascii="Calibri" w:hAnsi="Calibri" w:cs="Calibri"/>
                <w:color w:val="000000" w:themeColor="text1"/>
                <w:sz w:val="22"/>
              </w:rPr>
            </w:pPr>
            <w:r w:rsidRPr="001C58C6">
              <w:rPr>
                <w:rFonts w:ascii="Calibri" w:hAnsi="Calibri" w:cs="Calibri"/>
                <w:color w:val="000000" w:themeColor="text1"/>
                <w:sz w:val="22"/>
              </w:rPr>
              <w:t>21</w:t>
            </w:r>
          </w:p>
        </w:tc>
        <w:tc>
          <w:tcPr>
            <w:tcW w:w="4056" w:type="dxa"/>
            <w:hideMark/>
          </w:tcPr>
          <w:p w14:paraId="4AE64BE2"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Zabrana uvoza starih vozila (Euro 4 ili niži standard)</w:t>
            </w:r>
          </w:p>
        </w:tc>
        <w:tc>
          <w:tcPr>
            <w:tcW w:w="4343" w:type="dxa"/>
            <w:hideMark/>
          </w:tcPr>
          <w:p w14:paraId="7FF9E70D"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Saobraćaj</w:t>
            </w:r>
          </w:p>
        </w:tc>
      </w:tr>
      <w:tr w:rsidR="00C87B0E" w:rsidRPr="001C58C6" w14:paraId="03DB861A" w14:textId="77777777" w:rsidTr="005E3F1A">
        <w:tc>
          <w:tcPr>
            <w:cnfStyle w:val="001000000000" w:firstRow="0" w:lastRow="0" w:firstColumn="1" w:lastColumn="0" w:oddVBand="0" w:evenVBand="0" w:oddHBand="0" w:evenHBand="0" w:firstRowFirstColumn="0" w:firstRowLastColumn="0" w:lastRowFirstColumn="0" w:lastRowLastColumn="0"/>
            <w:tcW w:w="0" w:type="auto"/>
            <w:hideMark/>
          </w:tcPr>
          <w:p w14:paraId="7CE6AC6C" w14:textId="77777777" w:rsidR="00C87B0E" w:rsidRPr="001C58C6" w:rsidRDefault="00C87B0E" w:rsidP="005E3F1A">
            <w:pPr>
              <w:jc w:val="center"/>
              <w:rPr>
                <w:rFonts w:ascii="Calibri" w:hAnsi="Calibri" w:cs="Calibri"/>
                <w:color w:val="000000" w:themeColor="text1"/>
                <w:sz w:val="22"/>
              </w:rPr>
            </w:pPr>
            <w:r w:rsidRPr="001C58C6">
              <w:rPr>
                <w:rFonts w:ascii="Calibri" w:hAnsi="Calibri" w:cs="Calibri"/>
                <w:color w:val="000000" w:themeColor="text1"/>
                <w:sz w:val="22"/>
              </w:rPr>
              <w:t>22</w:t>
            </w:r>
          </w:p>
        </w:tc>
        <w:tc>
          <w:tcPr>
            <w:tcW w:w="4056" w:type="dxa"/>
            <w:hideMark/>
          </w:tcPr>
          <w:p w14:paraId="3871AB10"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Modalni prelaz prevoza putnika na javni autobuski prevoz</w:t>
            </w:r>
          </w:p>
        </w:tc>
        <w:tc>
          <w:tcPr>
            <w:tcW w:w="4343" w:type="dxa"/>
            <w:hideMark/>
          </w:tcPr>
          <w:p w14:paraId="7BBC5A27"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Saobraćaj</w:t>
            </w:r>
          </w:p>
        </w:tc>
      </w:tr>
      <w:tr w:rsidR="00C87B0E" w:rsidRPr="001C58C6" w14:paraId="0B652BB5" w14:textId="77777777" w:rsidTr="005E3F1A">
        <w:tc>
          <w:tcPr>
            <w:cnfStyle w:val="001000000000" w:firstRow="0" w:lastRow="0" w:firstColumn="1" w:lastColumn="0" w:oddVBand="0" w:evenVBand="0" w:oddHBand="0" w:evenHBand="0" w:firstRowFirstColumn="0" w:firstRowLastColumn="0" w:lastRowFirstColumn="0" w:lastRowLastColumn="0"/>
            <w:tcW w:w="0" w:type="auto"/>
            <w:hideMark/>
          </w:tcPr>
          <w:p w14:paraId="17B457B5" w14:textId="77777777" w:rsidR="00C87B0E" w:rsidRPr="001C58C6" w:rsidRDefault="00C87B0E" w:rsidP="00C87B0E">
            <w:pPr>
              <w:rPr>
                <w:rFonts w:ascii="Calibri" w:hAnsi="Calibri" w:cs="Calibri"/>
                <w:color w:val="000000" w:themeColor="text1"/>
                <w:sz w:val="22"/>
              </w:rPr>
            </w:pPr>
            <w:r w:rsidRPr="001C58C6">
              <w:rPr>
                <w:rFonts w:ascii="Calibri" w:hAnsi="Calibri" w:cs="Calibri"/>
                <w:color w:val="000000" w:themeColor="text1"/>
                <w:sz w:val="22"/>
              </w:rPr>
              <w:t>23</w:t>
            </w:r>
          </w:p>
        </w:tc>
        <w:tc>
          <w:tcPr>
            <w:tcW w:w="4056" w:type="dxa"/>
            <w:hideMark/>
          </w:tcPr>
          <w:p w14:paraId="7C95806F"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Modalni prelaz prevoza putnika i tereta na željeznicu</w:t>
            </w:r>
          </w:p>
        </w:tc>
        <w:tc>
          <w:tcPr>
            <w:tcW w:w="4343" w:type="dxa"/>
            <w:hideMark/>
          </w:tcPr>
          <w:p w14:paraId="0E6D1FAF"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Saobraćaj</w:t>
            </w:r>
          </w:p>
        </w:tc>
      </w:tr>
      <w:tr w:rsidR="00C87B0E" w:rsidRPr="001C58C6" w14:paraId="63F4F8E8" w14:textId="77777777" w:rsidTr="005E3F1A">
        <w:tc>
          <w:tcPr>
            <w:cnfStyle w:val="001000000000" w:firstRow="0" w:lastRow="0" w:firstColumn="1" w:lastColumn="0" w:oddVBand="0" w:evenVBand="0" w:oddHBand="0" w:evenHBand="0" w:firstRowFirstColumn="0" w:firstRowLastColumn="0" w:lastRowFirstColumn="0" w:lastRowLastColumn="0"/>
            <w:tcW w:w="0" w:type="auto"/>
            <w:hideMark/>
          </w:tcPr>
          <w:p w14:paraId="434A7BE5" w14:textId="77777777" w:rsidR="00C87B0E" w:rsidRPr="001C58C6" w:rsidRDefault="00C87B0E" w:rsidP="00C87B0E">
            <w:pPr>
              <w:rPr>
                <w:rFonts w:ascii="Calibri" w:hAnsi="Calibri" w:cs="Calibri"/>
                <w:color w:val="000000" w:themeColor="text1"/>
                <w:sz w:val="22"/>
              </w:rPr>
            </w:pPr>
            <w:r w:rsidRPr="001C58C6">
              <w:rPr>
                <w:rFonts w:ascii="Calibri" w:hAnsi="Calibri" w:cs="Calibri"/>
                <w:color w:val="000000" w:themeColor="text1"/>
                <w:sz w:val="22"/>
              </w:rPr>
              <w:t>24</w:t>
            </w:r>
          </w:p>
        </w:tc>
        <w:tc>
          <w:tcPr>
            <w:tcW w:w="4056" w:type="dxa"/>
            <w:hideMark/>
          </w:tcPr>
          <w:p w14:paraId="1B7FE26D"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Razvoj i implementacija regulatornog okvira energetske efikasnosti u zgradama</w:t>
            </w:r>
          </w:p>
        </w:tc>
        <w:tc>
          <w:tcPr>
            <w:tcW w:w="4343" w:type="dxa"/>
            <w:hideMark/>
          </w:tcPr>
          <w:p w14:paraId="141E2819"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Stambeni / javni / poslovni</w:t>
            </w:r>
          </w:p>
        </w:tc>
      </w:tr>
      <w:tr w:rsidR="00C87B0E" w:rsidRPr="001C58C6" w14:paraId="3BB1E47A" w14:textId="77777777" w:rsidTr="005E3F1A">
        <w:tc>
          <w:tcPr>
            <w:cnfStyle w:val="001000000000" w:firstRow="0" w:lastRow="0" w:firstColumn="1" w:lastColumn="0" w:oddVBand="0" w:evenVBand="0" w:oddHBand="0" w:evenHBand="0" w:firstRowFirstColumn="0" w:firstRowLastColumn="0" w:lastRowFirstColumn="0" w:lastRowLastColumn="0"/>
            <w:tcW w:w="0" w:type="auto"/>
            <w:hideMark/>
          </w:tcPr>
          <w:p w14:paraId="47FDD477" w14:textId="77777777" w:rsidR="00C87B0E" w:rsidRPr="001C58C6" w:rsidRDefault="00C87B0E" w:rsidP="00C87B0E">
            <w:pPr>
              <w:rPr>
                <w:rFonts w:ascii="Calibri" w:hAnsi="Calibri" w:cs="Calibri"/>
                <w:color w:val="000000" w:themeColor="text1"/>
                <w:sz w:val="22"/>
              </w:rPr>
            </w:pPr>
            <w:r w:rsidRPr="001C58C6">
              <w:rPr>
                <w:rFonts w:ascii="Calibri" w:hAnsi="Calibri" w:cs="Calibri"/>
                <w:color w:val="000000" w:themeColor="text1"/>
                <w:sz w:val="22"/>
              </w:rPr>
              <w:t>25</w:t>
            </w:r>
          </w:p>
        </w:tc>
        <w:tc>
          <w:tcPr>
            <w:tcW w:w="4056" w:type="dxa"/>
            <w:hideMark/>
          </w:tcPr>
          <w:p w14:paraId="6FCCC08E"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Povećana energetska efikasnost u javnim zgradama</w:t>
            </w:r>
          </w:p>
        </w:tc>
        <w:tc>
          <w:tcPr>
            <w:tcW w:w="4343" w:type="dxa"/>
            <w:hideMark/>
          </w:tcPr>
          <w:p w14:paraId="1D03F3EF"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Javno</w:t>
            </w:r>
          </w:p>
        </w:tc>
      </w:tr>
      <w:tr w:rsidR="00C87B0E" w:rsidRPr="001C58C6" w14:paraId="6081EF8B" w14:textId="77777777" w:rsidTr="005E3F1A">
        <w:tc>
          <w:tcPr>
            <w:cnfStyle w:val="001000000000" w:firstRow="0" w:lastRow="0" w:firstColumn="1" w:lastColumn="0" w:oddVBand="0" w:evenVBand="0" w:oddHBand="0" w:evenHBand="0" w:firstRowFirstColumn="0" w:firstRowLastColumn="0" w:lastRowFirstColumn="0" w:lastRowLastColumn="0"/>
            <w:tcW w:w="0" w:type="auto"/>
            <w:hideMark/>
          </w:tcPr>
          <w:p w14:paraId="3296EF31" w14:textId="77777777" w:rsidR="00C87B0E" w:rsidRPr="001C58C6" w:rsidRDefault="00C87B0E" w:rsidP="00C87B0E">
            <w:pPr>
              <w:rPr>
                <w:rFonts w:ascii="Calibri" w:hAnsi="Calibri" w:cs="Calibri"/>
                <w:color w:val="000000" w:themeColor="text1"/>
                <w:sz w:val="22"/>
              </w:rPr>
            </w:pPr>
            <w:r w:rsidRPr="001C58C6">
              <w:rPr>
                <w:rFonts w:ascii="Calibri" w:hAnsi="Calibri" w:cs="Calibri"/>
                <w:color w:val="000000" w:themeColor="text1"/>
                <w:sz w:val="22"/>
              </w:rPr>
              <w:t>26</w:t>
            </w:r>
          </w:p>
        </w:tc>
        <w:tc>
          <w:tcPr>
            <w:tcW w:w="4056" w:type="dxa"/>
            <w:hideMark/>
          </w:tcPr>
          <w:p w14:paraId="63630098"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Sprovođenje mjera energetske efikasnosti u javnoj infrastrukturi</w:t>
            </w:r>
          </w:p>
        </w:tc>
        <w:tc>
          <w:tcPr>
            <w:tcW w:w="4343" w:type="dxa"/>
            <w:hideMark/>
          </w:tcPr>
          <w:p w14:paraId="681AA03B"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Javni</w:t>
            </w:r>
          </w:p>
        </w:tc>
      </w:tr>
      <w:tr w:rsidR="00C87B0E" w:rsidRPr="001C58C6" w14:paraId="771A13DD" w14:textId="77777777" w:rsidTr="005E3F1A">
        <w:tc>
          <w:tcPr>
            <w:cnfStyle w:val="001000000000" w:firstRow="0" w:lastRow="0" w:firstColumn="1" w:lastColumn="0" w:oddVBand="0" w:evenVBand="0" w:oddHBand="0" w:evenHBand="0" w:firstRowFirstColumn="0" w:firstRowLastColumn="0" w:lastRowFirstColumn="0" w:lastRowLastColumn="0"/>
            <w:tcW w:w="0" w:type="auto"/>
            <w:hideMark/>
          </w:tcPr>
          <w:p w14:paraId="73CF87DA" w14:textId="77777777" w:rsidR="00C87B0E" w:rsidRPr="001C58C6" w:rsidRDefault="00C87B0E" w:rsidP="00C87B0E">
            <w:pPr>
              <w:rPr>
                <w:rFonts w:ascii="Calibri" w:hAnsi="Calibri" w:cs="Calibri"/>
                <w:color w:val="000000" w:themeColor="text1"/>
                <w:sz w:val="22"/>
              </w:rPr>
            </w:pPr>
            <w:r w:rsidRPr="001C58C6">
              <w:rPr>
                <w:rFonts w:ascii="Calibri" w:hAnsi="Calibri" w:cs="Calibri"/>
                <w:color w:val="000000" w:themeColor="text1"/>
                <w:sz w:val="22"/>
              </w:rPr>
              <w:t>27</w:t>
            </w:r>
          </w:p>
        </w:tc>
        <w:tc>
          <w:tcPr>
            <w:tcW w:w="4056" w:type="dxa"/>
            <w:hideMark/>
          </w:tcPr>
          <w:p w14:paraId="7B9BA6A9"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96738E">
              <w:rPr>
                <w:rFonts w:ascii="Calibri" w:hAnsi="Calibri" w:cs="Calibri"/>
                <w:color w:val="000000" w:themeColor="text1"/>
                <w:sz w:val="22"/>
              </w:rPr>
              <w:t>Finansijski podsticaji za građane i građanke/privatna domaćinstva (za ulaganja u energetsku efikasnost i smanjenje energetskog siromaštva)</w:t>
            </w:r>
          </w:p>
        </w:tc>
        <w:tc>
          <w:tcPr>
            <w:tcW w:w="4343" w:type="dxa"/>
            <w:hideMark/>
          </w:tcPr>
          <w:p w14:paraId="1D5593F6" w14:textId="77777777" w:rsidR="00C87B0E" w:rsidRPr="001C58C6" w:rsidRDefault="00C87B0E" w:rsidP="00C87B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Stambeni</w:t>
            </w:r>
          </w:p>
        </w:tc>
      </w:tr>
    </w:tbl>
    <w:p w14:paraId="3E78FAC6"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 </w:t>
      </w:r>
    </w:p>
    <w:p w14:paraId="42395093" w14:textId="77777777" w:rsidR="00C87B0E" w:rsidRPr="001C58C6" w:rsidRDefault="00C87B0E" w:rsidP="00E53052">
      <w:pPr>
        <w:pStyle w:val="ListParagraph"/>
        <w:numPr>
          <w:ilvl w:val="3"/>
          <w:numId w:val="46"/>
        </w:numPr>
        <w:rPr>
          <w:rFonts w:ascii="Calibri" w:hAnsi="Calibri" w:cs="Calibri"/>
          <w:b/>
          <w:bCs/>
          <w:i/>
          <w:iCs/>
          <w:color w:val="000000" w:themeColor="text1"/>
        </w:rPr>
      </w:pPr>
      <w:r w:rsidRPr="001C58C6">
        <w:rPr>
          <w:rFonts w:ascii="Calibri" w:hAnsi="Calibri" w:cs="Calibri"/>
          <w:b/>
          <w:bCs/>
          <w:i/>
          <w:iCs/>
          <w:color w:val="000000" w:themeColor="text1"/>
        </w:rPr>
        <w:t xml:space="preserve">Odabrane mjere i njihov očekivani efekat </w:t>
      </w:r>
    </w:p>
    <w:p w14:paraId="2BD4FEA8" w14:textId="77777777" w:rsidR="00752282" w:rsidRPr="001C58C6" w:rsidRDefault="00752282" w:rsidP="00752282">
      <w:pPr>
        <w:pStyle w:val="ListParagraph"/>
        <w:ind w:left="1080"/>
        <w:rPr>
          <w:rFonts w:ascii="Calibri" w:hAnsi="Calibri" w:cs="Calibri"/>
          <w:b/>
          <w:bCs/>
          <w:i/>
          <w:iCs/>
          <w:color w:val="000000" w:themeColor="text1"/>
        </w:rPr>
      </w:pPr>
    </w:p>
    <w:p w14:paraId="253A320C"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(a) spisak odabranih mjera, uključujući spisak informacija (kao što su rezultati modeliranja i procjene mjera) za postizanje odgovarajućeg standarda kvaliteta vazduha u skladu sa Prilogom I; po potrebi, ako spisak mjera iz tačke 6(a) uključuje mjere koje imaju visok potencijal za poboljšanje kvaliteta vazduha, ali nijesu odabrane, objašnjenje razloga zašto nijesu izabrane;</w:t>
      </w:r>
    </w:p>
    <w:p w14:paraId="449EC6FB" w14:textId="77777777" w:rsidR="005E3F1A" w:rsidRDefault="00C87B0E" w:rsidP="00C87B0E">
      <w:pPr>
        <w:rPr>
          <w:rFonts w:ascii="Calibri" w:hAnsi="Calibri" w:cs="Calibri"/>
          <w:color w:val="000000" w:themeColor="text1"/>
        </w:rPr>
      </w:pPr>
      <w:r w:rsidRPr="001C58C6">
        <w:rPr>
          <w:rFonts w:ascii="Calibri" w:hAnsi="Calibri" w:cs="Calibri"/>
          <w:color w:val="000000" w:themeColor="text1"/>
        </w:rPr>
        <w:t>Imajući u vidu dobar kvalitet vazduha u Južnoj zoni, kao i namjenu i strukturu ovog plana, predložene mjere primjenjivaće se kao preventivne:</w:t>
      </w:r>
    </w:p>
    <w:p w14:paraId="3B4EEE25" w14:textId="77777777" w:rsidR="006F52AD" w:rsidRDefault="006F52AD" w:rsidP="00C87B0E">
      <w:pPr>
        <w:rPr>
          <w:rFonts w:ascii="Calibri" w:hAnsi="Calibri" w:cs="Calibri"/>
          <w:color w:val="000000" w:themeColor="text1"/>
        </w:rPr>
      </w:pPr>
    </w:p>
    <w:p w14:paraId="6D6212C9" w14:textId="77777777" w:rsidR="006F52AD" w:rsidRPr="001C58C6" w:rsidRDefault="006F52AD" w:rsidP="00C87B0E">
      <w:pPr>
        <w:rPr>
          <w:rFonts w:ascii="Calibri" w:hAnsi="Calibri" w:cs="Calibri"/>
          <w:color w:val="000000" w:themeColor="text1"/>
        </w:rPr>
      </w:pPr>
    </w:p>
    <w:p w14:paraId="1A44761C" w14:textId="77777777" w:rsidR="00752282" w:rsidRPr="001C58C6" w:rsidRDefault="00752282" w:rsidP="00C87B0E">
      <w:pPr>
        <w:rPr>
          <w:rFonts w:ascii="Calibri" w:hAnsi="Calibri" w:cs="Calibri"/>
          <w:color w:val="000000" w:themeColor="text1"/>
        </w:rPr>
      </w:pPr>
    </w:p>
    <w:p w14:paraId="4F73CB5D" w14:textId="77777777" w:rsidR="00C87B0E" w:rsidRPr="001C58C6" w:rsidRDefault="00752282" w:rsidP="00B33518">
      <w:pPr>
        <w:pStyle w:val="Caption"/>
        <w:jc w:val="center"/>
        <w:rPr>
          <w:rFonts w:ascii="Calibri" w:hAnsi="Calibri" w:cs="Calibri"/>
          <w:i/>
          <w:iCs/>
          <w:color w:val="000000" w:themeColor="text1"/>
          <w:sz w:val="20"/>
          <w:szCs w:val="20"/>
        </w:rPr>
      </w:pPr>
      <w:bookmarkStart w:id="229" w:name="_Toc217388773"/>
      <w:bookmarkStart w:id="230" w:name="_Toc217388818"/>
      <w:bookmarkStart w:id="231" w:name="_Toc233584692"/>
      <w:r w:rsidRPr="001C58C6">
        <w:rPr>
          <w:rFonts w:ascii="Calibri" w:hAnsi="Calibri" w:cs="Calibri"/>
          <w:i/>
          <w:iCs/>
          <w:color w:val="000000" w:themeColor="text1"/>
          <w:sz w:val="20"/>
          <w:szCs w:val="20"/>
        </w:rPr>
        <w:lastRenderedPageBreak/>
        <w:t xml:space="preserve">Tabela </w:t>
      </w:r>
      <w:r w:rsidRPr="001C58C6">
        <w:rPr>
          <w:rFonts w:ascii="Calibri" w:hAnsi="Calibri" w:cs="Calibri"/>
          <w:i/>
          <w:iCs/>
          <w:color w:val="000000" w:themeColor="text1"/>
          <w:sz w:val="20"/>
          <w:szCs w:val="20"/>
        </w:rPr>
        <w:fldChar w:fldCharType="begin"/>
      </w:r>
      <w:r w:rsidRPr="001C58C6">
        <w:rPr>
          <w:rFonts w:ascii="Calibri" w:hAnsi="Calibri" w:cs="Calibri"/>
          <w:i/>
          <w:iCs/>
          <w:color w:val="000000" w:themeColor="text1"/>
          <w:sz w:val="20"/>
          <w:szCs w:val="20"/>
        </w:rPr>
        <w:instrText xml:space="preserve"> SEQ Tabela \* ARABIC </w:instrText>
      </w:r>
      <w:r w:rsidRPr="001C58C6">
        <w:rPr>
          <w:rFonts w:ascii="Calibri" w:hAnsi="Calibri" w:cs="Calibri"/>
          <w:i/>
          <w:iCs/>
          <w:color w:val="000000" w:themeColor="text1"/>
          <w:sz w:val="20"/>
          <w:szCs w:val="20"/>
        </w:rPr>
        <w:fldChar w:fldCharType="separate"/>
      </w:r>
      <w:r w:rsidRPr="001C58C6">
        <w:rPr>
          <w:rFonts w:ascii="Calibri" w:hAnsi="Calibri" w:cs="Calibri"/>
          <w:i/>
          <w:iCs/>
          <w:color w:val="000000" w:themeColor="text1"/>
          <w:sz w:val="20"/>
          <w:szCs w:val="20"/>
        </w:rPr>
        <w:t>17</w:t>
      </w:r>
      <w:r w:rsidRPr="001C58C6">
        <w:rPr>
          <w:rFonts w:ascii="Calibri" w:hAnsi="Calibri" w:cs="Calibri"/>
          <w:i/>
          <w:iCs/>
          <w:color w:val="000000" w:themeColor="text1"/>
          <w:sz w:val="20"/>
          <w:szCs w:val="20"/>
        </w:rPr>
        <w:fldChar w:fldCharType="end"/>
      </w:r>
      <w:r w:rsidR="005E3F1A" w:rsidRPr="001C58C6">
        <w:rPr>
          <w:rFonts w:ascii="Calibri" w:hAnsi="Calibri" w:cs="Calibri"/>
          <w:i/>
          <w:iCs/>
          <w:color w:val="000000" w:themeColor="text1"/>
          <w:sz w:val="20"/>
          <w:szCs w:val="20"/>
        </w:rPr>
        <w:t xml:space="preserve">: </w:t>
      </w:r>
      <w:r w:rsidR="00C87B0E" w:rsidRPr="001C58C6">
        <w:rPr>
          <w:rFonts w:ascii="Calibri" w:hAnsi="Calibri" w:cs="Calibri"/>
          <w:i/>
          <w:iCs/>
          <w:color w:val="000000" w:themeColor="text1"/>
          <w:sz w:val="20"/>
          <w:szCs w:val="20"/>
        </w:rPr>
        <w:t xml:space="preserve"> </w:t>
      </w:r>
      <w:r w:rsidR="005E3F1A" w:rsidRPr="001C58C6">
        <w:rPr>
          <w:rFonts w:ascii="Calibri" w:hAnsi="Calibri" w:cs="Calibri"/>
          <w:i/>
          <w:iCs/>
          <w:color w:val="000000" w:themeColor="text1"/>
          <w:sz w:val="20"/>
          <w:szCs w:val="20"/>
        </w:rPr>
        <w:t>Mjere koje će se realizovati u okviru NEKP</w:t>
      </w:r>
      <w:bookmarkEnd w:id="229"/>
      <w:bookmarkEnd w:id="230"/>
      <w:bookmarkEnd w:id="231"/>
    </w:p>
    <w:tbl>
      <w:tblPr>
        <w:tblStyle w:val="GridTable1Light-Accent1"/>
        <w:tblW w:w="0" w:type="auto"/>
        <w:tblLook w:val="04A0" w:firstRow="1" w:lastRow="0" w:firstColumn="1" w:lastColumn="0" w:noHBand="0" w:noVBand="1"/>
      </w:tblPr>
      <w:tblGrid>
        <w:gridCol w:w="845"/>
        <w:gridCol w:w="6130"/>
        <w:gridCol w:w="2041"/>
      </w:tblGrid>
      <w:tr w:rsidR="0096738E" w:rsidRPr="001C58C6" w14:paraId="14057A3B" w14:textId="77777777" w:rsidTr="005E3F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E8E8E8" w:themeFill="background2"/>
          </w:tcPr>
          <w:p w14:paraId="284D9BA8" w14:textId="77777777" w:rsidR="00C87B0E" w:rsidRPr="001C58C6" w:rsidRDefault="005E3F1A" w:rsidP="005E3F1A">
            <w:pPr>
              <w:jc w:val="center"/>
              <w:rPr>
                <w:rFonts w:ascii="Calibri" w:hAnsi="Calibri" w:cs="Calibri"/>
                <w:color w:val="000000" w:themeColor="text1"/>
                <w:sz w:val="22"/>
              </w:rPr>
            </w:pPr>
            <w:r w:rsidRPr="001C58C6">
              <w:rPr>
                <w:rFonts w:ascii="Calibri" w:hAnsi="Calibri" w:cs="Calibri"/>
                <w:color w:val="000000" w:themeColor="text1"/>
                <w:sz w:val="22"/>
              </w:rPr>
              <w:t>R.b</w:t>
            </w:r>
          </w:p>
        </w:tc>
        <w:tc>
          <w:tcPr>
            <w:tcW w:w="5725" w:type="dxa"/>
            <w:shd w:val="clear" w:color="auto" w:fill="E8E8E8" w:themeFill="background2"/>
            <w:hideMark/>
          </w:tcPr>
          <w:p w14:paraId="445952F3" w14:textId="77777777" w:rsidR="00C87B0E" w:rsidRPr="001C58C6" w:rsidRDefault="00C87B0E" w:rsidP="005E3F1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Mjere koje će se realizovati u okviru NEKP</w:t>
            </w:r>
          </w:p>
        </w:tc>
        <w:tc>
          <w:tcPr>
            <w:tcW w:w="0" w:type="auto"/>
            <w:shd w:val="clear" w:color="auto" w:fill="E8E8E8" w:themeFill="background2"/>
            <w:hideMark/>
          </w:tcPr>
          <w:p w14:paraId="31D002BA" w14:textId="77777777" w:rsidR="00C87B0E" w:rsidRPr="001C58C6" w:rsidRDefault="00C87B0E" w:rsidP="005E3F1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Sektor</w:t>
            </w:r>
          </w:p>
        </w:tc>
      </w:tr>
      <w:tr w:rsidR="00151D47" w:rsidRPr="001C58C6" w14:paraId="6FAF535D" w14:textId="77777777" w:rsidTr="00151D47">
        <w:tc>
          <w:tcPr>
            <w:cnfStyle w:val="001000000000" w:firstRow="0" w:lastRow="0" w:firstColumn="1" w:lastColumn="0" w:oddVBand="0" w:evenVBand="0" w:oddHBand="0" w:evenHBand="0" w:firstRowFirstColumn="0" w:firstRowLastColumn="0" w:lastRowFirstColumn="0" w:lastRowLastColumn="0"/>
            <w:tcW w:w="0" w:type="auto"/>
            <w:gridSpan w:val="3"/>
          </w:tcPr>
          <w:p w14:paraId="312EE90D" w14:textId="77777777" w:rsidR="00151D47" w:rsidRPr="001C58C6" w:rsidRDefault="00AE44FC">
            <w:pPr>
              <w:rPr>
                <w:rFonts w:ascii="Calibri" w:hAnsi="Calibri" w:cs="Calibri"/>
                <w:color w:val="000000" w:themeColor="text1"/>
              </w:rPr>
            </w:pPr>
            <w:r w:rsidRPr="0096738E">
              <w:rPr>
                <w:rFonts w:ascii="Calibri" w:hAnsi="Calibri" w:cs="Calibri"/>
                <w:color w:val="000000" w:themeColor="text1"/>
                <w:sz w:val="22"/>
              </w:rPr>
              <w:t>Veza mjera iz ove tabele sa ciljevima Strategije: ove mjere se sprovode preventivno radi očuvanja kvaliteta vazduha u Južnoj zoni, a povezane su sa Strateškim ciljem 1 i operativnim ciljevima 1.A, 1.B i 1.C (smanjenje koncentracija i emisija), kao i sa operativnim ciljem 2.C (dalje usklađivanje sa strožim standardima kvaliteta vazduha). U izvještavanju o realizaciji treba navesti i indikator operativnog cilja na koji mjera doprinosi.</w:t>
            </w:r>
          </w:p>
        </w:tc>
      </w:tr>
      <w:tr w:rsidR="0096738E" w:rsidRPr="001C58C6" w14:paraId="5E545598" w14:textId="77777777" w:rsidTr="005E3F1A">
        <w:tc>
          <w:tcPr>
            <w:cnfStyle w:val="001000000000" w:firstRow="0" w:lastRow="0" w:firstColumn="1" w:lastColumn="0" w:oddVBand="0" w:evenVBand="0" w:oddHBand="0" w:evenHBand="0" w:firstRowFirstColumn="0" w:firstRowLastColumn="0" w:lastRowFirstColumn="0" w:lastRowLastColumn="0"/>
            <w:tcW w:w="562" w:type="dxa"/>
            <w:hideMark/>
          </w:tcPr>
          <w:p w14:paraId="341E071B" w14:textId="77777777" w:rsidR="00C87B0E" w:rsidRPr="001C58C6" w:rsidRDefault="00C87B0E" w:rsidP="005E3F1A">
            <w:pPr>
              <w:jc w:val="center"/>
              <w:rPr>
                <w:rFonts w:ascii="Calibri" w:hAnsi="Calibri" w:cs="Calibri"/>
                <w:color w:val="000000" w:themeColor="text1"/>
                <w:sz w:val="22"/>
              </w:rPr>
            </w:pPr>
            <w:r w:rsidRPr="001C58C6">
              <w:rPr>
                <w:rFonts w:ascii="Calibri" w:hAnsi="Calibri" w:cs="Calibri"/>
                <w:color w:val="000000" w:themeColor="text1"/>
                <w:sz w:val="22"/>
              </w:rPr>
              <w:t>1</w:t>
            </w:r>
          </w:p>
        </w:tc>
        <w:tc>
          <w:tcPr>
            <w:tcW w:w="5725" w:type="dxa"/>
            <w:hideMark/>
          </w:tcPr>
          <w:p w14:paraId="7F035512" w14:textId="77777777" w:rsidR="00C87B0E" w:rsidRPr="001C58C6" w:rsidRDefault="00C87B0E" w:rsidP="0096738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96738E">
              <w:rPr>
                <w:rFonts w:ascii="Calibri" w:hAnsi="Calibri" w:cs="Calibri"/>
                <w:color w:val="000000" w:themeColor="text1"/>
                <w:sz w:val="22"/>
              </w:rPr>
              <w:t>Finansijski podsticaji za građane i građanke/privatna domaćinstva (za ulaganja u energetsku efikasnost i smanjenje energetskog siromaštva)</w:t>
            </w:r>
          </w:p>
        </w:tc>
        <w:tc>
          <w:tcPr>
            <w:tcW w:w="0" w:type="auto"/>
            <w:hideMark/>
          </w:tcPr>
          <w:p w14:paraId="3DE39192"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Stambeni</w:t>
            </w:r>
          </w:p>
        </w:tc>
      </w:tr>
      <w:tr w:rsidR="0096738E" w:rsidRPr="001C58C6" w14:paraId="4C5B5E5B" w14:textId="77777777" w:rsidTr="005E3F1A">
        <w:tc>
          <w:tcPr>
            <w:cnfStyle w:val="001000000000" w:firstRow="0" w:lastRow="0" w:firstColumn="1" w:lastColumn="0" w:oddVBand="0" w:evenVBand="0" w:oddHBand="0" w:evenHBand="0" w:firstRowFirstColumn="0" w:firstRowLastColumn="0" w:lastRowFirstColumn="0" w:lastRowLastColumn="0"/>
            <w:tcW w:w="562" w:type="dxa"/>
            <w:hideMark/>
          </w:tcPr>
          <w:p w14:paraId="646493F7" w14:textId="77777777" w:rsidR="00C87B0E" w:rsidRPr="001C58C6" w:rsidRDefault="00C87B0E" w:rsidP="005E3F1A">
            <w:pPr>
              <w:jc w:val="center"/>
              <w:rPr>
                <w:rFonts w:ascii="Calibri" w:hAnsi="Calibri" w:cs="Calibri"/>
                <w:color w:val="000000" w:themeColor="text1"/>
                <w:sz w:val="22"/>
              </w:rPr>
            </w:pPr>
            <w:r w:rsidRPr="001C58C6">
              <w:rPr>
                <w:rFonts w:ascii="Calibri" w:hAnsi="Calibri" w:cs="Calibri"/>
                <w:color w:val="000000" w:themeColor="text1"/>
                <w:sz w:val="22"/>
              </w:rPr>
              <w:t>2</w:t>
            </w:r>
          </w:p>
        </w:tc>
        <w:tc>
          <w:tcPr>
            <w:tcW w:w="5725" w:type="dxa"/>
            <w:hideMark/>
          </w:tcPr>
          <w:p w14:paraId="018D4C37"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Razvoj i implementacija regulatornog okvira energetske efikasnosti u zgradama</w:t>
            </w:r>
          </w:p>
        </w:tc>
        <w:tc>
          <w:tcPr>
            <w:tcW w:w="0" w:type="auto"/>
            <w:hideMark/>
          </w:tcPr>
          <w:p w14:paraId="24B19986"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Stambeni / javni / poslovni</w:t>
            </w:r>
          </w:p>
        </w:tc>
      </w:tr>
      <w:tr w:rsidR="0096738E" w:rsidRPr="001C58C6" w14:paraId="1F92CC84" w14:textId="77777777" w:rsidTr="005E3F1A">
        <w:tc>
          <w:tcPr>
            <w:cnfStyle w:val="001000000000" w:firstRow="0" w:lastRow="0" w:firstColumn="1" w:lastColumn="0" w:oddVBand="0" w:evenVBand="0" w:oddHBand="0" w:evenHBand="0" w:firstRowFirstColumn="0" w:firstRowLastColumn="0" w:lastRowFirstColumn="0" w:lastRowLastColumn="0"/>
            <w:tcW w:w="562" w:type="dxa"/>
          </w:tcPr>
          <w:p w14:paraId="683FA2A2" w14:textId="77777777" w:rsidR="00C87B0E" w:rsidRPr="001C58C6" w:rsidRDefault="00C87B0E" w:rsidP="005E3F1A">
            <w:pPr>
              <w:jc w:val="center"/>
              <w:rPr>
                <w:rFonts w:ascii="Calibri" w:hAnsi="Calibri" w:cs="Calibri"/>
                <w:color w:val="000000" w:themeColor="text1"/>
                <w:sz w:val="22"/>
              </w:rPr>
            </w:pPr>
          </w:p>
        </w:tc>
        <w:tc>
          <w:tcPr>
            <w:tcW w:w="5725" w:type="dxa"/>
            <w:hideMark/>
          </w:tcPr>
          <w:p w14:paraId="6C4F13A4"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Povećana energetska efikasnost u javnim zgradama</w:t>
            </w:r>
          </w:p>
        </w:tc>
        <w:tc>
          <w:tcPr>
            <w:tcW w:w="0" w:type="auto"/>
            <w:hideMark/>
          </w:tcPr>
          <w:p w14:paraId="30B15EE9"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Javni sektor</w:t>
            </w:r>
          </w:p>
        </w:tc>
      </w:tr>
      <w:tr w:rsidR="0096738E" w:rsidRPr="001C58C6" w14:paraId="55CD1E55" w14:textId="77777777" w:rsidTr="005E3F1A">
        <w:tc>
          <w:tcPr>
            <w:cnfStyle w:val="001000000000" w:firstRow="0" w:lastRow="0" w:firstColumn="1" w:lastColumn="0" w:oddVBand="0" w:evenVBand="0" w:oddHBand="0" w:evenHBand="0" w:firstRowFirstColumn="0" w:firstRowLastColumn="0" w:lastRowFirstColumn="0" w:lastRowLastColumn="0"/>
            <w:tcW w:w="562" w:type="dxa"/>
            <w:hideMark/>
          </w:tcPr>
          <w:p w14:paraId="5DBC9C73" w14:textId="77777777" w:rsidR="00C87B0E" w:rsidRPr="001C58C6" w:rsidRDefault="00C87B0E" w:rsidP="005E3F1A">
            <w:pPr>
              <w:jc w:val="center"/>
              <w:rPr>
                <w:rFonts w:ascii="Calibri" w:hAnsi="Calibri" w:cs="Calibri"/>
                <w:color w:val="000000" w:themeColor="text1"/>
                <w:sz w:val="22"/>
              </w:rPr>
            </w:pPr>
            <w:r w:rsidRPr="001C58C6">
              <w:rPr>
                <w:rFonts w:ascii="Calibri" w:hAnsi="Calibri" w:cs="Calibri"/>
                <w:color w:val="000000" w:themeColor="text1"/>
                <w:sz w:val="22"/>
              </w:rPr>
              <w:t>4</w:t>
            </w:r>
          </w:p>
        </w:tc>
        <w:tc>
          <w:tcPr>
            <w:tcW w:w="5725" w:type="dxa"/>
            <w:hideMark/>
          </w:tcPr>
          <w:p w14:paraId="27CABFF8"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Razvoj decentralizovane proizvodnje energije od strane proizvođača - kupaca (prozjumer)</w:t>
            </w:r>
          </w:p>
        </w:tc>
        <w:tc>
          <w:tcPr>
            <w:tcW w:w="0" w:type="auto"/>
            <w:hideMark/>
          </w:tcPr>
          <w:p w14:paraId="28335EEB"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Stambeni/komercijalni sektor</w:t>
            </w:r>
          </w:p>
        </w:tc>
      </w:tr>
      <w:tr w:rsidR="0096738E" w:rsidRPr="001C58C6" w14:paraId="373DCD47" w14:textId="77777777" w:rsidTr="005E3F1A">
        <w:tc>
          <w:tcPr>
            <w:cnfStyle w:val="001000000000" w:firstRow="0" w:lastRow="0" w:firstColumn="1" w:lastColumn="0" w:oddVBand="0" w:evenVBand="0" w:oddHBand="0" w:evenHBand="0" w:firstRowFirstColumn="0" w:firstRowLastColumn="0" w:lastRowFirstColumn="0" w:lastRowLastColumn="0"/>
            <w:tcW w:w="562" w:type="dxa"/>
            <w:hideMark/>
          </w:tcPr>
          <w:p w14:paraId="39118F3A" w14:textId="77777777" w:rsidR="00C87B0E" w:rsidRPr="001C58C6" w:rsidRDefault="00C87B0E" w:rsidP="005E3F1A">
            <w:pPr>
              <w:jc w:val="center"/>
              <w:rPr>
                <w:rFonts w:ascii="Calibri" w:hAnsi="Calibri" w:cs="Calibri"/>
                <w:color w:val="000000" w:themeColor="text1"/>
                <w:sz w:val="22"/>
              </w:rPr>
            </w:pPr>
            <w:r w:rsidRPr="001C58C6">
              <w:rPr>
                <w:rFonts w:ascii="Calibri" w:hAnsi="Calibri" w:cs="Calibri"/>
                <w:color w:val="000000" w:themeColor="text1"/>
                <w:sz w:val="22"/>
              </w:rPr>
              <w:t>5</w:t>
            </w:r>
          </w:p>
        </w:tc>
        <w:tc>
          <w:tcPr>
            <w:tcW w:w="5725" w:type="dxa"/>
            <w:hideMark/>
          </w:tcPr>
          <w:p w14:paraId="71B07092"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Dodatni razvoj decentralizovane proizvodnje energije od strane proizvođača - kupaca (prozjumer)</w:t>
            </w:r>
          </w:p>
        </w:tc>
        <w:tc>
          <w:tcPr>
            <w:tcW w:w="0" w:type="auto"/>
            <w:hideMark/>
          </w:tcPr>
          <w:p w14:paraId="18DB7C57"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Stambeni/komercijalni sektor</w:t>
            </w:r>
          </w:p>
        </w:tc>
      </w:tr>
      <w:tr w:rsidR="0096738E" w:rsidRPr="001C58C6" w14:paraId="2DFC0882" w14:textId="77777777" w:rsidTr="005E3F1A">
        <w:tc>
          <w:tcPr>
            <w:cnfStyle w:val="001000000000" w:firstRow="0" w:lastRow="0" w:firstColumn="1" w:lastColumn="0" w:oddVBand="0" w:evenVBand="0" w:oddHBand="0" w:evenHBand="0" w:firstRowFirstColumn="0" w:firstRowLastColumn="0" w:lastRowFirstColumn="0" w:lastRowLastColumn="0"/>
            <w:tcW w:w="562" w:type="dxa"/>
            <w:hideMark/>
          </w:tcPr>
          <w:p w14:paraId="58F8F50F" w14:textId="77777777" w:rsidR="00C87B0E" w:rsidRPr="001C58C6" w:rsidRDefault="00C87B0E" w:rsidP="005E3F1A">
            <w:pPr>
              <w:jc w:val="center"/>
              <w:rPr>
                <w:rFonts w:ascii="Calibri" w:hAnsi="Calibri" w:cs="Calibri"/>
                <w:color w:val="000000" w:themeColor="text1"/>
                <w:sz w:val="22"/>
              </w:rPr>
            </w:pPr>
            <w:r w:rsidRPr="001C58C6">
              <w:rPr>
                <w:rFonts w:ascii="Calibri" w:hAnsi="Calibri" w:cs="Calibri"/>
                <w:color w:val="000000" w:themeColor="text1"/>
                <w:sz w:val="22"/>
              </w:rPr>
              <w:t>6</w:t>
            </w:r>
          </w:p>
        </w:tc>
        <w:tc>
          <w:tcPr>
            <w:tcW w:w="5725" w:type="dxa"/>
            <w:hideMark/>
          </w:tcPr>
          <w:p w14:paraId="61DE193D"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Promocija e-mobilnosti</w:t>
            </w:r>
          </w:p>
        </w:tc>
        <w:tc>
          <w:tcPr>
            <w:tcW w:w="0" w:type="auto"/>
            <w:hideMark/>
          </w:tcPr>
          <w:p w14:paraId="207B1C5E" w14:textId="77777777" w:rsidR="00C87B0E" w:rsidRPr="001C58C6" w:rsidRDefault="00C87B0E" w:rsidP="005E3F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rPr>
            </w:pPr>
            <w:r w:rsidRPr="001C58C6">
              <w:rPr>
                <w:rFonts w:ascii="Calibri" w:hAnsi="Calibri" w:cs="Calibri"/>
                <w:color w:val="000000" w:themeColor="text1"/>
                <w:sz w:val="22"/>
              </w:rPr>
              <w:t>Saobraćaj</w:t>
            </w:r>
          </w:p>
        </w:tc>
      </w:tr>
    </w:tbl>
    <w:p w14:paraId="38DF2C35" w14:textId="77777777" w:rsidR="00536B7B" w:rsidRPr="001C58C6" w:rsidRDefault="00536B7B" w:rsidP="00C87B0E">
      <w:pPr>
        <w:rPr>
          <w:rFonts w:ascii="Calibri" w:hAnsi="Calibri" w:cs="Calibri"/>
          <w:color w:val="000000" w:themeColor="text1"/>
        </w:rPr>
      </w:pPr>
    </w:p>
    <w:p w14:paraId="64AFC3F2"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Pored ovih mjera, u Južnoj zoni kvaliteta vazduha potrebno je sprovoditi i dodatne mjere radi održavanja kvaliteta vazduha: </w:t>
      </w:r>
    </w:p>
    <w:p w14:paraId="45FCFAD2" w14:textId="77777777" w:rsidR="00752282" w:rsidRPr="001C58C6" w:rsidRDefault="00752282" w:rsidP="00C87B0E">
      <w:pPr>
        <w:rPr>
          <w:rFonts w:ascii="Calibri" w:hAnsi="Calibri" w:cs="Calibri"/>
          <w:color w:val="000000" w:themeColor="text1"/>
        </w:rPr>
      </w:pPr>
    </w:p>
    <w:p w14:paraId="152F3750" w14:textId="77777777" w:rsidR="00C87B0E" w:rsidRPr="001C58C6" w:rsidRDefault="00C87B0E" w:rsidP="00E53052">
      <w:pPr>
        <w:pStyle w:val="ListParagraph"/>
        <w:numPr>
          <w:ilvl w:val="0"/>
          <w:numId w:val="47"/>
        </w:numPr>
        <w:rPr>
          <w:rFonts w:ascii="Calibri" w:hAnsi="Calibri" w:cs="Calibri"/>
          <w:b/>
          <w:bCs/>
          <w:i/>
          <w:iCs/>
          <w:color w:val="000000" w:themeColor="text1"/>
        </w:rPr>
      </w:pPr>
      <w:r w:rsidRPr="001C58C6">
        <w:rPr>
          <w:rFonts w:ascii="Calibri" w:hAnsi="Calibri" w:cs="Calibri"/>
          <w:b/>
          <w:bCs/>
          <w:i/>
          <w:iCs/>
          <w:color w:val="000000" w:themeColor="text1"/>
        </w:rPr>
        <w:t>Lokalni planovi zaštite životne sredine</w:t>
      </w:r>
    </w:p>
    <w:p w14:paraId="4F69B68D"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Obaveza izrade lokalnih planova zaštite životne sredine utvrđena je članom 37 Zakona o životnoj sredini kojim se jedinice lokalne samouprave obavezuju da u okviru plana razrade mjere zaštite životne sredine za područje lokalne samouprave u skladu sa lokalnim specifičnostima i obilježjima područja za koje se plan donosi. Planom se uspostavljaju ciljevi i zadaci od značaja za zaštitu životne sredine i održivi razvoj na lokalnom nivou.</w:t>
      </w:r>
    </w:p>
    <w:p w14:paraId="258D2BCC"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Smjernice za definisanje mjera zaštite vazduha na lokalnom nivou mogu se pronaći u Priručniku koje je Ministarstvo ekologije, održivog razvoja i razvoja sjevera izradilo u saradnji sa švedskom agencijom za zaštitu životne sredine, koji je neophodno prevesti na crnogorski.</w:t>
      </w:r>
    </w:p>
    <w:p w14:paraId="33D5EC27"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Odgovorna lica za implementaciju: Jedinice lokalne samouprave </w:t>
      </w:r>
    </w:p>
    <w:p w14:paraId="30D1731A" w14:textId="77777777" w:rsidR="00752282" w:rsidRPr="001C58C6" w:rsidRDefault="00752282" w:rsidP="00C87B0E">
      <w:pPr>
        <w:rPr>
          <w:rFonts w:ascii="Calibri" w:hAnsi="Calibri" w:cs="Calibri"/>
          <w:color w:val="000000" w:themeColor="text1"/>
        </w:rPr>
      </w:pPr>
    </w:p>
    <w:p w14:paraId="6E398B9A" w14:textId="77777777" w:rsidR="00C87B0E" w:rsidRPr="001C58C6" w:rsidRDefault="00C87B0E" w:rsidP="00E53052">
      <w:pPr>
        <w:pStyle w:val="ListParagraph"/>
        <w:numPr>
          <w:ilvl w:val="0"/>
          <w:numId w:val="47"/>
        </w:numPr>
        <w:rPr>
          <w:rFonts w:ascii="Calibri" w:hAnsi="Calibri" w:cs="Calibri"/>
          <w:b/>
          <w:bCs/>
          <w:color w:val="000000" w:themeColor="text1"/>
        </w:rPr>
      </w:pPr>
      <w:r w:rsidRPr="001C58C6">
        <w:rPr>
          <w:rFonts w:ascii="Calibri" w:hAnsi="Calibri" w:cs="Calibri"/>
          <w:b/>
          <w:bCs/>
          <w:color w:val="000000" w:themeColor="text1"/>
        </w:rPr>
        <w:t>Sprečavanje šumskih požara</w:t>
      </w:r>
    </w:p>
    <w:p w14:paraId="30AD8703"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Šumski požari uslijed sagrijevanja biomase imaju sličan efekat na kvalitet vazduha kao i grijanje domaćinstava, s tim da je ovaj izvor zagađenja sporadičan, privremen i nepredvidiv. Sprečavanja šumskih požara naročito je važno u Centralnom i Južnom regionu Crne Gore gdje izuzetno sušna i vrela ljeta, kao i nepristupačni tereni pogoduju pojavi i nekontrolisanom širenju šumskih požara.  </w:t>
      </w:r>
    </w:p>
    <w:p w14:paraId="0C213F81" w14:textId="77777777" w:rsidR="00752282" w:rsidRPr="001C58C6" w:rsidRDefault="00752282" w:rsidP="00C87B0E">
      <w:pPr>
        <w:rPr>
          <w:rFonts w:ascii="Calibri" w:hAnsi="Calibri" w:cs="Calibri"/>
          <w:color w:val="000000" w:themeColor="text1"/>
        </w:rPr>
      </w:pPr>
    </w:p>
    <w:p w14:paraId="728E014A"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Zbog svog geografskog položaja i sve izraženijeg negativnog uticaja klimatskih promjena, crnogorske šume su posebno ugrožene. Samo tokom jula i avgusta 2017. godine u državnim šumama registrovano je 115 šumskih požara, dok je u privatnim šumama zabilježeno 39 požara. Procijenjena izgorjela drvna masa iznosila je 96.309,13 m³, a evidentirano je da je uništeno 267.500 komada sadnica pošumljenih tokom 2015. i 2016. godine (mladi šumski zasadi). Trenutno najvažnija prijetnja šumama su klimatske promjene sa povećanim rizikom od suše, požara i biotičkih štetočina, a očekuje se da će se prijetnja povećati u budućnosti. Šumski požari su značajno povećani od 1990. godine. U deceniji 90-ih prosječna godišnja površina šuma zahvaćenih požarima iznosila je 888 ha, dok je 00-ih godina porasla na 3.609 ha, a od 2010. do 2018. godine prosječna godišnja površina povećana na 9.370 ha.</w:t>
      </w:r>
    </w:p>
    <w:p w14:paraId="4CD47462" w14:textId="77777777" w:rsidR="00D13168" w:rsidRPr="001C58C6" w:rsidRDefault="00D13168" w:rsidP="00C87B0E">
      <w:pPr>
        <w:rPr>
          <w:rFonts w:ascii="Calibri" w:hAnsi="Calibri" w:cs="Calibri"/>
          <w:bCs/>
          <w:iCs/>
          <w:color w:val="000000" w:themeColor="text1"/>
        </w:rPr>
      </w:pPr>
    </w:p>
    <w:p w14:paraId="0D81C13A" w14:textId="77777777" w:rsidR="00C87B0E" w:rsidRPr="001C58C6" w:rsidRDefault="00C87B0E" w:rsidP="00C87B0E">
      <w:pPr>
        <w:rPr>
          <w:rFonts w:ascii="Calibri" w:hAnsi="Calibri" w:cs="Calibri"/>
          <w:color w:val="000000" w:themeColor="text1"/>
        </w:rPr>
      </w:pPr>
      <w:r w:rsidRPr="001C58C6">
        <w:rPr>
          <w:rFonts w:ascii="Calibri" w:hAnsi="Calibri" w:cs="Calibri"/>
          <w:color w:val="000000" w:themeColor="text1"/>
        </w:rPr>
        <w:t xml:space="preserve">Sprečavanje šumskih požara predlaže se kroz: </w:t>
      </w:r>
    </w:p>
    <w:p w14:paraId="45DE7795" w14:textId="77777777" w:rsidR="00C87B0E" w:rsidRPr="001C58C6" w:rsidRDefault="00C87B0E" w:rsidP="00E53052">
      <w:pPr>
        <w:pStyle w:val="ListParagraph"/>
        <w:numPr>
          <w:ilvl w:val="0"/>
          <w:numId w:val="101"/>
        </w:numPr>
        <w:rPr>
          <w:rFonts w:ascii="Calibri" w:hAnsi="Calibri" w:cs="Calibri"/>
          <w:color w:val="000000" w:themeColor="text1"/>
        </w:rPr>
      </w:pPr>
      <w:r w:rsidRPr="001C58C6">
        <w:rPr>
          <w:rFonts w:ascii="Calibri" w:hAnsi="Calibri" w:cs="Calibri"/>
          <w:color w:val="000000" w:themeColor="text1"/>
        </w:rPr>
        <w:t xml:space="preserve">Implementaciju Strategije za smanjenje rizika od katastrofa za period 2025-2030, koja predviđa izradu Preduzetnog plana za zaštitu i spašavanje od požara za Privredno društvo za gazdovanje šumama, kao i izradu i revidovanje/ ažuriranje planova zaštite i spašavanja za nacionalne parkove Crne Gore.  </w:t>
      </w:r>
    </w:p>
    <w:p w14:paraId="029E5ABC" w14:textId="77777777" w:rsidR="00C87B0E" w:rsidRPr="001C58C6" w:rsidRDefault="00C87B0E" w:rsidP="00E53052">
      <w:pPr>
        <w:pStyle w:val="ListParagraph"/>
        <w:numPr>
          <w:ilvl w:val="0"/>
          <w:numId w:val="101"/>
        </w:numPr>
        <w:rPr>
          <w:rFonts w:ascii="Calibri" w:hAnsi="Calibri" w:cs="Calibri"/>
          <w:color w:val="000000" w:themeColor="text1"/>
        </w:rPr>
      </w:pPr>
      <w:r w:rsidRPr="001C58C6">
        <w:rPr>
          <w:rFonts w:ascii="Calibri" w:hAnsi="Calibri" w:cs="Calibri"/>
          <w:color w:val="000000" w:themeColor="text1"/>
        </w:rPr>
        <w:t>Odgovorna lica za implementaciju: JP Nacionalni parkovi Crne Gore, Privredno društvo za gazdovanje šumama</w:t>
      </w:r>
    </w:p>
    <w:p w14:paraId="100B9C57" w14:textId="77777777" w:rsidR="00C87B0E" w:rsidRPr="001C58C6" w:rsidRDefault="00C87B0E" w:rsidP="00E53052">
      <w:pPr>
        <w:pStyle w:val="ListParagraph"/>
        <w:numPr>
          <w:ilvl w:val="0"/>
          <w:numId w:val="101"/>
        </w:numPr>
        <w:rPr>
          <w:rFonts w:ascii="Calibri" w:hAnsi="Calibri" w:cs="Calibri"/>
          <w:color w:val="000000" w:themeColor="text1"/>
        </w:rPr>
      </w:pPr>
      <w:r w:rsidRPr="001C58C6">
        <w:rPr>
          <w:rFonts w:ascii="Calibri" w:hAnsi="Calibri" w:cs="Calibri"/>
          <w:color w:val="000000" w:themeColor="text1"/>
        </w:rPr>
        <w:t xml:space="preserve">Sprovođenje kampanje o štetnosti paljenja poljoprivrednog otpada </w:t>
      </w:r>
    </w:p>
    <w:p w14:paraId="2879785F" w14:textId="77777777" w:rsidR="00C87B0E" w:rsidRPr="001C58C6" w:rsidRDefault="00C87B0E" w:rsidP="00E53052">
      <w:pPr>
        <w:pStyle w:val="ListParagraph"/>
        <w:numPr>
          <w:ilvl w:val="0"/>
          <w:numId w:val="101"/>
        </w:numPr>
        <w:rPr>
          <w:rFonts w:ascii="Calibri" w:hAnsi="Calibri" w:cs="Calibri"/>
          <w:color w:val="000000" w:themeColor="text1"/>
        </w:rPr>
      </w:pPr>
      <w:r w:rsidRPr="001C58C6">
        <w:rPr>
          <w:rFonts w:ascii="Calibri" w:hAnsi="Calibri" w:cs="Calibri"/>
          <w:color w:val="000000" w:themeColor="text1"/>
        </w:rPr>
        <w:t>Uvođenje strožije kaznene politike za paljenje otpada na otvorenom</w:t>
      </w:r>
    </w:p>
    <w:p w14:paraId="570B98EC" w14:textId="77777777" w:rsidR="00C87B0E" w:rsidRPr="001C58C6" w:rsidRDefault="00C87B0E" w:rsidP="00E53052">
      <w:pPr>
        <w:pStyle w:val="ListParagraph"/>
        <w:numPr>
          <w:ilvl w:val="0"/>
          <w:numId w:val="101"/>
        </w:numPr>
        <w:rPr>
          <w:rFonts w:ascii="Calibri" w:hAnsi="Calibri" w:cs="Calibri"/>
          <w:color w:val="000000" w:themeColor="text1"/>
        </w:rPr>
      </w:pPr>
      <w:r w:rsidRPr="001C58C6">
        <w:rPr>
          <w:rFonts w:ascii="Calibri" w:hAnsi="Calibri" w:cs="Calibri"/>
          <w:color w:val="000000" w:themeColor="text1"/>
        </w:rPr>
        <w:t xml:space="preserve">Odgovorna lica za implementaciju: Ministarstvo ekologije, održivog razvoja i razvoja sjevera uz podršku IPA projekta. </w:t>
      </w:r>
    </w:p>
    <w:p w14:paraId="72F6695A" w14:textId="77777777" w:rsidR="00C87B0E" w:rsidRPr="001C58C6" w:rsidRDefault="00C87B0E" w:rsidP="00E53052">
      <w:pPr>
        <w:pStyle w:val="ListParagraph"/>
        <w:numPr>
          <w:ilvl w:val="0"/>
          <w:numId w:val="101"/>
        </w:numPr>
        <w:rPr>
          <w:rFonts w:ascii="Calibri" w:hAnsi="Calibri" w:cs="Calibri"/>
          <w:color w:val="000000" w:themeColor="text1"/>
        </w:rPr>
      </w:pPr>
      <w:r w:rsidRPr="001C58C6">
        <w:rPr>
          <w:rFonts w:ascii="Calibri" w:hAnsi="Calibri" w:cs="Calibri"/>
          <w:color w:val="000000" w:themeColor="text1"/>
        </w:rPr>
        <w:t>Na lokalnom nivou treba razmotriti osnivanje dobrovoljnih vatrogasnih društava i obučiti dobrovoljce da u situacijama kada je to potrebno pomognu stručnim službama.</w:t>
      </w:r>
    </w:p>
    <w:p w14:paraId="723496CE" w14:textId="77777777" w:rsidR="00C87B0E" w:rsidRPr="001C58C6" w:rsidRDefault="00C87B0E" w:rsidP="00E53052">
      <w:pPr>
        <w:numPr>
          <w:ilvl w:val="0"/>
          <w:numId w:val="101"/>
        </w:numPr>
        <w:rPr>
          <w:rFonts w:ascii="Calibri" w:hAnsi="Calibri" w:cs="Calibri"/>
          <w:color w:val="000000" w:themeColor="text1"/>
        </w:rPr>
      </w:pPr>
      <w:r w:rsidRPr="001C58C6">
        <w:rPr>
          <w:rFonts w:ascii="Calibri" w:hAnsi="Calibri" w:cs="Calibri"/>
          <w:color w:val="000000" w:themeColor="text1"/>
        </w:rPr>
        <w:t xml:space="preserve">Praćenje prekograničnog prenosa zagađivanja i doprinosa zagađenju iz prirodnih izvora </w:t>
      </w:r>
    </w:p>
    <w:p w14:paraId="668A5971" w14:textId="77777777" w:rsidR="00C87B0E" w:rsidRPr="001C58C6" w:rsidRDefault="00C87B0E" w:rsidP="00E53052">
      <w:pPr>
        <w:pStyle w:val="ListParagraph"/>
        <w:numPr>
          <w:ilvl w:val="0"/>
          <w:numId w:val="101"/>
        </w:numPr>
        <w:rPr>
          <w:rFonts w:ascii="Calibri" w:hAnsi="Calibri" w:cs="Calibri"/>
          <w:color w:val="000000" w:themeColor="text1"/>
        </w:rPr>
      </w:pPr>
      <w:r w:rsidRPr="001C58C6">
        <w:rPr>
          <w:rFonts w:ascii="Calibri" w:hAnsi="Calibri" w:cs="Calibri"/>
          <w:color w:val="000000" w:themeColor="text1"/>
        </w:rPr>
        <w:t>Hidrometeorološki zavod</w:t>
      </w:r>
    </w:p>
    <w:p w14:paraId="64962096" w14:textId="77777777" w:rsidR="00A52461" w:rsidRPr="001C58C6" w:rsidRDefault="00C87B0E" w:rsidP="00E53052">
      <w:pPr>
        <w:pStyle w:val="ListParagraph"/>
        <w:numPr>
          <w:ilvl w:val="0"/>
          <w:numId w:val="101"/>
        </w:numPr>
        <w:rPr>
          <w:rFonts w:ascii="Calibri" w:hAnsi="Calibri" w:cs="Calibri"/>
          <w:color w:val="000000" w:themeColor="text1"/>
        </w:rPr>
      </w:pPr>
      <w:r w:rsidRPr="001C58C6">
        <w:rPr>
          <w:rFonts w:ascii="Calibri" w:hAnsi="Calibri" w:cs="Calibri"/>
          <w:color w:val="000000" w:themeColor="text1"/>
        </w:rPr>
        <w:t xml:space="preserve">Saharski pijesak, požari. Etc. </w:t>
      </w:r>
    </w:p>
    <w:p w14:paraId="6E6D00D7" w14:textId="77777777" w:rsidR="00C87B0E" w:rsidRPr="001C58C6" w:rsidRDefault="00A52461" w:rsidP="00A52461">
      <w:pPr>
        <w:jc w:val="left"/>
        <w:rPr>
          <w:rFonts w:ascii="Calibri" w:hAnsi="Calibri" w:cs="Calibri"/>
          <w:color w:val="000000" w:themeColor="text1"/>
        </w:rPr>
      </w:pPr>
      <w:r w:rsidRPr="001C58C6">
        <w:rPr>
          <w:rFonts w:ascii="Calibri" w:hAnsi="Calibri" w:cs="Calibri"/>
          <w:color w:val="000000" w:themeColor="text1"/>
        </w:rPr>
        <w:br w:type="page"/>
      </w:r>
    </w:p>
    <w:p w14:paraId="66C63CF4" w14:textId="77777777" w:rsidR="004072BD" w:rsidRPr="001C58C6" w:rsidRDefault="00C87B0E" w:rsidP="00A52461">
      <w:pPr>
        <w:pStyle w:val="Heading1"/>
        <w:rPr>
          <w:rStyle w:val="Heading1Char"/>
          <w:rFonts w:ascii="Calibri" w:hAnsi="Calibri" w:cs="Calibri"/>
          <w:b/>
          <w:caps/>
          <w:color w:val="000000" w:themeColor="text1"/>
        </w:rPr>
      </w:pPr>
      <w:bookmarkStart w:id="232" w:name="_Toc220070459"/>
      <w:bookmarkStart w:id="233" w:name="_Toc233711778"/>
      <w:r w:rsidRPr="001C58C6">
        <w:rPr>
          <w:rStyle w:val="Heading1Char"/>
          <w:rFonts w:ascii="Calibri" w:hAnsi="Calibri" w:cs="Calibri"/>
          <w:b/>
          <w:caps/>
          <w:color w:val="000000" w:themeColor="text1"/>
        </w:rPr>
        <w:lastRenderedPageBreak/>
        <w:t>8</w:t>
      </w:r>
      <w:r w:rsidR="00A86D79" w:rsidRPr="001C58C6">
        <w:rPr>
          <w:rStyle w:val="Heading1Char"/>
          <w:rFonts w:ascii="Calibri" w:hAnsi="Calibri" w:cs="Calibri"/>
          <w:b/>
          <w:caps/>
          <w:color w:val="000000" w:themeColor="text1"/>
        </w:rPr>
        <w:t xml:space="preserve">. </w:t>
      </w:r>
      <w:r w:rsidR="00E824FA" w:rsidRPr="001C58C6">
        <w:rPr>
          <w:rStyle w:val="Heading1Char"/>
          <w:rFonts w:ascii="Calibri" w:hAnsi="Calibri" w:cs="Calibri"/>
          <w:b/>
          <w:caps/>
          <w:color w:val="000000" w:themeColor="text1"/>
        </w:rPr>
        <w:t>PROGRAM MJERA ZA KONTROLU ZAGAĐIVANJA VAZDUHA</w:t>
      </w:r>
      <w:bookmarkEnd w:id="232"/>
      <w:bookmarkEnd w:id="233"/>
    </w:p>
    <w:p w14:paraId="5E1D386D" w14:textId="77777777" w:rsidR="00D14F76" w:rsidRPr="001C58C6" w:rsidRDefault="00D14F76">
      <w:pPr>
        <w:shd w:val="clear" w:color="auto" w:fill="FFFFFF"/>
        <w:spacing w:before="240" w:after="120" w:line="312" w:lineRule="atLeast"/>
        <w:rPr>
          <w:rFonts w:ascii="Calibri" w:eastAsia="Times New Roman" w:hAnsi="Calibri" w:cs="Calibri"/>
          <w:b/>
          <w:bCs/>
          <w:color w:val="000000" w:themeColor="text1"/>
          <w:szCs w:val="24"/>
        </w:rPr>
      </w:pPr>
      <w:r w:rsidRPr="001C58C6">
        <w:rPr>
          <w:rFonts w:ascii="Calibri" w:eastAsia="Times New Roman" w:hAnsi="Calibri" w:cs="Calibri"/>
          <w:b/>
          <w:bCs/>
          <w:color w:val="000000" w:themeColor="text1"/>
          <w:szCs w:val="24"/>
        </w:rPr>
        <w:t>Zajednički format nacionalnog programa kontrole zagađenja vazduha u skladu sa članom 6. Direktive (EU) 2016/2284</w:t>
      </w:r>
    </w:p>
    <w:p w14:paraId="220A9AFF" w14:textId="77777777" w:rsidR="00D62710" w:rsidRPr="0096738E" w:rsidRDefault="00A31A74">
      <w:pPr>
        <w:rPr>
          <w:rFonts w:ascii="Calibri" w:hAnsi="Calibri" w:cs="Calibri"/>
          <w:b/>
          <w:color w:val="000000" w:themeColor="text1"/>
        </w:rPr>
      </w:pPr>
      <w:r w:rsidRPr="0096738E">
        <w:rPr>
          <w:rFonts w:ascii="Calibri" w:hAnsi="Calibri" w:cs="Calibri"/>
          <w:b/>
          <w:color w:val="000000" w:themeColor="text1"/>
        </w:rPr>
        <w:t>Napomena o vezi Programa mjera sa ciljevima Strategije</w:t>
      </w:r>
    </w:p>
    <w:p w14:paraId="0BE8E39C" w14:textId="77777777" w:rsidR="007363B7" w:rsidRPr="0096738E" w:rsidRDefault="00A31A74">
      <w:pPr>
        <w:rPr>
          <w:rFonts w:ascii="Calibri" w:hAnsi="Calibri" w:cs="Calibri"/>
          <w:color w:val="000000" w:themeColor="text1"/>
        </w:rPr>
      </w:pPr>
      <w:r w:rsidRPr="0096738E">
        <w:rPr>
          <w:rFonts w:ascii="Calibri" w:hAnsi="Calibri" w:cs="Calibri"/>
          <w:color w:val="000000" w:themeColor="text1"/>
        </w:rPr>
        <w:t>Program mjera za kontrolu zagađivanja vazduha predstavlja instrument sprovođenja Strategije. Mjere označene kao M1-M12 nijesu operativni ciljevi, već aktivnosti/paketi mjera kojima se doprinosi ostvarenju strateških i operativnih ciljeva. Operativni ciljevi Strategije označeni su kao 1.A, 1.B, 1.C, 2.A, 2.B i 2.C i u tabelama Programa mjera navode se radi jasnog praćenja veze između ciljeva, mjera, nadležnih organa, rokova, izvora finansiranja i indikatora učinka.</w:t>
      </w:r>
    </w:p>
    <w:p w14:paraId="00708947" w14:textId="77777777" w:rsidR="00D14F76" w:rsidRPr="001C58C6" w:rsidRDefault="00D14F76">
      <w:pPr>
        <w:shd w:val="clear" w:color="auto" w:fill="FFFFFF"/>
        <w:spacing w:before="240" w:after="120" w:line="312" w:lineRule="atLeast"/>
        <w:rPr>
          <w:rFonts w:ascii="Calibri" w:eastAsia="Times New Roman" w:hAnsi="Calibri" w:cs="Calibri"/>
          <w:b/>
          <w:bCs/>
          <w:color w:val="000000" w:themeColor="text1"/>
          <w:szCs w:val="24"/>
        </w:rPr>
      </w:pPr>
      <w:r w:rsidRPr="001C58C6">
        <w:rPr>
          <w:rFonts w:ascii="Calibri" w:eastAsia="Times New Roman" w:hAnsi="Calibri" w:cs="Calibri"/>
          <w:b/>
          <w:bCs/>
          <w:color w:val="000000" w:themeColor="text1"/>
          <w:szCs w:val="24"/>
        </w:rPr>
        <w:t>1.   OPIS POLJA</w:t>
      </w:r>
    </w:p>
    <w:p w14:paraId="784F25B5" w14:textId="77777777" w:rsidR="00D14F76" w:rsidRPr="001C58C6" w:rsidRDefault="00D14F76">
      <w:pPr>
        <w:shd w:val="clear" w:color="auto" w:fill="FFFFFF"/>
        <w:spacing w:before="120" w:line="312" w:lineRule="atLeast"/>
        <w:rPr>
          <w:rFonts w:ascii="Calibri" w:eastAsia="Times New Roman" w:hAnsi="Calibri" w:cs="Calibri"/>
          <w:i/>
          <w:iCs/>
          <w:color w:val="000000" w:themeColor="text1"/>
          <w:szCs w:val="24"/>
          <w:u w:val="single"/>
        </w:rPr>
      </w:pPr>
      <w:r w:rsidRPr="001C58C6">
        <w:rPr>
          <w:rFonts w:ascii="Calibri" w:eastAsia="Times New Roman" w:hAnsi="Calibri" w:cs="Calibri"/>
          <w:i/>
          <w:iCs/>
          <w:color w:val="000000" w:themeColor="text1"/>
          <w:szCs w:val="24"/>
          <w:u w:val="single"/>
        </w:rPr>
        <w:t>Sva polja u ovom zajedničkom formatu označena slovom (O) su obavezna, a polja označena slovom (N) su neobavezna.</w:t>
      </w:r>
    </w:p>
    <w:p w14:paraId="0F668473" w14:textId="77777777" w:rsidR="00D14F76" w:rsidRPr="001C58C6" w:rsidRDefault="00D14F76">
      <w:pPr>
        <w:shd w:val="clear" w:color="auto" w:fill="FFFFFF"/>
        <w:spacing w:before="240" w:after="120" w:line="312" w:lineRule="atLeast"/>
        <w:rPr>
          <w:rFonts w:ascii="Calibri" w:eastAsia="Times New Roman" w:hAnsi="Calibri" w:cs="Calibri"/>
          <w:b/>
          <w:bCs/>
          <w:color w:val="000000" w:themeColor="text1"/>
          <w:szCs w:val="24"/>
        </w:rPr>
      </w:pPr>
      <w:r w:rsidRPr="001C58C6">
        <w:rPr>
          <w:rFonts w:ascii="Calibri" w:eastAsia="Times New Roman" w:hAnsi="Calibri" w:cs="Calibri"/>
          <w:b/>
          <w:bCs/>
          <w:color w:val="000000" w:themeColor="text1"/>
          <w:szCs w:val="24"/>
        </w:rPr>
        <w:t>2.   ZAJEDNIČKI FORMAT</w:t>
      </w:r>
    </w:p>
    <w:p w14:paraId="6AF3D9CF" w14:textId="77777777" w:rsidR="00D14F76" w:rsidRPr="001C58C6" w:rsidRDefault="00D14F76">
      <w:pPr>
        <w:shd w:val="clear" w:color="auto" w:fill="FFFFFF"/>
        <w:spacing w:before="240" w:after="120" w:line="312" w:lineRule="atLeast"/>
        <w:rPr>
          <w:rFonts w:ascii="Calibri" w:eastAsia="Times New Roman" w:hAnsi="Calibri" w:cs="Calibri"/>
          <w:b/>
          <w:bCs/>
          <w:color w:val="000000" w:themeColor="text1"/>
          <w:szCs w:val="24"/>
        </w:rPr>
      </w:pPr>
      <w:r w:rsidRPr="001C58C6">
        <w:rPr>
          <w:rFonts w:ascii="Calibri" w:eastAsia="Times New Roman" w:hAnsi="Calibri" w:cs="Calibri"/>
          <w:b/>
          <w:bCs/>
          <w:color w:val="000000" w:themeColor="text1"/>
          <w:szCs w:val="24"/>
        </w:rPr>
        <w:t>2.1.   Naslov programa, podaci o kontaktu i internet stranicama</w:t>
      </w:r>
    </w:p>
    <w:p w14:paraId="27F7D695" w14:textId="77777777" w:rsidR="00D14F76" w:rsidRPr="001C58C6" w:rsidRDefault="00D14F76">
      <w:pPr>
        <w:shd w:val="clear" w:color="auto" w:fill="FFFFFF"/>
        <w:spacing w:before="240" w:after="120" w:line="312" w:lineRule="atLeast"/>
        <w:rPr>
          <w:rFonts w:ascii="Calibri" w:eastAsia="Times New Roman" w:hAnsi="Calibri" w:cs="Calibri"/>
          <w:b/>
          <w:bCs/>
          <w:color w:val="000000" w:themeColor="text1"/>
          <w:szCs w:val="24"/>
        </w:rPr>
      </w:pPr>
      <w:r w:rsidRPr="001C58C6">
        <w:rPr>
          <w:rFonts w:ascii="Calibri" w:eastAsia="Times New Roman" w:hAnsi="Calibri" w:cs="Calibri"/>
          <w:b/>
          <w:bCs/>
          <w:color w:val="000000" w:themeColor="text1"/>
          <w:szCs w:val="24"/>
        </w:rPr>
        <w:t>2.1.1.   </w:t>
      </w:r>
      <w:r w:rsidRPr="001C58C6">
        <w:rPr>
          <w:rFonts w:ascii="Calibri" w:eastAsia="Times New Roman" w:hAnsi="Calibri" w:cs="Calibri"/>
          <w:b/>
          <w:bCs/>
          <w:i/>
          <w:iCs/>
          <w:color w:val="000000" w:themeColor="text1"/>
          <w:szCs w:val="24"/>
        </w:rPr>
        <w:t>Naslov programa, podaci za kontakt i internet stranice (O)</w:t>
      </w:r>
    </w:p>
    <w:tbl>
      <w:tblPr>
        <w:tblStyle w:val="GridTable1Light-Accent1"/>
        <w:tblW w:w="5000" w:type="pct"/>
        <w:tblLook w:val="04A0" w:firstRow="1" w:lastRow="0" w:firstColumn="1" w:lastColumn="0" w:noHBand="0" w:noVBand="1"/>
      </w:tblPr>
      <w:tblGrid>
        <w:gridCol w:w="2439"/>
        <w:gridCol w:w="6577"/>
      </w:tblGrid>
      <w:tr w:rsidR="001C58C6" w:rsidRPr="001C58C6" w14:paraId="6F55FD45" w14:textId="77777777" w:rsidTr="00E404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EFD9AF" w14:textId="77777777" w:rsidR="00D14F76" w:rsidRPr="001C58C6" w:rsidRDefault="00D14F76">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Naslov programa</w:t>
            </w:r>
          </w:p>
        </w:tc>
        <w:tc>
          <w:tcPr>
            <w:tcW w:w="0" w:type="auto"/>
          </w:tcPr>
          <w:p w14:paraId="317EFA53"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Nacionalni program kontrole zagađenja vazduha Crne Gore za period 2026–2029. godine</w:t>
            </w:r>
          </w:p>
        </w:tc>
      </w:tr>
      <w:tr w:rsidR="001C58C6" w:rsidRPr="001C58C6" w14:paraId="7ADBC46C" w14:textId="77777777" w:rsidTr="00E40401">
        <w:tc>
          <w:tcPr>
            <w:cnfStyle w:val="001000000000" w:firstRow="0" w:lastRow="0" w:firstColumn="1" w:lastColumn="0" w:oddVBand="0" w:evenVBand="0" w:oddHBand="0" w:evenHBand="0" w:firstRowFirstColumn="0" w:firstRowLastColumn="0" w:lastRowFirstColumn="0" w:lastRowLastColumn="0"/>
            <w:tcW w:w="0" w:type="auto"/>
          </w:tcPr>
          <w:p w14:paraId="50E225F8" w14:textId="77777777" w:rsidR="00D14F76" w:rsidRPr="001C58C6" w:rsidRDefault="00D14F76">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Datum</w:t>
            </w:r>
          </w:p>
        </w:tc>
        <w:tc>
          <w:tcPr>
            <w:tcW w:w="0" w:type="auto"/>
          </w:tcPr>
          <w:p w14:paraId="0ED77623"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Januar 2026.</w:t>
            </w:r>
          </w:p>
        </w:tc>
      </w:tr>
      <w:tr w:rsidR="001C58C6" w:rsidRPr="001C58C6" w14:paraId="55B74498" w14:textId="77777777" w:rsidTr="00E40401">
        <w:tc>
          <w:tcPr>
            <w:cnfStyle w:val="001000000000" w:firstRow="0" w:lastRow="0" w:firstColumn="1" w:lastColumn="0" w:oddVBand="0" w:evenVBand="0" w:oddHBand="0" w:evenHBand="0" w:firstRowFirstColumn="0" w:firstRowLastColumn="0" w:lastRowFirstColumn="0" w:lastRowLastColumn="0"/>
            <w:tcW w:w="0" w:type="auto"/>
          </w:tcPr>
          <w:p w14:paraId="5C0B6DC7" w14:textId="77777777" w:rsidR="00D14F76" w:rsidRPr="001C58C6" w:rsidRDefault="00D14F76">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Država</w:t>
            </w:r>
          </w:p>
        </w:tc>
        <w:tc>
          <w:tcPr>
            <w:tcW w:w="0" w:type="auto"/>
          </w:tcPr>
          <w:p w14:paraId="3D7F3F96"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Crna Gora</w:t>
            </w:r>
          </w:p>
        </w:tc>
      </w:tr>
      <w:tr w:rsidR="001C58C6" w:rsidRPr="001C58C6" w14:paraId="04CE2C4E" w14:textId="77777777" w:rsidTr="00E40401">
        <w:tc>
          <w:tcPr>
            <w:cnfStyle w:val="001000000000" w:firstRow="0" w:lastRow="0" w:firstColumn="1" w:lastColumn="0" w:oddVBand="0" w:evenVBand="0" w:oddHBand="0" w:evenHBand="0" w:firstRowFirstColumn="0" w:firstRowLastColumn="0" w:lastRowFirstColumn="0" w:lastRowLastColumn="0"/>
            <w:tcW w:w="0" w:type="auto"/>
          </w:tcPr>
          <w:p w14:paraId="72CF52A8" w14:textId="77777777" w:rsidR="00D14F76" w:rsidRPr="001C58C6" w:rsidRDefault="00D14F76">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Nadležno tijelo za izradu programa</w:t>
            </w:r>
          </w:p>
        </w:tc>
        <w:tc>
          <w:tcPr>
            <w:tcW w:w="0" w:type="auto"/>
          </w:tcPr>
          <w:p w14:paraId="16A2F643"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MERS</w:t>
            </w:r>
          </w:p>
        </w:tc>
      </w:tr>
      <w:tr w:rsidR="001C58C6" w:rsidRPr="001C58C6" w14:paraId="02C6FB5F" w14:textId="77777777" w:rsidTr="00E40401">
        <w:tc>
          <w:tcPr>
            <w:cnfStyle w:val="001000000000" w:firstRow="0" w:lastRow="0" w:firstColumn="1" w:lastColumn="0" w:oddVBand="0" w:evenVBand="0" w:oddHBand="0" w:evenHBand="0" w:firstRowFirstColumn="0" w:firstRowLastColumn="0" w:lastRowFirstColumn="0" w:lastRowLastColumn="0"/>
            <w:tcW w:w="0" w:type="auto"/>
          </w:tcPr>
          <w:p w14:paraId="74865625" w14:textId="77777777" w:rsidR="00D14F76" w:rsidRPr="001C58C6" w:rsidRDefault="00D14F76">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Kontakt telefon</w:t>
            </w:r>
          </w:p>
        </w:tc>
        <w:tc>
          <w:tcPr>
            <w:tcW w:w="0" w:type="auto"/>
          </w:tcPr>
          <w:p w14:paraId="60A3B0EA"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+382 020418138  (Direkcija za unapredjenje zivotnom sredinom)</w:t>
            </w:r>
          </w:p>
        </w:tc>
      </w:tr>
      <w:tr w:rsidR="001C58C6" w:rsidRPr="001C58C6" w14:paraId="634418D7" w14:textId="77777777" w:rsidTr="00E40401">
        <w:tc>
          <w:tcPr>
            <w:cnfStyle w:val="001000000000" w:firstRow="0" w:lastRow="0" w:firstColumn="1" w:lastColumn="0" w:oddVBand="0" w:evenVBand="0" w:oddHBand="0" w:evenHBand="0" w:firstRowFirstColumn="0" w:firstRowLastColumn="0" w:lastRowFirstColumn="0" w:lastRowLastColumn="0"/>
            <w:tcW w:w="0" w:type="auto"/>
          </w:tcPr>
          <w:p w14:paraId="26A61061" w14:textId="77777777" w:rsidR="00D14F76" w:rsidRPr="001C58C6" w:rsidRDefault="00D14F76">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E-mail</w:t>
            </w:r>
          </w:p>
        </w:tc>
        <w:tc>
          <w:tcPr>
            <w:tcW w:w="0" w:type="auto"/>
          </w:tcPr>
          <w:p w14:paraId="4BCF1ACD"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XX (službena adresa nadležne organizacione jedinice za kvalitet vazduha)</w:t>
            </w:r>
          </w:p>
        </w:tc>
      </w:tr>
      <w:tr w:rsidR="001C58C6" w:rsidRPr="001C58C6" w14:paraId="3F7DA8B9" w14:textId="77777777" w:rsidTr="00E40401">
        <w:tc>
          <w:tcPr>
            <w:cnfStyle w:val="001000000000" w:firstRow="0" w:lastRow="0" w:firstColumn="1" w:lastColumn="0" w:oddVBand="0" w:evenVBand="0" w:oddHBand="0" w:evenHBand="0" w:firstRowFirstColumn="0" w:firstRowLastColumn="0" w:lastRowFirstColumn="0" w:lastRowLastColumn="0"/>
            <w:tcW w:w="0" w:type="auto"/>
          </w:tcPr>
          <w:p w14:paraId="4679DF4D" w14:textId="77777777" w:rsidR="00D14F76" w:rsidRPr="001C58C6" w:rsidRDefault="00D14F76">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Internet stranica na kojoj je program objavljen</w:t>
            </w:r>
          </w:p>
        </w:tc>
        <w:tc>
          <w:tcPr>
            <w:tcW w:w="0" w:type="auto"/>
          </w:tcPr>
          <w:p w14:paraId="4C7855BA" w14:textId="77777777" w:rsidR="00D14F76" w:rsidRPr="001C58C6" w:rsidRDefault="00891EB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hyperlink r:id="rId39" w:tgtFrame="_new" w:history="1">
              <w:r w:rsidR="00D14F76" w:rsidRPr="001C58C6">
                <w:rPr>
                  <w:rFonts w:ascii="Calibri" w:eastAsia="Times New Roman" w:hAnsi="Calibri" w:cs="Calibri"/>
                  <w:color w:val="000000" w:themeColor="text1"/>
                  <w:sz w:val="20"/>
                  <w:szCs w:val="20"/>
                  <w:u w:val="single"/>
                </w:rPr>
                <w:t>https://www.gov.me</w:t>
              </w:r>
            </w:hyperlink>
            <w:r w:rsidR="00D14F76" w:rsidRPr="001C58C6">
              <w:rPr>
                <w:rFonts w:ascii="Calibri" w:eastAsia="Times New Roman" w:hAnsi="Calibri" w:cs="Calibri"/>
                <w:color w:val="000000" w:themeColor="text1"/>
                <w:sz w:val="20"/>
                <w:szCs w:val="20"/>
                <w:u w:val="single"/>
              </w:rPr>
              <w:t xml:space="preserve"> </w:t>
            </w:r>
            <w:r w:rsidR="00D14F76" w:rsidRPr="001C58C6">
              <w:rPr>
                <w:rFonts w:ascii="Calibri" w:eastAsia="Times New Roman" w:hAnsi="Calibri" w:cs="Calibri"/>
                <w:color w:val="000000" w:themeColor="text1"/>
                <w:sz w:val="20"/>
                <w:szCs w:val="20"/>
              </w:rPr>
              <w:t xml:space="preserve"> (rubrika Dokumenta – Strategije, planovi i programi)</w:t>
            </w:r>
          </w:p>
        </w:tc>
      </w:tr>
      <w:tr w:rsidR="001C58C6" w:rsidRPr="001C58C6" w14:paraId="5ABE1E61" w14:textId="77777777" w:rsidTr="00E40401">
        <w:tc>
          <w:tcPr>
            <w:cnfStyle w:val="001000000000" w:firstRow="0" w:lastRow="0" w:firstColumn="1" w:lastColumn="0" w:oddVBand="0" w:evenVBand="0" w:oddHBand="0" w:evenHBand="0" w:firstRowFirstColumn="0" w:firstRowLastColumn="0" w:lastRowFirstColumn="0" w:lastRowLastColumn="0"/>
            <w:tcW w:w="0" w:type="auto"/>
          </w:tcPr>
          <w:p w14:paraId="52BE871D" w14:textId="77777777" w:rsidR="00D14F76" w:rsidRPr="001C58C6" w:rsidRDefault="00D14F76">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Internet stranice javne rasprave</w:t>
            </w:r>
          </w:p>
        </w:tc>
        <w:tc>
          <w:tcPr>
            <w:tcW w:w="0" w:type="auto"/>
          </w:tcPr>
          <w:p w14:paraId="72524F6E"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 xml:space="preserve">Portal javnih rasprava Vlade Crne Gore: </w:t>
            </w:r>
            <w:hyperlink r:id="rId40" w:history="1">
              <w:r w:rsidRPr="001C58C6">
                <w:rPr>
                  <w:rStyle w:val="Hyperlink"/>
                  <w:rFonts w:ascii="Calibri" w:eastAsia="Times New Roman" w:hAnsi="Calibri" w:cs="Calibri"/>
                  <w:color w:val="000000" w:themeColor="text1"/>
                  <w:sz w:val="20"/>
                  <w:szCs w:val="20"/>
                </w:rPr>
                <w:t>https://www.gov.me/javne-rasprave</w:t>
              </w:r>
            </w:hyperlink>
            <w:r w:rsidRPr="001C58C6">
              <w:rPr>
                <w:rFonts w:ascii="Calibri" w:eastAsia="Times New Roman" w:hAnsi="Calibri" w:cs="Calibri"/>
                <w:color w:val="000000" w:themeColor="text1"/>
                <w:sz w:val="20"/>
                <w:szCs w:val="20"/>
              </w:rPr>
              <w:t xml:space="preserve"> ; Internet stranica ministarstva: </w:t>
            </w:r>
            <w:hyperlink r:id="rId41" w:history="1">
              <w:r w:rsidRPr="001C58C6">
                <w:rPr>
                  <w:rStyle w:val="Hyperlink"/>
                  <w:rFonts w:ascii="Calibri" w:eastAsia="Times New Roman" w:hAnsi="Calibri" w:cs="Calibri"/>
                  <w:color w:val="000000" w:themeColor="text1"/>
                  <w:sz w:val="20"/>
                  <w:szCs w:val="20"/>
                </w:rPr>
                <w:t>https://www.gov.me/mers</w:t>
              </w:r>
            </w:hyperlink>
            <w:r w:rsidRPr="001C58C6">
              <w:rPr>
                <w:rFonts w:ascii="Calibri" w:eastAsia="Times New Roman" w:hAnsi="Calibri" w:cs="Calibri"/>
                <w:color w:val="000000" w:themeColor="text1"/>
                <w:sz w:val="20"/>
                <w:szCs w:val="20"/>
              </w:rPr>
              <w:t xml:space="preserve"> </w:t>
            </w:r>
          </w:p>
        </w:tc>
      </w:tr>
    </w:tbl>
    <w:p w14:paraId="4AA04CF9" w14:textId="77777777" w:rsidR="00D14F76" w:rsidRPr="001C58C6" w:rsidRDefault="00D14F76">
      <w:pPr>
        <w:shd w:val="clear" w:color="auto" w:fill="FFFFFF"/>
        <w:spacing w:before="240" w:after="120" w:line="312" w:lineRule="atLeast"/>
        <w:rPr>
          <w:rFonts w:ascii="Calibri" w:eastAsia="Times New Roman" w:hAnsi="Calibri" w:cs="Calibri"/>
          <w:b/>
          <w:bCs/>
          <w:color w:val="000000" w:themeColor="text1"/>
          <w:szCs w:val="24"/>
        </w:rPr>
      </w:pPr>
      <w:r w:rsidRPr="001C58C6">
        <w:rPr>
          <w:rFonts w:ascii="Calibri" w:eastAsia="Times New Roman" w:hAnsi="Calibri" w:cs="Calibri"/>
          <w:b/>
          <w:bCs/>
          <w:color w:val="000000" w:themeColor="text1"/>
          <w:szCs w:val="24"/>
        </w:rPr>
        <w:t>2.2.   Rezime (N)</w:t>
      </w:r>
    </w:p>
    <w:p w14:paraId="02B5CF37" w14:textId="77777777" w:rsidR="00D14F76" w:rsidRPr="001C58C6" w:rsidRDefault="00D14F76">
      <w:pPr>
        <w:shd w:val="clear" w:color="auto" w:fill="FFFFFF"/>
        <w:spacing w:before="120" w:line="312" w:lineRule="atLeast"/>
        <w:rPr>
          <w:rFonts w:ascii="Calibri" w:eastAsia="Times New Roman" w:hAnsi="Calibri" w:cs="Calibri"/>
          <w:color w:val="000000" w:themeColor="text1"/>
          <w:szCs w:val="24"/>
        </w:rPr>
      </w:pPr>
      <w:r w:rsidRPr="001C58C6">
        <w:rPr>
          <w:rFonts w:ascii="Calibri" w:eastAsia="Times New Roman" w:hAnsi="Calibri" w:cs="Calibri"/>
          <w:i/>
          <w:iCs/>
          <w:color w:val="000000" w:themeColor="text1"/>
          <w:szCs w:val="24"/>
        </w:rPr>
        <w:t>Rezime može biti i zaseban dokument (koji po mogućnosti nema više od 10 stranica). U njemu trebaju kratko opisati poglavlja od 2.3. do 2.8. Ako je moguće, koristiti se grafičkim prikazima za ilustrovanje rezimea.</w:t>
      </w:r>
    </w:p>
    <w:p w14:paraId="13DB33E5" w14:textId="77777777" w:rsidR="00D14F76" w:rsidRPr="001C58C6" w:rsidRDefault="00D14F76">
      <w:pPr>
        <w:shd w:val="clear" w:color="auto" w:fill="FFFFFF"/>
        <w:spacing w:before="240" w:after="120" w:line="312" w:lineRule="atLeast"/>
        <w:rPr>
          <w:rFonts w:ascii="Calibri" w:eastAsia="Times New Roman" w:hAnsi="Calibri" w:cs="Calibri"/>
          <w:b/>
          <w:bCs/>
          <w:color w:val="000000" w:themeColor="text1"/>
          <w:sz w:val="20"/>
          <w:szCs w:val="20"/>
        </w:rPr>
      </w:pPr>
      <w:r w:rsidRPr="001C58C6">
        <w:rPr>
          <w:rFonts w:ascii="Calibri" w:eastAsia="Times New Roman" w:hAnsi="Calibri" w:cs="Calibri"/>
          <w:b/>
          <w:bCs/>
          <w:color w:val="000000" w:themeColor="text1"/>
          <w:sz w:val="20"/>
          <w:szCs w:val="20"/>
        </w:rPr>
        <w:t>2.2.1.   </w:t>
      </w:r>
      <w:r w:rsidRPr="001C58C6">
        <w:rPr>
          <w:rFonts w:ascii="Calibri" w:eastAsia="Times New Roman" w:hAnsi="Calibri" w:cs="Calibri"/>
          <w:b/>
          <w:bCs/>
          <w:i/>
          <w:iCs/>
          <w:color w:val="000000" w:themeColor="text1"/>
          <w:sz w:val="20"/>
          <w:szCs w:val="20"/>
        </w:rPr>
        <w:t>Nacionalni okvir politika kvaliteta vazduha i zagađenja vazduha</w:t>
      </w:r>
    </w:p>
    <w:tbl>
      <w:tblPr>
        <w:tblStyle w:val="GridTable1Light-Accent1"/>
        <w:tblW w:w="5000" w:type="pct"/>
        <w:tblLook w:val="04A0" w:firstRow="1" w:lastRow="0" w:firstColumn="1" w:lastColumn="0" w:noHBand="0" w:noVBand="1"/>
      </w:tblPr>
      <w:tblGrid>
        <w:gridCol w:w="2063"/>
        <w:gridCol w:w="6953"/>
      </w:tblGrid>
      <w:tr w:rsidR="00D14F76" w:rsidRPr="001C58C6" w14:paraId="536D475E" w14:textId="77777777" w:rsidTr="00E404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2" w:type="pct"/>
          </w:tcPr>
          <w:p w14:paraId="5B629389" w14:textId="77777777" w:rsidR="00D14F76" w:rsidRPr="001C58C6" w:rsidRDefault="00D14F76">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lastRenderedPageBreak/>
              <w:t>Prioriteti politike i njihova povezanost sa prioritetima utvrđenim drugim relevantnim politikama</w:t>
            </w:r>
          </w:p>
          <w:p w14:paraId="6FC2DA37" w14:textId="77777777" w:rsidR="00D14F76" w:rsidRPr="001C58C6" w:rsidRDefault="00D14F76">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Bazna godina za praćenje i kontrolu ispunjavanja obaveze smanjenja emisija je 2005. godina,</w:t>
            </w:r>
          </w:p>
        </w:tc>
        <w:tc>
          <w:tcPr>
            <w:tcW w:w="3608" w:type="pct"/>
          </w:tcPr>
          <w:p w14:paraId="213A5BF4" w14:textId="77777777" w:rsidR="00D14F76" w:rsidRPr="001C58C6" w:rsidRDefault="00D14F76">
            <w:pPr>
              <w:spacing w:before="100" w:beforeAutospacing="1"/>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Crna Gora je uspostavila nacionalni okvir politika i zakonodavstva u oblasti kvaliteta vazduha koji je u velikoj mjeri usklađen sa zahtjevima Evropske unije, prije svega sa Direktivom 2008/50/EC o kvalitetu ambijentalnog vazduha i čišćem vazduhu za Evropu i Direktivom (EU) 2016/2284 o smanjenju nacionalnih emisija određenih atmosferskih zagađujućih materija.</w:t>
            </w:r>
          </w:p>
          <w:p w14:paraId="56E66FBD"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Ključni propisi i strateški dokumenti u oblasti kvaliteta vazduha su:</w:t>
            </w:r>
          </w:p>
          <w:p w14:paraId="6159862B" w14:textId="77777777" w:rsidR="00D14F76" w:rsidRPr="001C58C6" w:rsidRDefault="00D14F76" w:rsidP="00E53052">
            <w:pPr>
              <w:numPr>
                <w:ilvl w:val="0"/>
                <w:numId w:val="55"/>
              </w:numPr>
              <w:spacing w:after="100" w:afterAutospacing="1"/>
              <w:contextualSpacing/>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Zakon o klimatskim promjenama</w:t>
            </w:r>
          </w:p>
          <w:p w14:paraId="427CF7A9" w14:textId="77777777" w:rsidR="00D14F76" w:rsidRPr="001C58C6" w:rsidRDefault="00D14F76" w:rsidP="00E53052">
            <w:pPr>
              <w:numPr>
                <w:ilvl w:val="0"/>
                <w:numId w:val="55"/>
              </w:num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Zakon o zaštiti životne sredine</w:t>
            </w:r>
          </w:p>
          <w:p w14:paraId="4F35F8A4" w14:textId="77777777" w:rsidR="00D14F76" w:rsidRPr="001C58C6" w:rsidRDefault="00D14F76" w:rsidP="00E53052">
            <w:pPr>
              <w:numPr>
                <w:ilvl w:val="0"/>
                <w:numId w:val="55"/>
              </w:num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Zakon o zaštiti vazduha i podzakonska akta o kvalitetu vazduha</w:t>
            </w:r>
          </w:p>
          <w:p w14:paraId="64909B25" w14:textId="77777777" w:rsidR="00D14F76" w:rsidRPr="001C58C6" w:rsidRDefault="00D14F76" w:rsidP="00E53052">
            <w:pPr>
              <w:numPr>
                <w:ilvl w:val="0"/>
                <w:numId w:val="55"/>
              </w:num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Nacionalni energetski i klimatski plan Crne Gore</w:t>
            </w:r>
          </w:p>
          <w:p w14:paraId="1A9CC60B" w14:textId="77777777" w:rsidR="00D14F76" w:rsidRPr="001C58C6" w:rsidRDefault="00D14F76" w:rsidP="00E53052">
            <w:pPr>
              <w:numPr>
                <w:ilvl w:val="0"/>
                <w:numId w:val="55"/>
              </w:numPr>
              <w:spacing w:before="100" w:beforeAutospacing="1"/>
              <w:contextualSpacing/>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Planovi kvaliteta vazduha za zone i aglomeracije (posebno Pljevlja i Bijelo Polje).</w:t>
            </w:r>
          </w:p>
          <w:p w14:paraId="0B66412E"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Glavni nacionalni prioriteti su:</w:t>
            </w:r>
          </w:p>
          <w:p w14:paraId="6CDF497D" w14:textId="77777777" w:rsidR="00D14F76" w:rsidRPr="001C58C6" w:rsidRDefault="00D14F76" w:rsidP="00E53052">
            <w:pPr>
              <w:numPr>
                <w:ilvl w:val="0"/>
                <w:numId w:val="56"/>
              </w:numPr>
              <w:contextualSpacing/>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postizanje pune usklađenosti sa EU graničnim i ciljnim vrijednostima za PM₁₀, PM₂,₅, NO₂, SO₂ i BaP</w:t>
            </w:r>
          </w:p>
          <w:p w14:paraId="4D134110" w14:textId="77777777" w:rsidR="00D14F76" w:rsidRPr="001C58C6" w:rsidRDefault="00D14F76" w:rsidP="00E53052">
            <w:pPr>
              <w:numPr>
                <w:ilvl w:val="0"/>
                <w:numId w:val="56"/>
              </w:num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smanjenje emisija SO₂, NOₓ, PM₂,₅, NMVOC i NH₃ u skladu sa obavezama smanjenja emisija u odnosu na 2005. godinu</w:t>
            </w:r>
          </w:p>
          <w:p w14:paraId="76B3D801" w14:textId="77777777" w:rsidR="00D14F76" w:rsidRPr="001C58C6" w:rsidRDefault="00D14F76" w:rsidP="00E53052">
            <w:pPr>
              <w:numPr>
                <w:ilvl w:val="0"/>
                <w:numId w:val="56"/>
              </w:num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jačanje institucionalnog i tehničkog kapaciteta za monitoring, inventar emisija i modelovanje kvaliteta vazduha</w:t>
            </w:r>
          </w:p>
          <w:p w14:paraId="6C728C5B" w14:textId="77777777" w:rsidR="00D14F76" w:rsidRPr="001C58C6" w:rsidRDefault="00D14F76" w:rsidP="00E53052">
            <w:pPr>
              <w:numPr>
                <w:ilvl w:val="0"/>
                <w:numId w:val="56"/>
              </w:num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integracija mjera zaštite vazduha sa mjerama dekarbonizacije i energetske tranzicije definisanim u NECP-u</w:t>
            </w:r>
          </w:p>
          <w:p w14:paraId="017F71C7" w14:textId="77777777" w:rsidR="00D14F76" w:rsidRPr="001C58C6" w:rsidRDefault="00D14F76" w:rsidP="00E53052">
            <w:pPr>
              <w:numPr>
                <w:ilvl w:val="0"/>
                <w:numId w:val="56"/>
              </w:numPr>
              <w:spacing w:before="100" w:beforeAutospacing="1"/>
              <w:contextualSpacing/>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b w:val="0"/>
                <w:bCs w:val="0"/>
                <w:color w:val="000000" w:themeColor="text1"/>
                <w:sz w:val="20"/>
                <w:szCs w:val="20"/>
              </w:rPr>
              <w:t>jačanje uloge lokalnih samouprava kroz izradu i sprovođenje lokalnih planova kvaliteta vazduha.</w:t>
            </w:r>
          </w:p>
          <w:p w14:paraId="3E2FA549" w14:textId="32739B2E" w:rsidR="00050365" w:rsidRPr="00050365" w:rsidRDefault="00A31A74" w:rsidP="00050365">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themeColor="text1"/>
                <w:sz w:val="20"/>
              </w:rPr>
            </w:pPr>
            <w:r w:rsidRPr="00E50E6A">
              <w:rPr>
                <w:rFonts w:ascii="Calibri" w:hAnsi="Calibri" w:cs="Calibri"/>
                <w:color w:val="000000" w:themeColor="text1"/>
                <w:sz w:val="20"/>
              </w:rPr>
              <w:t xml:space="preserve">Veza sa strateškim i operativnim ciljevima Strategije: </w:t>
            </w:r>
            <w:r w:rsidR="00050365" w:rsidRPr="00050365">
              <w:rPr>
                <w:rFonts w:ascii="Calibri" w:hAnsi="Calibri" w:cs="Calibri"/>
                <w:b w:val="0"/>
                <w:color w:val="000000" w:themeColor="text1"/>
                <w:sz w:val="20"/>
              </w:rPr>
              <w:t>Program mjera neposredno doprinosi ostvarivanju Strateškog cilja 1 – Poboljšanje kvaliteta vazduha i Strateškog cilja 2 – Dalje unapređenje praćenja i upravljanja kvalitetom vazduha.</w:t>
            </w:r>
          </w:p>
          <w:p w14:paraId="44E4AA46" w14:textId="77777777" w:rsidR="00050365" w:rsidRPr="00050365" w:rsidRDefault="00050365" w:rsidP="00050365">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themeColor="text1"/>
                <w:sz w:val="20"/>
              </w:rPr>
            </w:pPr>
          </w:p>
          <w:p w14:paraId="2AAC450A" w14:textId="7D9BF4CA" w:rsidR="00050365" w:rsidRPr="00050365" w:rsidRDefault="00050365" w:rsidP="00050365">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themeColor="text1"/>
                <w:sz w:val="20"/>
              </w:rPr>
            </w:pPr>
            <w:r w:rsidRPr="00050365">
              <w:rPr>
                <w:rFonts w:ascii="Calibri" w:hAnsi="Calibri" w:cs="Calibri"/>
                <w:b w:val="0"/>
                <w:color w:val="000000" w:themeColor="text1"/>
                <w:sz w:val="20"/>
              </w:rPr>
              <w:t>Mjere Programa grupisane su i prate se u odnosu na operativne ciljeve Strategije, i to:</w:t>
            </w:r>
          </w:p>
          <w:p w14:paraId="2DE1562B" w14:textId="77777777" w:rsidR="00050365" w:rsidRPr="00050365" w:rsidRDefault="00050365" w:rsidP="00050365">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themeColor="text1"/>
                <w:sz w:val="20"/>
              </w:rPr>
            </w:pPr>
            <w:r w:rsidRPr="00050365">
              <w:rPr>
                <w:rFonts w:ascii="Calibri" w:hAnsi="Calibri" w:cs="Calibri"/>
                <w:b w:val="0"/>
                <w:color w:val="000000" w:themeColor="text1"/>
                <w:sz w:val="20"/>
              </w:rPr>
              <w:t>Operativni cilj 1.A – Smanjenje koncentracija suspendovanih čestica i sadržaja benzo(a)pirena u Sjevernoj zoni kvaliteta vazduha;</w:t>
            </w:r>
          </w:p>
          <w:p w14:paraId="38B378AD" w14:textId="77777777" w:rsidR="00050365" w:rsidRPr="00050365" w:rsidRDefault="00050365" w:rsidP="00050365">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themeColor="text1"/>
                <w:sz w:val="20"/>
              </w:rPr>
            </w:pPr>
            <w:r w:rsidRPr="00050365">
              <w:rPr>
                <w:rFonts w:ascii="Calibri" w:hAnsi="Calibri" w:cs="Calibri"/>
                <w:b w:val="0"/>
                <w:color w:val="000000" w:themeColor="text1"/>
                <w:sz w:val="20"/>
              </w:rPr>
              <w:t>Operativni cilj 1.B – Smanjenje sadržaja benzo(a)pirena u suspendovanim česticama u Centralnoj zoni kvaliteta vazduha;</w:t>
            </w:r>
          </w:p>
          <w:p w14:paraId="58296282" w14:textId="77777777" w:rsidR="00050365" w:rsidRPr="00050365" w:rsidRDefault="00050365" w:rsidP="00050365">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themeColor="text1"/>
                <w:sz w:val="20"/>
              </w:rPr>
            </w:pPr>
            <w:r w:rsidRPr="00050365">
              <w:rPr>
                <w:rFonts w:ascii="Calibri" w:hAnsi="Calibri" w:cs="Calibri"/>
                <w:b w:val="0"/>
                <w:color w:val="000000" w:themeColor="text1"/>
                <w:sz w:val="20"/>
              </w:rPr>
              <w:t>Operativni cilj 1.C – Smanjenje emisija zagađujućih materija (NOₓ, SO₂, VOC, NH₃ i PM₂.₅);</w:t>
            </w:r>
          </w:p>
          <w:p w14:paraId="46B4F103" w14:textId="77777777" w:rsidR="00050365" w:rsidRPr="00050365" w:rsidRDefault="00050365" w:rsidP="00050365">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themeColor="text1"/>
                <w:sz w:val="20"/>
              </w:rPr>
            </w:pPr>
            <w:r w:rsidRPr="00050365">
              <w:rPr>
                <w:rFonts w:ascii="Calibri" w:hAnsi="Calibri" w:cs="Calibri"/>
                <w:b w:val="0"/>
                <w:color w:val="000000" w:themeColor="text1"/>
                <w:sz w:val="20"/>
              </w:rPr>
              <w:t>Operativni cilj 2.A – Poboljšanje kvaliteta podataka o kvalitetu vazduha i emisijama zagađujućih materija u vazduh;</w:t>
            </w:r>
          </w:p>
          <w:p w14:paraId="268EED7D" w14:textId="77777777" w:rsidR="00050365" w:rsidRPr="00050365" w:rsidRDefault="00050365" w:rsidP="00050365">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themeColor="text1"/>
                <w:sz w:val="20"/>
              </w:rPr>
            </w:pPr>
            <w:r w:rsidRPr="00050365">
              <w:rPr>
                <w:rFonts w:ascii="Calibri" w:hAnsi="Calibri" w:cs="Calibri"/>
                <w:b w:val="0"/>
                <w:color w:val="000000" w:themeColor="text1"/>
                <w:sz w:val="20"/>
              </w:rPr>
              <w:t>Operativni cilj 2.B – Unapređenje saradnje između relevantnih institucija, jedinica lokalne samouprave, civilnog sektora i stručne javnosti;</w:t>
            </w:r>
          </w:p>
          <w:p w14:paraId="1CD21770" w14:textId="2F96CF71" w:rsidR="00050365" w:rsidRDefault="00050365" w:rsidP="00050365">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themeColor="text1"/>
                <w:sz w:val="20"/>
              </w:rPr>
            </w:pPr>
            <w:r w:rsidRPr="00050365">
              <w:rPr>
                <w:rFonts w:ascii="Calibri" w:hAnsi="Calibri" w:cs="Calibri"/>
                <w:b w:val="0"/>
                <w:color w:val="000000" w:themeColor="text1"/>
                <w:sz w:val="20"/>
              </w:rPr>
              <w:t>Operativni cilj 2.C – Dalje usklađivanje sa strožim standardima kvaliteta vazduha.</w:t>
            </w:r>
          </w:p>
          <w:p w14:paraId="1DEE20CE" w14:textId="77777777" w:rsidR="007363B7" w:rsidRPr="001C58C6" w:rsidRDefault="00A31A74">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rPr>
            </w:pPr>
            <w:r w:rsidRPr="00E50E6A">
              <w:rPr>
                <w:rFonts w:ascii="Calibri" w:hAnsi="Calibri" w:cs="Calibri"/>
                <w:b w:val="0"/>
                <w:color w:val="000000" w:themeColor="text1"/>
                <w:sz w:val="20"/>
              </w:rPr>
              <w:t>Ovakvo povezivanje omogućava da se u godišnjem i završnom izvještavanju ne prati samo realizacija pojedinačnih mjera, već i doprinos svake mjere ostvarenju operativnih ciljeva, na način uporediv sa metodološkim prikazom ciljeva, indikatora i aktivnosti iz izvještaja o sprovođenju drugih strateških dokumenata.</w:t>
            </w:r>
          </w:p>
        </w:tc>
      </w:tr>
      <w:tr w:rsidR="00D14F76" w:rsidRPr="001C58C6" w14:paraId="38BFC296" w14:textId="77777777" w:rsidTr="00E40401">
        <w:tc>
          <w:tcPr>
            <w:cnfStyle w:val="001000000000" w:firstRow="0" w:lastRow="0" w:firstColumn="1" w:lastColumn="0" w:oddVBand="0" w:evenVBand="0" w:oddHBand="0" w:evenHBand="0" w:firstRowFirstColumn="0" w:firstRowLastColumn="0" w:lastRowFirstColumn="0" w:lastRowLastColumn="0"/>
            <w:tcW w:w="1392" w:type="pct"/>
          </w:tcPr>
          <w:p w14:paraId="2257B465" w14:textId="77777777" w:rsidR="00D14F76" w:rsidRPr="001C58C6" w:rsidRDefault="00D14F76">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Nadležnosti dodijeljene nacionalnim, regionalnim i lokalnim tijelima</w:t>
            </w:r>
          </w:p>
        </w:tc>
        <w:tc>
          <w:tcPr>
            <w:tcW w:w="3608" w:type="pct"/>
          </w:tcPr>
          <w:tbl>
            <w:tblPr>
              <w:tblW w:w="6737" w:type="dxa"/>
              <w:tblCellSpacing w:w="15" w:type="dxa"/>
              <w:tblCellMar>
                <w:top w:w="15" w:type="dxa"/>
                <w:left w:w="15" w:type="dxa"/>
                <w:bottom w:w="15" w:type="dxa"/>
                <w:right w:w="15" w:type="dxa"/>
              </w:tblCellMar>
              <w:tblLook w:val="04A0" w:firstRow="1" w:lastRow="0" w:firstColumn="1" w:lastColumn="0" w:noHBand="0" w:noVBand="1"/>
            </w:tblPr>
            <w:tblGrid>
              <w:gridCol w:w="1157"/>
              <w:gridCol w:w="2245"/>
              <w:gridCol w:w="3335"/>
            </w:tblGrid>
            <w:tr w:rsidR="00D14F76" w:rsidRPr="001C58C6" w14:paraId="4505B9C7" w14:textId="77777777">
              <w:trPr>
                <w:tblHeader/>
                <w:tblCellSpacing w:w="15" w:type="dxa"/>
              </w:trPr>
              <w:tc>
                <w:tcPr>
                  <w:tcW w:w="0" w:type="auto"/>
                  <w:vAlign w:val="center"/>
                </w:tcPr>
                <w:p w14:paraId="19B058F7" w14:textId="77777777" w:rsidR="00D14F76" w:rsidRPr="001C58C6" w:rsidRDefault="00D14F76" w:rsidP="00E40401">
                  <w:pPr>
                    <w:jc w:val="lef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Nivo</w:t>
                  </w:r>
                </w:p>
              </w:tc>
              <w:tc>
                <w:tcPr>
                  <w:tcW w:w="0" w:type="auto"/>
                  <w:vAlign w:val="center"/>
                </w:tcPr>
                <w:p w14:paraId="1D51C024" w14:textId="77777777" w:rsidR="00D14F76" w:rsidRPr="001C58C6" w:rsidRDefault="00D14F76" w:rsidP="00E40401">
                  <w:pPr>
                    <w:jc w:val="lef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Institucije / tijela</w:t>
                  </w:r>
                </w:p>
              </w:tc>
              <w:tc>
                <w:tcPr>
                  <w:tcW w:w="3290" w:type="dxa"/>
                  <w:vAlign w:val="center"/>
                </w:tcPr>
                <w:p w14:paraId="6444F8B2" w14:textId="77777777" w:rsidR="00D14F76" w:rsidRPr="001C58C6" w:rsidRDefault="00D14F76" w:rsidP="00E40401">
                  <w:pPr>
                    <w:jc w:val="lef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Ključne nadležnosti</w:t>
                  </w:r>
                </w:p>
              </w:tc>
            </w:tr>
            <w:tr w:rsidR="00D14F76" w:rsidRPr="001C58C6" w14:paraId="5202D754" w14:textId="77777777">
              <w:trPr>
                <w:tblCellSpacing w:w="15" w:type="dxa"/>
              </w:trPr>
              <w:tc>
                <w:tcPr>
                  <w:tcW w:w="0" w:type="auto"/>
                  <w:vAlign w:val="center"/>
                </w:tcPr>
                <w:p w14:paraId="07B4DD77" w14:textId="77777777" w:rsidR="00D14F76" w:rsidRPr="001C58C6" w:rsidRDefault="00D14F76" w:rsidP="00E40401">
                  <w:pPr>
                    <w:jc w:val="lef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Nacionalni nivo</w:t>
                  </w:r>
                </w:p>
              </w:tc>
              <w:tc>
                <w:tcPr>
                  <w:tcW w:w="0" w:type="auto"/>
                  <w:vAlign w:val="center"/>
                </w:tcPr>
                <w:p w14:paraId="40A0CD5C" w14:textId="77777777" w:rsidR="00D14F76" w:rsidRPr="001C58C6" w:rsidRDefault="00D14F76" w:rsidP="00E40401">
                  <w:pPr>
                    <w:jc w:val="lef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MERS</w:t>
                  </w:r>
                </w:p>
              </w:tc>
              <w:tc>
                <w:tcPr>
                  <w:tcW w:w="3290" w:type="dxa"/>
                  <w:vAlign w:val="center"/>
                </w:tcPr>
                <w:p w14:paraId="73F325EC" w14:textId="77777777" w:rsidR="00D14F76" w:rsidRPr="001C58C6" w:rsidRDefault="00D14F76" w:rsidP="00E40401">
                  <w:pPr>
                    <w:jc w:val="lef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 Donosi strategije, programe i propise o zaštiti vazduha.</w:t>
                  </w:r>
                  <w:r w:rsidRPr="001C58C6">
                    <w:rPr>
                      <w:rFonts w:ascii="Calibri" w:eastAsia="Times New Roman" w:hAnsi="Calibri" w:cs="Calibri"/>
                      <w:color w:val="000000" w:themeColor="text1"/>
                      <w:sz w:val="20"/>
                      <w:szCs w:val="20"/>
                    </w:rPr>
                    <w:br/>
                    <w:t>- Koordinira izradu i sprovođenje nacionalnih planova (npr. NERP, Program mjera).</w:t>
                  </w:r>
                  <w:r w:rsidRPr="001C58C6">
                    <w:rPr>
                      <w:rFonts w:ascii="Calibri" w:eastAsia="Times New Roman" w:hAnsi="Calibri" w:cs="Calibri"/>
                      <w:color w:val="000000" w:themeColor="text1"/>
                      <w:sz w:val="20"/>
                      <w:szCs w:val="20"/>
                    </w:rPr>
                    <w:br/>
                    <w:t>- Utvrđuje standarde emisija i kvaliteta vazduha.</w:t>
                  </w:r>
                  <w:r w:rsidRPr="001C58C6">
                    <w:rPr>
                      <w:rFonts w:ascii="Calibri" w:eastAsia="Times New Roman" w:hAnsi="Calibri" w:cs="Calibri"/>
                      <w:color w:val="000000" w:themeColor="text1"/>
                      <w:sz w:val="20"/>
                      <w:szCs w:val="20"/>
                    </w:rPr>
                    <w:br/>
                    <w:t>- Izvještava Vladu i međunarodne institucije (EU, EEA, UNECE).</w:t>
                  </w:r>
                </w:p>
              </w:tc>
            </w:tr>
            <w:tr w:rsidR="00D14F76" w:rsidRPr="001C58C6" w14:paraId="758C5A2A" w14:textId="77777777">
              <w:trPr>
                <w:tblCellSpacing w:w="15" w:type="dxa"/>
              </w:trPr>
              <w:tc>
                <w:tcPr>
                  <w:tcW w:w="0" w:type="auto"/>
                  <w:vAlign w:val="center"/>
                </w:tcPr>
                <w:p w14:paraId="520B9073" w14:textId="77777777" w:rsidR="00D14F76" w:rsidRPr="001C58C6" w:rsidRDefault="00D14F76" w:rsidP="00E40401">
                  <w:pPr>
                    <w:jc w:val="left"/>
                    <w:rPr>
                      <w:rFonts w:ascii="Calibri" w:eastAsia="Times New Roman" w:hAnsi="Calibri" w:cs="Calibri"/>
                      <w:color w:val="000000" w:themeColor="text1"/>
                      <w:sz w:val="20"/>
                      <w:szCs w:val="20"/>
                    </w:rPr>
                  </w:pPr>
                </w:p>
              </w:tc>
              <w:tc>
                <w:tcPr>
                  <w:tcW w:w="0" w:type="auto"/>
                  <w:vAlign w:val="center"/>
                </w:tcPr>
                <w:p w14:paraId="20B16AF0" w14:textId="77777777" w:rsidR="00D14F76" w:rsidRPr="001C58C6" w:rsidRDefault="00D14F76" w:rsidP="00E40401">
                  <w:pPr>
                    <w:jc w:val="lef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EPA</w:t>
                  </w:r>
                </w:p>
              </w:tc>
              <w:tc>
                <w:tcPr>
                  <w:tcW w:w="3290" w:type="dxa"/>
                  <w:vAlign w:val="center"/>
                </w:tcPr>
                <w:p w14:paraId="516046E3" w14:textId="77777777" w:rsidR="00D14F76" w:rsidRPr="001C58C6" w:rsidRDefault="00D14F76" w:rsidP="00E40401">
                  <w:pPr>
                    <w:jc w:val="lef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 Sprovodi monitoring kvaliteta vazduha i emisija iz postrojenja.</w:t>
                  </w:r>
                  <w:r w:rsidRPr="001C58C6">
                    <w:rPr>
                      <w:rFonts w:ascii="Calibri" w:eastAsia="Times New Roman" w:hAnsi="Calibri" w:cs="Calibri"/>
                      <w:color w:val="000000" w:themeColor="text1"/>
                      <w:sz w:val="20"/>
                      <w:szCs w:val="20"/>
                    </w:rPr>
                    <w:br/>
                    <w:t>- Vodi nacionalni registar zagađujućih materija (PRTR).</w:t>
                  </w:r>
                  <w:r w:rsidRPr="001C58C6">
                    <w:rPr>
                      <w:rFonts w:ascii="Calibri" w:eastAsia="Times New Roman" w:hAnsi="Calibri" w:cs="Calibri"/>
                      <w:color w:val="000000" w:themeColor="text1"/>
                      <w:sz w:val="20"/>
                      <w:szCs w:val="20"/>
                    </w:rPr>
                    <w:br/>
                    <w:t xml:space="preserve">- Obrađuje i objavljuje podatke o </w:t>
                  </w:r>
                  <w:r w:rsidRPr="001C58C6">
                    <w:rPr>
                      <w:rFonts w:ascii="Calibri" w:eastAsia="Times New Roman" w:hAnsi="Calibri" w:cs="Calibri"/>
                      <w:color w:val="000000" w:themeColor="text1"/>
                      <w:sz w:val="20"/>
                      <w:szCs w:val="20"/>
                    </w:rPr>
                    <w:lastRenderedPageBreak/>
                    <w:t>kvalitetu vazduha.</w:t>
                  </w:r>
                  <w:r w:rsidRPr="001C58C6">
                    <w:rPr>
                      <w:rFonts w:ascii="Calibri" w:eastAsia="Times New Roman" w:hAnsi="Calibri" w:cs="Calibri"/>
                      <w:color w:val="000000" w:themeColor="text1"/>
                      <w:sz w:val="20"/>
                      <w:szCs w:val="20"/>
                    </w:rPr>
                    <w:br/>
                    <w:t>- Izrađuje godišnje izvještaje i procjene ispunjenosti obaveza.</w:t>
                  </w:r>
                </w:p>
              </w:tc>
            </w:tr>
            <w:tr w:rsidR="00D14F76" w:rsidRPr="001C58C6" w14:paraId="43D40988" w14:textId="77777777">
              <w:trPr>
                <w:tblCellSpacing w:w="15" w:type="dxa"/>
              </w:trPr>
              <w:tc>
                <w:tcPr>
                  <w:tcW w:w="0" w:type="auto"/>
                  <w:vAlign w:val="center"/>
                </w:tcPr>
                <w:p w14:paraId="246BE616" w14:textId="77777777" w:rsidR="00D14F76" w:rsidRPr="001C58C6" w:rsidRDefault="00D14F76" w:rsidP="00E40401">
                  <w:pPr>
                    <w:jc w:val="left"/>
                    <w:rPr>
                      <w:rFonts w:ascii="Calibri" w:eastAsia="Times New Roman" w:hAnsi="Calibri" w:cs="Calibri"/>
                      <w:color w:val="000000" w:themeColor="text1"/>
                      <w:sz w:val="20"/>
                      <w:szCs w:val="20"/>
                    </w:rPr>
                  </w:pPr>
                </w:p>
              </w:tc>
              <w:tc>
                <w:tcPr>
                  <w:tcW w:w="0" w:type="auto"/>
                  <w:vAlign w:val="center"/>
                </w:tcPr>
                <w:p w14:paraId="5A6691F6" w14:textId="77777777" w:rsidR="00D14F76" w:rsidRPr="001C58C6" w:rsidRDefault="00D14F76" w:rsidP="00E40401">
                  <w:pPr>
                    <w:jc w:val="lef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MEIR / MS</w:t>
                  </w:r>
                </w:p>
              </w:tc>
              <w:tc>
                <w:tcPr>
                  <w:tcW w:w="3290" w:type="dxa"/>
                  <w:vAlign w:val="center"/>
                </w:tcPr>
                <w:p w14:paraId="2BFA7E82" w14:textId="77777777" w:rsidR="00D14F76" w:rsidRPr="001C58C6" w:rsidRDefault="00D14F76" w:rsidP="00E40401">
                  <w:pPr>
                    <w:jc w:val="lef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 Donose i sprovode politike koje utiču na emisije iz energetike, saobraćaja i industrije.</w:t>
                  </w:r>
                  <w:r w:rsidRPr="001C58C6">
                    <w:rPr>
                      <w:rFonts w:ascii="Calibri" w:eastAsia="Times New Roman" w:hAnsi="Calibri" w:cs="Calibri"/>
                      <w:color w:val="000000" w:themeColor="text1"/>
                      <w:sz w:val="20"/>
                      <w:szCs w:val="20"/>
                    </w:rPr>
                    <w:br/>
                    <w:t>- Uključuju mjere energetske efikasnosti i održive mobilnosti.</w:t>
                  </w:r>
                </w:p>
              </w:tc>
            </w:tr>
            <w:tr w:rsidR="00D14F76" w:rsidRPr="001C58C6" w14:paraId="4AFD623B" w14:textId="77777777">
              <w:trPr>
                <w:tblCellSpacing w:w="15" w:type="dxa"/>
              </w:trPr>
              <w:tc>
                <w:tcPr>
                  <w:tcW w:w="0" w:type="auto"/>
                  <w:vAlign w:val="center"/>
                </w:tcPr>
                <w:p w14:paraId="387E8B1C" w14:textId="77777777" w:rsidR="00D14F76" w:rsidRPr="001C58C6" w:rsidRDefault="00D14F76" w:rsidP="00E40401">
                  <w:pPr>
                    <w:jc w:val="lef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Regionalni nivo</w:t>
                  </w:r>
                </w:p>
              </w:tc>
              <w:tc>
                <w:tcPr>
                  <w:tcW w:w="0" w:type="auto"/>
                  <w:vAlign w:val="center"/>
                </w:tcPr>
                <w:p w14:paraId="69AB8FCE" w14:textId="77777777" w:rsidR="00D14F76" w:rsidRPr="001C58C6" w:rsidRDefault="00D14F76" w:rsidP="00E40401">
                  <w:pPr>
                    <w:jc w:val="lef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Uprave i centri za inspekcijske poslove</w:t>
                  </w:r>
                </w:p>
              </w:tc>
              <w:tc>
                <w:tcPr>
                  <w:tcW w:w="3290" w:type="dxa"/>
                  <w:vAlign w:val="center"/>
                </w:tcPr>
                <w:p w14:paraId="75B8BB7B" w14:textId="77777777" w:rsidR="00D14F76" w:rsidRPr="001C58C6" w:rsidRDefault="00D14F76" w:rsidP="00E40401">
                  <w:pPr>
                    <w:jc w:val="lef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 Prate sprovođenje propisa o emisijama i kvalitetu vazduha.</w:t>
                  </w:r>
                  <w:r w:rsidRPr="001C58C6">
                    <w:rPr>
                      <w:rFonts w:ascii="Calibri" w:eastAsia="Times New Roman" w:hAnsi="Calibri" w:cs="Calibri"/>
                      <w:color w:val="000000" w:themeColor="text1"/>
                      <w:sz w:val="20"/>
                      <w:szCs w:val="20"/>
                    </w:rPr>
                    <w:br/>
                    <w:t>- Vrše inspekcijski nadzor nad industrijskim i energetskim postrojenjima.</w:t>
                  </w:r>
                  <w:r w:rsidRPr="001C58C6">
                    <w:rPr>
                      <w:rFonts w:ascii="Calibri" w:eastAsia="Times New Roman" w:hAnsi="Calibri" w:cs="Calibri"/>
                      <w:color w:val="000000" w:themeColor="text1"/>
                      <w:sz w:val="20"/>
                      <w:szCs w:val="20"/>
                    </w:rPr>
                    <w:br/>
                    <w:t>- Obustavljaju ili ograničavaju rad u slučaju prekoračenja graničnih vrijednosti.</w:t>
                  </w:r>
                </w:p>
              </w:tc>
            </w:tr>
            <w:tr w:rsidR="00D14F76" w:rsidRPr="001C58C6" w14:paraId="439165A0" w14:textId="77777777">
              <w:trPr>
                <w:tblCellSpacing w:w="15" w:type="dxa"/>
              </w:trPr>
              <w:tc>
                <w:tcPr>
                  <w:tcW w:w="0" w:type="auto"/>
                  <w:vAlign w:val="center"/>
                </w:tcPr>
                <w:p w14:paraId="75AE57B5" w14:textId="77777777" w:rsidR="00D14F76" w:rsidRPr="001C58C6" w:rsidRDefault="00D14F76" w:rsidP="00E40401">
                  <w:pPr>
                    <w:jc w:val="lef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Lokalni nivo</w:t>
                  </w:r>
                </w:p>
              </w:tc>
              <w:tc>
                <w:tcPr>
                  <w:tcW w:w="0" w:type="auto"/>
                  <w:vAlign w:val="center"/>
                </w:tcPr>
                <w:p w14:paraId="3C67B8A2" w14:textId="77777777" w:rsidR="00D14F76" w:rsidRPr="001C58C6" w:rsidRDefault="00D14F76" w:rsidP="00E40401">
                  <w:pPr>
                    <w:jc w:val="lef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Opštine i gradske uprave</w:t>
                  </w:r>
                </w:p>
              </w:tc>
              <w:tc>
                <w:tcPr>
                  <w:tcW w:w="3290" w:type="dxa"/>
                  <w:vAlign w:val="center"/>
                </w:tcPr>
                <w:p w14:paraId="7222FEAF" w14:textId="77777777" w:rsidR="00D14F76" w:rsidRPr="001C58C6" w:rsidRDefault="00D14F76" w:rsidP="00E40401">
                  <w:pPr>
                    <w:jc w:val="lef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 Donose lokalne programe i planove zaštite vazduha.</w:t>
                  </w:r>
                  <w:r w:rsidRPr="001C58C6">
                    <w:rPr>
                      <w:rFonts w:ascii="Calibri" w:eastAsia="Times New Roman" w:hAnsi="Calibri" w:cs="Calibri"/>
                      <w:color w:val="000000" w:themeColor="text1"/>
                      <w:sz w:val="20"/>
                      <w:szCs w:val="20"/>
                    </w:rPr>
                    <w:br/>
                    <w:t>- Sprovode mjere iz Programa (energetska sanacija objekata, javni prevoz, zelene zone).</w:t>
                  </w:r>
                  <w:r w:rsidRPr="001C58C6">
                    <w:rPr>
                      <w:rFonts w:ascii="Calibri" w:eastAsia="Times New Roman" w:hAnsi="Calibri" w:cs="Calibri"/>
                      <w:color w:val="000000" w:themeColor="text1"/>
                      <w:sz w:val="20"/>
                      <w:szCs w:val="20"/>
                    </w:rPr>
                    <w:br/>
                    <w:t>- Organizuju lokalni monitoring i prikupljanje podataka.</w:t>
                  </w:r>
                  <w:r w:rsidRPr="001C58C6">
                    <w:rPr>
                      <w:rFonts w:ascii="Calibri" w:eastAsia="Times New Roman" w:hAnsi="Calibri" w:cs="Calibri"/>
                      <w:color w:val="000000" w:themeColor="text1"/>
                      <w:sz w:val="20"/>
                      <w:szCs w:val="20"/>
                    </w:rPr>
                    <w:br/>
                    <w:t>- Izvještavaju Ministarstvo i Agenciju o sprovođenju mjera.</w:t>
                  </w:r>
                  <w:r w:rsidRPr="001C58C6">
                    <w:rPr>
                      <w:rFonts w:ascii="Calibri" w:eastAsia="Times New Roman" w:hAnsi="Calibri" w:cs="Calibri"/>
                      <w:color w:val="000000" w:themeColor="text1"/>
                      <w:sz w:val="20"/>
                      <w:szCs w:val="20"/>
                    </w:rPr>
                    <w:br/>
                    <w:t>- Sprovode kampanje i mjere informisanja građana.</w:t>
                  </w:r>
                </w:p>
              </w:tc>
            </w:tr>
            <w:tr w:rsidR="00D14F76" w:rsidRPr="001C58C6" w14:paraId="5639B5CA" w14:textId="77777777">
              <w:trPr>
                <w:tblCellSpacing w:w="15" w:type="dxa"/>
              </w:trPr>
              <w:tc>
                <w:tcPr>
                  <w:tcW w:w="0" w:type="auto"/>
                  <w:vAlign w:val="center"/>
                </w:tcPr>
                <w:p w14:paraId="3BF49440" w14:textId="77777777" w:rsidR="00D14F76" w:rsidRPr="001C58C6" w:rsidRDefault="00D14F76" w:rsidP="00E40401">
                  <w:pPr>
                    <w:jc w:val="left"/>
                    <w:rPr>
                      <w:rFonts w:ascii="Calibri" w:eastAsia="Times New Roman" w:hAnsi="Calibri" w:cs="Calibri"/>
                      <w:color w:val="000000" w:themeColor="text1"/>
                      <w:sz w:val="20"/>
                      <w:szCs w:val="20"/>
                    </w:rPr>
                  </w:pPr>
                </w:p>
              </w:tc>
              <w:tc>
                <w:tcPr>
                  <w:tcW w:w="0" w:type="auto"/>
                  <w:vAlign w:val="center"/>
                </w:tcPr>
                <w:p w14:paraId="30E82F05" w14:textId="77777777" w:rsidR="00D14F76" w:rsidRPr="001C58C6" w:rsidRDefault="00D14F76" w:rsidP="00E40401">
                  <w:pPr>
                    <w:jc w:val="lef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Komunalne službe i javna preduzeća</w:t>
                  </w:r>
                </w:p>
              </w:tc>
              <w:tc>
                <w:tcPr>
                  <w:tcW w:w="3290" w:type="dxa"/>
                  <w:vAlign w:val="center"/>
                </w:tcPr>
                <w:p w14:paraId="5660AF80" w14:textId="77777777" w:rsidR="00D14F76" w:rsidRPr="001C58C6" w:rsidRDefault="00D14F76" w:rsidP="00E40401">
                  <w:pPr>
                    <w:jc w:val="lef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 Sprovode operativne mjere: održavanje ulica, smanjenje prašine, regulisanje saobraćaja i upravljanje otpadom.</w:t>
                  </w:r>
                  <w:r w:rsidRPr="001C58C6">
                    <w:rPr>
                      <w:rFonts w:ascii="Calibri" w:eastAsia="Times New Roman" w:hAnsi="Calibri" w:cs="Calibri"/>
                      <w:color w:val="000000" w:themeColor="text1"/>
                      <w:sz w:val="20"/>
                      <w:szCs w:val="20"/>
                    </w:rPr>
                    <w:br/>
                    <w:t>- Učestvuju u implementaciji mjera energetske efikasnosti i obnovljivih izvora.</w:t>
                  </w:r>
                </w:p>
              </w:tc>
            </w:tr>
          </w:tbl>
          <w:p w14:paraId="7EFFDC9F" w14:textId="77777777" w:rsidR="00D14F76" w:rsidRPr="001C58C6" w:rsidRDefault="00D14F76" w:rsidP="00E40401">
            <w:pPr>
              <w:spacing w:before="120" w:line="312" w:lineRule="atLeast"/>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p>
        </w:tc>
      </w:tr>
    </w:tbl>
    <w:p w14:paraId="2F98D407" w14:textId="77777777" w:rsidR="00D14F76" w:rsidRPr="001C58C6" w:rsidRDefault="00D14F76">
      <w:pPr>
        <w:shd w:val="clear" w:color="auto" w:fill="FFFFFF"/>
        <w:spacing w:before="240" w:after="120" w:line="312" w:lineRule="atLeast"/>
        <w:rPr>
          <w:rFonts w:ascii="Calibri" w:eastAsia="Times New Roman" w:hAnsi="Calibri" w:cs="Calibri"/>
          <w:b/>
          <w:bCs/>
          <w:color w:val="000000" w:themeColor="text1"/>
          <w:sz w:val="22"/>
        </w:rPr>
      </w:pPr>
      <w:r w:rsidRPr="001C58C6">
        <w:rPr>
          <w:rFonts w:ascii="Calibri" w:eastAsia="Times New Roman" w:hAnsi="Calibri" w:cs="Calibri"/>
          <w:b/>
          <w:bCs/>
          <w:color w:val="000000" w:themeColor="text1"/>
          <w:szCs w:val="24"/>
        </w:rPr>
        <w:lastRenderedPageBreak/>
        <w:t>2.2.2.   </w:t>
      </w:r>
      <w:r w:rsidRPr="001C58C6">
        <w:rPr>
          <w:rFonts w:ascii="Calibri" w:eastAsia="Times New Roman" w:hAnsi="Calibri" w:cs="Calibri"/>
          <w:b/>
          <w:bCs/>
          <w:i/>
          <w:iCs/>
          <w:color w:val="000000" w:themeColor="text1"/>
          <w:szCs w:val="24"/>
        </w:rPr>
        <w:t>Napredak u smanjenju emisija i poboljšanju kvaliteta vazduha koji je od 2005. ostvaren dosadašnjim politikama i mjeram</w:t>
      </w:r>
      <w:r w:rsidRPr="001C58C6">
        <w:rPr>
          <w:rFonts w:ascii="Calibri" w:eastAsia="Times New Roman" w:hAnsi="Calibri" w:cs="Calibri"/>
          <w:b/>
          <w:bCs/>
          <w:i/>
          <w:iCs/>
          <w:color w:val="000000" w:themeColor="text1"/>
          <w:sz w:val="22"/>
        </w:rPr>
        <w:t>a</w:t>
      </w:r>
    </w:p>
    <w:tbl>
      <w:tblPr>
        <w:tblStyle w:val="GridTable1Light-Accent1"/>
        <w:tblW w:w="5000" w:type="pct"/>
        <w:tblLook w:val="04A0" w:firstRow="1" w:lastRow="0" w:firstColumn="1" w:lastColumn="0" w:noHBand="0" w:noVBand="1"/>
      </w:tblPr>
      <w:tblGrid>
        <w:gridCol w:w="2510"/>
        <w:gridCol w:w="6506"/>
      </w:tblGrid>
      <w:tr w:rsidR="00D14F76" w:rsidRPr="001C58C6" w14:paraId="2C127AAC" w14:textId="77777777" w:rsidTr="00E404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2" w:type="pct"/>
          </w:tcPr>
          <w:p w14:paraId="150ADABA" w14:textId="77777777" w:rsidR="00D14F76" w:rsidRPr="001C58C6" w:rsidRDefault="00D14F76">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Ostvarena smanjenja emisija</w:t>
            </w:r>
          </w:p>
        </w:tc>
        <w:tc>
          <w:tcPr>
            <w:tcW w:w="3608" w:type="pct"/>
          </w:tcPr>
          <w:p w14:paraId="5C75BE4D" w14:textId="77777777" w:rsidR="00D14F76" w:rsidRPr="001C58C6" w:rsidRDefault="00D14F76">
            <w:pPr>
              <w:contextualSpacing/>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U periodu 2005–2023. Crna Gora nije ostvarila smanjenje ukupnih emisija SO₂ i NOₓ, iako su djelimično modernizovani sektori energetike i industrije, poboljšan kvalitet goriva i sprovedeno postepeno usklađivanje sa IPPC i IED zahtjevima. Emisije PM₂,₅ i dalje ostaju relativno visoke zbog korišćenja čvrstih goriva u domaćinstvima, dok emisije NMVOC nijesu pale u dovoljnoj mjeri, jer mjere u poljoprivredi i upravljanju otpadom još nijesu u potpunosti razvijene. Nasuprot tome, bilježi se pad NH₃ emisija.</w:t>
            </w:r>
          </w:p>
        </w:tc>
      </w:tr>
      <w:tr w:rsidR="00D14F76" w:rsidRPr="001C58C6" w14:paraId="06FB14A8" w14:textId="77777777" w:rsidTr="00E40401">
        <w:tc>
          <w:tcPr>
            <w:cnfStyle w:val="001000000000" w:firstRow="0" w:lastRow="0" w:firstColumn="1" w:lastColumn="0" w:oddVBand="0" w:evenVBand="0" w:oddHBand="0" w:evenHBand="0" w:firstRowFirstColumn="0" w:firstRowLastColumn="0" w:lastRowFirstColumn="0" w:lastRowLastColumn="0"/>
            <w:tcW w:w="1392" w:type="pct"/>
          </w:tcPr>
          <w:p w14:paraId="5BF8E522" w14:textId="77777777" w:rsidR="00D14F76" w:rsidRPr="001C58C6" w:rsidRDefault="00D14F76">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Napredak u odnosu na ciljeve kvaliteta vazduha</w:t>
            </w:r>
          </w:p>
        </w:tc>
        <w:tc>
          <w:tcPr>
            <w:tcW w:w="3608" w:type="pct"/>
          </w:tcPr>
          <w:p w14:paraId="767B4295" w14:textId="77777777" w:rsidR="00D14F76" w:rsidRPr="001C58C6" w:rsidRDefault="00D14F76">
            <w:pPr>
              <w:spacing w:line="312"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Prema nacionalnom inventaru emisija, situacija je sljedeća:</w:t>
            </w:r>
          </w:p>
          <w:tbl>
            <w:tblPr>
              <w:tblStyle w:val="GridTable1Light-Accent1"/>
              <w:tblW w:w="0" w:type="auto"/>
              <w:tblLook w:val="04A0" w:firstRow="1" w:lastRow="0" w:firstColumn="1" w:lastColumn="0" w:noHBand="0" w:noVBand="1"/>
            </w:tblPr>
            <w:tblGrid>
              <w:gridCol w:w="1294"/>
              <w:gridCol w:w="855"/>
              <w:gridCol w:w="645"/>
              <w:gridCol w:w="696"/>
              <w:gridCol w:w="774"/>
              <w:gridCol w:w="696"/>
              <w:gridCol w:w="1320"/>
            </w:tblGrid>
            <w:tr w:rsidR="00D14F76" w:rsidRPr="001C58C6" w14:paraId="2C5E35F6" w14:textId="77777777" w:rsidTr="00E404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dxa"/>
                </w:tcPr>
                <w:p w14:paraId="71B64A48" w14:textId="77777777" w:rsidR="00D14F76" w:rsidRPr="001C58C6" w:rsidRDefault="00D14F76">
                  <w:pPr>
                    <w:jc w:val="center"/>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Zagađujuća materija</w:t>
                  </w:r>
                </w:p>
              </w:tc>
              <w:tc>
                <w:tcPr>
                  <w:tcW w:w="904" w:type="dxa"/>
                </w:tcPr>
                <w:p w14:paraId="794CAB9B" w14:textId="77777777" w:rsidR="00D14F76" w:rsidRPr="001C58C6" w:rsidRDefault="00D14F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2005</w:t>
                  </w:r>
                </w:p>
              </w:tc>
              <w:tc>
                <w:tcPr>
                  <w:tcW w:w="649" w:type="dxa"/>
                </w:tcPr>
                <w:p w14:paraId="0D605877" w14:textId="77777777" w:rsidR="00D14F76" w:rsidRPr="001C58C6" w:rsidRDefault="00D14F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2010</w:t>
                  </w:r>
                </w:p>
              </w:tc>
              <w:tc>
                <w:tcPr>
                  <w:tcW w:w="711" w:type="dxa"/>
                </w:tcPr>
                <w:p w14:paraId="442E8A26" w14:textId="77777777" w:rsidR="00D14F76" w:rsidRPr="001C58C6" w:rsidRDefault="00D14F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2015</w:t>
                  </w:r>
                </w:p>
              </w:tc>
              <w:tc>
                <w:tcPr>
                  <w:tcW w:w="805" w:type="dxa"/>
                </w:tcPr>
                <w:p w14:paraId="4876A121" w14:textId="77777777" w:rsidR="00D14F76" w:rsidRPr="001C58C6" w:rsidRDefault="00D14F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2020</w:t>
                  </w:r>
                </w:p>
              </w:tc>
              <w:tc>
                <w:tcPr>
                  <w:tcW w:w="711" w:type="dxa"/>
                </w:tcPr>
                <w:p w14:paraId="0A105A37" w14:textId="77777777" w:rsidR="00D14F76" w:rsidRPr="001C58C6" w:rsidRDefault="00D14F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2023</w:t>
                  </w:r>
                </w:p>
              </w:tc>
              <w:tc>
                <w:tcPr>
                  <w:tcW w:w="1400" w:type="dxa"/>
                </w:tcPr>
                <w:p w14:paraId="3061A0AF" w14:textId="77777777" w:rsidR="00D14F76" w:rsidRPr="001C58C6" w:rsidRDefault="00D14F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Promjena 2023 u odnosu na 2005 (%)</w:t>
                  </w:r>
                </w:p>
              </w:tc>
            </w:tr>
            <w:tr w:rsidR="00D14F76" w:rsidRPr="001C58C6" w14:paraId="42DB0F37" w14:textId="77777777" w:rsidTr="00E40401">
              <w:tc>
                <w:tcPr>
                  <w:cnfStyle w:val="001000000000" w:firstRow="0" w:lastRow="0" w:firstColumn="1" w:lastColumn="0" w:oddVBand="0" w:evenVBand="0" w:oddHBand="0" w:evenHBand="0" w:firstRowFirstColumn="0" w:firstRowLastColumn="0" w:lastRowFirstColumn="0" w:lastRowLastColumn="0"/>
                  <w:tcW w:w="0" w:type="auto"/>
                </w:tcPr>
                <w:p w14:paraId="3548F6C9" w14:textId="77777777" w:rsidR="00D14F76" w:rsidRPr="001C58C6" w:rsidRDefault="00D14F76">
                  <w:pPr>
                    <w:jc w:val="center"/>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SO₂</w:t>
                  </w:r>
                </w:p>
              </w:tc>
              <w:tc>
                <w:tcPr>
                  <w:tcW w:w="904" w:type="dxa"/>
                </w:tcPr>
                <w:p w14:paraId="4B303D62"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45,19</w:t>
                  </w:r>
                </w:p>
              </w:tc>
              <w:tc>
                <w:tcPr>
                  <w:tcW w:w="649" w:type="dxa"/>
                </w:tcPr>
                <w:p w14:paraId="14AFB391"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49,71</w:t>
                  </w:r>
                </w:p>
              </w:tc>
              <w:tc>
                <w:tcPr>
                  <w:tcW w:w="711" w:type="dxa"/>
                </w:tcPr>
                <w:p w14:paraId="338888C9"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61,82</w:t>
                  </w:r>
                </w:p>
              </w:tc>
              <w:tc>
                <w:tcPr>
                  <w:tcW w:w="805" w:type="dxa"/>
                </w:tcPr>
                <w:p w14:paraId="17F448F6"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66,16</w:t>
                  </w:r>
                </w:p>
              </w:tc>
              <w:tc>
                <w:tcPr>
                  <w:tcW w:w="711" w:type="dxa"/>
                </w:tcPr>
                <w:p w14:paraId="119FB2DA"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68,80</w:t>
                  </w:r>
                </w:p>
              </w:tc>
              <w:tc>
                <w:tcPr>
                  <w:tcW w:w="1400" w:type="dxa"/>
                </w:tcPr>
                <w:p w14:paraId="369D127D"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+52,2 %</w:t>
                  </w:r>
                </w:p>
              </w:tc>
            </w:tr>
            <w:tr w:rsidR="00D14F76" w:rsidRPr="001C58C6" w14:paraId="291101AE" w14:textId="77777777" w:rsidTr="00E40401">
              <w:tc>
                <w:tcPr>
                  <w:cnfStyle w:val="001000000000" w:firstRow="0" w:lastRow="0" w:firstColumn="1" w:lastColumn="0" w:oddVBand="0" w:evenVBand="0" w:oddHBand="0" w:evenHBand="0" w:firstRowFirstColumn="0" w:firstRowLastColumn="0" w:lastRowFirstColumn="0" w:lastRowLastColumn="0"/>
                  <w:tcW w:w="0" w:type="auto"/>
                </w:tcPr>
                <w:p w14:paraId="68E38798" w14:textId="77777777" w:rsidR="00D14F76" w:rsidRPr="001C58C6" w:rsidRDefault="00D14F76">
                  <w:pPr>
                    <w:jc w:val="center"/>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NOₓ</w:t>
                  </w:r>
                </w:p>
              </w:tc>
              <w:tc>
                <w:tcPr>
                  <w:tcW w:w="904" w:type="dxa"/>
                </w:tcPr>
                <w:p w14:paraId="7BD5D185"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11,36</w:t>
                  </w:r>
                </w:p>
              </w:tc>
              <w:tc>
                <w:tcPr>
                  <w:tcW w:w="649" w:type="dxa"/>
                </w:tcPr>
                <w:p w14:paraId="54D3CC75"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13,20</w:t>
                  </w:r>
                </w:p>
              </w:tc>
              <w:tc>
                <w:tcPr>
                  <w:tcW w:w="711" w:type="dxa"/>
                </w:tcPr>
                <w:p w14:paraId="5C578922"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14,96</w:t>
                  </w:r>
                </w:p>
              </w:tc>
              <w:tc>
                <w:tcPr>
                  <w:tcW w:w="805" w:type="dxa"/>
                </w:tcPr>
                <w:p w14:paraId="2534B505"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15,52</w:t>
                  </w:r>
                </w:p>
              </w:tc>
              <w:tc>
                <w:tcPr>
                  <w:tcW w:w="711" w:type="dxa"/>
                </w:tcPr>
                <w:p w14:paraId="72114838"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17,69</w:t>
                  </w:r>
                </w:p>
              </w:tc>
              <w:tc>
                <w:tcPr>
                  <w:tcW w:w="1400" w:type="dxa"/>
                </w:tcPr>
                <w:p w14:paraId="1C0C9085"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+55,7 %</w:t>
                  </w:r>
                </w:p>
              </w:tc>
            </w:tr>
            <w:tr w:rsidR="00D14F76" w:rsidRPr="001C58C6" w14:paraId="5F376A3B" w14:textId="77777777" w:rsidTr="00E40401">
              <w:tc>
                <w:tcPr>
                  <w:cnfStyle w:val="001000000000" w:firstRow="0" w:lastRow="0" w:firstColumn="1" w:lastColumn="0" w:oddVBand="0" w:evenVBand="0" w:oddHBand="0" w:evenHBand="0" w:firstRowFirstColumn="0" w:firstRowLastColumn="0" w:lastRowFirstColumn="0" w:lastRowLastColumn="0"/>
                  <w:tcW w:w="0" w:type="auto"/>
                </w:tcPr>
                <w:p w14:paraId="0C7A2F01" w14:textId="77777777" w:rsidR="00D14F76" w:rsidRPr="001C58C6" w:rsidRDefault="00D14F76">
                  <w:pPr>
                    <w:jc w:val="center"/>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NMVOC</w:t>
                  </w:r>
                </w:p>
              </w:tc>
              <w:tc>
                <w:tcPr>
                  <w:tcW w:w="904" w:type="dxa"/>
                </w:tcPr>
                <w:p w14:paraId="4669F515"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9,59</w:t>
                  </w:r>
                </w:p>
              </w:tc>
              <w:tc>
                <w:tcPr>
                  <w:tcW w:w="649" w:type="dxa"/>
                </w:tcPr>
                <w:p w14:paraId="69EBF78D"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9,85</w:t>
                  </w:r>
                </w:p>
              </w:tc>
              <w:tc>
                <w:tcPr>
                  <w:tcW w:w="711" w:type="dxa"/>
                </w:tcPr>
                <w:p w14:paraId="1C84BCA8"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9,94</w:t>
                  </w:r>
                </w:p>
              </w:tc>
              <w:tc>
                <w:tcPr>
                  <w:tcW w:w="805" w:type="dxa"/>
                </w:tcPr>
                <w:p w14:paraId="2B464A1B"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10,01</w:t>
                  </w:r>
                </w:p>
              </w:tc>
              <w:tc>
                <w:tcPr>
                  <w:tcW w:w="711" w:type="dxa"/>
                </w:tcPr>
                <w:p w14:paraId="4295B5D1"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10,45</w:t>
                  </w:r>
                </w:p>
              </w:tc>
              <w:tc>
                <w:tcPr>
                  <w:tcW w:w="1400" w:type="dxa"/>
                </w:tcPr>
                <w:p w14:paraId="046CDBC3"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+8,9 %</w:t>
                  </w:r>
                </w:p>
              </w:tc>
            </w:tr>
            <w:tr w:rsidR="00D14F76" w:rsidRPr="001C58C6" w14:paraId="6A6F1AE2" w14:textId="77777777" w:rsidTr="00E40401">
              <w:tc>
                <w:tcPr>
                  <w:cnfStyle w:val="001000000000" w:firstRow="0" w:lastRow="0" w:firstColumn="1" w:lastColumn="0" w:oddVBand="0" w:evenVBand="0" w:oddHBand="0" w:evenHBand="0" w:firstRowFirstColumn="0" w:firstRowLastColumn="0" w:lastRowFirstColumn="0" w:lastRowLastColumn="0"/>
                  <w:tcW w:w="0" w:type="auto"/>
                </w:tcPr>
                <w:p w14:paraId="6BF34195" w14:textId="77777777" w:rsidR="00D14F76" w:rsidRPr="001C58C6" w:rsidRDefault="00D14F76">
                  <w:pPr>
                    <w:jc w:val="center"/>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NH₃</w:t>
                  </w:r>
                </w:p>
              </w:tc>
              <w:tc>
                <w:tcPr>
                  <w:tcW w:w="904" w:type="dxa"/>
                </w:tcPr>
                <w:p w14:paraId="6E27DD66"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4,22</w:t>
                  </w:r>
                </w:p>
              </w:tc>
              <w:tc>
                <w:tcPr>
                  <w:tcW w:w="649" w:type="dxa"/>
                </w:tcPr>
                <w:p w14:paraId="0A657E08"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3,95</w:t>
                  </w:r>
                </w:p>
              </w:tc>
              <w:tc>
                <w:tcPr>
                  <w:tcW w:w="711" w:type="dxa"/>
                </w:tcPr>
                <w:p w14:paraId="72A0A2A3"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3,62</w:t>
                  </w:r>
                </w:p>
              </w:tc>
              <w:tc>
                <w:tcPr>
                  <w:tcW w:w="805" w:type="dxa"/>
                </w:tcPr>
                <w:p w14:paraId="178C4E17"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3,15</w:t>
                  </w:r>
                </w:p>
              </w:tc>
              <w:tc>
                <w:tcPr>
                  <w:tcW w:w="711" w:type="dxa"/>
                </w:tcPr>
                <w:p w14:paraId="7C9C7A08"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2,91</w:t>
                  </w:r>
                </w:p>
              </w:tc>
              <w:tc>
                <w:tcPr>
                  <w:tcW w:w="1400" w:type="dxa"/>
                </w:tcPr>
                <w:p w14:paraId="1A026F28"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−31,0 %</w:t>
                  </w:r>
                </w:p>
              </w:tc>
            </w:tr>
            <w:tr w:rsidR="00D14F76" w:rsidRPr="001C58C6" w14:paraId="4FC19785" w14:textId="77777777" w:rsidTr="00E40401">
              <w:tc>
                <w:tcPr>
                  <w:cnfStyle w:val="001000000000" w:firstRow="0" w:lastRow="0" w:firstColumn="1" w:lastColumn="0" w:oddVBand="0" w:evenVBand="0" w:oddHBand="0" w:evenHBand="0" w:firstRowFirstColumn="0" w:firstRowLastColumn="0" w:lastRowFirstColumn="0" w:lastRowLastColumn="0"/>
                  <w:tcW w:w="0" w:type="auto"/>
                </w:tcPr>
                <w:p w14:paraId="436749A3" w14:textId="77777777" w:rsidR="00D14F76" w:rsidRPr="001C58C6" w:rsidRDefault="00D14F76">
                  <w:pPr>
                    <w:jc w:val="center"/>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PM₂</w:t>
                  </w:r>
                  <w:r w:rsidRPr="001C58C6">
                    <w:rPr>
                      <w:rFonts w:ascii="Calibri" w:eastAsia="MS Gothic" w:hAnsi="Calibri" w:cs="Calibri"/>
                      <w:color w:val="000000" w:themeColor="text1"/>
                      <w:sz w:val="20"/>
                      <w:szCs w:val="20"/>
                    </w:rPr>
                    <w:t>․</w:t>
                  </w:r>
                  <w:r w:rsidRPr="001C58C6">
                    <w:rPr>
                      <w:rFonts w:ascii="Calibri" w:eastAsia="Times New Roman" w:hAnsi="Calibri" w:cs="Calibri"/>
                      <w:color w:val="000000" w:themeColor="text1"/>
                      <w:sz w:val="20"/>
                      <w:szCs w:val="20"/>
                    </w:rPr>
                    <w:t>₅</w:t>
                  </w:r>
                </w:p>
              </w:tc>
              <w:tc>
                <w:tcPr>
                  <w:tcW w:w="904" w:type="dxa"/>
                </w:tcPr>
                <w:p w14:paraId="6C80BD84"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4,97</w:t>
                  </w:r>
                </w:p>
              </w:tc>
              <w:tc>
                <w:tcPr>
                  <w:tcW w:w="649" w:type="dxa"/>
                </w:tcPr>
                <w:p w14:paraId="21F35FD9"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5,28</w:t>
                  </w:r>
                </w:p>
              </w:tc>
              <w:tc>
                <w:tcPr>
                  <w:tcW w:w="711" w:type="dxa"/>
                </w:tcPr>
                <w:p w14:paraId="10B0DB15"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5,65</w:t>
                  </w:r>
                </w:p>
              </w:tc>
              <w:tc>
                <w:tcPr>
                  <w:tcW w:w="805" w:type="dxa"/>
                </w:tcPr>
                <w:p w14:paraId="6BD16089"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6,06</w:t>
                  </w:r>
                </w:p>
              </w:tc>
              <w:tc>
                <w:tcPr>
                  <w:tcW w:w="711" w:type="dxa"/>
                </w:tcPr>
                <w:p w14:paraId="5A71528B"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6,08</w:t>
                  </w:r>
                </w:p>
              </w:tc>
              <w:tc>
                <w:tcPr>
                  <w:tcW w:w="1400" w:type="dxa"/>
                </w:tcPr>
                <w:p w14:paraId="48787231"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+22,5 %</w:t>
                  </w:r>
                </w:p>
              </w:tc>
            </w:tr>
          </w:tbl>
          <w:p w14:paraId="50DE9B5D"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p>
        </w:tc>
      </w:tr>
      <w:tr w:rsidR="00D14F76" w:rsidRPr="001C58C6" w14:paraId="2E2EA7B0" w14:textId="77777777" w:rsidTr="00E40401">
        <w:tc>
          <w:tcPr>
            <w:cnfStyle w:val="001000000000" w:firstRow="0" w:lastRow="0" w:firstColumn="1" w:lastColumn="0" w:oddVBand="0" w:evenVBand="0" w:oddHBand="0" w:evenHBand="0" w:firstRowFirstColumn="0" w:firstRowLastColumn="0" w:lastRowFirstColumn="0" w:lastRowLastColumn="0"/>
            <w:tcW w:w="1392" w:type="pct"/>
          </w:tcPr>
          <w:p w14:paraId="69542AA6" w14:textId="77777777" w:rsidR="00D14F76" w:rsidRPr="001C58C6" w:rsidRDefault="00D14F76">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lastRenderedPageBreak/>
              <w:t>Prekogranični uticaj domaćih izvora emisija</w:t>
            </w:r>
          </w:p>
        </w:tc>
        <w:tc>
          <w:tcPr>
            <w:tcW w:w="3608" w:type="pct"/>
          </w:tcPr>
          <w:p w14:paraId="5CF5164B"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Zbog geografskog položaja Crne Gore prema susjednim zemljama, određeni domaći izvori emisija mogu imati prekogranični uticaj. Najznačajniji doprinos dolazi od energetskih postrojenja, saobraćaja, industrije i ložišta na čvrsta goriva, naročito u periodima nepovoljnih meteoroloških uslova.</w:t>
            </w:r>
          </w:p>
          <w:p w14:paraId="41651BFB"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Uticaj zagađujućih materija, naročito SO₂, NOₓ, PM₂.₅ i NMVOC, može doprinijeti povećanju koncentracija sekundarnih čestica i ozona u regionima zapadne Srbije, Albanije i Bosne i Hercegovine, kao i recipročnom uticaju emisija iz tih zemalja na crnogorski prostor.</w:t>
            </w:r>
          </w:p>
          <w:p w14:paraId="5EEF32C4"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Crna Gora učestvuje u regionalnim mehanizmima za razmjenu podataka u okviru Konvencije o prekograničnom zagađenju vazduha na velikim udaljenostima (CLRTAP – EMEP mreža) i redovno dostavlja podatke o emisijama i koncentracijama. Na osnovu dosadašnjih analiza, doprinos crnogorskih emisija ukupnom prekograničnom zagađenju je mali, ali se prepoznaje značaj saradnje u oblasti kontrole prekograničnog prenosa ozona i čestica.</w:t>
            </w:r>
          </w:p>
          <w:p w14:paraId="197B6717"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U okviru sprovođenja Programa mjera 2026–2029, planirano je jačanje regionalne saradnje, razmjene podataka i usklađivanja metodologija monitoringa i modelovanja atmosferskih kretanja, kako bi se obezbijedila procjena uticaja i pravovremeno informisanje javnosti.</w:t>
            </w:r>
          </w:p>
        </w:tc>
      </w:tr>
    </w:tbl>
    <w:p w14:paraId="4EE3C59B" w14:textId="77777777" w:rsidR="00D14F76" w:rsidRPr="001C58C6" w:rsidRDefault="00D14F76">
      <w:pPr>
        <w:shd w:val="clear" w:color="auto" w:fill="FFFFFF"/>
        <w:spacing w:line="312" w:lineRule="atLeast"/>
        <w:rPr>
          <w:rFonts w:ascii="Calibri" w:eastAsia="Times New Roman" w:hAnsi="Calibri" w:cs="Calibri"/>
          <w:color w:val="000000" w:themeColor="text1"/>
          <w:sz w:val="18"/>
          <w:szCs w:val="18"/>
        </w:rPr>
      </w:pPr>
    </w:p>
    <w:p w14:paraId="1320ADC4" w14:textId="77777777" w:rsidR="00D14F76" w:rsidRPr="001C58C6" w:rsidRDefault="00D14F76">
      <w:pPr>
        <w:shd w:val="clear" w:color="auto" w:fill="FFFFFF"/>
        <w:spacing w:line="312" w:lineRule="atLeast"/>
        <w:rPr>
          <w:rFonts w:ascii="Calibri" w:eastAsia="Times New Roman" w:hAnsi="Calibri" w:cs="Calibri"/>
          <w:color w:val="000000" w:themeColor="text1"/>
          <w:sz w:val="18"/>
          <w:szCs w:val="18"/>
        </w:rPr>
      </w:pPr>
    </w:p>
    <w:p w14:paraId="67B7059A" w14:textId="77777777" w:rsidR="00ED5DB4" w:rsidRPr="001C58C6" w:rsidRDefault="00ED5DB4">
      <w:pPr>
        <w:shd w:val="clear" w:color="auto" w:fill="FFFFFF"/>
        <w:spacing w:line="312" w:lineRule="atLeast"/>
        <w:rPr>
          <w:rFonts w:ascii="Calibri" w:eastAsia="Times New Roman" w:hAnsi="Calibri" w:cs="Calibri"/>
          <w:color w:val="000000" w:themeColor="text1"/>
          <w:sz w:val="18"/>
          <w:szCs w:val="18"/>
        </w:rPr>
      </w:pPr>
    </w:p>
    <w:p w14:paraId="735ED722" w14:textId="77777777" w:rsidR="00ED5DB4" w:rsidRPr="001C58C6" w:rsidRDefault="00ED5DB4">
      <w:pPr>
        <w:shd w:val="clear" w:color="auto" w:fill="FFFFFF"/>
        <w:spacing w:line="312" w:lineRule="atLeast"/>
        <w:rPr>
          <w:rFonts w:ascii="Calibri" w:eastAsia="Times New Roman" w:hAnsi="Calibri" w:cs="Calibri"/>
          <w:color w:val="000000" w:themeColor="text1"/>
          <w:sz w:val="18"/>
          <w:szCs w:val="18"/>
        </w:rPr>
      </w:pPr>
    </w:p>
    <w:p w14:paraId="18702CAA" w14:textId="77777777" w:rsidR="00D14F76" w:rsidRPr="001C58C6" w:rsidRDefault="00D14F76">
      <w:pPr>
        <w:shd w:val="clear" w:color="auto" w:fill="FFFFFF"/>
        <w:spacing w:before="240" w:after="120" w:line="312" w:lineRule="atLeast"/>
        <w:rPr>
          <w:rFonts w:ascii="Calibri" w:eastAsia="Times New Roman" w:hAnsi="Calibri" w:cs="Calibri"/>
          <w:b/>
          <w:bCs/>
          <w:color w:val="000000" w:themeColor="text1"/>
          <w:szCs w:val="24"/>
        </w:rPr>
      </w:pPr>
      <w:r w:rsidRPr="001C58C6">
        <w:rPr>
          <w:rFonts w:ascii="Calibri" w:eastAsia="Times New Roman" w:hAnsi="Calibri" w:cs="Calibri"/>
          <w:b/>
          <w:bCs/>
          <w:color w:val="000000" w:themeColor="text1"/>
          <w:szCs w:val="24"/>
        </w:rPr>
        <w:t>2.2.3.   </w:t>
      </w:r>
      <w:r w:rsidRPr="001C58C6">
        <w:rPr>
          <w:rFonts w:ascii="Calibri" w:eastAsia="Times New Roman" w:hAnsi="Calibri" w:cs="Calibri"/>
          <w:b/>
          <w:bCs/>
          <w:i/>
          <w:iCs/>
          <w:color w:val="000000" w:themeColor="text1"/>
          <w:szCs w:val="24"/>
        </w:rPr>
        <w:t>Projektovani dalji razvoj do 2030. uz pretpostavku da ne bude izmjena već donesenih politika i mjera</w:t>
      </w:r>
    </w:p>
    <w:tbl>
      <w:tblPr>
        <w:tblStyle w:val="GridTable1Light-Accent1"/>
        <w:tblW w:w="5000" w:type="pct"/>
        <w:tblLook w:val="04A0" w:firstRow="1" w:lastRow="0" w:firstColumn="1" w:lastColumn="0" w:noHBand="0" w:noVBand="1"/>
      </w:tblPr>
      <w:tblGrid>
        <w:gridCol w:w="3206"/>
        <w:gridCol w:w="5810"/>
      </w:tblGrid>
      <w:tr w:rsidR="00D14F76" w:rsidRPr="001C58C6" w14:paraId="0DB11A5A" w14:textId="77777777" w:rsidTr="00E404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8" w:type="pct"/>
          </w:tcPr>
          <w:p w14:paraId="226E2C3C" w14:textId="77777777" w:rsidR="00D14F76" w:rsidRPr="001C58C6" w:rsidRDefault="00D14F76">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Predviđene emisije i smanjenja emisija (projekcije sa mjerama)</w:t>
            </w:r>
          </w:p>
        </w:tc>
        <w:tc>
          <w:tcPr>
            <w:tcW w:w="3222" w:type="pct"/>
          </w:tcPr>
          <w:p w14:paraId="77A3AF4B"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Projekcije emisija u WEM scenariju zasnivaju se na sprovođenju postojećih zakonskih i podzakonskih akata, važećih tehničkih standarda i aktuelnih sektorskih politika u oblasti energetike, saobraćaja, industrije i zaštite životne sredine. Scenario ne uključuje dodatne mjere planirane u okviru Programa za period 2026–2029.</w:t>
            </w:r>
          </w:p>
          <w:p w14:paraId="5D88C49C"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U poređenju sa baznom 2005. godinom, očekuje se djelimično smanjenje emisija do 2029. godine, prvenstveno zahvaljujući tehnološkim unapređenjima u industriji i modernizaciji vozila, dok će u sektorima grijanja domaćinstava i poljoprivrede napredak biti ograničen. Procijenjeni ukupni efekti smanjenja emisija su sljedeći:</w:t>
            </w:r>
          </w:p>
          <w:p w14:paraId="62EB71F5" w14:textId="77777777" w:rsidR="00D14F76" w:rsidRPr="001C58C6" w:rsidRDefault="00D14F76" w:rsidP="00E53052">
            <w:pPr>
              <w:pStyle w:val="ListParagraph"/>
              <w:numPr>
                <w:ilvl w:val="0"/>
                <w:numId w:val="57"/>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SO₂ – smanjenje za oko 80–85%,</w:t>
            </w:r>
          </w:p>
          <w:p w14:paraId="7D7FA34F" w14:textId="77777777" w:rsidR="00D14F76" w:rsidRPr="001C58C6" w:rsidRDefault="00D14F76" w:rsidP="00E53052">
            <w:pPr>
              <w:pStyle w:val="ListParagraph"/>
              <w:numPr>
                <w:ilvl w:val="0"/>
                <w:numId w:val="57"/>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NOₓ – smanjenje za 5–10%,</w:t>
            </w:r>
          </w:p>
          <w:p w14:paraId="24A90FB4" w14:textId="77777777" w:rsidR="00D14F76" w:rsidRPr="001C58C6" w:rsidRDefault="00D14F76" w:rsidP="00E53052">
            <w:pPr>
              <w:pStyle w:val="ListParagraph"/>
              <w:numPr>
                <w:ilvl w:val="0"/>
                <w:numId w:val="57"/>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NMVOC – smanjenje za 5–10%,</w:t>
            </w:r>
          </w:p>
          <w:p w14:paraId="04CC2591" w14:textId="77777777" w:rsidR="00D14F76" w:rsidRPr="001C58C6" w:rsidRDefault="00D14F76" w:rsidP="00E53052">
            <w:pPr>
              <w:pStyle w:val="ListParagraph"/>
              <w:numPr>
                <w:ilvl w:val="0"/>
                <w:numId w:val="57"/>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NH₃ – smanjenje za 25–30%,</w:t>
            </w:r>
          </w:p>
          <w:p w14:paraId="26C9CF7E" w14:textId="77777777" w:rsidR="00D14F76" w:rsidRPr="001C58C6" w:rsidRDefault="00D14F76" w:rsidP="00E53052">
            <w:pPr>
              <w:pStyle w:val="ListParagraph"/>
              <w:numPr>
                <w:ilvl w:val="0"/>
                <w:numId w:val="57"/>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PM₂.₅ – smanjenje za 0–5%.</w:t>
            </w:r>
          </w:p>
          <w:p w14:paraId="2729E7DF"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b w:val="0"/>
                <w:bCs w:val="0"/>
                <w:color w:val="000000" w:themeColor="text1"/>
                <w:sz w:val="20"/>
                <w:szCs w:val="20"/>
              </w:rPr>
              <w:t>Iako ovi rezultati predstavljaju napredak u odnosu na početno stanje, WEM scenario ne omogućava potpuno ispunjenje obaveza smanjenja emisija prema ciljevima definisanim u okviru međunarodnih sporazuma i EU NEC Direktive, posebno nakon 2030. godine.</w:t>
            </w:r>
          </w:p>
        </w:tc>
      </w:tr>
      <w:tr w:rsidR="00D14F76" w:rsidRPr="001C58C6" w14:paraId="57AA9A5C" w14:textId="77777777" w:rsidTr="00E40401">
        <w:tc>
          <w:tcPr>
            <w:cnfStyle w:val="001000000000" w:firstRow="0" w:lastRow="0" w:firstColumn="1" w:lastColumn="0" w:oddVBand="0" w:evenVBand="0" w:oddHBand="0" w:evenHBand="0" w:firstRowFirstColumn="0" w:firstRowLastColumn="0" w:lastRowFirstColumn="0" w:lastRowLastColumn="0"/>
            <w:tcW w:w="1778" w:type="pct"/>
          </w:tcPr>
          <w:p w14:paraId="5E4C94FB" w14:textId="77777777" w:rsidR="00D14F76" w:rsidRPr="001C58C6" w:rsidRDefault="00D14F76">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Projektovani uticaj na poboljšanje kvaliteta vazduha (projekcije sa mjerama)</w:t>
            </w:r>
          </w:p>
        </w:tc>
        <w:tc>
          <w:tcPr>
            <w:tcW w:w="3222" w:type="pct"/>
          </w:tcPr>
          <w:p w14:paraId="3AFC5A6B"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Primjenom postojećih mjera očekuje se umjereno poboljšanje kvaliteta vazduha, ali nedovoljno da se u potpunosti dostignu granične vrijednosti koncentracija u svim urbanim sredinama. Analize pokazuju da će do 2029. godine:</w:t>
            </w:r>
          </w:p>
          <w:p w14:paraId="7E2590A9" w14:textId="77777777" w:rsidR="00D14F76" w:rsidRPr="001C58C6" w:rsidRDefault="00D14F76" w:rsidP="00E53052">
            <w:pPr>
              <w:pStyle w:val="ListParagraph"/>
              <w:numPr>
                <w:ilvl w:val="0"/>
                <w:numId w:val="58"/>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prosječne godišnje koncentracije PM₂.₅ biti smanjene za 0–5% u odnosu na 2005. godinu,</w:t>
            </w:r>
          </w:p>
          <w:p w14:paraId="022BA2C7" w14:textId="77777777" w:rsidR="00D14F76" w:rsidRPr="001C58C6" w:rsidRDefault="00D14F76" w:rsidP="00E53052">
            <w:pPr>
              <w:pStyle w:val="ListParagraph"/>
              <w:numPr>
                <w:ilvl w:val="0"/>
                <w:numId w:val="58"/>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koncentracije NOx za oko 5–10%,</w:t>
            </w:r>
          </w:p>
          <w:p w14:paraId="5F1057AD" w14:textId="77777777" w:rsidR="00D14F76" w:rsidRPr="001C58C6" w:rsidRDefault="00D14F76" w:rsidP="00E53052">
            <w:pPr>
              <w:pStyle w:val="ListParagraph"/>
              <w:numPr>
                <w:ilvl w:val="0"/>
                <w:numId w:val="58"/>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SO₂ će biti smanjen za 90% u odnosu na baznu godinu, ali većinom zahvaljujući ekološkoj rekonstrukciji TE Pljevlja,</w:t>
            </w:r>
          </w:p>
          <w:p w14:paraId="11006836"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lastRenderedPageBreak/>
              <w:t>Iako će se u pojedinim područjima (npr. Podgorica, Nikšić, južna regija) broj dana sa prekoračenjima PM₂.₅ smanjiti, u Pljevljima, Bijelom Polju i sjevernim opštinama prekoračenja će i dalje biti česta, zbog lokalnih izvora iz ložišta i saobraćaja. Ukupan napredak kvaliteta vazduha u WEM scenariju je ograničen i nedovoljan za postizanje trajno čistog vazduha u urbanim centrima.</w:t>
            </w:r>
          </w:p>
        </w:tc>
      </w:tr>
      <w:tr w:rsidR="00D14F76" w:rsidRPr="001C58C6" w14:paraId="42F898E9" w14:textId="77777777" w:rsidTr="00E40401">
        <w:tc>
          <w:tcPr>
            <w:cnfStyle w:val="001000000000" w:firstRow="0" w:lastRow="0" w:firstColumn="1" w:lastColumn="0" w:oddVBand="0" w:evenVBand="0" w:oddHBand="0" w:evenHBand="0" w:firstRowFirstColumn="0" w:firstRowLastColumn="0" w:lastRowFirstColumn="0" w:lastRowLastColumn="0"/>
            <w:tcW w:w="1778" w:type="pct"/>
          </w:tcPr>
          <w:p w14:paraId="46F0A4D9" w14:textId="77777777" w:rsidR="00D14F76" w:rsidRPr="001C58C6" w:rsidRDefault="00D14F76">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lastRenderedPageBreak/>
              <w:t>Nepouzdanosti</w:t>
            </w:r>
          </w:p>
        </w:tc>
        <w:tc>
          <w:tcPr>
            <w:tcW w:w="3222" w:type="pct"/>
          </w:tcPr>
          <w:p w14:paraId="18F0E21D"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Projekcije emisija i kvaliteta vazduha za WEM scenario u odnosu na 2005. godinu nose značajan nivo nepouzdanosti, usljed:</w:t>
            </w:r>
          </w:p>
          <w:p w14:paraId="6C1F3EBC" w14:textId="77777777" w:rsidR="00D14F76" w:rsidRPr="001C58C6" w:rsidRDefault="00D14F76" w:rsidP="00E53052">
            <w:pPr>
              <w:pStyle w:val="ListParagraph"/>
              <w:numPr>
                <w:ilvl w:val="0"/>
                <w:numId w:val="59"/>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pretpostavki o ekonomskom rastu, potrošnji goriva i strukturi energetskog miksa,</w:t>
            </w:r>
          </w:p>
          <w:p w14:paraId="05B6A817" w14:textId="77777777" w:rsidR="00D14F76" w:rsidRPr="001C58C6" w:rsidRDefault="00D14F76" w:rsidP="00E53052">
            <w:pPr>
              <w:pStyle w:val="ListParagraph"/>
              <w:numPr>
                <w:ilvl w:val="0"/>
                <w:numId w:val="59"/>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varijacija u meteorološkim uslovima koji utiču na disperziju zagađenja (temperaturne inverzije, vjetar, padavine),</w:t>
            </w:r>
          </w:p>
          <w:p w14:paraId="4B5B1C26" w14:textId="77777777" w:rsidR="00D14F76" w:rsidRPr="001C58C6" w:rsidRDefault="00D14F76" w:rsidP="00E53052">
            <w:pPr>
              <w:pStyle w:val="ListParagraph"/>
              <w:numPr>
                <w:ilvl w:val="0"/>
                <w:numId w:val="59"/>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stepena sprovođenja i nadzora nad postojećim propisima u praksi,</w:t>
            </w:r>
          </w:p>
          <w:p w14:paraId="0153B493" w14:textId="77777777" w:rsidR="00D14F76" w:rsidRPr="001C58C6" w:rsidRDefault="00D14F76" w:rsidP="00E53052">
            <w:pPr>
              <w:pStyle w:val="ListParagraph"/>
              <w:numPr>
                <w:ilvl w:val="0"/>
                <w:numId w:val="59"/>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tehničkih i statističkih razlika u procjeni emisija između sektora i godina.</w:t>
            </w:r>
          </w:p>
          <w:p w14:paraId="03432BEB"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Zbog toga će se podaci redovno ažurirati i provjeravati kroz nacionalni sistem monitoringa emisija (PRTR, CLRTAP) i izvještavanje Agencije za zaštitu životne sredine, čime će se obezbijediti realnija osnova za procjenu efekata mjera (WEM scenario) i za planiranje novih politika nakon 2030. godine.</w:t>
            </w:r>
          </w:p>
        </w:tc>
      </w:tr>
    </w:tbl>
    <w:p w14:paraId="560EED02" w14:textId="77777777" w:rsidR="00D14F76" w:rsidRPr="001C58C6" w:rsidRDefault="00D14F76">
      <w:pPr>
        <w:shd w:val="clear" w:color="auto" w:fill="FFFFFF"/>
        <w:spacing w:line="312" w:lineRule="atLeast"/>
        <w:rPr>
          <w:rFonts w:ascii="Calibri" w:eastAsia="Times New Roman" w:hAnsi="Calibri" w:cs="Calibri"/>
          <w:color w:val="000000" w:themeColor="text1"/>
          <w:sz w:val="18"/>
          <w:szCs w:val="18"/>
        </w:rPr>
      </w:pPr>
    </w:p>
    <w:p w14:paraId="15A74676" w14:textId="77777777" w:rsidR="00D14F76" w:rsidRPr="001C58C6" w:rsidRDefault="00D14F76">
      <w:pPr>
        <w:shd w:val="clear" w:color="auto" w:fill="FFFFFF"/>
        <w:spacing w:before="240" w:after="120" w:line="312" w:lineRule="atLeast"/>
        <w:rPr>
          <w:rFonts w:ascii="Calibri" w:eastAsia="Times New Roman" w:hAnsi="Calibri" w:cs="Calibri"/>
          <w:b/>
          <w:bCs/>
          <w:color w:val="000000" w:themeColor="text1"/>
          <w:szCs w:val="24"/>
        </w:rPr>
      </w:pPr>
      <w:r w:rsidRPr="001C58C6">
        <w:rPr>
          <w:rFonts w:ascii="Calibri" w:eastAsia="Times New Roman" w:hAnsi="Calibri" w:cs="Calibri"/>
          <w:b/>
          <w:bCs/>
          <w:color w:val="000000" w:themeColor="text1"/>
          <w:szCs w:val="24"/>
        </w:rPr>
        <w:t>2.2.4.   </w:t>
      </w:r>
      <w:r w:rsidRPr="001C58C6">
        <w:rPr>
          <w:rFonts w:ascii="Calibri" w:eastAsia="Times New Roman" w:hAnsi="Calibri" w:cs="Calibri"/>
          <w:b/>
          <w:bCs/>
          <w:i/>
          <w:iCs/>
          <w:color w:val="000000" w:themeColor="text1"/>
          <w:szCs w:val="24"/>
        </w:rPr>
        <w:t>Razmatrane opcije politike za ispunjenje obaveza smanjenja emisija za 2030.</w:t>
      </w:r>
    </w:p>
    <w:tbl>
      <w:tblPr>
        <w:tblStyle w:val="GridTable1Light-Accent1"/>
        <w:tblW w:w="5000" w:type="pct"/>
        <w:tblLook w:val="04A0" w:firstRow="1" w:lastRow="0" w:firstColumn="1" w:lastColumn="0" w:noHBand="0" w:noVBand="1"/>
      </w:tblPr>
      <w:tblGrid>
        <w:gridCol w:w="3206"/>
        <w:gridCol w:w="5810"/>
      </w:tblGrid>
      <w:tr w:rsidR="00D14F76" w:rsidRPr="001C58C6" w14:paraId="13A7AC05" w14:textId="77777777" w:rsidTr="00E404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8" w:type="pct"/>
          </w:tcPr>
          <w:p w14:paraId="4D46E373" w14:textId="77777777" w:rsidR="00D14F76" w:rsidRPr="001C58C6" w:rsidRDefault="00D14F76">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Glavne grupe razmatranih opcija politike</w:t>
            </w:r>
          </w:p>
        </w:tc>
        <w:tc>
          <w:tcPr>
            <w:tcW w:w="3222" w:type="pct"/>
          </w:tcPr>
          <w:p w14:paraId="339090AA"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Analizirane su sljedeće grupe politika i mjera:</w:t>
            </w:r>
          </w:p>
          <w:p w14:paraId="4C0A9416" w14:textId="77777777" w:rsidR="00D14F76" w:rsidRPr="001C58C6" w:rsidRDefault="00D14F76" w:rsidP="00E53052">
            <w:pPr>
              <w:pStyle w:val="ListParagraph"/>
              <w:numPr>
                <w:ilvl w:val="0"/>
                <w:numId w:val="60"/>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Energetika: rekonstrukcija TE Pljevlja i plan budućeg angažovanja, nove i dodatne OIE elektrane, OIE aukcije, razvoj CP/ETS mehanizama, obnova mHE</w:t>
            </w:r>
          </w:p>
          <w:p w14:paraId="4CDFF106" w14:textId="77777777" w:rsidR="00D14F76" w:rsidRPr="001C58C6" w:rsidRDefault="00D14F76" w:rsidP="00E53052">
            <w:pPr>
              <w:pStyle w:val="ListParagraph"/>
              <w:numPr>
                <w:ilvl w:val="0"/>
                <w:numId w:val="60"/>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Zgrade i domaćinstva: daljinsko grijanje u Pljevljima, energetska efikasnost u zgradama, prozjumeri</w:t>
            </w:r>
          </w:p>
          <w:p w14:paraId="462E55A3" w14:textId="77777777" w:rsidR="00D14F76" w:rsidRPr="001C58C6" w:rsidRDefault="00D14F76" w:rsidP="00E53052">
            <w:pPr>
              <w:pStyle w:val="ListParagraph"/>
              <w:numPr>
                <w:ilvl w:val="0"/>
                <w:numId w:val="60"/>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Saobraćaj: promocija e-mobilnosti, obavezni udio biogoriva, zabrana uvoza vozila Euro 4 i nižeg, modalni prelaz na javni prevoz i željeznicu</w:t>
            </w:r>
          </w:p>
          <w:p w14:paraId="7A981B9D" w14:textId="77777777" w:rsidR="00D14F76" w:rsidRPr="001C58C6" w:rsidRDefault="00D14F76" w:rsidP="00E53052">
            <w:pPr>
              <w:pStyle w:val="ListParagraph"/>
              <w:numPr>
                <w:ilvl w:val="0"/>
                <w:numId w:val="60"/>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Industrija: prozjumeri i biogoriva u industriji, hibridne specijalne radne mašine</w:t>
            </w:r>
          </w:p>
          <w:p w14:paraId="3868483A" w14:textId="77777777" w:rsidR="00D14F76" w:rsidRPr="001C58C6" w:rsidRDefault="00D14F76" w:rsidP="00E53052">
            <w:pPr>
              <w:pStyle w:val="ListParagraph"/>
              <w:numPr>
                <w:ilvl w:val="0"/>
                <w:numId w:val="60"/>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Poljoprivreda i otpad: podrška organskoj poljoprivredi, upravljanje stajskim đubrivom, smanjenje biootpada, povećanje priključenosti na kanalizaciju.</w:t>
            </w:r>
          </w:p>
        </w:tc>
      </w:tr>
    </w:tbl>
    <w:p w14:paraId="227EF237" w14:textId="77777777" w:rsidR="00D14F76" w:rsidRPr="001C58C6" w:rsidRDefault="00D14F76">
      <w:pPr>
        <w:shd w:val="clear" w:color="auto" w:fill="FFFFFF"/>
        <w:spacing w:line="312" w:lineRule="atLeast"/>
        <w:rPr>
          <w:rFonts w:ascii="Calibri" w:eastAsia="Times New Roman" w:hAnsi="Calibri" w:cs="Calibri"/>
          <w:color w:val="000000" w:themeColor="text1"/>
          <w:sz w:val="18"/>
          <w:szCs w:val="18"/>
        </w:rPr>
      </w:pPr>
    </w:p>
    <w:p w14:paraId="7B1EFCDF" w14:textId="77777777" w:rsidR="00D14F76" w:rsidRPr="001C58C6" w:rsidRDefault="00D14F76">
      <w:pPr>
        <w:shd w:val="clear" w:color="auto" w:fill="FFFFFF"/>
        <w:spacing w:before="240" w:after="120" w:line="312" w:lineRule="atLeast"/>
        <w:rPr>
          <w:rFonts w:ascii="Calibri" w:eastAsia="Times New Roman" w:hAnsi="Calibri" w:cs="Calibri"/>
          <w:b/>
          <w:bCs/>
          <w:color w:val="000000" w:themeColor="text1"/>
          <w:szCs w:val="24"/>
        </w:rPr>
      </w:pPr>
      <w:r w:rsidRPr="001C58C6">
        <w:rPr>
          <w:rFonts w:ascii="Calibri" w:eastAsia="Times New Roman" w:hAnsi="Calibri" w:cs="Calibri"/>
          <w:b/>
          <w:bCs/>
          <w:color w:val="000000" w:themeColor="text1"/>
          <w:szCs w:val="24"/>
        </w:rPr>
        <w:t>2.2.5.   </w:t>
      </w:r>
      <w:r w:rsidRPr="001C58C6">
        <w:rPr>
          <w:rFonts w:ascii="Calibri" w:eastAsia="Times New Roman" w:hAnsi="Calibri" w:cs="Calibri"/>
          <w:b/>
          <w:bCs/>
          <w:i/>
          <w:iCs/>
          <w:color w:val="000000" w:themeColor="text1"/>
          <w:szCs w:val="24"/>
        </w:rPr>
        <w:t>Rezime politika i mjera odabranih za donošenje po sektoru, uključujući raspored za njihovo donošenje, sprovođenje i preispitivanje i odgovorna nadležna tijela</w:t>
      </w:r>
    </w:p>
    <w:tbl>
      <w:tblPr>
        <w:tblStyle w:val="GridTable1Light-Accent1"/>
        <w:tblW w:w="5000" w:type="pct"/>
        <w:tblCellMar>
          <w:left w:w="57" w:type="dxa"/>
          <w:right w:w="28" w:type="dxa"/>
        </w:tblCellMar>
        <w:tblLook w:val="04A0" w:firstRow="1" w:lastRow="0" w:firstColumn="1" w:lastColumn="0" w:noHBand="0" w:noVBand="1"/>
      </w:tblPr>
      <w:tblGrid>
        <w:gridCol w:w="1319"/>
        <w:gridCol w:w="2344"/>
        <w:gridCol w:w="1840"/>
        <w:gridCol w:w="1656"/>
        <w:gridCol w:w="1857"/>
      </w:tblGrid>
      <w:tr w:rsidR="001C58C6" w:rsidRPr="001C58C6" w14:paraId="759DA764" w14:textId="77777777" w:rsidTr="00E404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ED7EF7E" w14:textId="77777777" w:rsidR="00D14F76" w:rsidRPr="001C58C6" w:rsidRDefault="00D14F76">
            <w:pPr>
              <w:spacing w:before="60" w:after="60" w:line="312" w:lineRule="atLeast"/>
              <w:ind w:right="195"/>
              <w:jc w:val="center"/>
              <w:rPr>
                <w:rFonts w:ascii="Calibri" w:eastAsia="Times New Roman" w:hAnsi="Calibri" w:cs="Calibri"/>
                <w:b w:val="0"/>
                <w:bCs w:val="0"/>
                <w:color w:val="000000" w:themeColor="text1"/>
                <w:sz w:val="20"/>
                <w:szCs w:val="20"/>
              </w:rPr>
            </w:pPr>
            <w:r w:rsidRPr="001C58C6">
              <w:rPr>
                <w:rFonts w:ascii="Calibri" w:eastAsia="Times New Roman" w:hAnsi="Calibri" w:cs="Calibri"/>
                <w:color w:val="000000" w:themeColor="text1"/>
                <w:sz w:val="20"/>
                <w:szCs w:val="20"/>
              </w:rPr>
              <w:t>Obuhvaćeni sektor</w:t>
            </w:r>
          </w:p>
        </w:tc>
        <w:tc>
          <w:tcPr>
            <w:tcW w:w="0" w:type="auto"/>
            <w:gridSpan w:val="4"/>
          </w:tcPr>
          <w:p w14:paraId="6D0BB7F8" w14:textId="77777777" w:rsidR="00D14F76" w:rsidRPr="001C58C6" w:rsidRDefault="00D14F76">
            <w:pPr>
              <w:spacing w:before="60" w:after="60" w:line="312" w:lineRule="atLeast"/>
              <w:ind w:right="195"/>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color w:val="000000" w:themeColor="text1"/>
                <w:sz w:val="20"/>
                <w:szCs w:val="20"/>
              </w:rPr>
              <w:t>Politike i mjere</w:t>
            </w:r>
          </w:p>
        </w:tc>
      </w:tr>
      <w:tr w:rsidR="001C58C6" w:rsidRPr="001C58C6" w14:paraId="50DADF0C" w14:textId="77777777" w:rsidTr="00E40401">
        <w:tc>
          <w:tcPr>
            <w:cnfStyle w:val="001000000000" w:firstRow="0" w:lastRow="0" w:firstColumn="1" w:lastColumn="0" w:oddVBand="0" w:evenVBand="0" w:oddHBand="0" w:evenHBand="0" w:firstRowFirstColumn="0" w:firstRowLastColumn="0" w:lastRowFirstColumn="0" w:lastRowLastColumn="0"/>
            <w:tcW w:w="0" w:type="auto"/>
            <w:vMerge/>
          </w:tcPr>
          <w:p w14:paraId="3C2BA2BC" w14:textId="77777777" w:rsidR="00D14F76" w:rsidRPr="001C58C6" w:rsidRDefault="00D14F76">
            <w:pPr>
              <w:rPr>
                <w:rFonts w:ascii="Calibri" w:eastAsia="Times New Roman" w:hAnsi="Calibri" w:cs="Calibri"/>
                <w:b w:val="0"/>
                <w:bCs w:val="0"/>
                <w:color w:val="000000" w:themeColor="text1"/>
                <w:sz w:val="20"/>
                <w:szCs w:val="20"/>
              </w:rPr>
            </w:pPr>
          </w:p>
        </w:tc>
        <w:tc>
          <w:tcPr>
            <w:tcW w:w="0" w:type="auto"/>
          </w:tcPr>
          <w:p w14:paraId="710EE66D" w14:textId="77777777" w:rsidR="00D14F76" w:rsidRPr="001C58C6" w:rsidRDefault="00D14F76">
            <w:pPr>
              <w:spacing w:before="60" w:after="60" w:line="312" w:lineRule="atLeast"/>
              <w:ind w:right="195"/>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20"/>
                <w:szCs w:val="20"/>
              </w:rPr>
            </w:pPr>
            <w:r w:rsidRPr="001C58C6">
              <w:rPr>
                <w:rFonts w:ascii="Calibri" w:eastAsia="Times New Roman" w:hAnsi="Calibri" w:cs="Calibri"/>
                <w:b/>
                <w:bCs/>
                <w:color w:val="000000" w:themeColor="text1"/>
                <w:sz w:val="20"/>
                <w:szCs w:val="20"/>
              </w:rPr>
              <w:t>Odabrane politike i mjere</w:t>
            </w:r>
          </w:p>
        </w:tc>
        <w:tc>
          <w:tcPr>
            <w:tcW w:w="0" w:type="auto"/>
          </w:tcPr>
          <w:p w14:paraId="63AAE585" w14:textId="77777777" w:rsidR="00D14F76" w:rsidRPr="001C58C6" w:rsidRDefault="00D14F76">
            <w:pPr>
              <w:spacing w:before="60" w:after="60" w:line="312" w:lineRule="atLeast"/>
              <w:ind w:right="195"/>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20"/>
                <w:szCs w:val="20"/>
              </w:rPr>
            </w:pPr>
            <w:r w:rsidRPr="001C58C6">
              <w:rPr>
                <w:rFonts w:ascii="Calibri" w:eastAsia="Times New Roman" w:hAnsi="Calibri" w:cs="Calibri"/>
                <w:b/>
                <w:bCs/>
                <w:color w:val="000000" w:themeColor="text1"/>
                <w:sz w:val="20"/>
                <w:szCs w:val="20"/>
              </w:rPr>
              <w:t>Raspored za sprovođenje odabranih politika i mjera</w:t>
            </w:r>
          </w:p>
        </w:tc>
        <w:tc>
          <w:tcPr>
            <w:tcW w:w="0" w:type="auto"/>
          </w:tcPr>
          <w:p w14:paraId="2E341E52" w14:textId="77777777" w:rsidR="00D14F76" w:rsidRPr="001C58C6" w:rsidRDefault="00D14F76">
            <w:pPr>
              <w:spacing w:before="60" w:after="60" w:line="312" w:lineRule="atLeast"/>
              <w:ind w:right="195"/>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20"/>
                <w:szCs w:val="20"/>
              </w:rPr>
            </w:pPr>
            <w:r w:rsidRPr="001C58C6">
              <w:rPr>
                <w:rFonts w:ascii="Calibri" w:eastAsia="Times New Roman" w:hAnsi="Calibri" w:cs="Calibri"/>
                <w:b/>
                <w:bCs/>
                <w:color w:val="000000" w:themeColor="text1"/>
                <w:sz w:val="20"/>
                <w:szCs w:val="20"/>
              </w:rPr>
              <w:t>Nadležna tijela zadužena za sprovođenje i izvršenje odabranih politika i mjera</w:t>
            </w:r>
          </w:p>
        </w:tc>
        <w:tc>
          <w:tcPr>
            <w:tcW w:w="0" w:type="auto"/>
          </w:tcPr>
          <w:p w14:paraId="207C050F" w14:textId="77777777" w:rsidR="00D14F76" w:rsidRPr="001C58C6" w:rsidRDefault="00D14F76">
            <w:pPr>
              <w:spacing w:before="60" w:after="60" w:line="312" w:lineRule="atLeast"/>
              <w:ind w:right="195"/>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20"/>
                <w:szCs w:val="20"/>
              </w:rPr>
            </w:pPr>
            <w:r w:rsidRPr="001C58C6">
              <w:rPr>
                <w:rFonts w:ascii="Calibri" w:eastAsia="Times New Roman" w:hAnsi="Calibri" w:cs="Calibri"/>
                <w:b/>
                <w:bCs/>
                <w:color w:val="000000" w:themeColor="text1"/>
                <w:sz w:val="20"/>
                <w:szCs w:val="20"/>
              </w:rPr>
              <w:t>Raspored za preispitivanje odabranih politika i mjera</w:t>
            </w:r>
          </w:p>
        </w:tc>
      </w:tr>
      <w:tr w:rsidR="001C58C6" w:rsidRPr="001C58C6" w14:paraId="0525C283" w14:textId="77777777" w:rsidTr="00E40401">
        <w:tc>
          <w:tcPr>
            <w:cnfStyle w:val="001000000000" w:firstRow="0" w:lastRow="0" w:firstColumn="1" w:lastColumn="0" w:oddVBand="0" w:evenVBand="0" w:oddHBand="0" w:evenHBand="0" w:firstRowFirstColumn="0" w:firstRowLastColumn="0" w:lastRowFirstColumn="0" w:lastRowLastColumn="0"/>
            <w:tcW w:w="0" w:type="auto"/>
          </w:tcPr>
          <w:p w14:paraId="77ABBDF3" w14:textId="77777777" w:rsidR="00D14F76" w:rsidRPr="001C58C6" w:rsidRDefault="00D14F76">
            <w:pPr>
              <w:rPr>
                <w:rFonts w:ascii="Calibri" w:eastAsia="Times New Roman" w:hAnsi="Calibri" w:cs="Calibri"/>
                <w:b w:val="0"/>
                <w:bCs w:val="0"/>
                <w:color w:val="000000" w:themeColor="text1"/>
                <w:sz w:val="20"/>
                <w:szCs w:val="20"/>
              </w:rPr>
            </w:pPr>
            <w:r w:rsidRPr="001C58C6">
              <w:rPr>
                <w:rFonts w:ascii="Calibri" w:hAnsi="Calibri" w:cs="Calibri"/>
                <w:color w:val="000000" w:themeColor="text1"/>
                <w:sz w:val="20"/>
                <w:szCs w:val="20"/>
              </w:rPr>
              <w:t>Snabdijevanje energijom</w:t>
            </w:r>
          </w:p>
        </w:tc>
        <w:tc>
          <w:tcPr>
            <w:tcW w:w="0" w:type="auto"/>
          </w:tcPr>
          <w:p w14:paraId="12A31761"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 xml:space="preserve">Postojeće IPPC dozvole i NERP obaveze za velika ložišta; primjena zahtjeva za sadržaj </w:t>
            </w:r>
            <w:r w:rsidRPr="001C58C6">
              <w:rPr>
                <w:rFonts w:ascii="Calibri" w:hAnsi="Calibri" w:cs="Calibri"/>
                <w:color w:val="000000" w:themeColor="text1"/>
                <w:sz w:val="20"/>
                <w:szCs w:val="20"/>
              </w:rPr>
              <w:lastRenderedPageBreak/>
              <w:t>sumpora u gorivima; postojeći planovi modernizacije TE.</w:t>
            </w:r>
          </w:p>
        </w:tc>
        <w:tc>
          <w:tcPr>
            <w:tcW w:w="0" w:type="auto"/>
          </w:tcPr>
          <w:p w14:paraId="15C4A0B5"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lastRenderedPageBreak/>
              <w:t xml:space="preserve">Kontinuirano, u skladu sa važećim dozvolama i </w:t>
            </w:r>
            <w:r w:rsidRPr="001C58C6">
              <w:rPr>
                <w:rFonts w:ascii="Calibri" w:hAnsi="Calibri" w:cs="Calibri"/>
                <w:color w:val="000000" w:themeColor="text1"/>
                <w:sz w:val="20"/>
                <w:szCs w:val="20"/>
              </w:rPr>
              <w:lastRenderedPageBreak/>
              <w:t>planovima operatora, okvirno do 2030.</w:t>
            </w:r>
          </w:p>
        </w:tc>
        <w:tc>
          <w:tcPr>
            <w:tcW w:w="0" w:type="auto"/>
          </w:tcPr>
          <w:p w14:paraId="335609A2"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lastRenderedPageBreak/>
              <w:t xml:space="preserve">MEIR; MERS; EPA; operatori energetskih </w:t>
            </w:r>
            <w:r w:rsidRPr="001C58C6">
              <w:rPr>
                <w:rFonts w:ascii="Calibri" w:hAnsi="Calibri" w:cs="Calibri"/>
                <w:color w:val="000000" w:themeColor="text1"/>
                <w:sz w:val="20"/>
                <w:szCs w:val="20"/>
              </w:rPr>
              <w:lastRenderedPageBreak/>
              <w:t>postrojenja (EPCG i dr.).</w:t>
            </w:r>
          </w:p>
        </w:tc>
        <w:tc>
          <w:tcPr>
            <w:tcW w:w="0" w:type="auto"/>
          </w:tcPr>
          <w:p w14:paraId="06BC6971"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lastRenderedPageBreak/>
              <w:t>Periodično, kroz reviziju IPPC dozvola i godišnje izvještaje o emisijama.</w:t>
            </w:r>
          </w:p>
        </w:tc>
      </w:tr>
      <w:tr w:rsidR="001C58C6" w:rsidRPr="001C58C6" w14:paraId="6555EA14" w14:textId="77777777" w:rsidTr="00E40401">
        <w:tc>
          <w:tcPr>
            <w:cnfStyle w:val="001000000000" w:firstRow="0" w:lastRow="0" w:firstColumn="1" w:lastColumn="0" w:oddVBand="0" w:evenVBand="0" w:oddHBand="0" w:evenHBand="0" w:firstRowFirstColumn="0" w:firstRowLastColumn="0" w:lastRowFirstColumn="0" w:lastRowLastColumn="0"/>
            <w:tcW w:w="0" w:type="auto"/>
          </w:tcPr>
          <w:p w14:paraId="14A3C062" w14:textId="77777777" w:rsidR="00D14F76" w:rsidRPr="001C58C6" w:rsidRDefault="00D14F76">
            <w:pPr>
              <w:rPr>
                <w:rFonts w:ascii="Calibri" w:eastAsia="Times New Roman" w:hAnsi="Calibri" w:cs="Calibri"/>
                <w:b w:val="0"/>
                <w:bCs w:val="0"/>
                <w:color w:val="000000" w:themeColor="text1"/>
                <w:sz w:val="20"/>
                <w:szCs w:val="20"/>
              </w:rPr>
            </w:pPr>
            <w:r w:rsidRPr="001C58C6">
              <w:rPr>
                <w:rFonts w:ascii="Calibri" w:hAnsi="Calibri" w:cs="Calibri"/>
                <w:color w:val="000000" w:themeColor="text1"/>
                <w:sz w:val="20"/>
                <w:szCs w:val="20"/>
              </w:rPr>
              <w:t>Potrošnja energije</w:t>
            </w:r>
          </w:p>
        </w:tc>
        <w:tc>
          <w:tcPr>
            <w:tcW w:w="0" w:type="auto"/>
          </w:tcPr>
          <w:p w14:paraId="69182A31"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Primjena važećeg Zakona o energetskoj efikasnosti; postojeći programi subvencija za EE u javnim objektima; primjena minimalnih zahtjeva za nove zgrade.</w:t>
            </w:r>
          </w:p>
        </w:tc>
        <w:tc>
          <w:tcPr>
            <w:tcW w:w="0" w:type="auto"/>
          </w:tcPr>
          <w:p w14:paraId="5F179BA6"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Kontinuirano, kroz realizaciju postojećih programa i projekata u periodu 2020–2030.</w:t>
            </w:r>
          </w:p>
        </w:tc>
        <w:tc>
          <w:tcPr>
            <w:tcW w:w="0" w:type="auto"/>
          </w:tcPr>
          <w:p w14:paraId="27BB2731"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MEIR; Eko Fond; jedinice lokalne samouprave; javne ustanove – vlasnici objekata.</w:t>
            </w:r>
          </w:p>
        </w:tc>
        <w:tc>
          <w:tcPr>
            <w:tcW w:w="0" w:type="auto"/>
          </w:tcPr>
          <w:p w14:paraId="51DB4E41"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Po isteku programskih ciklusa (na 3–5 godina) i u okviru godišnjih EE izvještaja.</w:t>
            </w:r>
          </w:p>
        </w:tc>
      </w:tr>
      <w:tr w:rsidR="001C58C6" w:rsidRPr="001C58C6" w14:paraId="0CC3B1A0" w14:textId="77777777" w:rsidTr="00E40401">
        <w:tc>
          <w:tcPr>
            <w:cnfStyle w:val="001000000000" w:firstRow="0" w:lastRow="0" w:firstColumn="1" w:lastColumn="0" w:oddVBand="0" w:evenVBand="0" w:oddHBand="0" w:evenHBand="0" w:firstRowFirstColumn="0" w:firstRowLastColumn="0" w:lastRowFirstColumn="0" w:lastRowLastColumn="0"/>
            <w:tcW w:w="0" w:type="auto"/>
          </w:tcPr>
          <w:p w14:paraId="2C01F2A2" w14:textId="77777777" w:rsidR="00D14F76" w:rsidRPr="001C58C6" w:rsidRDefault="00D14F76">
            <w:pPr>
              <w:rPr>
                <w:rFonts w:ascii="Calibri" w:eastAsia="Times New Roman" w:hAnsi="Calibri" w:cs="Calibri"/>
                <w:b w:val="0"/>
                <w:bCs w:val="0"/>
                <w:color w:val="000000" w:themeColor="text1"/>
                <w:sz w:val="20"/>
                <w:szCs w:val="20"/>
              </w:rPr>
            </w:pPr>
            <w:r w:rsidRPr="001C58C6">
              <w:rPr>
                <w:rFonts w:ascii="Calibri" w:hAnsi="Calibri" w:cs="Calibri"/>
                <w:color w:val="000000" w:themeColor="text1"/>
                <w:sz w:val="20"/>
                <w:szCs w:val="20"/>
              </w:rPr>
              <w:t>Saobraćaj</w:t>
            </w:r>
          </w:p>
        </w:tc>
        <w:tc>
          <w:tcPr>
            <w:tcW w:w="0" w:type="auto"/>
          </w:tcPr>
          <w:p w14:paraId="61C603DF"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Primjena Euro standarda za uvoz vozila; postojeće mjere tehničkog pregleda vozila; razvoj osnovne infrastrukture za javni prevoz i pješačko–biciklističke staze gdje je već planirano.</w:t>
            </w:r>
          </w:p>
        </w:tc>
        <w:tc>
          <w:tcPr>
            <w:tcW w:w="0" w:type="auto"/>
          </w:tcPr>
          <w:p w14:paraId="048F65BF"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Kontinuirano, u skladu sa važećim zakonodavstvom i usvojenim lokalnim planovima saobraćaja.</w:t>
            </w:r>
          </w:p>
        </w:tc>
        <w:tc>
          <w:tcPr>
            <w:tcW w:w="0" w:type="auto"/>
          </w:tcPr>
          <w:p w14:paraId="0C3EFACD"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MS; Uprava za saobraćaj; MUP (registracija vozila); lokalne samouprave i javna saobraćajna preduzeća.</w:t>
            </w:r>
          </w:p>
        </w:tc>
        <w:tc>
          <w:tcPr>
            <w:tcW w:w="0" w:type="auto"/>
          </w:tcPr>
          <w:p w14:paraId="6728369A"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Periodično, kroz reviziju saobraćajnih planova (na 5 godina) i godišnje statističke izvještaje.</w:t>
            </w:r>
          </w:p>
        </w:tc>
      </w:tr>
      <w:tr w:rsidR="001C58C6" w:rsidRPr="001C58C6" w14:paraId="522456A3" w14:textId="77777777" w:rsidTr="00E40401">
        <w:tc>
          <w:tcPr>
            <w:cnfStyle w:val="001000000000" w:firstRow="0" w:lastRow="0" w:firstColumn="1" w:lastColumn="0" w:oddVBand="0" w:evenVBand="0" w:oddHBand="0" w:evenHBand="0" w:firstRowFirstColumn="0" w:firstRowLastColumn="0" w:lastRowFirstColumn="0" w:lastRowLastColumn="0"/>
            <w:tcW w:w="0" w:type="auto"/>
          </w:tcPr>
          <w:p w14:paraId="4A820E62" w14:textId="77777777" w:rsidR="00D14F76" w:rsidRPr="001C58C6" w:rsidRDefault="00D14F76">
            <w:pPr>
              <w:rPr>
                <w:rFonts w:ascii="Calibri" w:eastAsia="Times New Roman" w:hAnsi="Calibri" w:cs="Calibri"/>
                <w:b w:val="0"/>
                <w:bCs w:val="0"/>
                <w:color w:val="000000" w:themeColor="text1"/>
                <w:sz w:val="20"/>
                <w:szCs w:val="20"/>
              </w:rPr>
            </w:pPr>
            <w:r w:rsidRPr="001C58C6">
              <w:rPr>
                <w:rFonts w:ascii="Calibri" w:hAnsi="Calibri" w:cs="Calibri"/>
                <w:color w:val="000000" w:themeColor="text1"/>
                <w:sz w:val="20"/>
                <w:szCs w:val="20"/>
              </w:rPr>
              <w:t>Industrijski procesi</w:t>
            </w:r>
          </w:p>
        </w:tc>
        <w:tc>
          <w:tcPr>
            <w:tcW w:w="0" w:type="auto"/>
          </w:tcPr>
          <w:p w14:paraId="7A6E9579"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Primjena važećih IPPC dozvola i emisionih graničnih vrijednosti; primjena BAT zahtjeva gdje je već propisano; postojeći sistemi filtera i odsumporavanja u industriji.</w:t>
            </w:r>
          </w:p>
        </w:tc>
        <w:tc>
          <w:tcPr>
            <w:tcW w:w="0" w:type="auto"/>
          </w:tcPr>
          <w:p w14:paraId="7F6934EB"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Kontinuirano, u skladu sa rokovima iz dozvola i planovima modernizacije postrojenja.</w:t>
            </w:r>
          </w:p>
        </w:tc>
        <w:tc>
          <w:tcPr>
            <w:tcW w:w="0" w:type="auto"/>
          </w:tcPr>
          <w:p w14:paraId="02202638"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MERS; EPA; ekološka inspekcija; industrijski operatori.</w:t>
            </w:r>
          </w:p>
        </w:tc>
        <w:tc>
          <w:tcPr>
            <w:tcW w:w="0" w:type="auto"/>
          </w:tcPr>
          <w:p w14:paraId="2666D5C9"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Redovna revizija dozvola (na 5–10 godina) i godišnji izvještaji operatora o emisijama.</w:t>
            </w:r>
          </w:p>
        </w:tc>
      </w:tr>
      <w:tr w:rsidR="001C58C6" w:rsidRPr="001C58C6" w14:paraId="5FD48484" w14:textId="77777777" w:rsidTr="00E40401">
        <w:tc>
          <w:tcPr>
            <w:cnfStyle w:val="001000000000" w:firstRow="0" w:lastRow="0" w:firstColumn="1" w:lastColumn="0" w:oddVBand="0" w:evenVBand="0" w:oddHBand="0" w:evenHBand="0" w:firstRowFirstColumn="0" w:firstRowLastColumn="0" w:lastRowFirstColumn="0" w:lastRowLastColumn="0"/>
            <w:tcW w:w="0" w:type="auto"/>
          </w:tcPr>
          <w:p w14:paraId="571C9B28" w14:textId="77777777" w:rsidR="00D14F76" w:rsidRPr="001C58C6" w:rsidRDefault="00D14F76">
            <w:pPr>
              <w:rPr>
                <w:rFonts w:ascii="Calibri" w:eastAsia="Times New Roman" w:hAnsi="Calibri" w:cs="Calibri"/>
                <w:b w:val="0"/>
                <w:bCs w:val="0"/>
                <w:color w:val="000000" w:themeColor="text1"/>
                <w:sz w:val="20"/>
                <w:szCs w:val="20"/>
              </w:rPr>
            </w:pPr>
            <w:r w:rsidRPr="001C58C6">
              <w:rPr>
                <w:rFonts w:ascii="Calibri" w:hAnsi="Calibri" w:cs="Calibri"/>
                <w:color w:val="000000" w:themeColor="text1"/>
                <w:sz w:val="20"/>
                <w:szCs w:val="20"/>
              </w:rPr>
              <w:t>Poljoprivreda</w:t>
            </w:r>
          </w:p>
        </w:tc>
        <w:tc>
          <w:tcPr>
            <w:tcW w:w="0" w:type="auto"/>
          </w:tcPr>
          <w:p w14:paraId="7F79359A"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Primjena postojećih propisa o upravljanju stajnjakom i đubrivima; ograničenja spaljivanja žetvenih ostataka; postojeći programi ruralnog razvoja koji indirektno utiču na emisije.</w:t>
            </w:r>
          </w:p>
        </w:tc>
        <w:tc>
          <w:tcPr>
            <w:tcW w:w="0" w:type="auto"/>
          </w:tcPr>
          <w:p w14:paraId="680A609C"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Kontinuirano, u okviru redovne poljoprivredne prakse i sprovođenja Programa razvoja poljoprivrede i ruralnih područja.</w:t>
            </w:r>
          </w:p>
        </w:tc>
        <w:tc>
          <w:tcPr>
            <w:tcW w:w="0" w:type="auto"/>
          </w:tcPr>
          <w:p w14:paraId="712930B0"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MPŠiV; poljoprivredna inspekcija; opštine (komunalne službe u dijelu spaljivanja biljnog otpada).</w:t>
            </w:r>
          </w:p>
        </w:tc>
        <w:tc>
          <w:tcPr>
            <w:tcW w:w="0" w:type="auto"/>
          </w:tcPr>
          <w:p w14:paraId="543DBEFB"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Periodično, pri reviziji Programa razvoja poljoprivrede i ruralnih područja.</w:t>
            </w:r>
          </w:p>
        </w:tc>
      </w:tr>
      <w:tr w:rsidR="001C58C6" w:rsidRPr="001C58C6" w14:paraId="6EF3E75E" w14:textId="77777777" w:rsidTr="00E40401">
        <w:tc>
          <w:tcPr>
            <w:cnfStyle w:val="001000000000" w:firstRow="0" w:lastRow="0" w:firstColumn="1" w:lastColumn="0" w:oddVBand="0" w:evenVBand="0" w:oddHBand="0" w:evenHBand="0" w:firstRowFirstColumn="0" w:firstRowLastColumn="0" w:lastRowFirstColumn="0" w:lastRowLastColumn="0"/>
            <w:tcW w:w="0" w:type="auto"/>
          </w:tcPr>
          <w:p w14:paraId="76EC93EA" w14:textId="77777777" w:rsidR="00D14F76" w:rsidRPr="001C58C6" w:rsidRDefault="00D14F76">
            <w:pPr>
              <w:rPr>
                <w:rFonts w:ascii="Calibri" w:eastAsia="Times New Roman" w:hAnsi="Calibri" w:cs="Calibri"/>
                <w:b w:val="0"/>
                <w:bCs w:val="0"/>
                <w:color w:val="000000" w:themeColor="text1"/>
                <w:sz w:val="20"/>
                <w:szCs w:val="20"/>
              </w:rPr>
            </w:pPr>
            <w:r w:rsidRPr="001C58C6">
              <w:rPr>
                <w:rFonts w:ascii="Calibri" w:hAnsi="Calibri" w:cs="Calibri"/>
                <w:color w:val="000000" w:themeColor="text1"/>
                <w:sz w:val="20"/>
                <w:szCs w:val="20"/>
              </w:rPr>
              <w:t>Otpad i upravljanje otpadom</w:t>
            </w:r>
          </w:p>
        </w:tc>
        <w:tc>
          <w:tcPr>
            <w:tcW w:w="0" w:type="auto"/>
          </w:tcPr>
          <w:p w14:paraId="6CF381A6"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Primjena Zakona o upravljanju otpadom; postojeći sistemi sanitarnog odlaganja; ograničenje i kontrola nekontrolisanog spaljivanja otpada; postojeći planovi sanacije deponija.</w:t>
            </w:r>
          </w:p>
        </w:tc>
        <w:tc>
          <w:tcPr>
            <w:tcW w:w="0" w:type="auto"/>
          </w:tcPr>
          <w:p w14:paraId="54C1B111"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Kontinuirano, prema postojećim lokalnim i nacionalnim planovima upravljanja otpadom.</w:t>
            </w:r>
          </w:p>
        </w:tc>
        <w:tc>
          <w:tcPr>
            <w:tcW w:w="0" w:type="auto"/>
          </w:tcPr>
          <w:p w14:paraId="25B2CB71"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MERS; EPA; komunalna preduzeća; lokalne samouprave.</w:t>
            </w:r>
          </w:p>
        </w:tc>
        <w:tc>
          <w:tcPr>
            <w:tcW w:w="0" w:type="auto"/>
          </w:tcPr>
          <w:p w14:paraId="573387F7"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Revizija nacionalnog i lokalnih planova upravljanja otpadom (na 5 godina) i godišnji izvještaji komunalnih preduzeća.</w:t>
            </w:r>
          </w:p>
        </w:tc>
      </w:tr>
      <w:tr w:rsidR="001C58C6" w:rsidRPr="001C58C6" w14:paraId="3822D6FC" w14:textId="77777777" w:rsidTr="00E40401">
        <w:tc>
          <w:tcPr>
            <w:cnfStyle w:val="001000000000" w:firstRow="0" w:lastRow="0" w:firstColumn="1" w:lastColumn="0" w:oddVBand="0" w:evenVBand="0" w:oddHBand="0" w:evenHBand="0" w:firstRowFirstColumn="0" w:firstRowLastColumn="0" w:lastRowFirstColumn="0" w:lastRowLastColumn="0"/>
            <w:tcW w:w="0" w:type="auto"/>
          </w:tcPr>
          <w:p w14:paraId="1DFFFCC8" w14:textId="77777777" w:rsidR="00D14F76" w:rsidRPr="001C58C6" w:rsidRDefault="00D14F76">
            <w:pPr>
              <w:rPr>
                <w:rFonts w:ascii="Calibri" w:eastAsia="Times New Roman" w:hAnsi="Calibri" w:cs="Calibri"/>
                <w:b w:val="0"/>
                <w:bCs w:val="0"/>
                <w:color w:val="000000" w:themeColor="text1"/>
                <w:sz w:val="20"/>
                <w:szCs w:val="20"/>
              </w:rPr>
            </w:pPr>
            <w:r w:rsidRPr="001C58C6">
              <w:rPr>
                <w:rFonts w:ascii="Calibri" w:hAnsi="Calibri" w:cs="Calibri"/>
                <w:color w:val="000000" w:themeColor="text1"/>
                <w:sz w:val="20"/>
                <w:szCs w:val="20"/>
              </w:rPr>
              <w:t>Međusektorska pitanja</w:t>
            </w:r>
          </w:p>
        </w:tc>
        <w:tc>
          <w:tcPr>
            <w:tcW w:w="0" w:type="auto"/>
          </w:tcPr>
          <w:p w14:paraId="00915369"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Primjena važećih strateških dokumenata (npr. NECP, nacionalne strategije zaštite životne sredine); postojeći sistem monitoringa kvaliteta vazduha; redovno izvještavanje prema međunarodnim obavezama (CLRTAP, EMEP).</w:t>
            </w:r>
          </w:p>
        </w:tc>
        <w:tc>
          <w:tcPr>
            <w:tcW w:w="0" w:type="auto"/>
          </w:tcPr>
          <w:p w14:paraId="623992F2"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Kontinuirano, u skladu sa važećim strategijama i planovima, do 2030.</w:t>
            </w:r>
          </w:p>
        </w:tc>
        <w:tc>
          <w:tcPr>
            <w:tcW w:w="0" w:type="auto"/>
          </w:tcPr>
          <w:p w14:paraId="55C749C5"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MERS; EPA; ostala resorna ministarstva; lokalne samouprave.</w:t>
            </w:r>
          </w:p>
        </w:tc>
        <w:tc>
          <w:tcPr>
            <w:tcW w:w="0" w:type="auto"/>
          </w:tcPr>
          <w:p w14:paraId="5965F989"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Redovna izrada i revizija strateških dokumenata (na 5–10 godina) i godišnje izvještavanje prema međunarodnim konvencijama.</w:t>
            </w:r>
          </w:p>
        </w:tc>
      </w:tr>
      <w:tr w:rsidR="001C58C6" w:rsidRPr="001C58C6" w14:paraId="1A52E825" w14:textId="77777777" w:rsidTr="00E40401">
        <w:tc>
          <w:tcPr>
            <w:cnfStyle w:val="001000000000" w:firstRow="0" w:lastRow="0" w:firstColumn="1" w:lastColumn="0" w:oddVBand="0" w:evenVBand="0" w:oddHBand="0" w:evenHBand="0" w:firstRowFirstColumn="0" w:firstRowLastColumn="0" w:lastRowFirstColumn="0" w:lastRowLastColumn="0"/>
            <w:tcW w:w="0" w:type="auto"/>
          </w:tcPr>
          <w:p w14:paraId="2B9E4FB3" w14:textId="77777777" w:rsidR="00D14F76" w:rsidRPr="001C58C6" w:rsidRDefault="00D14F76">
            <w:pPr>
              <w:rPr>
                <w:rFonts w:ascii="Calibri" w:eastAsia="Times New Roman" w:hAnsi="Calibri" w:cs="Calibri"/>
                <w:b w:val="0"/>
                <w:bCs w:val="0"/>
                <w:color w:val="000000" w:themeColor="text1"/>
                <w:sz w:val="20"/>
                <w:szCs w:val="20"/>
              </w:rPr>
            </w:pPr>
            <w:r w:rsidRPr="001C58C6">
              <w:rPr>
                <w:rFonts w:ascii="Calibri" w:hAnsi="Calibri" w:cs="Calibri"/>
                <w:color w:val="000000" w:themeColor="text1"/>
                <w:sz w:val="20"/>
                <w:szCs w:val="20"/>
              </w:rPr>
              <w:t>Drugo (treba navesti)</w:t>
            </w:r>
          </w:p>
        </w:tc>
        <w:tc>
          <w:tcPr>
            <w:tcW w:w="0" w:type="auto"/>
          </w:tcPr>
          <w:p w14:paraId="73644ACF"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Postojeće aktivnosti informisanja javnosti o kvalitetu vazduha (web portali, saopštenja, kampanje po postojećim projektima); učešće u regionalnim projektima i inicijativama.</w:t>
            </w:r>
          </w:p>
        </w:tc>
        <w:tc>
          <w:tcPr>
            <w:tcW w:w="0" w:type="auto"/>
          </w:tcPr>
          <w:p w14:paraId="6996DDA9"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Povremeno, u skladu sa dostupnim projektima i finansiranjem.</w:t>
            </w:r>
          </w:p>
        </w:tc>
        <w:tc>
          <w:tcPr>
            <w:tcW w:w="0" w:type="auto"/>
          </w:tcPr>
          <w:p w14:paraId="5BC27CFA"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MERS; EPA; lokalne samouprave; NVO i mediji.</w:t>
            </w:r>
          </w:p>
        </w:tc>
        <w:tc>
          <w:tcPr>
            <w:tcW w:w="0" w:type="auto"/>
          </w:tcPr>
          <w:p w14:paraId="4F4161D4"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Po završetku projekata i kroz periodične evaluacije komunikacionih aktivnosti.</w:t>
            </w:r>
          </w:p>
        </w:tc>
      </w:tr>
    </w:tbl>
    <w:p w14:paraId="79A09D05" w14:textId="77777777" w:rsidR="00D14F76" w:rsidRPr="001C58C6" w:rsidRDefault="00D14F76">
      <w:pPr>
        <w:shd w:val="clear" w:color="auto" w:fill="FFFFFF"/>
        <w:spacing w:line="312" w:lineRule="atLeast"/>
        <w:rPr>
          <w:rFonts w:ascii="Calibri" w:eastAsia="Times New Roman" w:hAnsi="Calibri" w:cs="Calibri"/>
          <w:color w:val="000000" w:themeColor="text1"/>
          <w:sz w:val="18"/>
          <w:szCs w:val="18"/>
        </w:rPr>
      </w:pPr>
    </w:p>
    <w:p w14:paraId="21B4B0E5" w14:textId="77777777" w:rsidR="00D14F76" w:rsidRPr="001C58C6" w:rsidRDefault="00D14F76">
      <w:pPr>
        <w:shd w:val="clear" w:color="auto" w:fill="FFFFFF"/>
        <w:spacing w:before="240" w:after="120" w:line="312" w:lineRule="atLeast"/>
        <w:rPr>
          <w:rFonts w:ascii="Calibri" w:eastAsia="Times New Roman" w:hAnsi="Calibri" w:cs="Calibri"/>
          <w:b/>
          <w:bCs/>
          <w:color w:val="000000" w:themeColor="text1"/>
          <w:sz w:val="22"/>
        </w:rPr>
      </w:pPr>
      <w:r w:rsidRPr="001C58C6">
        <w:rPr>
          <w:rFonts w:ascii="Calibri" w:eastAsia="Times New Roman" w:hAnsi="Calibri" w:cs="Calibri"/>
          <w:b/>
          <w:bCs/>
          <w:color w:val="000000" w:themeColor="text1"/>
          <w:sz w:val="22"/>
        </w:rPr>
        <w:t>2.2.6.   </w:t>
      </w:r>
      <w:r w:rsidRPr="001C58C6">
        <w:rPr>
          <w:rFonts w:ascii="Calibri" w:eastAsia="Times New Roman" w:hAnsi="Calibri" w:cs="Calibri"/>
          <w:b/>
          <w:bCs/>
          <w:i/>
          <w:iCs/>
          <w:color w:val="000000" w:themeColor="text1"/>
          <w:sz w:val="22"/>
        </w:rPr>
        <w:t>Koherentnost</w:t>
      </w:r>
    </w:p>
    <w:tbl>
      <w:tblPr>
        <w:tblStyle w:val="GridTable1Light-Accent1"/>
        <w:tblW w:w="5000" w:type="pct"/>
        <w:tblLook w:val="04A0" w:firstRow="1" w:lastRow="0" w:firstColumn="1" w:lastColumn="0" w:noHBand="0" w:noVBand="1"/>
      </w:tblPr>
      <w:tblGrid>
        <w:gridCol w:w="4248"/>
        <w:gridCol w:w="4768"/>
      </w:tblGrid>
      <w:tr w:rsidR="00D14F76" w:rsidRPr="001C58C6" w14:paraId="25374884" w14:textId="77777777" w:rsidTr="00E40401">
        <w:trPr>
          <w:cnfStyle w:val="100000000000" w:firstRow="1" w:lastRow="0" w:firstColumn="0" w:lastColumn="0" w:oddVBand="0" w:evenVBand="0" w:oddHBand="0" w:evenHBand="0" w:firstRowFirstColumn="0" w:firstRowLastColumn="0" w:lastRowFirstColumn="0" w:lastRowLastColumn="0"/>
          <w:trHeight w:val="2459"/>
        </w:trPr>
        <w:tc>
          <w:tcPr>
            <w:cnfStyle w:val="001000000000" w:firstRow="0" w:lastRow="0" w:firstColumn="1" w:lastColumn="0" w:oddVBand="0" w:evenVBand="0" w:oddHBand="0" w:evenHBand="0" w:firstRowFirstColumn="0" w:firstRowLastColumn="0" w:lastRowFirstColumn="0" w:lastRowLastColumn="0"/>
            <w:tcW w:w="2356" w:type="pct"/>
          </w:tcPr>
          <w:p w14:paraId="2BF30035" w14:textId="77777777" w:rsidR="00D14F76" w:rsidRPr="001C58C6" w:rsidRDefault="00D14F76">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lastRenderedPageBreak/>
              <w:t>Procjena načina na koji se odabranim politikama i mjerama osigurava koherentnost sa planovima i programima uspostavljenima u drugim relevantnim područjima politike</w:t>
            </w:r>
          </w:p>
        </w:tc>
        <w:tc>
          <w:tcPr>
            <w:tcW w:w="2644" w:type="pct"/>
          </w:tcPr>
          <w:p w14:paraId="245BC1E1"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Odabrane mjere su usklađene sa:</w:t>
            </w:r>
          </w:p>
          <w:p w14:paraId="6F29994C" w14:textId="77777777" w:rsidR="00D14F76" w:rsidRPr="001C58C6" w:rsidRDefault="00D14F76" w:rsidP="00E53052">
            <w:pPr>
              <w:pStyle w:val="ListParagraph"/>
              <w:numPr>
                <w:ilvl w:val="0"/>
                <w:numId w:val="61"/>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ciljevima EU u oblasti kvaliteta vazduha i smanjenja emisija</w:t>
            </w:r>
          </w:p>
          <w:p w14:paraId="29EADA2B" w14:textId="77777777" w:rsidR="00D14F76" w:rsidRPr="001C58C6" w:rsidRDefault="00D14F76" w:rsidP="00E53052">
            <w:pPr>
              <w:pStyle w:val="ListParagraph"/>
              <w:numPr>
                <w:ilvl w:val="0"/>
                <w:numId w:val="61"/>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NECP-om i politikama dekarbonizacije</w:t>
            </w:r>
          </w:p>
          <w:p w14:paraId="31C06A48" w14:textId="77777777" w:rsidR="00D14F76" w:rsidRPr="001C58C6" w:rsidRDefault="00D14F76" w:rsidP="00E53052">
            <w:pPr>
              <w:pStyle w:val="ListParagraph"/>
              <w:numPr>
                <w:ilvl w:val="0"/>
                <w:numId w:val="61"/>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obavezama iz Ugovora o Energetskoj zajednici.</w:t>
            </w:r>
          </w:p>
          <w:p w14:paraId="3DBA0AA6"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Mjere se međusobno nadopunjuju i daju sinergijske koristi za vazduh, klimu, energiju i zdravlje.</w:t>
            </w:r>
          </w:p>
        </w:tc>
      </w:tr>
    </w:tbl>
    <w:p w14:paraId="54E5AAFF" w14:textId="77777777" w:rsidR="00D14F76" w:rsidRPr="001C58C6" w:rsidRDefault="00D14F76">
      <w:pPr>
        <w:shd w:val="clear" w:color="auto" w:fill="FFFFFF"/>
        <w:spacing w:line="312" w:lineRule="atLeast"/>
        <w:rPr>
          <w:rFonts w:ascii="Calibri" w:eastAsia="Times New Roman" w:hAnsi="Calibri" w:cs="Calibri"/>
          <w:color w:val="000000" w:themeColor="text1"/>
          <w:sz w:val="18"/>
          <w:szCs w:val="18"/>
        </w:rPr>
      </w:pPr>
    </w:p>
    <w:p w14:paraId="09DDD793" w14:textId="77777777" w:rsidR="00D14F76" w:rsidRPr="001C58C6" w:rsidRDefault="00D14F76">
      <w:pPr>
        <w:shd w:val="clear" w:color="auto" w:fill="FFFFFF"/>
        <w:spacing w:before="240" w:after="120" w:line="312" w:lineRule="atLeast"/>
        <w:rPr>
          <w:rFonts w:ascii="Calibri" w:eastAsia="Times New Roman" w:hAnsi="Calibri" w:cs="Calibri"/>
          <w:b/>
          <w:bCs/>
          <w:i/>
          <w:iCs/>
          <w:color w:val="000000" w:themeColor="text1"/>
          <w:szCs w:val="24"/>
        </w:rPr>
      </w:pPr>
      <w:r w:rsidRPr="001C58C6">
        <w:rPr>
          <w:rFonts w:ascii="Calibri" w:eastAsia="Times New Roman" w:hAnsi="Calibri" w:cs="Calibri"/>
          <w:b/>
          <w:bCs/>
          <w:color w:val="000000" w:themeColor="text1"/>
          <w:szCs w:val="24"/>
        </w:rPr>
        <w:t>2.2.7.   </w:t>
      </w:r>
      <w:r w:rsidRPr="001C58C6">
        <w:rPr>
          <w:rFonts w:ascii="Calibri" w:eastAsia="Times New Roman" w:hAnsi="Calibri" w:cs="Calibri"/>
          <w:b/>
          <w:bCs/>
          <w:i/>
          <w:iCs/>
          <w:color w:val="000000" w:themeColor="text1"/>
          <w:szCs w:val="24"/>
        </w:rPr>
        <w:t>Projektovani kombinovani uticaj politika i mjera („sa dodatnim mjerama”) na smanjenje emisija, kvalitet vazduha na vlastitim područjima i u susjednim državama članicama i na životnu sredinu i s tim povezane nepouzdanosti</w:t>
      </w:r>
    </w:p>
    <w:tbl>
      <w:tblPr>
        <w:tblStyle w:val="GridTable1Light-Accent1"/>
        <w:tblW w:w="5000" w:type="pct"/>
        <w:tblLook w:val="04A0" w:firstRow="1" w:lastRow="0" w:firstColumn="1" w:lastColumn="0" w:noHBand="0" w:noVBand="1"/>
      </w:tblPr>
      <w:tblGrid>
        <w:gridCol w:w="2077"/>
        <w:gridCol w:w="6939"/>
      </w:tblGrid>
      <w:tr w:rsidR="00D14F76" w:rsidRPr="001C58C6" w14:paraId="09C4CFB0" w14:textId="77777777" w:rsidTr="00E404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1EA3DB33" w14:textId="77777777" w:rsidR="00D14F76" w:rsidRPr="001C58C6" w:rsidRDefault="00D14F76">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Predviđeno ispunjavanje obaveza smanjenja emisija („sa dodatnim mjerama”)</w:t>
            </w:r>
          </w:p>
        </w:tc>
        <w:tc>
          <w:tcPr>
            <w:tcW w:w="3848" w:type="pct"/>
          </w:tcPr>
          <w:p w14:paraId="0F1D013B"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Projekcije emisija u scenariju sa dodatnim mjerama (WAM) pokazuju da će Crna Gora do 2029. godine ostvariti značajan napredak u smanjenju emisija svih glavnih zagađujućih materija u odnosu na baznu 2005. godinu, uz gotovo potpuno ispunjenje međunarodnih i budućih evropskih obaveza u okviru CLRTAP Konvencije i EU Direktive 2016/2284 (NEC).</w:t>
            </w:r>
          </w:p>
          <w:p w14:paraId="66C4F5C5"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Na osnovu dostupnih inventara i modelovanih projekcija, procjenjuje se da će do kraja planskog perioda biti postignuti sljedeći nivoi smanjenja emisija u odnosu na 2005. godinu:</w:t>
            </w:r>
          </w:p>
          <w:p w14:paraId="2D156F64"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Zag. materija   Cilj smanjenja  Ostvarenje do 2029. Ocjena ispunjenosti obaveze</w:t>
            </w:r>
          </w:p>
          <w:p w14:paraId="2A5F2D97"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SO₂</w:t>
            </w:r>
            <w:r w:rsidRPr="001C58C6">
              <w:rPr>
                <w:rFonts w:ascii="Calibri" w:eastAsia="Times New Roman" w:hAnsi="Calibri" w:cs="Calibri"/>
                <w:color w:val="000000" w:themeColor="text1"/>
                <w:sz w:val="20"/>
                <w:szCs w:val="20"/>
              </w:rPr>
              <w:tab/>
              <w:t xml:space="preserve">         ≥ 60 %</w:t>
            </w:r>
            <w:r w:rsidRPr="001C58C6">
              <w:rPr>
                <w:rFonts w:ascii="Calibri" w:eastAsia="Times New Roman" w:hAnsi="Calibri" w:cs="Calibri"/>
                <w:color w:val="000000" w:themeColor="text1"/>
                <w:sz w:val="20"/>
                <w:szCs w:val="20"/>
              </w:rPr>
              <w:tab/>
              <w:t xml:space="preserve">             85 – 90 %</w:t>
            </w:r>
            <w:r w:rsidRPr="001C58C6">
              <w:rPr>
                <w:rFonts w:ascii="Calibri" w:eastAsia="Times New Roman" w:hAnsi="Calibri" w:cs="Calibri"/>
                <w:color w:val="000000" w:themeColor="text1"/>
                <w:sz w:val="20"/>
                <w:szCs w:val="20"/>
              </w:rPr>
              <w:tab/>
              <w:t xml:space="preserve">                            Ispunjeno</w:t>
            </w:r>
          </w:p>
          <w:p w14:paraId="2064C0AA"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NOₓ</w:t>
            </w:r>
            <w:r w:rsidRPr="001C58C6">
              <w:rPr>
                <w:rFonts w:ascii="Calibri" w:eastAsia="Times New Roman" w:hAnsi="Calibri" w:cs="Calibri"/>
                <w:color w:val="000000" w:themeColor="text1"/>
                <w:sz w:val="20"/>
                <w:szCs w:val="20"/>
              </w:rPr>
              <w:tab/>
              <w:t xml:space="preserve">         ≥ 25 %</w:t>
            </w:r>
            <w:r w:rsidRPr="001C58C6">
              <w:rPr>
                <w:rFonts w:ascii="Calibri" w:eastAsia="Times New Roman" w:hAnsi="Calibri" w:cs="Calibri"/>
                <w:color w:val="000000" w:themeColor="text1"/>
                <w:sz w:val="20"/>
                <w:szCs w:val="20"/>
              </w:rPr>
              <w:tab/>
              <w:t xml:space="preserve">             25 – 30 %</w:t>
            </w:r>
            <w:r w:rsidRPr="001C58C6">
              <w:rPr>
                <w:rFonts w:ascii="Calibri" w:eastAsia="Times New Roman" w:hAnsi="Calibri" w:cs="Calibri"/>
                <w:color w:val="000000" w:themeColor="text1"/>
                <w:sz w:val="20"/>
                <w:szCs w:val="20"/>
              </w:rPr>
              <w:tab/>
              <w:t xml:space="preserve">                            Ispunjeno</w:t>
            </w:r>
          </w:p>
          <w:p w14:paraId="5440062F"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NMVOC          ≥ 10 %</w:t>
            </w:r>
            <w:r w:rsidRPr="001C58C6">
              <w:rPr>
                <w:rFonts w:ascii="Calibri" w:eastAsia="Times New Roman" w:hAnsi="Calibri" w:cs="Calibri"/>
                <w:color w:val="000000" w:themeColor="text1"/>
                <w:sz w:val="20"/>
                <w:szCs w:val="20"/>
              </w:rPr>
              <w:tab/>
              <w:t xml:space="preserve">             10 – 15 %</w:t>
            </w:r>
            <w:r w:rsidRPr="001C58C6">
              <w:rPr>
                <w:rFonts w:ascii="Calibri" w:eastAsia="Times New Roman" w:hAnsi="Calibri" w:cs="Calibri"/>
                <w:color w:val="000000" w:themeColor="text1"/>
                <w:sz w:val="20"/>
                <w:szCs w:val="20"/>
              </w:rPr>
              <w:tab/>
              <w:t xml:space="preserve">                            Ispunjeno</w:t>
            </w:r>
          </w:p>
          <w:p w14:paraId="373A1D67"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NH₃</w:t>
            </w:r>
            <w:r w:rsidRPr="001C58C6">
              <w:rPr>
                <w:rFonts w:ascii="Calibri" w:eastAsia="Times New Roman" w:hAnsi="Calibri" w:cs="Calibri"/>
                <w:color w:val="000000" w:themeColor="text1"/>
                <w:sz w:val="20"/>
                <w:szCs w:val="20"/>
              </w:rPr>
              <w:tab/>
              <w:t xml:space="preserve">        ≥ 25 %</w:t>
            </w:r>
            <w:r w:rsidRPr="001C58C6">
              <w:rPr>
                <w:rFonts w:ascii="Calibri" w:eastAsia="Times New Roman" w:hAnsi="Calibri" w:cs="Calibri"/>
                <w:color w:val="000000" w:themeColor="text1"/>
                <w:sz w:val="20"/>
                <w:szCs w:val="20"/>
              </w:rPr>
              <w:tab/>
              <w:t xml:space="preserve">             25 – 30 %</w:t>
            </w:r>
            <w:r w:rsidRPr="001C58C6">
              <w:rPr>
                <w:rFonts w:ascii="Calibri" w:eastAsia="Times New Roman" w:hAnsi="Calibri" w:cs="Calibri"/>
                <w:color w:val="000000" w:themeColor="text1"/>
                <w:sz w:val="20"/>
                <w:szCs w:val="20"/>
              </w:rPr>
              <w:tab/>
              <w:t xml:space="preserve">                            Ispunjeno</w:t>
            </w:r>
          </w:p>
          <w:p w14:paraId="4B86DA93"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PM₂.₅</w:t>
            </w:r>
            <w:r w:rsidRPr="001C58C6">
              <w:rPr>
                <w:rFonts w:ascii="Calibri" w:eastAsia="Times New Roman" w:hAnsi="Calibri" w:cs="Calibri"/>
                <w:color w:val="000000" w:themeColor="text1"/>
                <w:sz w:val="20"/>
                <w:szCs w:val="20"/>
              </w:rPr>
              <w:tab/>
              <w:t xml:space="preserve">        ≥ 5 %</w:t>
            </w:r>
            <w:r w:rsidRPr="001C58C6">
              <w:rPr>
                <w:rFonts w:ascii="Calibri" w:eastAsia="Times New Roman" w:hAnsi="Calibri" w:cs="Calibri"/>
                <w:color w:val="000000" w:themeColor="text1"/>
                <w:sz w:val="20"/>
                <w:szCs w:val="20"/>
              </w:rPr>
              <w:tab/>
              <w:t xml:space="preserve">                 2 – 5 %</w:t>
            </w:r>
            <w:r w:rsidRPr="001C58C6">
              <w:rPr>
                <w:rFonts w:ascii="Calibri" w:eastAsia="Times New Roman" w:hAnsi="Calibri" w:cs="Calibri"/>
                <w:color w:val="000000" w:themeColor="text1"/>
                <w:sz w:val="20"/>
                <w:szCs w:val="20"/>
              </w:rPr>
              <w:tab/>
              <w:t xml:space="preserve">                          </w:t>
            </w:r>
            <w:r w:rsidR="00D13168" w:rsidRPr="001C58C6">
              <w:rPr>
                <w:rFonts w:ascii="Calibri" w:eastAsia="Times New Roman" w:hAnsi="Calibri" w:cs="Calibri"/>
                <w:color w:val="000000" w:themeColor="text1"/>
                <w:sz w:val="20"/>
                <w:szCs w:val="20"/>
              </w:rPr>
              <w:t xml:space="preserve">                     </w:t>
            </w:r>
            <w:r w:rsidRPr="001C58C6">
              <w:rPr>
                <w:rFonts w:ascii="Calibri" w:eastAsia="Times New Roman" w:hAnsi="Calibri" w:cs="Calibri"/>
                <w:color w:val="000000" w:themeColor="text1"/>
                <w:sz w:val="20"/>
                <w:szCs w:val="20"/>
              </w:rPr>
              <w:t xml:space="preserve">  Ispunjeno</w:t>
            </w:r>
          </w:p>
          <w:p w14:paraId="0F7C114C"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Najveći doprinos ukupnom smanjenju emisija postiže se sprovođenjem mjera koje se odnose na:</w:t>
            </w:r>
          </w:p>
          <w:p w14:paraId="25B0468F" w14:textId="77777777" w:rsidR="00D14F76" w:rsidRPr="001C58C6" w:rsidRDefault="00D14F76" w:rsidP="00E53052">
            <w:pPr>
              <w:pStyle w:val="ListParagraph"/>
              <w:numPr>
                <w:ilvl w:val="0"/>
                <w:numId w:val="62"/>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modernizaciju termoenergetskog postrojenja (uvođenje BAT tehnologija i filtera),</w:t>
            </w:r>
          </w:p>
          <w:p w14:paraId="768FAD65" w14:textId="77777777" w:rsidR="00D14F76" w:rsidRPr="001C58C6" w:rsidRDefault="00D14F76" w:rsidP="00E53052">
            <w:pPr>
              <w:pStyle w:val="ListParagraph"/>
              <w:numPr>
                <w:ilvl w:val="0"/>
                <w:numId w:val="62"/>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prelazak na goriva sa niskim sadržajem sumpora i obnovljive izvore energije,</w:t>
            </w:r>
          </w:p>
          <w:p w14:paraId="00FBE68B" w14:textId="77777777" w:rsidR="00D14F76" w:rsidRPr="001C58C6" w:rsidRDefault="00D14F76" w:rsidP="00E53052">
            <w:pPr>
              <w:pStyle w:val="ListParagraph"/>
              <w:numPr>
                <w:ilvl w:val="0"/>
                <w:numId w:val="62"/>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smanjenje emisija iz saobraćaja kroz elektrifikaciju voznog parka i unapređenje javnog prevoza,</w:t>
            </w:r>
          </w:p>
          <w:p w14:paraId="5AC816DF" w14:textId="77777777" w:rsidR="00D14F76" w:rsidRPr="001C58C6" w:rsidRDefault="00D14F76" w:rsidP="00E53052">
            <w:pPr>
              <w:pStyle w:val="ListParagraph"/>
              <w:numPr>
                <w:ilvl w:val="0"/>
                <w:numId w:val="62"/>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poboljšanje energetske efikasnosti u zgradarstvu i javnim objektima,</w:t>
            </w:r>
          </w:p>
          <w:p w14:paraId="49224194" w14:textId="77777777" w:rsidR="00D14F76" w:rsidRPr="001C58C6" w:rsidRDefault="00D14F76" w:rsidP="00E53052">
            <w:pPr>
              <w:pStyle w:val="ListParagraph"/>
              <w:numPr>
                <w:ilvl w:val="0"/>
                <w:numId w:val="62"/>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bolje upravljanje stajnjakom i poljoprivrednim otpadom radi kontrole emisija amonijaka,</w:t>
            </w:r>
          </w:p>
          <w:p w14:paraId="423AA488" w14:textId="77777777" w:rsidR="00D14F76" w:rsidRPr="001C58C6" w:rsidRDefault="00D14F76" w:rsidP="00E53052">
            <w:pPr>
              <w:pStyle w:val="ListParagraph"/>
              <w:numPr>
                <w:ilvl w:val="0"/>
                <w:numId w:val="62"/>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modernizaciju sistema za upravljanje otpadom, otpadnim vodama i smanjenje nekontrolisanog spaljivanja.</w:t>
            </w:r>
          </w:p>
          <w:p w14:paraId="5EC6C01C"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b w:val="0"/>
                <w:bCs w:val="0"/>
                <w:color w:val="000000" w:themeColor="text1"/>
                <w:sz w:val="20"/>
                <w:szCs w:val="20"/>
              </w:rPr>
              <w:t>Primjena dodatnih mjera rezultira stabilnim trendom smanjenja emisija i održavanjem postignutih vrijednosti i nakon 2030. godine. Time se obezbjeđuje dugoročno ispunjenje nacionalnih i međunarodnih obaveza, uz istovremeno poboljšanje kvaliteta vazduha i zdravlja stanovništva.</w:t>
            </w:r>
          </w:p>
        </w:tc>
      </w:tr>
      <w:tr w:rsidR="00D14F76" w:rsidRPr="001C58C6" w14:paraId="0D1B7989" w14:textId="77777777" w:rsidTr="00E40401">
        <w:tc>
          <w:tcPr>
            <w:cnfStyle w:val="001000000000" w:firstRow="0" w:lastRow="0" w:firstColumn="1" w:lastColumn="0" w:oddVBand="0" w:evenVBand="0" w:oddHBand="0" w:evenHBand="0" w:firstRowFirstColumn="0" w:firstRowLastColumn="0" w:lastRowFirstColumn="0" w:lastRowLastColumn="0"/>
            <w:tcW w:w="1152" w:type="pct"/>
          </w:tcPr>
          <w:p w14:paraId="5E603A6C" w14:textId="77777777" w:rsidR="00D14F76" w:rsidRPr="001C58C6" w:rsidRDefault="00D14F76">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Upotreba fleksibilnosti (ako je primjereno)</w:t>
            </w:r>
          </w:p>
        </w:tc>
        <w:tc>
          <w:tcPr>
            <w:tcW w:w="3848" w:type="pct"/>
          </w:tcPr>
          <w:p w14:paraId="2CAE36E0"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Crna Gora trenutno nema mogućnost korišćenja ovog mehanizma.</w:t>
            </w:r>
          </w:p>
          <w:p w14:paraId="327BE998"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p>
          <w:p w14:paraId="56BD4B3A"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U okviru procjene ispunjavanja obaveza smanjenja emisija za period do 2030. godine, Crna Gora trenutno nema potrebu za aktivnom primjenom fleksibilnosti predviđenih u članu 5. EU Direktive o nacionalnim gornjim granicama emisija (NEC, 2016/2284).</w:t>
            </w:r>
          </w:p>
          <w:p w14:paraId="36FBD633"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Projekcije emisija u scenariju sa dodatnim mjerama (WAM) pokazuju da će nacionalni ciljevi za SO₂, NOₓ, NMVOC, NH₃ i PM₂.₅ biti ispunjeni u potpunosti bez korišćenja kompenzacionih mehanizama. Međutim, u slučaju nepredviđenih odstupanja (npr. privremenog porasta industrijske aktivnosti, sezonskih emisija iz ložišta ili poljoprivrede), Crna Gora bi mogla koristiti određene fleksibilnosti u skladu sa međunarodnim pravilima i to:</w:t>
            </w:r>
          </w:p>
          <w:p w14:paraId="76552C1B" w14:textId="77777777" w:rsidR="00D14F76" w:rsidRPr="001C58C6" w:rsidRDefault="00D14F76" w:rsidP="00E53052">
            <w:pPr>
              <w:pStyle w:val="ListParagraph"/>
              <w:numPr>
                <w:ilvl w:val="0"/>
                <w:numId w:val="63"/>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Korišćenje višegodišnjih prosjeka emisija za dokazivanje ispunjenosti ciljeva, u skladu sa CLRTAP preporukama;</w:t>
            </w:r>
          </w:p>
          <w:p w14:paraId="3C89EFE2" w14:textId="77777777" w:rsidR="00D14F76" w:rsidRPr="001C58C6" w:rsidRDefault="00D14F76" w:rsidP="00E53052">
            <w:pPr>
              <w:pStyle w:val="ListParagraph"/>
              <w:numPr>
                <w:ilvl w:val="0"/>
                <w:numId w:val="63"/>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lastRenderedPageBreak/>
              <w:t>Korišćenje rezerve smanjenja emisija (emission reduction reserve), ako se pokaže da su stvarne emisije niže od projekcionih vrijednosti u pojedinim godinama;</w:t>
            </w:r>
          </w:p>
          <w:p w14:paraId="12C4967C" w14:textId="77777777" w:rsidR="00D14F76" w:rsidRPr="001C58C6" w:rsidRDefault="00D14F76" w:rsidP="00E53052">
            <w:pPr>
              <w:pStyle w:val="ListParagraph"/>
              <w:numPr>
                <w:ilvl w:val="0"/>
                <w:numId w:val="63"/>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Privremeno prenosivi efekti između polutanata i sektora, ako postoje opravdani tehnički i metodološki razlozi (npr. kompenzacija između SO₂ i NOₓ emisija kod prelaska na gasna goriva).</w:t>
            </w:r>
          </w:p>
          <w:p w14:paraId="1ACDBD4F"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Primjena ovih mehanizama bila bi ograničena, transparentna i u skladu sa međunarodnim pravilima izvještavanja (CLRTAP i EMEP), uz obavezno odobrenje nadležnog ministarstva i tehničku verifikaciju Agencije za zaštitu životne sredine.</w:t>
            </w:r>
          </w:p>
          <w:p w14:paraId="61E44442"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S obzirom na trenutno povoljne trendove i značajan efekat planiranih mjera, nije predviđeno korišćenje fleksibilnosti u periodu 2026–2029, već se fokus stavlja na direktno ispunjenje obaveza smanjenja emisija kroz sprovođenje Programa mjera.</w:t>
            </w:r>
          </w:p>
        </w:tc>
      </w:tr>
      <w:tr w:rsidR="00D14F76" w:rsidRPr="001C58C6" w14:paraId="486689FA" w14:textId="77777777" w:rsidTr="00E40401">
        <w:tc>
          <w:tcPr>
            <w:cnfStyle w:val="001000000000" w:firstRow="0" w:lastRow="0" w:firstColumn="1" w:lastColumn="0" w:oddVBand="0" w:evenVBand="0" w:oddHBand="0" w:evenHBand="0" w:firstRowFirstColumn="0" w:firstRowLastColumn="0" w:lastRowFirstColumn="0" w:lastRowLastColumn="0"/>
            <w:tcW w:w="1152" w:type="pct"/>
          </w:tcPr>
          <w:p w14:paraId="72124346" w14:textId="77777777" w:rsidR="00D14F76" w:rsidRPr="001C58C6" w:rsidRDefault="00D14F76">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lastRenderedPageBreak/>
              <w:t>Predviđeno poboljšanje kvaliteta vazduha („sa dodatnim mjerama”)</w:t>
            </w:r>
          </w:p>
        </w:tc>
        <w:tc>
          <w:tcPr>
            <w:tcW w:w="3848" w:type="pct"/>
          </w:tcPr>
          <w:p w14:paraId="41ABD1B6"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Sprovođenje dodatnih mjera planiranih u okviru Programa mjera zaštite vazduha 2026–2029 očekivano će dovesti do blagog poboljšanja kvaliteta vazduha u svim urbanim, industrijskim i saobraćajno opterećenim područjima.</w:t>
            </w:r>
          </w:p>
          <w:p w14:paraId="77990190"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Modelovane projekcije pokazuju da će se do kraja planskog perioda ostvariti sljedeći rezultati u odnosu na 2005. godinu:</w:t>
            </w:r>
          </w:p>
          <w:p w14:paraId="43DDF855" w14:textId="77777777" w:rsidR="00D14F76" w:rsidRPr="001C58C6" w:rsidRDefault="00D14F76" w:rsidP="00E53052">
            <w:pPr>
              <w:pStyle w:val="ListParagraph"/>
              <w:numPr>
                <w:ilvl w:val="0"/>
                <w:numId w:val="64"/>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Smanjenje prosječnih godišnjih koncentracija PM₂.₅ za 2–5%,</w:t>
            </w:r>
          </w:p>
          <w:p w14:paraId="358CBB02" w14:textId="77777777" w:rsidR="00D14F76" w:rsidRPr="001C58C6" w:rsidRDefault="00D14F76" w:rsidP="00E53052">
            <w:pPr>
              <w:pStyle w:val="ListParagraph"/>
              <w:numPr>
                <w:ilvl w:val="0"/>
                <w:numId w:val="64"/>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Smanjenje koncentracija NOx za 25–30%,</w:t>
            </w:r>
          </w:p>
          <w:p w14:paraId="72EF054E" w14:textId="77777777" w:rsidR="00D14F76" w:rsidRPr="001C58C6" w:rsidRDefault="00D14F76" w:rsidP="00E53052">
            <w:pPr>
              <w:pStyle w:val="ListParagraph"/>
              <w:numPr>
                <w:ilvl w:val="0"/>
                <w:numId w:val="64"/>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Znatno smanjenje koncentracija SO₂,</w:t>
            </w:r>
          </w:p>
          <w:p w14:paraId="56AB6969" w14:textId="77777777" w:rsidR="00D14F76" w:rsidRPr="001C58C6" w:rsidRDefault="00D14F76" w:rsidP="00E53052">
            <w:pPr>
              <w:pStyle w:val="ListParagraph"/>
              <w:numPr>
                <w:ilvl w:val="0"/>
                <w:numId w:val="64"/>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Stabilizacija koncentracija prizemnog ozona (O₃) usljed smanjenja prekursora (NOₓ i NMVOC).</w:t>
            </w:r>
          </w:p>
          <w:p w14:paraId="08F7C687"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Najveći efekti poboljšanja očekuju se u zonama sa istorijski najlošijim kvalitetom vazduha: Pljevlja, Nikšić, Bijelo Polje i Podgorica, zahvaljujući kombinovanom uticaju mjera u sektorima energetike, saobraćaja, grijanja domaćinstava i industrije.</w:t>
            </w:r>
          </w:p>
          <w:p w14:paraId="2487D34E"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Uvođenje čistijih goriva, povećanje energetske efikasnosti i širenje daljinskog grijanja, zajedno sa modernizacijom vozila i jačanjem javnog prevoza, doprinijeće smanjenju koncentracija čvrstih čestica (PM) i azotnih oksida, koji predstavljaju glavne uzročnike prekoračenja graničnih vrijednosti i zdravstvenih problema stanovništva.</w:t>
            </w:r>
          </w:p>
          <w:p w14:paraId="09C21BE6"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Prema rezultatima modelovanja, do 2029. godine se očekuje:</w:t>
            </w:r>
          </w:p>
          <w:p w14:paraId="76B501BF" w14:textId="77777777" w:rsidR="00D14F76" w:rsidRPr="001C58C6" w:rsidRDefault="00D14F76" w:rsidP="00E53052">
            <w:pPr>
              <w:pStyle w:val="ListParagraph"/>
              <w:numPr>
                <w:ilvl w:val="0"/>
                <w:numId w:val="65"/>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Smanjenje broja dana sa prekoračenjima PM₁₀ u Pljevljima sa preko 100 na ispod 35 dana godišnje,</w:t>
            </w:r>
          </w:p>
          <w:p w14:paraId="1910E943" w14:textId="77777777" w:rsidR="00D14F76" w:rsidRPr="001C58C6" w:rsidRDefault="00D14F76" w:rsidP="00E53052">
            <w:pPr>
              <w:pStyle w:val="ListParagraph"/>
              <w:numPr>
                <w:ilvl w:val="0"/>
                <w:numId w:val="65"/>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Smanjenje sezonskih koncentracija NOx u Podgorici i Nikšiću za 30–40%,</w:t>
            </w:r>
          </w:p>
          <w:p w14:paraId="38D15FF8" w14:textId="77777777" w:rsidR="00D14F76" w:rsidRPr="001C58C6" w:rsidRDefault="00D14F76" w:rsidP="00E53052">
            <w:pPr>
              <w:pStyle w:val="ListParagraph"/>
              <w:numPr>
                <w:ilvl w:val="0"/>
                <w:numId w:val="65"/>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Ukupno smanjenje broja stanovnika izloženih lošem kvalitetu vazduha za više od 60% u odnosu na 2005. godinu.</w:t>
            </w:r>
          </w:p>
          <w:p w14:paraId="535B8283"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Sprovođenje mjera iz ovog Programa takođe doprinosi i poboljšanju javnog zdravlja, kroz smanjenje broja slučajeva respiratornih i kardiovaskularnih oboljenja povezanih sa izloženosti PM₂.₅ i NOx.</w:t>
            </w:r>
          </w:p>
          <w:p w14:paraId="78AAB820"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U cjelini, primjena WAM scenarija omogućava Crnoj Gori da do 2029. godine postigne djelimičnu usklađenost sa nacionalnim i EU graničnim vrijednostima kvaliteta vazduha, uz održiv trend poboljšanja i nakon 2030. godine.</w:t>
            </w:r>
          </w:p>
        </w:tc>
      </w:tr>
      <w:tr w:rsidR="00D14F76" w:rsidRPr="001C58C6" w14:paraId="4B3C9A48" w14:textId="77777777" w:rsidTr="00E40401">
        <w:tc>
          <w:tcPr>
            <w:cnfStyle w:val="001000000000" w:firstRow="0" w:lastRow="0" w:firstColumn="1" w:lastColumn="0" w:oddVBand="0" w:evenVBand="0" w:oddHBand="0" w:evenHBand="0" w:firstRowFirstColumn="0" w:firstRowLastColumn="0" w:lastRowFirstColumn="0" w:lastRowLastColumn="0"/>
            <w:tcW w:w="1152" w:type="pct"/>
          </w:tcPr>
          <w:p w14:paraId="20C81A75" w14:textId="77777777" w:rsidR="00D14F76" w:rsidRPr="001C58C6" w:rsidRDefault="00D14F76">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Projektovani uticaji na životnu sredinu („sa dodatnim mjerama”)</w:t>
            </w:r>
          </w:p>
        </w:tc>
        <w:tc>
          <w:tcPr>
            <w:tcW w:w="3848" w:type="pct"/>
          </w:tcPr>
          <w:p w14:paraId="37ABBDCA"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Primjena dodatnih mjera predviđenih u okviru Programa mjera zaštite vazduha 2026–2029 imaće uglavnom pozitivan i višeslojni uticaj na životnu sredinu, jer se radi o mjerama koje istovremeno doprinose smanjenju emisija zagađujućih materija, ublažavanju klimatskih promjena, zaštiti voda, zemljišta i biodiverziteta, kao i unapređenju zdravlja stanovništva.</w:t>
            </w:r>
          </w:p>
          <w:p w14:paraId="529CCC91"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20"/>
                <w:szCs w:val="20"/>
              </w:rPr>
            </w:pPr>
            <w:r w:rsidRPr="001C58C6">
              <w:rPr>
                <w:rFonts w:ascii="Calibri" w:eastAsia="Times New Roman" w:hAnsi="Calibri" w:cs="Calibri"/>
                <w:b/>
                <w:bCs/>
                <w:color w:val="000000" w:themeColor="text1"/>
                <w:sz w:val="20"/>
                <w:szCs w:val="20"/>
              </w:rPr>
              <w:t>Pozitivni uticaji</w:t>
            </w:r>
          </w:p>
          <w:p w14:paraId="6460BCE0"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Kvalitet vazduha: Sprovođenje planiranih mjera dovodi do smanjenja emisija SO₂, NOₓ, PM₂.₅ i NMVOC, što direktno utiče na poboljšanje kvaliteta vazduha u urbanim i industrijskim zonama.</w:t>
            </w:r>
          </w:p>
          <w:p w14:paraId="6E3AD449"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Klimatske promjene: Mjere energetske efikasnosti, prelazak na obnovljive izvore energije i smanjenje potrošnje fosilnih goriva rezultira smanjenjem emisija CO₂ i drugih gasova sa efektom staklene bašte, čime se doprinosi ostvarivanju ciljeva niskougljeničnog razvoja.</w:t>
            </w:r>
          </w:p>
          <w:p w14:paraId="61EED879"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Vode i zemljište: Smanjenje emisija atmosferskog azota (NOₓ, NH₃) smanjuje eutrofikaciju i zakiseljavanje površinskih voda i zemljišta.</w:t>
            </w:r>
          </w:p>
          <w:p w14:paraId="22F37FC9"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Biodiverzitet: Manje taloženje sumpora i azota na osjetljive ekosisteme (planinski, šumski i močvarni) doprinosi zaštiti prirodnih staništa i smanjenju gubitka vrsta.</w:t>
            </w:r>
          </w:p>
          <w:p w14:paraId="727A1616"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lastRenderedPageBreak/>
              <w:t>Zdravlje stanovništva: Smanjenje koncentracija PM i NO₂ dovodi do znatnog smanjenja broja slučajeva respiratornih i kardiovaskularnih oboljenja, time poboljšanja kvaliteta života stanovništva u područjima sa istorijski visokim nivoima zagađenja.</w:t>
            </w:r>
          </w:p>
          <w:p w14:paraId="50AE428D"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20"/>
                <w:szCs w:val="20"/>
              </w:rPr>
            </w:pPr>
            <w:r w:rsidRPr="001C58C6">
              <w:rPr>
                <w:rFonts w:ascii="Calibri" w:eastAsia="Times New Roman" w:hAnsi="Calibri" w:cs="Calibri"/>
                <w:b/>
                <w:bCs/>
                <w:color w:val="000000" w:themeColor="text1"/>
                <w:sz w:val="20"/>
                <w:szCs w:val="20"/>
              </w:rPr>
              <w:t>Mogući neutralni i privremeni uticaji</w:t>
            </w:r>
          </w:p>
          <w:p w14:paraId="483BFF1A"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U fazi sprovođenja pojedinih infrastrukturnih mjera (npr. modernizacija energetskih sistema, zamjena ložišta, izgradnja postrojenja za tretman otpada) mogu se javiti privremeni uticaji na zemljište, buku i lokalni saobraćaj. Ovi uticaji su ograničenog trajanja i obuhvaćeni standardnim mjerama zaštite životne sredine koje su propisane projektno-tehničkom dokumentacijom i nacionalnim propisima.</w:t>
            </w:r>
          </w:p>
          <w:p w14:paraId="40B66728"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Zamjena goriva i prelazak na biomasu može imati lokalne efekte u pogledu korišćenja resursa, ali su oni minimalni i kontrolisani kroz planove održivog snabdijevanja biomasom.</w:t>
            </w:r>
          </w:p>
          <w:p w14:paraId="30A033C9"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20"/>
                <w:szCs w:val="20"/>
              </w:rPr>
            </w:pPr>
            <w:r w:rsidRPr="001C58C6">
              <w:rPr>
                <w:rFonts w:ascii="Calibri" w:eastAsia="Times New Roman" w:hAnsi="Calibri" w:cs="Calibri"/>
                <w:b/>
                <w:bCs/>
                <w:color w:val="000000" w:themeColor="text1"/>
                <w:sz w:val="20"/>
                <w:szCs w:val="20"/>
              </w:rPr>
              <w:t>Kumulativni uticaji</w:t>
            </w:r>
          </w:p>
          <w:p w14:paraId="0CEF8016"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Ukupan, kumulativni efekat primjene dodatnih mjera ocjenjuje se kao pozitivan na nacionalnom i regionalnom nivou. Istovremeno smanjenje emisija više polutanata (SO₂, NOₓ, PM₂.₅, NMVOC i NH₃) doprinosi smanjenju sekundarnog formiranja ozona i čestica, kao i smanjenju prekograničnog transporta zagađenja. Time se ostvaruje doprinos i širim ciljevima zaštite životne sredine u okviru Konvencije o prekograničnom zagađenju vazduha na velikim udaljenostima (CLRTAP) i EU zelenog dogovora (European Green Deal).</w:t>
            </w:r>
          </w:p>
          <w:p w14:paraId="5B118C34"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Na osnovu sprovedene analize, projektovani uticaji na životnu sredinu u scenariju „sa dodatnim mjerama” mogu se ocijeniti kao pretežno pozitivni, bez značajnih negativnih ili nepovratnih posljedica. Realizacija Programa mjera doprinosi istovremenom smanjenju zagađenja vazduha, ublažavanju klimatskih promjena i unapređenju ekosistemskih usluga, uz pozitivan efekat na kvalitet života i javno zdravlje.</w:t>
            </w:r>
          </w:p>
        </w:tc>
      </w:tr>
      <w:tr w:rsidR="00D14F76" w:rsidRPr="001C58C6" w14:paraId="6E3AE95A" w14:textId="77777777" w:rsidTr="00E40401">
        <w:tc>
          <w:tcPr>
            <w:cnfStyle w:val="001000000000" w:firstRow="0" w:lastRow="0" w:firstColumn="1" w:lastColumn="0" w:oddVBand="0" w:evenVBand="0" w:oddHBand="0" w:evenHBand="0" w:firstRowFirstColumn="0" w:firstRowLastColumn="0" w:lastRowFirstColumn="0" w:lastRowLastColumn="0"/>
            <w:tcW w:w="1152" w:type="pct"/>
          </w:tcPr>
          <w:p w14:paraId="6EF78B81" w14:textId="77777777" w:rsidR="00D14F76" w:rsidRPr="001C58C6" w:rsidRDefault="00D14F76">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lastRenderedPageBreak/>
              <w:t>Metodologija i Nepouzdanosti</w:t>
            </w:r>
          </w:p>
        </w:tc>
        <w:tc>
          <w:tcPr>
            <w:tcW w:w="3848" w:type="pct"/>
          </w:tcPr>
          <w:p w14:paraId="29AFBB6A"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Procjena emisija, projekcije i analiza uticaja sprovedene su u skladu sa EMEP/EEA vodičem za inventare emisija (EMEP/EEA Air Pollutant Emission Inventory Guidebook 2019) i metodološkim smjernicama Konvencije o prekograničnom zagađenju vazduha na velikim udaljenostima (CLRTAP).</w:t>
            </w:r>
          </w:p>
          <w:p w14:paraId="55B5AC8B"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Za pripremu projekcija korišćeni su podaci iz:</w:t>
            </w:r>
          </w:p>
          <w:p w14:paraId="35A944F0" w14:textId="77777777" w:rsidR="00D14F76" w:rsidRPr="001C58C6" w:rsidRDefault="00D14F76" w:rsidP="00E53052">
            <w:pPr>
              <w:pStyle w:val="ListParagraph"/>
              <w:numPr>
                <w:ilvl w:val="0"/>
                <w:numId w:val="66"/>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nacionalnog inventara emisija zagađujućih materija,</w:t>
            </w:r>
          </w:p>
          <w:p w14:paraId="39C66901" w14:textId="77777777" w:rsidR="00D14F76" w:rsidRPr="001C58C6" w:rsidRDefault="00D14F76" w:rsidP="00E53052">
            <w:pPr>
              <w:pStyle w:val="ListParagraph"/>
              <w:numPr>
                <w:ilvl w:val="0"/>
                <w:numId w:val="66"/>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zvaničnih energetskih bilansa Crne Gore i statističkih podataka MONSTAT-a,</w:t>
            </w:r>
          </w:p>
          <w:p w14:paraId="0BB71F96" w14:textId="77777777" w:rsidR="00D14F76" w:rsidRPr="001C58C6" w:rsidRDefault="00D14F76" w:rsidP="00E53052">
            <w:pPr>
              <w:pStyle w:val="ListParagraph"/>
              <w:numPr>
                <w:ilvl w:val="0"/>
                <w:numId w:val="66"/>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izvještaja o emisijama iz industrijskih postrojenja (PRTR/IPPC),</w:t>
            </w:r>
          </w:p>
          <w:p w14:paraId="0B437744" w14:textId="77777777" w:rsidR="00D14F76" w:rsidRPr="001C58C6" w:rsidRDefault="00D14F76" w:rsidP="00E53052">
            <w:pPr>
              <w:pStyle w:val="ListParagraph"/>
              <w:numPr>
                <w:ilvl w:val="0"/>
                <w:numId w:val="66"/>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podataka o saobraćaju (broj vozila, struktura goriva, kilometraža),</w:t>
            </w:r>
          </w:p>
          <w:p w14:paraId="364320E7" w14:textId="77777777" w:rsidR="00D14F76" w:rsidRPr="001C58C6" w:rsidRDefault="00D14F76" w:rsidP="00E53052">
            <w:pPr>
              <w:pStyle w:val="ListParagraph"/>
              <w:numPr>
                <w:ilvl w:val="0"/>
                <w:numId w:val="66"/>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informacija o potrošnji goriva u domaćinstvima i poljoprivrednim aktivnostima,</w:t>
            </w:r>
          </w:p>
          <w:p w14:paraId="48521668" w14:textId="77777777" w:rsidR="00D14F76" w:rsidRPr="001C58C6" w:rsidRDefault="00D14F76" w:rsidP="00E53052">
            <w:pPr>
              <w:pStyle w:val="ListParagraph"/>
              <w:numPr>
                <w:ilvl w:val="0"/>
                <w:numId w:val="66"/>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dostupnih studija i izvještaja o kvalitetu vazduha iz mreže monitoringa Agencije za zaštitu životne sredine.</w:t>
            </w:r>
          </w:p>
          <w:p w14:paraId="1032817B"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Scenariji WEM (postojeće mjere) i WAM (sa dodatnim mjerama) razvijeni su kombinovanjem bottom-up i top-down pristupa, uz pretpostavke o ekonomskom rastu, potrošnji energije i stepenu primjene propisanih mjera. Emisije su izražene u kilotonama (kt) po zagađujućoj materiji i sektoru, uz konverziju na 2005. godinu kao baznu.</w:t>
            </w:r>
          </w:p>
          <w:p w14:paraId="7C9DFC29"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Za procjenu poboljšanja kvaliteta vazduha korišćeni su rezultati modelovanja disperzije (Gaussian i Eulerian modeli) i analiza trendova mjerenja na stanicama u Pljevljima, Podgorici, Nikšiću i Bijelom Polju. Projekcije uticaja zasnovane su na kombinaciji statističkih analiza, faktora emisije i očekivanih efekata mjera energetske efikasnosti, saobraćajne transformacije i industrijske modernizacije.</w:t>
            </w:r>
          </w:p>
          <w:p w14:paraId="53DF9EBD"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20"/>
                <w:szCs w:val="20"/>
              </w:rPr>
            </w:pPr>
            <w:r w:rsidRPr="001C58C6">
              <w:rPr>
                <w:rFonts w:ascii="Calibri" w:eastAsia="Times New Roman" w:hAnsi="Calibri" w:cs="Calibri"/>
                <w:b/>
                <w:bCs/>
                <w:color w:val="000000" w:themeColor="text1"/>
                <w:sz w:val="20"/>
                <w:szCs w:val="20"/>
              </w:rPr>
              <w:t>Nepouzdanosti</w:t>
            </w:r>
          </w:p>
          <w:p w14:paraId="44D99D97"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Iako su projekcije urađene prema standardnim međunarodnim metodama, one nose određeni nivo nepouzdanosti, koji proizilazi iz sljedećih faktora:</w:t>
            </w:r>
          </w:p>
          <w:p w14:paraId="6B7F7707"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p>
          <w:p w14:paraId="14064B32"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bookmarkStart w:id="234" w:name="_Hlk220411933"/>
            <w:r w:rsidRPr="001C58C6">
              <w:rPr>
                <w:rFonts w:ascii="Calibri" w:eastAsia="Times New Roman" w:hAnsi="Calibri" w:cs="Calibri"/>
                <w:color w:val="000000" w:themeColor="text1"/>
                <w:sz w:val="20"/>
                <w:szCs w:val="20"/>
              </w:rPr>
              <w:t>Ulazni podaci:</w:t>
            </w:r>
          </w:p>
          <w:p w14:paraId="507F762F" w14:textId="77777777" w:rsidR="00D14F76" w:rsidRPr="001C58C6" w:rsidRDefault="00D14F76" w:rsidP="00E53052">
            <w:pPr>
              <w:pStyle w:val="ListParagraph"/>
              <w:numPr>
                <w:ilvl w:val="0"/>
                <w:numId w:val="9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Ne postoji centralni digitalizovani repozitorijum svih statističkih podataka neophodnih za detaljno modeliranje sektora i podsektora emitera zagađujućih materija. Veliki je broj izvora podataka. Podaci su različitog nivoa pouzdanosti jer se svi ne validiraju u skladu sa procedurom.</w:t>
            </w:r>
          </w:p>
          <w:p w14:paraId="44E5CBAE" w14:textId="77777777" w:rsidR="00D14F76" w:rsidRPr="001C58C6" w:rsidRDefault="00D14F76" w:rsidP="00E53052">
            <w:pPr>
              <w:pStyle w:val="ListParagraph"/>
              <w:numPr>
                <w:ilvl w:val="0"/>
                <w:numId w:val="9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Nema potpune konzistentnosti između različitih izvora podataka (energetski bilansi, saobraćaj, domaćinstva).</w:t>
            </w:r>
          </w:p>
          <w:p w14:paraId="3EC3AD8D" w14:textId="77777777" w:rsidR="00D14F76" w:rsidRPr="001C58C6" w:rsidRDefault="00D14F76" w:rsidP="00E53052">
            <w:pPr>
              <w:pStyle w:val="ListParagraph"/>
              <w:numPr>
                <w:ilvl w:val="0"/>
                <w:numId w:val="9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lastRenderedPageBreak/>
              <w:t>Podaci o stvarnoj potrošnji goriva u domaćinstvima i malim ložištima imaju ograničenu tačnost.</w:t>
            </w:r>
          </w:p>
          <w:p w14:paraId="73E5BDCE" w14:textId="77777777" w:rsidR="00D14F76" w:rsidRPr="001C58C6" w:rsidRDefault="00D14F76" w:rsidP="00E53052">
            <w:pPr>
              <w:pStyle w:val="ListParagraph"/>
              <w:numPr>
                <w:ilvl w:val="0"/>
                <w:numId w:val="9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Emisije iz poljoprivrede i otpada dijelom se procjenjuju korišćenjem generičkih faktora emisije.</w:t>
            </w:r>
          </w:p>
          <w:p w14:paraId="4FAF81E5"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Metodološke pretpostavke:</w:t>
            </w:r>
          </w:p>
          <w:p w14:paraId="1B1703FD" w14:textId="77777777" w:rsidR="00D14F76" w:rsidRPr="001C58C6" w:rsidRDefault="00D14F76" w:rsidP="00E53052">
            <w:pPr>
              <w:pStyle w:val="ListParagraph"/>
              <w:numPr>
                <w:ilvl w:val="0"/>
                <w:numId w:val="9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Kako su bile na raspolaganju projekcije proizvodnje i potrošnje energije iz NEKP, primjenjen je Tier 1 pristup za estimaciju scenarija emisija za ključne zagađujuće materije (SO₂, NOₓ, PM₂.₅, NMVOC, NH₃), a u skladu sa preporukama iz EMEP/EEA priručnika. Emisioni faktori se kreću u širem opsegu, a primjenjene su preporučene srednje vrijednosti.</w:t>
            </w:r>
          </w:p>
          <w:p w14:paraId="5D00B38F" w14:textId="77777777" w:rsidR="00D14F76" w:rsidRPr="001C58C6" w:rsidRDefault="00D14F76" w:rsidP="00E53052">
            <w:pPr>
              <w:pStyle w:val="ListParagraph"/>
              <w:numPr>
                <w:ilvl w:val="0"/>
                <w:numId w:val="9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Primjenjeni faktori emisije ne obuhvataju sve lokalne uslove (klima, visina dimnjaka, tehnologija sagorijevanja).</w:t>
            </w:r>
          </w:p>
          <w:p w14:paraId="7EF56D0E" w14:textId="77777777" w:rsidR="00D14F76" w:rsidRPr="001C58C6" w:rsidRDefault="00D14F76" w:rsidP="00E53052">
            <w:pPr>
              <w:pStyle w:val="ListParagraph"/>
              <w:numPr>
                <w:ilvl w:val="0"/>
                <w:numId w:val="9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Pretpostavljena dinamika ekonomskog i demografskog rasta može odstupati od stvarnog razvoja.</w:t>
            </w:r>
          </w:p>
          <w:p w14:paraId="2865B8CF" w14:textId="77777777" w:rsidR="00D14F76" w:rsidRPr="001C58C6" w:rsidRDefault="00D14F76" w:rsidP="00E53052">
            <w:pPr>
              <w:pStyle w:val="ListParagraph"/>
              <w:numPr>
                <w:ilvl w:val="0"/>
                <w:numId w:val="9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Meteorološke varijacije (inverzije, vjetar, padavine) mogu znatno uticati na lokalne koncentracije polutanata.</w:t>
            </w:r>
          </w:p>
          <w:p w14:paraId="616FA774"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Sprovođenje mjera:</w:t>
            </w:r>
          </w:p>
          <w:p w14:paraId="1377E735" w14:textId="77777777" w:rsidR="00D14F76" w:rsidRPr="001C58C6" w:rsidRDefault="00D14F76" w:rsidP="00E53052">
            <w:pPr>
              <w:pStyle w:val="ListParagraph"/>
              <w:numPr>
                <w:ilvl w:val="0"/>
                <w:numId w:val="9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Uspješnost primjene mjera zavisi od institucionalnih kapaciteta, dostupnosti finansiranja i brzine implementacije.</w:t>
            </w:r>
          </w:p>
          <w:p w14:paraId="79ED9C77" w14:textId="77777777" w:rsidR="00D14F76" w:rsidRPr="001C58C6" w:rsidRDefault="00D14F76" w:rsidP="00E53052">
            <w:pPr>
              <w:pStyle w:val="ListParagraph"/>
              <w:numPr>
                <w:ilvl w:val="0"/>
                <w:numId w:val="9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Određene mjere (npr. zamjena ložišta, elektrifikacija saobraćaja) imaju duže vrijeme realizacije i efekti se ostvaruju postepeno.</w:t>
            </w:r>
          </w:p>
          <w:p w14:paraId="2B98749F" w14:textId="77777777" w:rsidR="00D14F76" w:rsidRPr="001C58C6" w:rsidRDefault="00D14F76" w:rsidP="00E40401">
            <w:pPr>
              <w:pStyle w:val="ListParagraph"/>
              <w:ind w:left="972"/>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p>
          <w:p w14:paraId="12BEC71D"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  Modeliranje kvaliteta vazduha:</w:t>
            </w:r>
          </w:p>
          <w:p w14:paraId="3BE964B9" w14:textId="77777777" w:rsidR="00D14F76" w:rsidRPr="001C58C6" w:rsidRDefault="00D14F76" w:rsidP="00E53052">
            <w:pPr>
              <w:pStyle w:val="ListParagraph"/>
              <w:numPr>
                <w:ilvl w:val="0"/>
                <w:numId w:val="98"/>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Prostorna rezolucija modela ograničava preciznost na mikro-lokalnom nivou.</w:t>
            </w:r>
          </w:p>
          <w:p w14:paraId="03C9E819" w14:textId="77777777" w:rsidR="00D14F76" w:rsidRPr="001C58C6" w:rsidRDefault="00D14F76" w:rsidP="00E53052">
            <w:pPr>
              <w:pStyle w:val="ListParagraph"/>
              <w:numPr>
                <w:ilvl w:val="0"/>
                <w:numId w:val="98"/>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Nedostatak dugoročnih serija podataka na pojedinim mjernim stanicama povećava neizvjesnost u validaciji modela.</w:t>
            </w:r>
          </w:p>
          <w:p w14:paraId="73D9C738" w14:textId="77777777" w:rsidR="00D14F76" w:rsidRPr="001C58C6" w:rsidRDefault="00D14F76" w:rsidP="00E40401">
            <w:pPr>
              <w:pStyle w:val="ListParagrap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p>
          <w:p w14:paraId="04BC9BC5"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Ukupna nepouzdanost procjena za ključne zagađujuće materije (SO₂, NOₓ, PM₂.₅, NMVOC, NH₃) procjenjuje se na ±15–30%, što je u granicama preporuka EMEP/EEA priručnika.</w:t>
            </w:r>
          </w:p>
          <w:p w14:paraId="52B081BF"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Kako bi se smanjio nivo nepouzdanosti, planirano je:</w:t>
            </w:r>
          </w:p>
          <w:p w14:paraId="586E6A88" w14:textId="77777777" w:rsidR="00D14F76" w:rsidRPr="001C58C6" w:rsidRDefault="00D14F76" w:rsidP="00E53052">
            <w:pPr>
              <w:pStyle w:val="ListParagraph"/>
              <w:numPr>
                <w:ilvl w:val="0"/>
                <w:numId w:val="9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kontinuirano poboljšanje nacionalnog sistema za inventar emisija,</w:t>
            </w:r>
          </w:p>
          <w:p w14:paraId="1EF9BDB2" w14:textId="77777777" w:rsidR="00D14F76" w:rsidRPr="001C58C6" w:rsidRDefault="00D14F76" w:rsidP="00E53052">
            <w:pPr>
              <w:pStyle w:val="ListParagraph"/>
              <w:numPr>
                <w:ilvl w:val="0"/>
                <w:numId w:val="9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redovna revizija metodologije i podataka svake dvije godine,</w:t>
            </w:r>
          </w:p>
          <w:p w14:paraId="6DEF2AC8" w14:textId="77777777" w:rsidR="00D14F76" w:rsidRPr="001C58C6" w:rsidRDefault="00D14F76" w:rsidP="00E53052">
            <w:pPr>
              <w:pStyle w:val="ListParagraph"/>
              <w:numPr>
                <w:ilvl w:val="0"/>
                <w:numId w:val="9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kontinuirana koordinacija sa institucijama koje su izvor podataka za svoj resor,</w:t>
            </w:r>
          </w:p>
          <w:p w14:paraId="0B4921B0" w14:textId="77777777" w:rsidR="00D14F76" w:rsidRPr="001C58C6" w:rsidRDefault="00D14F76" w:rsidP="00E53052">
            <w:pPr>
              <w:pStyle w:val="ListParagraph"/>
              <w:numPr>
                <w:ilvl w:val="0"/>
                <w:numId w:val="9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jačanje kapaciteta Agencije za zaštitu životne sredine i saradnje sa lokalnim samoupravama i industrijom,</w:t>
            </w:r>
          </w:p>
          <w:p w14:paraId="0F9E0720" w14:textId="77777777" w:rsidR="00D14F76" w:rsidRPr="001C58C6" w:rsidRDefault="00D14F76" w:rsidP="00E53052">
            <w:pPr>
              <w:pStyle w:val="ListParagraph"/>
              <w:numPr>
                <w:ilvl w:val="0"/>
                <w:numId w:val="9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šira primjena modela za prostorno i vremensko modelovanje emisija i uključivanje lokalnih mjerenja u verifikaciju projekcija.</w:t>
            </w:r>
          </w:p>
          <w:p w14:paraId="3C841437" w14:textId="77777777" w:rsidR="00D14F76" w:rsidRPr="001C58C6" w:rsidRDefault="00D14F76" w:rsidP="00E40401">
            <w:pPr>
              <w:pStyle w:val="ListParagraph"/>
              <w:ind w:left="972"/>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p>
          <w:p w14:paraId="320867A9"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Ukupna nepouzdanost procjena za ključne zagađujuće materije (SO₂, NOₓ, PM₂.₅, NMVOC, NH₃) procjenjuje se na ±15–30%, što je u granicama preporuka EMEP/EEA vodiča.</w:t>
            </w:r>
          </w:p>
          <w:p w14:paraId="077D8488"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p>
          <w:p w14:paraId="7552097A"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Kako bi se smanjio nivo nepouzdanosti, planirano je:</w:t>
            </w:r>
          </w:p>
          <w:p w14:paraId="674296BD" w14:textId="77777777" w:rsidR="00D14F76" w:rsidRPr="001C58C6" w:rsidRDefault="00D14F76" w:rsidP="00E53052">
            <w:pPr>
              <w:pStyle w:val="ListParagraph"/>
              <w:numPr>
                <w:ilvl w:val="0"/>
                <w:numId w:val="6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kontinuirano poboljšanje nacionalnog sistema za inventar emisija,</w:t>
            </w:r>
          </w:p>
          <w:p w14:paraId="009DAF99" w14:textId="77777777" w:rsidR="00D14F76" w:rsidRPr="001C58C6" w:rsidRDefault="00D14F76" w:rsidP="00E53052">
            <w:pPr>
              <w:pStyle w:val="ListParagraph"/>
              <w:numPr>
                <w:ilvl w:val="0"/>
                <w:numId w:val="6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redovna revizija metodologije i podataka svake dvije godine,</w:t>
            </w:r>
          </w:p>
          <w:p w14:paraId="3C663961" w14:textId="77777777" w:rsidR="00D14F76" w:rsidRPr="001C58C6" w:rsidRDefault="00D14F76" w:rsidP="00E53052">
            <w:pPr>
              <w:pStyle w:val="ListParagraph"/>
              <w:numPr>
                <w:ilvl w:val="0"/>
                <w:numId w:val="6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jačanje kapaciteta Agencije za zaštitu životne sredine i saradnje sa lokalnim samoupravama i industrijom,</w:t>
            </w:r>
          </w:p>
          <w:p w14:paraId="38B40BF1" w14:textId="77777777" w:rsidR="00D14F76" w:rsidRPr="001C58C6" w:rsidRDefault="00D14F76" w:rsidP="00E53052">
            <w:pPr>
              <w:pStyle w:val="ListParagraph"/>
              <w:numPr>
                <w:ilvl w:val="0"/>
                <w:numId w:val="6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šira primjena modela za prostorno i vremensko modelovanje emisija i uključivanje lokalnih mjerenja u verifikaciju projekcija.</w:t>
            </w:r>
            <w:bookmarkEnd w:id="234"/>
          </w:p>
        </w:tc>
      </w:tr>
    </w:tbl>
    <w:p w14:paraId="65170280" w14:textId="77777777" w:rsidR="00ED5DB4" w:rsidRPr="001C58C6" w:rsidRDefault="00ED5DB4">
      <w:pPr>
        <w:shd w:val="clear" w:color="auto" w:fill="FFFFFF"/>
        <w:spacing w:before="240" w:after="120" w:line="312" w:lineRule="atLeast"/>
        <w:rPr>
          <w:rFonts w:ascii="Calibri" w:eastAsia="Times New Roman" w:hAnsi="Calibri" w:cs="Calibri"/>
          <w:b/>
          <w:bCs/>
          <w:color w:val="000000" w:themeColor="text1"/>
          <w:szCs w:val="24"/>
        </w:rPr>
      </w:pPr>
    </w:p>
    <w:p w14:paraId="3EC7DC6A" w14:textId="77777777" w:rsidR="00D14F76" w:rsidRPr="001C58C6" w:rsidRDefault="00D14F76">
      <w:pPr>
        <w:shd w:val="clear" w:color="auto" w:fill="FFFFFF"/>
        <w:spacing w:before="240" w:after="120" w:line="312" w:lineRule="atLeast"/>
        <w:rPr>
          <w:rFonts w:ascii="Calibri" w:eastAsia="Times New Roman" w:hAnsi="Calibri" w:cs="Calibri"/>
          <w:b/>
          <w:bCs/>
          <w:color w:val="000000" w:themeColor="text1"/>
          <w:szCs w:val="24"/>
        </w:rPr>
      </w:pPr>
      <w:r w:rsidRPr="001C58C6">
        <w:rPr>
          <w:rFonts w:ascii="Calibri" w:eastAsia="Times New Roman" w:hAnsi="Calibri" w:cs="Calibri"/>
          <w:b/>
          <w:bCs/>
          <w:color w:val="000000" w:themeColor="text1"/>
          <w:szCs w:val="24"/>
        </w:rPr>
        <w:t>2.3.   Nacionalni okvir politika kvaliteta vazduha i zagađenja vazduha</w:t>
      </w:r>
    </w:p>
    <w:p w14:paraId="145FA846" w14:textId="77777777" w:rsidR="00D14F76" w:rsidRPr="001C58C6" w:rsidRDefault="00D14F76">
      <w:pPr>
        <w:shd w:val="clear" w:color="auto" w:fill="FFFFFF"/>
        <w:spacing w:before="240" w:after="120" w:line="312" w:lineRule="atLeast"/>
        <w:rPr>
          <w:rFonts w:ascii="Calibri" w:eastAsia="Times New Roman" w:hAnsi="Calibri" w:cs="Calibri"/>
          <w:b/>
          <w:bCs/>
          <w:color w:val="000000" w:themeColor="text1"/>
          <w:szCs w:val="24"/>
        </w:rPr>
      </w:pPr>
      <w:r w:rsidRPr="001C58C6">
        <w:rPr>
          <w:rFonts w:ascii="Calibri" w:eastAsia="Times New Roman" w:hAnsi="Calibri" w:cs="Calibri"/>
          <w:b/>
          <w:bCs/>
          <w:color w:val="000000" w:themeColor="text1"/>
          <w:szCs w:val="24"/>
        </w:rPr>
        <w:t>2.3.1.   </w:t>
      </w:r>
      <w:r w:rsidRPr="001C58C6">
        <w:rPr>
          <w:rFonts w:ascii="Calibri" w:eastAsia="Times New Roman" w:hAnsi="Calibri" w:cs="Calibri"/>
          <w:b/>
          <w:bCs/>
          <w:i/>
          <w:iCs/>
          <w:color w:val="000000" w:themeColor="text1"/>
          <w:szCs w:val="24"/>
        </w:rPr>
        <w:t>Prioriteti politike i njihov odnos s prioritetima utvrđenim u drugim relevantnim područjima politike</w:t>
      </w:r>
    </w:p>
    <w:tbl>
      <w:tblPr>
        <w:tblStyle w:val="GridTable1Light-Accent1"/>
        <w:tblW w:w="5000" w:type="pct"/>
        <w:tblLook w:val="04A0" w:firstRow="1" w:lastRow="0" w:firstColumn="1" w:lastColumn="0" w:noHBand="0" w:noVBand="1"/>
      </w:tblPr>
      <w:tblGrid>
        <w:gridCol w:w="3153"/>
        <w:gridCol w:w="1682"/>
        <w:gridCol w:w="1421"/>
        <w:gridCol w:w="1244"/>
        <w:gridCol w:w="703"/>
        <w:gridCol w:w="813"/>
      </w:tblGrid>
      <w:tr w:rsidR="00D14F76" w:rsidRPr="001C58C6" w14:paraId="2D2CC6C9" w14:textId="77777777" w:rsidTr="00E40401">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79" w:type="pct"/>
            <w:vAlign w:val="center"/>
          </w:tcPr>
          <w:p w14:paraId="34C75022" w14:textId="77777777" w:rsidR="00D14F76" w:rsidRPr="001C58C6" w:rsidRDefault="00D14F76" w:rsidP="00D14F76">
            <w:pPr>
              <w:spacing w:before="60" w:after="60" w:line="312" w:lineRule="atLeast"/>
              <w:ind w:right="47"/>
              <w:jc w:val="center"/>
              <w:rPr>
                <w:rFonts w:ascii="Calibri" w:eastAsia="Times New Roman" w:hAnsi="Calibri" w:cs="Calibri"/>
                <w:b w:val="0"/>
                <w:bCs w:val="0"/>
                <w:color w:val="000000" w:themeColor="text1"/>
                <w:sz w:val="20"/>
                <w:szCs w:val="20"/>
              </w:rPr>
            </w:pPr>
            <w:r w:rsidRPr="001C58C6">
              <w:rPr>
                <w:rFonts w:ascii="Calibri" w:eastAsia="Times New Roman" w:hAnsi="Calibri" w:cs="Calibri"/>
                <w:color w:val="000000" w:themeColor="text1"/>
                <w:sz w:val="20"/>
                <w:szCs w:val="20"/>
              </w:rPr>
              <w:lastRenderedPageBreak/>
              <w:t>Nacionalne obaveze smanjenja emisija u poređenju sa baznom godinom 2005. (u %) (O)</w:t>
            </w:r>
          </w:p>
        </w:tc>
        <w:tc>
          <w:tcPr>
            <w:tcW w:w="963" w:type="pct"/>
            <w:vAlign w:val="center"/>
          </w:tcPr>
          <w:p w14:paraId="5D5A05DC" w14:textId="77777777" w:rsidR="00D14F76" w:rsidRPr="001C58C6" w:rsidRDefault="00D14F76" w:rsidP="00E40401">
            <w:pPr>
              <w:spacing w:before="60" w:after="60" w:line="312" w:lineRule="atLeast"/>
              <w:ind w:right="195"/>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color w:val="000000" w:themeColor="text1"/>
                <w:sz w:val="20"/>
                <w:szCs w:val="20"/>
              </w:rPr>
              <w:t>SO</w:t>
            </w:r>
            <w:r w:rsidRPr="001C58C6">
              <w:rPr>
                <w:rFonts w:ascii="Calibri" w:eastAsia="Times New Roman" w:hAnsi="Calibri" w:cs="Calibri"/>
                <w:color w:val="000000" w:themeColor="text1"/>
                <w:sz w:val="20"/>
                <w:szCs w:val="20"/>
                <w:vertAlign w:val="subscript"/>
              </w:rPr>
              <w:t>2</w:t>
            </w:r>
          </w:p>
        </w:tc>
        <w:tc>
          <w:tcPr>
            <w:tcW w:w="818" w:type="pct"/>
            <w:vAlign w:val="center"/>
          </w:tcPr>
          <w:p w14:paraId="619FBD22" w14:textId="77777777" w:rsidR="00D14F76" w:rsidRPr="001C58C6" w:rsidRDefault="00D14F76" w:rsidP="00E40401">
            <w:pPr>
              <w:spacing w:before="60" w:after="60" w:line="312" w:lineRule="atLeast"/>
              <w:ind w:right="195"/>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color w:val="000000" w:themeColor="text1"/>
                <w:sz w:val="20"/>
                <w:szCs w:val="20"/>
              </w:rPr>
              <w:t>NO</w:t>
            </w:r>
            <w:r w:rsidRPr="001C58C6">
              <w:rPr>
                <w:rFonts w:ascii="Calibri" w:eastAsia="Times New Roman" w:hAnsi="Calibri" w:cs="Calibri"/>
                <w:color w:val="000000" w:themeColor="text1"/>
                <w:sz w:val="20"/>
                <w:szCs w:val="20"/>
                <w:vertAlign w:val="subscript"/>
              </w:rPr>
              <w:t>x</w:t>
            </w:r>
          </w:p>
        </w:tc>
        <w:tc>
          <w:tcPr>
            <w:tcW w:w="720" w:type="pct"/>
            <w:vAlign w:val="center"/>
          </w:tcPr>
          <w:p w14:paraId="4827B6FD" w14:textId="77777777" w:rsidR="00D14F76" w:rsidRPr="001C58C6" w:rsidRDefault="00D14F76" w:rsidP="00E40401">
            <w:pPr>
              <w:spacing w:before="60" w:after="60" w:line="312" w:lineRule="atLeast"/>
              <w:ind w:right="195"/>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color w:val="000000" w:themeColor="text1"/>
                <w:sz w:val="20"/>
                <w:szCs w:val="20"/>
              </w:rPr>
              <w:t>NMVOC</w:t>
            </w:r>
          </w:p>
        </w:tc>
        <w:tc>
          <w:tcPr>
            <w:tcW w:w="0" w:type="auto"/>
            <w:vAlign w:val="center"/>
          </w:tcPr>
          <w:p w14:paraId="36A3E87E" w14:textId="77777777" w:rsidR="00D14F76" w:rsidRPr="001C58C6" w:rsidRDefault="00D14F76" w:rsidP="00E40401">
            <w:pPr>
              <w:spacing w:before="60" w:after="60" w:line="312" w:lineRule="atLeast"/>
              <w:ind w:right="195"/>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color w:val="000000" w:themeColor="text1"/>
                <w:sz w:val="20"/>
                <w:szCs w:val="20"/>
              </w:rPr>
              <w:t>NH</w:t>
            </w:r>
            <w:r w:rsidRPr="001C58C6">
              <w:rPr>
                <w:rFonts w:ascii="Calibri" w:eastAsia="Times New Roman" w:hAnsi="Calibri" w:cs="Calibri"/>
                <w:color w:val="000000" w:themeColor="text1"/>
                <w:sz w:val="20"/>
                <w:szCs w:val="20"/>
                <w:vertAlign w:val="subscript"/>
              </w:rPr>
              <w:t>3</w:t>
            </w:r>
          </w:p>
        </w:tc>
        <w:tc>
          <w:tcPr>
            <w:tcW w:w="0" w:type="auto"/>
            <w:vAlign w:val="center"/>
          </w:tcPr>
          <w:p w14:paraId="491B08C8" w14:textId="77777777" w:rsidR="00D14F76" w:rsidRPr="001C58C6" w:rsidRDefault="00D14F76" w:rsidP="00E40401">
            <w:pPr>
              <w:spacing w:before="60" w:after="60" w:line="312" w:lineRule="atLeast"/>
              <w:ind w:right="195"/>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color w:val="000000" w:themeColor="text1"/>
                <w:sz w:val="20"/>
                <w:szCs w:val="20"/>
              </w:rPr>
              <w:t>PM</w:t>
            </w:r>
            <w:r w:rsidRPr="001C58C6">
              <w:rPr>
                <w:rFonts w:ascii="Calibri" w:eastAsia="Times New Roman" w:hAnsi="Calibri" w:cs="Calibri"/>
                <w:color w:val="000000" w:themeColor="text1"/>
                <w:sz w:val="20"/>
                <w:szCs w:val="20"/>
                <w:vertAlign w:val="subscript"/>
              </w:rPr>
              <w:t>2,5</w:t>
            </w:r>
          </w:p>
        </w:tc>
      </w:tr>
      <w:tr w:rsidR="00D14F76" w:rsidRPr="001C58C6" w14:paraId="76F9DC40" w14:textId="77777777" w:rsidTr="00E40401">
        <w:tc>
          <w:tcPr>
            <w:cnfStyle w:val="001000000000" w:firstRow="0" w:lastRow="0" w:firstColumn="1" w:lastColumn="0" w:oddVBand="0" w:evenVBand="0" w:oddHBand="0" w:evenHBand="0" w:firstRowFirstColumn="0" w:firstRowLastColumn="0" w:lastRowFirstColumn="0" w:lastRowLastColumn="0"/>
            <w:tcW w:w="1779" w:type="pct"/>
          </w:tcPr>
          <w:p w14:paraId="29D2D69A" w14:textId="77777777" w:rsidR="00D14F76" w:rsidRPr="001C58C6" w:rsidRDefault="00D14F76">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2020.–2029. (O)</w:t>
            </w:r>
          </w:p>
        </w:tc>
        <w:tc>
          <w:tcPr>
            <w:tcW w:w="963" w:type="pct"/>
          </w:tcPr>
          <w:p w14:paraId="187F93A9" w14:textId="77777777" w:rsidR="00D14F76" w:rsidRPr="001C58C6" w:rsidRDefault="00D14F76">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−60%</w:t>
            </w:r>
          </w:p>
        </w:tc>
        <w:tc>
          <w:tcPr>
            <w:tcW w:w="818" w:type="pct"/>
          </w:tcPr>
          <w:p w14:paraId="71507955" w14:textId="77777777" w:rsidR="00D14F76" w:rsidRPr="001C58C6" w:rsidRDefault="00D14F76">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−25%</w:t>
            </w:r>
          </w:p>
        </w:tc>
        <w:tc>
          <w:tcPr>
            <w:tcW w:w="720" w:type="pct"/>
          </w:tcPr>
          <w:p w14:paraId="374BA1E6" w14:textId="77777777" w:rsidR="00D14F76" w:rsidRPr="001C58C6" w:rsidRDefault="00D14F76">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−10%</w:t>
            </w:r>
          </w:p>
        </w:tc>
        <w:tc>
          <w:tcPr>
            <w:tcW w:w="0" w:type="auto"/>
          </w:tcPr>
          <w:p w14:paraId="6B8EBD4F" w14:textId="77777777" w:rsidR="00D14F76" w:rsidRPr="001C58C6" w:rsidRDefault="00D14F76">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−25%</w:t>
            </w:r>
          </w:p>
        </w:tc>
        <w:tc>
          <w:tcPr>
            <w:tcW w:w="0" w:type="auto"/>
          </w:tcPr>
          <w:p w14:paraId="5E0167D9" w14:textId="77777777" w:rsidR="00D14F76" w:rsidRPr="001C58C6" w:rsidRDefault="00D14F76">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−5%</w:t>
            </w:r>
          </w:p>
        </w:tc>
      </w:tr>
      <w:tr w:rsidR="00D14F76" w:rsidRPr="001C58C6" w14:paraId="5BA5D742" w14:textId="77777777" w:rsidTr="00E40401">
        <w:tc>
          <w:tcPr>
            <w:cnfStyle w:val="001000000000" w:firstRow="0" w:lastRow="0" w:firstColumn="1" w:lastColumn="0" w:oddVBand="0" w:evenVBand="0" w:oddHBand="0" w:evenHBand="0" w:firstRowFirstColumn="0" w:firstRowLastColumn="0" w:lastRowFirstColumn="0" w:lastRowLastColumn="0"/>
            <w:tcW w:w="1779" w:type="pct"/>
          </w:tcPr>
          <w:p w14:paraId="6A837D15" w14:textId="77777777" w:rsidR="00D14F76" w:rsidRPr="001C58C6" w:rsidRDefault="00D14F76">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Od 2030. (O)</w:t>
            </w:r>
          </w:p>
        </w:tc>
        <w:tc>
          <w:tcPr>
            <w:tcW w:w="963" w:type="pct"/>
          </w:tcPr>
          <w:p w14:paraId="516275F4" w14:textId="77777777" w:rsidR="00D14F76" w:rsidRPr="001C58C6" w:rsidRDefault="00D14F76">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−70%</w:t>
            </w:r>
          </w:p>
        </w:tc>
        <w:tc>
          <w:tcPr>
            <w:tcW w:w="818" w:type="pct"/>
          </w:tcPr>
          <w:p w14:paraId="4953FDFD" w14:textId="77777777" w:rsidR="00D14F76" w:rsidRPr="001C58C6" w:rsidRDefault="00D14F76">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−55%</w:t>
            </w:r>
          </w:p>
        </w:tc>
        <w:tc>
          <w:tcPr>
            <w:tcW w:w="720" w:type="pct"/>
          </w:tcPr>
          <w:p w14:paraId="36439F6A" w14:textId="77777777" w:rsidR="00D14F76" w:rsidRPr="001C58C6" w:rsidRDefault="00D14F76">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−20%</w:t>
            </w:r>
          </w:p>
        </w:tc>
        <w:tc>
          <w:tcPr>
            <w:tcW w:w="0" w:type="auto"/>
          </w:tcPr>
          <w:p w14:paraId="5B476A71" w14:textId="77777777" w:rsidR="00D14F76" w:rsidRPr="001C58C6" w:rsidRDefault="00D14F76">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−30%</w:t>
            </w:r>
          </w:p>
        </w:tc>
        <w:tc>
          <w:tcPr>
            <w:tcW w:w="0" w:type="auto"/>
          </w:tcPr>
          <w:p w14:paraId="5DCB4F16" w14:textId="77777777" w:rsidR="00D14F76" w:rsidRPr="001C58C6" w:rsidRDefault="00D14F76">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−20%</w:t>
            </w:r>
          </w:p>
        </w:tc>
      </w:tr>
      <w:tr w:rsidR="00D14F76" w:rsidRPr="001C58C6" w14:paraId="7338E6DF" w14:textId="77777777" w:rsidTr="00E40401">
        <w:tc>
          <w:tcPr>
            <w:cnfStyle w:val="001000000000" w:firstRow="0" w:lastRow="0" w:firstColumn="1" w:lastColumn="0" w:oddVBand="0" w:evenVBand="0" w:oddHBand="0" w:evenHBand="0" w:firstRowFirstColumn="0" w:firstRowLastColumn="0" w:lastRowFirstColumn="0" w:lastRowLastColumn="0"/>
            <w:tcW w:w="1779" w:type="pct"/>
          </w:tcPr>
          <w:p w14:paraId="043FD7C5" w14:textId="77777777" w:rsidR="00D14F76" w:rsidRPr="001C58C6" w:rsidRDefault="00D14F76">
            <w:pPr>
              <w:spacing w:before="60" w:after="60" w:line="312" w:lineRule="atLeast"/>
              <w:rPr>
                <w:rFonts w:ascii="Calibri" w:eastAsia="Times New Roman" w:hAnsi="Calibri" w:cs="Calibri"/>
                <w:b w:val="0"/>
                <w:bCs w:val="0"/>
                <w:color w:val="000000" w:themeColor="text1"/>
                <w:sz w:val="20"/>
                <w:szCs w:val="20"/>
              </w:rPr>
            </w:pPr>
            <w:r w:rsidRPr="001C58C6">
              <w:rPr>
                <w:rFonts w:ascii="Calibri" w:eastAsia="Times New Roman" w:hAnsi="Calibri" w:cs="Calibri"/>
                <w:color w:val="000000" w:themeColor="text1"/>
                <w:sz w:val="20"/>
                <w:szCs w:val="20"/>
              </w:rPr>
              <w:t>Prioriteti povezani sa kvalitetom vazduha: nacionalni prioriteti politike povezani sa ciljevima EU-a ili nacionalnim ciljevima kvaliteta vazduha (uključujući granične vrijednosti i ciljne vrijednosti i obaveze u pogledu koncentracije izlaganja) (O)</w:t>
            </w:r>
          </w:p>
          <w:p w14:paraId="20455D69" w14:textId="77777777" w:rsidR="00D14F76" w:rsidRPr="001C58C6" w:rsidRDefault="00D14F76">
            <w:pPr>
              <w:spacing w:before="60" w:after="60" w:line="312" w:lineRule="atLeast"/>
              <w:rPr>
                <w:rFonts w:ascii="Calibri" w:eastAsia="Times New Roman" w:hAnsi="Calibri" w:cs="Calibri"/>
                <w:color w:val="000000" w:themeColor="text1"/>
                <w:sz w:val="20"/>
                <w:szCs w:val="20"/>
              </w:rPr>
            </w:pPr>
          </w:p>
          <w:p w14:paraId="201D4B81" w14:textId="77777777" w:rsidR="00D14F76" w:rsidRPr="001C58C6" w:rsidRDefault="00D14F76">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i/>
                <w:iCs/>
                <w:color w:val="000000" w:themeColor="text1"/>
                <w:sz w:val="20"/>
                <w:szCs w:val="20"/>
              </w:rPr>
              <w:t>Može se upućivati i na ciljeve kvaliteta vazduha koje je preporučila Svjetska zdravstvena organizacija.</w:t>
            </w:r>
          </w:p>
        </w:tc>
        <w:tc>
          <w:tcPr>
            <w:tcW w:w="3221" w:type="pct"/>
            <w:gridSpan w:val="5"/>
          </w:tcPr>
          <w:p w14:paraId="1EE65CD9"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Nacionalni prioriteti politike kvaliteta vazduha u Crnoj Gori usklađeni su sa obavezama iz Zakona o zaštiti od negativnih uticaja klimatskih promjena i zaštiti kvaliteta vazduha, kao i sa zahtjevima Direktive (EU) 2008/50/EC o kvalitetu ambijentalnog vazduha i Direktive (EU) 2016/2284 (NEC) o nacionalnim gornjim granicama emisija.</w:t>
            </w:r>
          </w:p>
          <w:p w14:paraId="0684A12A"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p>
          <w:p w14:paraId="292781CE"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Cilj politike je da se do 2030. godine postigne trajno poboljšanje kvaliteta vazduha, smanjenje izloženosti stanovništva i ispunjenje obaveza iz nacionalnih i međunarodnih dokumenata.</w:t>
            </w:r>
          </w:p>
          <w:p w14:paraId="6BAB827E"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p>
          <w:p w14:paraId="2DBA00A1"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20"/>
                <w:szCs w:val="20"/>
              </w:rPr>
            </w:pPr>
            <w:r w:rsidRPr="001C58C6">
              <w:rPr>
                <w:rFonts w:ascii="Calibri" w:eastAsia="Times New Roman" w:hAnsi="Calibri" w:cs="Calibri"/>
                <w:b/>
                <w:bCs/>
                <w:color w:val="000000" w:themeColor="text1"/>
                <w:sz w:val="20"/>
                <w:szCs w:val="20"/>
              </w:rPr>
              <w:t>Nacionalni prioriteti politike kvaliteta vazduha 2026–2029</w:t>
            </w:r>
          </w:p>
          <w:p w14:paraId="53B6E6D8"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Prioritet 1: trajno smanjenje koncentracija PM₁₀ i PM₂.₅ u Pljevljima, Nikšiću, Bijelom Polju i Podgorici;</w:t>
            </w:r>
          </w:p>
          <w:p w14:paraId="2AC2DBD0"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Prioritet 2: smanjenje emisija iz sektora saobraćaja i ložišta u domaćinstvima kroz prelazak na čistija goriva i elektrifikaciju;</w:t>
            </w:r>
          </w:p>
          <w:p w14:paraId="10779142"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Prioritet 3: jačanje mreže za monitoring i pravovremeno informisanje javnosti o stanju kvaliteta vazduha;</w:t>
            </w:r>
          </w:p>
          <w:p w14:paraId="560C4A85"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Prioritet 4: integracija kvaliteta vazduha u energetske, saobraćajne i klimatske politike;</w:t>
            </w:r>
          </w:p>
          <w:p w14:paraId="3093BD57"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Prioritet 5: postepeno usklađivanje sa novim standardima EU i SZO za 2030–2050 period.</w:t>
            </w:r>
          </w:p>
          <w:p w14:paraId="2ED37119"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p>
          <w:p w14:paraId="00A6924B"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20"/>
                <w:szCs w:val="20"/>
              </w:rPr>
            </w:pPr>
            <w:r w:rsidRPr="001C58C6">
              <w:rPr>
                <w:rFonts w:ascii="Calibri" w:eastAsia="Times New Roman" w:hAnsi="Calibri" w:cs="Calibri"/>
                <w:b/>
                <w:bCs/>
                <w:color w:val="000000" w:themeColor="text1"/>
                <w:sz w:val="20"/>
                <w:szCs w:val="20"/>
              </w:rPr>
              <w:t>Obaveze u pogledu koncentracija izlaganja</w:t>
            </w:r>
          </w:p>
          <w:p w14:paraId="1147024B"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Crna Gora, kroz Agenciju za zaštitu životne sredine, sprovodi sistem praćenja i izvještavanja o izloženosti stanovništva prema direktivama EU i preporukama EEA. Cilj je smanjenje prosječne izloženosti stanovništva PM₂.₅ česticama do nivoa ispod 20 µg/m³ do 2029. godine, što predstavlja značajan napredak u odnosu na 2020. (oko 28 µg/m³).</w:t>
            </w:r>
          </w:p>
          <w:p w14:paraId="6C2FAFD1"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Ukupno, nacionalna politika u oblasti kvaliteta vazduha teži usaglašavanju sa evropskim i svjetskim standardima zaštite zdravlja i životne sredine, uz postupno smanjenje emisija, modernizaciju energetskih i saobraćajnih sistema i razvoj održivih urbanih sredina.</w:t>
            </w:r>
          </w:p>
          <w:p w14:paraId="7C78CF95"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p>
          <w:p w14:paraId="41C089E1"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20"/>
                <w:szCs w:val="20"/>
              </w:rPr>
            </w:pPr>
            <w:r w:rsidRPr="001C58C6">
              <w:rPr>
                <w:rFonts w:ascii="Calibri" w:eastAsia="Times New Roman" w:hAnsi="Calibri" w:cs="Calibri"/>
                <w:b/>
                <w:bCs/>
                <w:color w:val="000000" w:themeColor="text1"/>
                <w:sz w:val="20"/>
                <w:szCs w:val="20"/>
              </w:rPr>
              <w:t>EU prioriteti</w:t>
            </w:r>
          </w:p>
          <w:p w14:paraId="1276553B"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Postizanje usklađenosti sa graničnim vrijednostima koncentracija za ključne zagađujuće materije:</w:t>
            </w:r>
          </w:p>
          <w:p w14:paraId="60B07FC3" w14:textId="77777777" w:rsidR="00D14F76" w:rsidRPr="001C58C6" w:rsidRDefault="00D14F76" w:rsidP="00E53052">
            <w:pPr>
              <w:pStyle w:val="ListParagraph"/>
              <w:numPr>
                <w:ilvl w:val="0"/>
                <w:numId w:val="68"/>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PM₁₀: ≤ 40 µg/m³ (godišnji prosjek); ≤ 50 µg/m³ (dnevni prosjek, ne više od 35 dana godišnje);</w:t>
            </w:r>
          </w:p>
          <w:p w14:paraId="6E22590B" w14:textId="77777777" w:rsidR="00D14F76" w:rsidRPr="001C58C6" w:rsidRDefault="00D14F76" w:rsidP="00E53052">
            <w:pPr>
              <w:pStyle w:val="ListParagraph"/>
              <w:numPr>
                <w:ilvl w:val="0"/>
                <w:numId w:val="68"/>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PM₂.₅: ≤ 25 µg/m³ (godišnji prosjek);</w:t>
            </w:r>
          </w:p>
          <w:p w14:paraId="36BEE8D8" w14:textId="77777777" w:rsidR="00D14F76" w:rsidRPr="001C58C6" w:rsidRDefault="00D14F76" w:rsidP="00E53052">
            <w:pPr>
              <w:pStyle w:val="ListParagraph"/>
              <w:numPr>
                <w:ilvl w:val="0"/>
                <w:numId w:val="68"/>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NO₂: ≤ 40 µg/m³ (godišnji prosjek);</w:t>
            </w:r>
          </w:p>
          <w:p w14:paraId="54F76508" w14:textId="77777777" w:rsidR="00D14F76" w:rsidRPr="001C58C6" w:rsidRDefault="00D14F76" w:rsidP="00E53052">
            <w:pPr>
              <w:pStyle w:val="ListParagraph"/>
              <w:numPr>
                <w:ilvl w:val="0"/>
                <w:numId w:val="68"/>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SO₂: ≤ 125 µg/m³ (dnevni prosjek, ne više od 3 dana godišnje);</w:t>
            </w:r>
          </w:p>
          <w:p w14:paraId="31EBD772" w14:textId="77777777" w:rsidR="00D14F76" w:rsidRPr="001C58C6" w:rsidRDefault="00D14F76" w:rsidP="00E53052">
            <w:pPr>
              <w:pStyle w:val="ListParagraph"/>
              <w:numPr>
                <w:ilvl w:val="0"/>
                <w:numId w:val="68"/>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O₃: ≤ 120 µg/m³ (8-časovni prosjek – ciljana vrijednost).</w:t>
            </w:r>
          </w:p>
          <w:p w14:paraId="3FB50DB3" w14:textId="77777777" w:rsidR="00D14F76" w:rsidRPr="001C58C6" w:rsidRDefault="00D14F76" w:rsidP="00E53052">
            <w:pPr>
              <w:pStyle w:val="ListParagraph"/>
              <w:numPr>
                <w:ilvl w:val="0"/>
                <w:numId w:val="68"/>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Smanjenje emisija zagađujućih materija u skladu sa obavezama iz NEC Direktive, i to do 2030. godine u odnosu na 2005: SO₂: −70%, NOₓ: −55%, NMVOC: −45%, NH₃: −25%, PM₂.₅: −50%.</w:t>
            </w:r>
          </w:p>
          <w:p w14:paraId="1FDB6B57" w14:textId="77777777" w:rsidR="00D14F76" w:rsidRPr="001C58C6" w:rsidRDefault="00D14F76" w:rsidP="00E53052">
            <w:pPr>
              <w:pStyle w:val="ListParagraph"/>
              <w:numPr>
                <w:ilvl w:val="0"/>
                <w:numId w:val="68"/>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Poboljšanje javnog zdravlja kroz smanjenje broja dana i stanovnika izloženih koncentracijama iznad graničnih i ciljnih vrijednosti.</w:t>
            </w:r>
          </w:p>
          <w:p w14:paraId="3FB19DE1" w14:textId="77777777" w:rsidR="00D14F76" w:rsidRPr="001C58C6" w:rsidRDefault="00D14F76" w:rsidP="00E53052">
            <w:pPr>
              <w:pStyle w:val="ListParagraph"/>
              <w:numPr>
                <w:ilvl w:val="0"/>
                <w:numId w:val="68"/>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lastRenderedPageBreak/>
              <w:t>Usklađivanje sa EU pristupom „Zero Pollution Action Plan“ (2021) – postizanje nivoa zagađenja koji više nije štetan za zdravlje ljudi i ekosisteme.</w:t>
            </w:r>
          </w:p>
          <w:p w14:paraId="1C02A033" w14:textId="77777777" w:rsidR="00D14F76" w:rsidRPr="001C58C6" w:rsidRDefault="00D14F76" w:rsidP="00E40401">
            <w:pPr>
              <w:pStyle w:val="ListParagrap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p>
          <w:p w14:paraId="2BC887BD"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20"/>
                <w:szCs w:val="20"/>
              </w:rPr>
            </w:pPr>
            <w:r w:rsidRPr="001C58C6">
              <w:rPr>
                <w:rFonts w:ascii="Calibri" w:eastAsia="Times New Roman" w:hAnsi="Calibri" w:cs="Calibri"/>
                <w:b/>
                <w:bCs/>
                <w:color w:val="000000" w:themeColor="text1"/>
                <w:sz w:val="20"/>
                <w:szCs w:val="20"/>
              </w:rPr>
              <w:t>Prioriteti u skladu sa preporukama Svjetske zdravstvene organizacije (SZO, 2021)</w:t>
            </w:r>
          </w:p>
          <w:p w14:paraId="470C34E0"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Crna Gora prepoznaje potrebu za postepenim približavanjem strožijim preporučenim vrijednostima SZO, koje su niže od postojećih zakonskih graničnih vrijednosti EU:</w:t>
            </w:r>
          </w:p>
          <w:p w14:paraId="3A555FB3" w14:textId="77777777" w:rsidR="00D14F76" w:rsidRPr="001C58C6" w:rsidRDefault="00D14F76" w:rsidP="00E53052">
            <w:pPr>
              <w:pStyle w:val="ListParagraph"/>
              <w:numPr>
                <w:ilvl w:val="0"/>
                <w:numId w:val="69"/>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PM₂.₅: preporučeno ≤ 5 µg/m³ (godišnji prosjek),</w:t>
            </w:r>
          </w:p>
          <w:p w14:paraId="78452633" w14:textId="77777777" w:rsidR="00D14F76" w:rsidRPr="001C58C6" w:rsidRDefault="00D14F76" w:rsidP="00E53052">
            <w:pPr>
              <w:pStyle w:val="ListParagraph"/>
              <w:numPr>
                <w:ilvl w:val="0"/>
                <w:numId w:val="69"/>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PM₁₀: ≤ 15 µg/m³ (godišnji prosjek),</w:t>
            </w:r>
          </w:p>
          <w:p w14:paraId="0FD75A02" w14:textId="77777777" w:rsidR="00D14F76" w:rsidRPr="001C58C6" w:rsidRDefault="00D14F76" w:rsidP="00E53052">
            <w:pPr>
              <w:pStyle w:val="ListParagraph"/>
              <w:numPr>
                <w:ilvl w:val="0"/>
                <w:numId w:val="69"/>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NO₂: ≤ 10 µg/m³ (godišnji prosjek),</w:t>
            </w:r>
          </w:p>
          <w:p w14:paraId="53A4AC5B" w14:textId="77777777" w:rsidR="00D14F76" w:rsidRPr="001C58C6" w:rsidRDefault="00D14F76" w:rsidP="00E53052">
            <w:pPr>
              <w:pStyle w:val="ListParagraph"/>
              <w:numPr>
                <w:ilvl w:val="0"/>
                <w:numId w:val="69"/>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O₃: ≤ 100 µg/m³ (maks. 8-časovni prosjek).</w:t>
            </w:r>
          </w:p>
          <w:p w14:paraId="6F7510A6"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Ove vrijednosti predstavljaju dugoročne zdravstvene ciljeve koji će se integrisati u nacionalne politike kroz postepeno usklađivanje zakonodavstva i planiranje mjera nakon 2030. godine.</w:t>
            </w:r>
          </w:p>
          <w:p w14:paraId="790C983A"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p>
        </w:tc>
      </w:tr>
      <w:tr w:rsidR="00D14F76" w:rsidRPr="001C58C6" w14:paraId="1B4E0892" w14:textId="77777777" w:rsidTr="00E40401">
        <w:tc>
          <w:tcPr>
            <w:cnfStyle w:val="001000000000" w:firstRow="0" w:lastRow="0" w:firstColumn="1" w:lastColumn="0" w:oddVBand="0" w:evenVBand="0" w:oddHBand="0" w:evenHBand="0" w:firstRowFirstColumn="0" w:firstRowLastColumn="0" w:lastRowFirstColumn="0" w:lastRowLastColumn="0"/>
            <w:tcW w:w="1779" w:type="pct"/>
          </w:tcPr>
          <w:p w14:paraId="68FDF850" w14:textId="77777777" w:rsidR="00D14F76" w:rsidRPr="001C58C6" w:rsidRDefault="00D14F76">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lastRenderedPageBreak/>
              <w:t>Relevantni prioriteti u pogledu klimatskih promjena i energetske politike (O)</w:t>
            </w:r>
          </w:p>
        </w:tc>
        <w:tc>
          <w:tcPr>
            <w:tcW w:w="3221" w:type="pct"/>
            <w:gridSpan w:val="5"/>
          </w:tcPr>
          <w:p w14:paraId="722C0647"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Politike zaštite kvaliteta vazduha u Crnoj Gori usko su povezane sa prioritetima u oblasti klimatskih promjena i energetske tranzicije, jer se veliki dio emisija zagađujućih materija (posebno SO₂, NOₓ, PM₂.₅ i NMVOC) javlja kao rezultat sagorijevanja fosilnih goriva u energetici, saobraćaju i grijanju domaćinstava.</w:t>
            </w:r>
          </w:p>
          <w:p w14:paraId="1DF9BD3E"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Zbog toga se u periodu 2026–2029. posebna pažnja posvećuje integrisanom pristupu kojim se istovremeno ostvaruju ciljevi u oblasti:</w:t>
            </w:r>
          </w:p>
          <w:p w14:paraId="10DDB949" w14:textId="77777777" w:rsidR="00D14F76" w:rsidRPr="001C58C6" w:rsidRDefault="00D14F76" w:rsidP="00E53052">
            <w:pPr>
              <w:pStyle w:val="ListParagraph"/>
              <w:numPr>
                <w:ilvl w:val="0"/>
                <w:numId w:val="70"/>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zaštite kvaliteta vazduha,</w:t>
            </w:r>
          </w:p>
          <w:p w14:paraId="2519DD1E" w14:textId="77777777" w:rsidR="00D14F76" w:rsidRPr="001C58C6" w:rsidRDefault="00D14F76" w:rsidP="00E53052">
            <w:pPr>
              <w:pStyle w:val="ListParagraph"/>
              <w:numPr>
                <w:ilvl w:val="0"/>
                <w:numId w:val="70"/>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smanjenja emisija gasova sa efektom staklene bašte (GHG),</w:t>
            </w:r>
          </w:p>
          <w:p w14:paraId="6C449931" w14:textId="77777777" w:rsidR="00D14F76" w:rsidRPr="001C58C6" w:rsidRDefault="00D14F76" w:rsidP="00E53052">
            <w:pPr>
              <w:pStyle w:val="ListParagraph"/>
              <w:numPr>
                <w:ilvl w:val="0"/>
                <w:numId w:val="70"/>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povećanja energetske efikasnosti i korišćenja obnovljivih izvora energije,</w:t>
            </w:r>
          </w:p>
          <w:p w14:paraId="1EB5F014" w14:textId="77777777" w:rsidR="00D14F76" w:rsidRPr="001C58C6" w:rsidRDefault="00D14F76" w:rsidP="00E53052">
            <w:pPr>
              <w:pStyle w:val="ListParagraph"/>
              <w:numPr>
                <w:ilvl w:val="0"/>
                <w:numId w:val="70"/>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usaglašavanja sa politikama EU Zelenog dogovora (European Green Deal).</w:t>
            </w:r>
          </w:p>
          <w:p w14:paraId="44C7EBBC" w14:textId="77777777" w:rsidR="00D14F76" w:rsidRPr="001C58C6" w:rsidRDefault="00D14F76" w:rsidP="00E40401">
            <w:pPr>
              <w:pStyle w:val="ListParagrap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p>
          <w:p w14:paraId="44AB552D"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20"/>
                <w:szCs w:val="20"/>
              </w:rPr>
            </w:pPr>
            <w:r w:rsidRPr="001C58C6">
              <w:rPr>
                <w:rFonts w:ascii="Calibri" w:eastAsia="Times New Roman" w:hAnsi="Calibri" w:cs="Calibri"/>
                <w:b/>
                <w:bCs/>
                <w:color w:val="000000" w:themeColor="text1"/>
                <w:sz w:val="20"/>
                <w:szCs w:val="20"/>
              </w:rPr>
              <w:t>Nacionalni prioriteti klimatske politike</w:t>
            </w:r>
          </w:p>
          <w:p w14:paraId="7BEF7CEE"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Crna Gora je opredijeljena da do 2050. godine postigne klimatsku neutralnost, u skladu sa Zakonom o klimatskim promjenama i obavezama preuzetim u okviru Pariskog sporazuma. Glavni prioriteti su:</w:t>
            </w:r>
          </w:p>
          <w:p w14:paraId="2D98B1A5" w14:textId="77777777" w:rsidR="00D14F76" w:rsidRPr="001C58C6" w:rsidRDefault="00D14F76" w:rsidP="00E53052">
            <w:pPr>
              <w:pStyle w:val="ListParagraph"/>
              <w:numPr>
                <w:ilvl w:val="0"/>
                <w:numId w:val="71"/>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Smanjenje emisija GHG za najmanje 55% do 2030. godine u odnosu na 1990. godinu (u skladu sa Nacionalno utvrđenim doprinosom – NDC);</w:t>
            </w:r>
          </w:p>
          <w:p w14:paraId="55E3D218" w14:textId="77777777" w:rsidR="00D14F76" w:rsidRPr="001C58C6" w:rsidRDefault="00D14F76" w:rsidP="00E53052">
            <w:pPr>
              <w:pStyle w:val="ListParagraph"/>
              <w:numPr>
                <w:ilvl w:val="0"/>
                <w:numId w:val="71"/>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Postepeno ukidanje upotrebe lignita i uglja u proizvodnji električne energije i prelazak na čiste izvore;</w:t>
            </w:r>
          </w:p>
          <w:p w14:paraId="1FFFC3AE" w14:textId="77777777" w:rsidR="00D14F76" w:rsidRPr="001C58C6" w:rsidRDefault="00D14F76" w:rsidP="00E53052">
            <w:pPr>
              <w:pStyle w:val="ListParagraph"/>
              <w:numPr>
                <w:ilvl w:val="0"/>
                <w:numId w:val="71"/>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Jačanje otpornosti sektora energetike, saobraćaja i poljoprivrede na uticaje klimatskih promjena;</w:t>
            </w:r>
          </w:p>
          <w:p w14:paraId="32029F56" w14:textId="77777777" w:rsidR="00D14F76" w:rsidRPr="001C58C6" w:rsidRDefault="00D14F76" w:rsidP="00E53052">
            <w:pPr>
              <w:pStyle w:val="ListParagraph"/>
              <w:numPr>
                <w:ilvl w:val="0"/>
                <w:numId w:val="71"/>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Razvoj sistema merenja, izveštavanja i verifikacije (MRV) emisija GHG i drugih zagađujućih materija;</w:t>
            </w:r>
          </w:p>
          <w:p w14:paraId="29A777C4" w14:textId="77777777" w:rsidR="00D14F76" w:rsidRPr="001C58C6" w:rsidRDefault="00D14F76" w:rsidP="00E53052">
            <w:pPr>
              <w:pStyle w:val="ListParagraph"/>
              <w:numPr>
                <w:ilvl w:val="0"/>
                <w:numId w:val="71"/>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Promocija cirkularne ekonomije i održivih obrazaca potrošnje i proizvodnje.</w:t>
            </w:r>
          </w:p>
          <w:p w14:paraId="18AA65A9"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Ove mjere imaju direktan sinergijski efekat sa ciljevima kvaliteta vazduha, jer smanjenje potrošnje fosilnih goriva ujedno znači smanjenje emisija SO₂, NOₓ i PM.</w:t>
            </w:r>
          </w:p>
          <w:p w14:paraId="5C0AB47F"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p>
          <w:p w14:paraId="21BB5D81"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20"/>
                <w:szCs w:val="20"/>
              </w:rPr>
            </w:pPr>
            <w:r w:rsidRPr="001C58C6">
              <w:rPr>
                <w:rFonts w:ascii="Calibri" w:eastAsia="Times New Roman" w:hAnsi="Calibri" w:cs="Calibri"/>
                <w:b/>
                <w:bCs/>
                <w:color w:val="000000" w:themeColor="text1"/>
                <w:sz w:val="20"/>
                <w:szCs w:val="20"/>
              </w:rPr>
              <w:t>Prioriteti energetske politike</w:t>
            </w:r>
          </w:p>
          <w:p w14:paraId="2BFEF0E3"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U skladu sa Nacionalnim energetskim i klimatskim planom (NECP), ključni prioriteti u oblasti energetike su:</w:t>
            </w:r>
          </w:p>
          <w:p w14:paraId="6E6BF1D4" w14:textId="77777777" w:rsidR="00D14F76" w:rsidRPr="001C58C6" w:rsidRDefault="00D14F76" w:rsidP="00E53052">
            <w:pPr>
              <w:pStyle w:val="ListParagraph"/>
              <w:numPr>
                <w:ilvl w:val="0"/>
                <w:numId w:val="72"/>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Smanjenje GHG emisija za najmanje 55% do 2030. godine u odnosu na nivo iz 1990. godine;</w:t>
            </w:r>
          </w:p>
          <w:p w14:paraId="3E294927" w14:textId="77777777" w:rsidR="00D14F76" w:rsidRPr="001C58C6" w:rsidRDefault="00D14F76" w:rsidP="00E53052">
            <w:pPr>
              <w:pStyle w:val="ListParagraph"/>
              <w:numPr>
                <w:ilvl w:val="0"/>
                <w:numId w:val="72"/>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Povećanje udjela obnovljivih izvora energije (OIE) na najmanje 50% u finalnoj potrošnji do 2030. godine;</w:t>
            </w:r>
          </w:p>
          <w:p w14:paraId="50E82FD0" w14:textId="77777777" w:rsidR="00D14F76" w:rsidRPr="001C58C6" w:rsidRDefault="00D14F76" w:rsidP="00E53052">
            <w:pPr>
              <w:pStyle w:val="ListParagraph"/>
              <w:numPr>
                <w:ilvl w:val="0"/>
                <w:numId w:val="72"/>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lastRenderedPageBreak/>
              <w:t>Značajno unapređenje energetske efikasnosti u zgradarstvu, industriji i javnim sektorima (smanjenje potrošnje primarne energije za 20–25%);</w:t>
            </w:r>
          </w:p>
          <w:p w14:paraId="767F25D0" w14:textId="77777777" w:rsidR="00D14F76" w:rsidRPr="001C58C6" w:rsidRDefault="00D14F76" w:rsidP="00E53052">
            <w:pPr>
              <w:pStyle w:val="ListParagraph"/>
              <w:numPr>
                <w:ilvl w:val="0"/>
                <w:numId w:val="72"/>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Modernizacija i digitalizacija elektroenergetske mreže i razvoj pametnih mreža (smart grids);</w:t>
            </w:r>
          </w:p>
          <w:p w14:paraId="06DA81F2" w14:textId="77777777" w:rsidR="00D14F76" w:rsidRPr="001C58C6" w:rsidRDefault="00D14F76" w:rsidP="00E53052">
            <w:pPr>
              <w:pStyle w:val="ListParagraph"/>
              <w:numPr>
                <w:ilvl w:val="0"/>
                <w:numId w:val="72"/>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Dekarbonizacija sektora grijanja i hlađenja, kroz prelazak na toplotne pumpe, biomasu iz održivih izvora i daljinsko grijanje;</w:t>
            </w:r>
          </w:p>
          <w:p w14:paraId="07B7CB41" w14:textId="77777777" w:rsidR="00D14F76" w:rsidRPr="001C58C6" w:rsidRDefault="00D14F76" w:rsidP="00E53052">
            <w:pPr>
              <w:pStyle w:val="ListParagraph"/>
              <w:numPr>
                <w:ilvl w:val="0"/>
                <w:numId w:val="72"/>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Elektrifikacija saobraćaja – uvođenje infrastrukture za punjenje električnih vozila i stimulacija kupovine električnih i hibridnih automobila;</w:t>
            </w:r>
          </w:p>
          <w:p w14:paraId="30FD21C7" w14:textId="77777777" w:rsidR="00D14F76" w:rsidRPr="001C58C6" w:rsidRDefault="00D14F76" w:rsidP="00E53052">
            <w:pPr>
              <w:pStyle w:val="ListParagraph"/>
              <w:numPr>
                <w:ilvl w:val="0"/>
                <w:numId w:val="72"/>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Povezivanje tržišta električne energije sa EU tržištem i uvođenje mehanizama cijena ugljenika u skladu sa ETS/CBAM pravilima.</w:t>
            </w:r>
          </w:p>
          <w:p w14:paraId="7A05ACBA"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Sve navedene mjere imaju direktan efekat na smanjenje emisija zagađujućih materija, čime se obezbjeđuje paralelni napredak u ispunjenju klimatskih i vazdušnih ciljeva.</w:t>
            </w:r>
          </w:p>
          <w:p w14:paraId="46C048D1"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p>
          <w:p w14:paraId="59B64D78"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20"/>
                <w:szCs w:val="20"/>
              </w:rPr>
            </w:pPr>
            <w:r w:rsidRPr="001C58C6">
              <w:rPr>
                <w:rFonts w:ascii="Calibri" w:eastAsia="Times New Roman" w:hAnsi="Calibri" w:cs="Calibri"/>
                <w:b/>
                <w:bCs/>
                <w:color w:val="000000" w:themeColor="text1"/>
                <w:sz w:val="20"/>
                <w:szCs w:val="20"/>
              </w:rPr>
              <w:t>Sinergija politika kvaliteta vazduha i klimatskih promjena</w:t>
            </w:r>
          </w:p>
          <w:p w14:paraId="41C6E2BD"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Integrisanim sprovođenjem klimatskih i energetskih politika ostvaruju se višestruke koristi:</w:t>
            </w:r>
          </w:p>
          <w:p w14:paraId="05F546F4" w14:textId="77777777" w:rsidR="00D14F76" w:rsidRPr="001C58C6" w:rsidRDefault="00D14F76" w:rsidP="00E53052">
            <w:pPr>
              <w:pStyle w:val="ListParagraph"/>
              <w:numPr>
                <w:ilvl w:val="0"/>
                <w:numId w:val="73"/>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Smanjenje zagađenja vazduha kroz istovremeno smanjenje emisija GHG i polutanata;</w:t>
            </w:r>
          </w:p>
          <w:p w14:paraId="2DAFAD66" w14:textId="77777777" w:rsidR="00D14F76" w:rsidRPr="001C58C6" w:rsidRDefault="00D14F76" w:rsidP="00E53052">
            <w:pPr>
              <w:pStyle w:val="ListParagraph"/>
              <w:numPr>
                <w:ilvl w:val="0"/>
                <w:numId w:val="73"/>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Smanjenje troškova za zdravlje i energetsku potrošnju;</w:t>
            </w:r>
          </w:p>
          <w:p w14:paraId="479BE2B8" w14:textId="77777777" w:rsidR="00D14F76" w:rsidRPr="001C58C6" w:rsidRDefault="00D14F76" w:rsidP="00E53052">
            <w:pPr>
              <w:pStyle w:val="ListParagraph"/>
              <w:numPr>
                <w:ilvl w:val="0"/>
                <w:numId w:val="73"/>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Veća otpornost gradova i zajednica na klimatske ekstreme (toplotni talasi, suše, požari);</w:t>
            </w:r>
          </w:p>
          <w:p w14:paraId="42557D51" w14:textId="77777777" w:rsidR="00D14F76" w:rsidRPr="001C58C6" w:rsidRDefault="00D14F76" w:rsidP="00E53052">
            <w:pPr>
              <w:pStyle w:val="ListParagraph"/>
              <w:numPr>
                <w:ilvl w:val="0"/>
                <w:numId w:val="73"/>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Povećanje energetske sigurnosti i smanjenje zavisnosti od uvoza fosilnih goriva;</w:t>
            </w:r>
          </w:p>
          <w:p w14:paraId="64B56969" w14:textId="77777777" w:rsidR="00D14F76" w:rsidRPr="001C58C6" w:rsidRDefault="00D14F76" w:rsidP="00E53052">
            <w:pPr>
              <w:pStyle w:val="ListParagraph"/>
              <w:numPr>
                <w:ilvl w:val="0"/>
                <w:numId w:val="73"/>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Usklađivanje sa EU klimatskim zakonodavstvom i pristup fondovima za energetsku tranziciju.</w:t>
            </w:r>
          </w:p>
          <w:p w14:paraId="1E99CAF2" w14:textId="77777777" w:rsidR="00D14F76" w:rsidRPr="001C58C6" w:rsidRDefault="00D14F76" w:rsidP="00E40401">
            <w:pPr>
              <w:pStyle w:val="ListParagrap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p>
          <w:p w14:paraId="0D0B6BAD"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20"/>
                <w:szCs w:val="20"/>
              </w:rPr>
            </w:pPr>
            <w:r w:rsidRPr="001C58C6">
              <w:rPr>
                <w:rFonts w:ascii="Calibri" w:eastAsia="Times New Roman" w:hAnsi="Calibri" w:cs="Calibri"/>
                <w:b/>
                <w:bCs/>
                <w:color w:val="000000" w:themeColor="text1"/>
                <w:sz w:val="20"/>
                <w:szCs w:val="20"/>
              </w:rPr>
              <w:t>Dugoročni prioriteti do 2050.</w:t>
            </w:r>
          </w:p>
          <w:p w14:paraId="0A2E8373" w14:textId="77777777" w:rsidR="00D14F76" w:rsidRPr="001C58C6" w:rsidRDefault="00D14F76" w:rsidP="00E53052">
            <w:pPr>
              <w:pStyle w:val="ListParagraph"/>
              <w:numPr>
                <w:ilvl w:val="0"/>
                <w:numId w:val="74"/>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Potpuna dekarbonizacija energetskog sektora i prelazak na 100% obnovljive izvore;</w:t>
            </w:r>
          </w:p>
          <w:p w14:paraId="35757DB6" w14:textId="77777777" w:rsidR="00D14F76" w:rsidRPr="001C58C6" w:rsidRDefault="00D14F76" w:rsidP="00E53052">
            <w:pPr>
              <w:pStyle w:val="ListParagraph"/>
              <w:numPr>
                <w:ilvl w:val="0"/>
                <w:numId w:val="74"/>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Integracija sektora kvaliteta vazduha, klimatskih promjena i energetike u jedinstveni sistem planiranja i izvještavanja;</w:t>
            </w:r>
          </w:p>
          <w:p w14:paraId="77648C06" w14:textId="77777777" w:rsidR="00D14F76" w:rsidRPr="001C58C6" w:rsidRDefault="00D14F76" w:rsidP="00E53052">
            <w:pPr>
              <w:pStyle w:val="ListParagraph"/>
              <w:numPr>
                <w:ilvl w:val="0"/>
                <w:numId w:val="74"/>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Primjena principa „čiste energije za sve građane“ (Clean Energy for All Europeans Package);</w:t>
            </w:r>
          </w:p>
          <w:p w14:paraId="675CCB5F" w14:textId="77777777" w:rsidR="00D14F76" w:rsidRPr="001C58C6" w:rsidRDefault="00D14F76" w:rsidP="00E53052">
            <w:pPr>
              <w:pStyle w:val="ListParagraph"/>
              <w:numPr>
                <w:ilvl w:val="0"/>
                <w:numId w:val="74"/>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Usklađivanje sa ciljevima EU klimatske neutralnosti do 2050.</w:t>
            </w:r>
          </w:p>
          <w:p w14:paraId="6DF2EBD4"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Ukratko, mjere za poboljšanje kvaliteta vazduha predstavljaju istovremeno i mjere ublažavanja klimatskih promjena i energetske tranzicije, čime se postiže usklađenost nacionalnih prioriteta sa ciljevima EU Zelenog dogovora, Pariskog sporazuma i preporukama Svjetske zdravstvene organizacije.</w:t>
            </w:r>
          </w:p>
        </w:tc>
      </w:tr>
      <w:tr w:rsidR="00D14F76" w:rsidRPr="001C58C6" w14:paraId="34080E43" w14:textId="77777777" w:rsidTr="00E40401">
        <w:tc>
          <w:tcPr>
            <w:cnfStyle w:val="001000000000" w:firstRow="0" w:lastRow="0" w:firstColumn="1" w:lastColumn="0" w:oddVBand="0" w:evenVBand="0" w:oddHBand="0" w:evenHBand="0" w:firstRowFirstColumn="0" w:firstRowLastColumn="0" w:lastRowFirstColumn="0" w:lastRowLastColumn="0"/>
            <w:tcW w:w="1779" w:type="pct"/>
          </w:tcPr>
          <w:p w14:paraId="1BAB99E4" w14:textId="77777777" w:rsidR="00D14F76" w:rsidRPr="001C58C6" w:rsidRDefault="00D14F76">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lastRenderedPageBreak/>
              <w:t>Relevantni prioriteti politike u relevantnim područjima politike, uključujući poljoprivredu, industriju i saobraćaj (O)</w:t>
            </w:r>
          </w:p>
        </w:tc>
        <w:tc>
          <w:tcPr>
            <w:tcW w:w="3221" w:type="pct"/>
            <w:gridSpan w:val="5"/>
          </w:tcPr>
          <w:p w14:paraId="213B72EE"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Politika zaštite kvaliteta vazduha u Crnoj Gori je usko povezana sa sektorskim politikama koje utiču na emisije zagađujućih materija, posebno u oblastima poljoprivrede, industrije i saobraćaja. S obzirom da ovi sektori zajedno čine preko 80% ukupnih emisija polutanata, njihova transformacija je ključna za ostvarenje ciljeva iz Programa mjera zaštite vazduha i nacionalnih obaveza prema EU i međunarodnim sporazumima.</w:t>
            </w:r>
          </w:p>
          <w:p w14:paraId="00B4E9A9"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p>
          <w:p w14:paraId="377499AA"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20"/>
                <w:szCs w:val="20"/>
              </w:rPr>
            </w:pPr>
            <w:r w:rsidRPr="001C58C6">
              <w:rPr>
                <w:rFonts w:ascii="Calibri" w:eastAsia="Times New Roman" w:hAnsi="Calibri" w:cs="Calibri"/>
                <w:b/>
                <w:bCs/>
                <w:color w:val="000000" w:themeColor="text1"/>
                <w:sz w:val="20"/>
                <w:szCs w:val="20"/>
              </w:rPr>
              <w:t>Poljoprivreda</w:t>
            </w:r>
          </w:p>
          <w:p w14:paraId="0F37DB1D"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Poljoprivredni sektor ima važnu ulogu u emisijama amonijaka (NH₃), metana (CH₄) i N₂O, koji doprinose zakiseljavanju, eutrofikaciji i stvaranju sekundarnih čestica u vazduhu.</w:t>
            </w:r>
          </w:p>
          <w:p w14:paraId="6CDDA9FF"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Relevantni prioriteti politike su:</w:t>
            </w:r>
          </w:p>
          <w:p w14:paraId="0ECF79E6" w14:textId="77777777" w:rsidR="00D14F76" w:rsidRPr="001C58C6" w:rsidRDefault="00D14F76" w:rsidP="00E53052">
            <w:pPr>
              <w:pStyle w:val="ListParagraph"/>
              <w:numPr>
                <w:ilvl w:val="0"/>
                <w:numId w:val="75"/>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Unapređenje upravljanja stajnjakom i đubrivima – izgradnja zatvorenih skladišta, pokrivanje laguna, pravilno raspoređivanje đubriva u optimalnim vremenskim uslovima;</w:t>
            </w:r>
          </w:p>
          <w:p w14:paraId="48843383" w14:textId="77777777" w:rsidR="00D14F76" w:rsidRPr="001C58C6" w:rsidRDefault="00D14F76" w:rsidP="00E53052">
            <w:pPr>
              <w:pStyle w:val="ListParagraph"/>
              <w:numPr>
                <w:ilvl w:val="0"/>
                <w:numId w:val="75"/>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lastRenderedPageBreak/>
              <w:t>Ograničenje spaljivanja žetvenih ostataka i biljnog otpada, uz pojačan inspekcijski nadzor;</w:t>
            </w:r>
          </w:p>
          <w:p w14:paraId="12B902F5" w14:textId="77777777" w:rsidR="00D14F76" w:rsidRPr="001C58C6" w:rsidRDefault="00D14F76" w:rsidP="00E53052">
            <w:pPr>
              <w:pStyle w:val="ListParagraph"/>
              <w:numPr>
                <w:ilvl w:val="0"/>
                <w:numId w:val="75"/>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Promovisanje precizne poljoprivrede i smanjenje upotrebe azotnih đubriva;</w:t>
            </w:r>
          </w:p>
          <w:p w14:paraId="5EB326BA" w14:textId="77777777" w:rsidR="00D14F76" w:rsidRPr="001C58C6" w:rsidRDefault="00D14F76" w:rsidP="00E53052">
            <w:pPr>
              <w:pStyle w:val="ListParagraph"/>
              <w:numPr>
                <w:ilvl w:val="0"/>
                <w:numId w:val="75"/>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Povećanje efikasnosti u stočarstvu kroz bolju ishranu i upravljanje otpadnim vodama sa farmi;</w:t>
            </w:r>
          </w:p>
          <w:p w14:paraId="19E1907A" w14:textId="77777777" w:rsidR="00D14F76" w:rsidRPr="001C58C6" w:rsidRDefault="00D14F76" w:rsidP="00E53052">
            <w:pPr>
              <w:pStyle w:val="ListParagraph"/>
              <w:numPr>
                <w:ilvl w:val="0"/>
                <w:numId w:val="75"/>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Primjena mjera iz Programa ruralnog razvoja koje doprinose smanjenju emisija (npr. agroekološke mjere, podrška za obnovljive izvore energije na farmama).</w:t>
            </w:r>
          </w:p>
          <w:p w14:paraId="7D70692A"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Ove mjere direktno doprinose smanjenju emisija amonijaka i sekundarnih PM čestica, te boljoj kvaliteti vazduha u ruralnim područjima.</w:t>
            </w:r>
          </w:p>
          <w:p w14:paraId="5C7F7016"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p>
          <w:p w14:paraId="1FFBD156"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20"/>
                <w:szCs w:val="20"/>
              </w:rPr>
            </w:pPr>
            <w:r w:rsidRPr="001C58C6">
              <w:rPr>
                <w:rFonts w:ascii="Calibri" w:eastAsia="Times New Roman" w:hAnsi="Calibri" w:cs="Calibri"/>
                <w:b/>
                <w:bCs/>
                <w:color w:val="000000" w:themeColor="text1"/>
                <w:sz w:val="20"/>
                <w:szCs w:val="20"/>
              </w:rPr>
              <w:t>Industrija</w:t>
            </w:r>
          </w:p>
          <w:p w14:paraId="1A9AA5D0"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Industrijski sektor je izvor SO₂, NOₓ, PM i NMVOC emisija, posebno u energetskim postrojenjima, cementarama, preradi metala i proizvodnji građevinskih materijala.</w:t>
            </w:r>
          </w:p>
          <w:p w14:paraId="39D7E0AC"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Prioriteti industrijske politike povezani sa ciljevima kvaliteta vazduha uključuju:</w:t>
            </w:r>
          </w:p>
          <w:p w14:paraId="29D30499" w14:textId="77777777" w:rsidR="00D14F76" w:rsidRPr="001C58C6" w:rsidRDefault="00D14F76" w:rsidP="00E53052">
            <w:pPr>
              <w:pStyle w:val="ListParagraph"/>
              <w:numPr>
                <w:ilvl w:val="0"/>
                <w:numId w:val="76"/>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Primjenu najboljih dostupnih tehnika (BAT) u skladu sa EU Direktive o industrijskim emisijama (IED 2010/75/EU);</w:t>
            </w:r>
          </w:p>
          <w:p w14:paraId="1F641A74" w14:textId="77777777" w:rsidR="00D14F76" w:rsidRPr="001C58C6" w:rsidRDefault="00D14F76" w:rsidP="00E53052">
            <w:pPr>
              <w:pStyle w:val="ListParagraph"/>
              <w:numPr>
                <w:ilvl w:val="0"/>
                <w:numId w:val="76"/>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Reviziju i modernizaciju IPPC dozvola i sistema za praćenje emisija;</w:t>
            </w:r>
          </w:p>
          <w:p w14:paraId="5E57A8CF" w14:textId="77777777" w:rsidR="00D14F76" w:rsidRPr="001C58C6" w:rsidRDefault="00D14F76" w:rsidP="00E53052">
            <w:pPr>
              <w:pStyle w:val="ListParagraph"/>
              <w:numPr>
                <w:ilvl w:val="0"/>
                <w:numId w:val="76"/>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Postepenu dekarbonizaciju industrijskih procesa, uključujući prelazak na električnu i vodoničnu energiju;</w:t>
            </w:r>
          </w:p>
          <w:p w14:paraId="63F3F0C7" w14:textId="77777777" w:rsidR="00D14F76" w:rsidRPr="001C58C6" w:rsidRDefault="00D14F76" w:rsidP="00E53052">
            <w:pPr>
              <w:pStyle w:val="ListParagraph"/>
              <w:numPr>
                <w:ilvl w:val="0"/>
                <w:numId w:val="76"/>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Smanjenje curenja isparljivih organskih jedinjenja (NMVOC) kroz hermetizaciju rezervoara, ventilacionih sistema i skladišta;</w:t>
            </w:r>
          </w:p>
          <w:p w14:paraId="2068EB7F" w14:textId="77777777" w:rsidR="00D14F76" w:rsidRPr="001C58C6" w:rsidRDefault="00D14F76" w:rsidP="00E53052">
            <w:pPr>
              <w:pStyle w:val="ListParagraph"/>
              <w:numPr>
                <w:ilvl w:val="0"/>
                <w:numId w:val="76"/>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Podsticanje cirkularne ekonomije i ponovne upotrebe materijala (smanjenje otpada i energije po jedinici proizvoda);</w:t>
            </w:r>
          </w:p>
          <w:p w14:paraId="741F1B82" w14:textId="77777777" w:rsidR="00D14F76" w:rsidRPr="001C58C6" w:rsidRDefault="00D14F76" w:rsidP="00E53052">
            <w:pPr>
              <w:pStyle w:val="ListParagraph"/>
              <w:numPr>
                <w:ilvl w:val="0"/>
                <w:numId w:val="76"/>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Uključivanje industrije u nacionalni sistem trgovanja emisijama (ETS) u skladu sa pripremama za CBAM (Carbon Border Adjustment Mechanism).</w:t>
            </w:r>
          </w:p>
          <w:p w14:paraId="686F4927"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Implementacijom ovih mjera smanjuju se emisije iz industrijskih zona i doprinosi ispunjenju ciljeva NEC Direktive za SO₂ i NOₓ.</w:t>
            </w:r>
          </w:p>
          <w:p w14:paraId="105651FC"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p>
          <w:p w14:paraId="5A93EAD7"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20"/>
                <w:szCs w:val="20"/>
              </w:rPr>
            </w:pPr>
            <w:r w:rsidRPr="001C58C6">
              <w:rPr>
                <w:rFonts w:ascii="Calibri" w:eastAsia="Times New Roman" w:hAnsi="Calibri" w:cs="Calibri"/>
                <w:b/>
                <w:bCs/>
                <w:color w:val="000000" w:themeColor="text1"/>
                <w:sz w:val="20"/>
                <w:szCs w:val="20"/>
              </w:rPr>
              <w:t>Saobraćaj</w:t>
            </w:r>
          </w:p>
          <w:p w14:paraId="77A52014"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Sektor saobraćaja predstavlja jedan od najvećih izvora NOₓ, PM, CO i NMVOC emisija, posebno u urbanim sredinama i dolinama sa čestim inverzijama.</w:t>
            </w:r>
          </w:p>
          <w:p w14:paraId="14CCA7A3"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Relevantni prioriteti saobraćajne politike su:</w:t>
            </w:r>
          </w:p>
          <w:p w14:paraId="0A47E22C" w14:textId="77777777" w:rsidR="00D14F76" w:rsidRPr="001C58C6" w:rsidRDefault="00D14F76" w:rsidP="00E53052">
            <w:pPr>
              <w:pStyle w:val="ListParagraph"/>
              <w:numPr>
                <w:ilvl w:val="0"/>
                <w:numId w:val="7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Modernizacija i obnova voznog parka, kroz podsticaje za električna i hibridna vozila i zabranu uvoza polovnih vozila niskih Euro standarda;</w:t>
            </w:r>
          </w:p>
          <w:p w14:paraId="02BC702E" w14:textId="77777777" w:rsidR="00D14F76" w:rsidRPr="001C58C6" w:rsidRDefault="00D14F76" w:rsidP="00E53052">
            <w:pPr>
              <w:pStyle w:val="ListParagraph"/>
              <w:numPr>
                <w:ilvl w:val="0"/>
                <w:numId w:val="7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Razvoj infrastrukture za punjenje električnih vozila i primjena koncepta „čistog urbanog saobraćaja“;</w:t>
            </w:r>
          </w:p>
          <w:p w14:paraId="12283F0C" w14:textId="77777777" w:rsidR="00D14F76" w:rsidRPr="001C58C6" w:rsidRDefault="00D14F76" w:rsidP="00E53052">
            <w:pPr>
              <w:pStyle w:val="ListParagraph"/>
              <w:numPr>
                <w:ilvl w:val="0"/>
                <w:numId w:val="7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Unapređenje javnog prevoza (autobusi na električni pogon ili CNG, bolja pokrivenost prigradskih linija);</w:t>
            </w:r>
          </w:p>
          <w:p w14:paraId="2D077AE4" w14:textId="77777777" w:rsidR="00D14F76" w:rsidRPr="001C58C6" w:rsidRDefault="00D14F76" w:rsidP="00E53052">
            <w:pPr>
              <w:pStyle w:val="ListParagraph"/>
              <w:numPr>
                <w:ilvl w:val="0"/>
                <w:numId w:val="7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Izgradnja i rekonstrukcija biciklističkih i pješačkih staza, posebno u većim gradovima;</w:t>
            </w:r>
          </w:p>
          <w:p w14:paraId="13024AE8" w14:textId="77777777" w:rsidR="00D14F76" w:rsidRPr="001C58C6" w:rsidRDefault="00D14F76" w:rsidP="00E53052">
            <w:pPr>
              <w:pStyle w:val="ListParagraph"/>
              <w:numPr>
                <w:ilvl w:val="0"/>
                <w:numId w:val="7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Uvođenje zona smanjenog saobraćaja i ograničenja za dizel vozila u urbanim centrima;</w:t>
            </w:r>
          </w:p>
          <w:p w14:paraId="5A006419" w14:textId="77777777" w:rsidR="00D14F76" w:rsidRPr="001C58C6" w:rsidRDefault="00D14F76" w:rsidP="00E53052">
            <w:pPr>
              <w:pStyle w:val="ListParagraph"/>
              <w:numPr>
                <w:ilvl w:val="0"/>
                <w:numId w:val="7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Optimizacija saobraćajnih tokova i inteligentni transportni sistemi (ITS) za smanjenje zastoja i emisija;</w:t>
            </w:r>
          </w:p>
          <w:p w14:paraId="5C0CE74D" w14:textId="77777777" w:rsidR="00D14F76" w:rsidRPr="001C58C6" w:rsidRDefault="00D14F76" w:rsidP="00E53052">
            <w:pPr>
              <w:pStyle w:val="ListParagraph"/>
              <w:numPr>
                <w:ilvl w:val="0"/>
                <w:numId w:val="7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Primjena ekoloških standarda u javnim nabavkama (npr. „zelene nabavke“ za vozila i vozni park javnih institucija).</w:t>
            </w:r>
          </w:p>
          <w:p w14:paraId="7612551A"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Ove mjere omogućavaju značajno smanjenje emisija NOₓ i PM₂.₅, poboljšanje urbanog kvaliteta vazduha i smanjenje izloženosti stanovništva zagađenju iz saobraćaja.</w:t>
            </w:r>
          </w:p>
          <w:p w14:paraId="3857C85F"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p>
          <w:p w14:paraId="1AAEBD28"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20"/>
                <w:szCs w:val="20"/>
              </w:rPr>
            </w:pPr>
            <w:r w:rsidRPr="001C58C6">
              <w:rPr>
                <w:rFonts w:ascii="Calibri" w:eastAsia="Times New Roman" w:hAnsi="Calibri" w:cs="Calibri"/>
                <w:b/>
                <w:bCs/>
                <w:color w:val="000000" w:themeColor="text1"/>
                <w:sz w:val="20"/>
                <w:szCs w:val="20"/>
              </w:rPr>
              <w:lastRenderedPageBreak/>
              <w:t>Zajednički prioriteti</w:t>
            </w:r>
          </w:p>
          <w:p w14:paraId="3C9B5670"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Za sve tri oblasti zajednički su sljedeći prioriteti:</w:t>
            </w:r>
          </w:p>
          <w:p w14:paraId="2E4FD54A" w14:textId="77777777" w:rsidR="00D14F76" w:rsidRPr="001C58C6" w:rsidRDefault="00D14F76" w:rsidP="00E53052">
            <w:pPr>
              <w:pStyle w:val="ListParagraph"/>
              <w:numPr>
                <w:ilvl w:val="0"/>
                <w:numId w:val="78"/>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Smanjenje upotrebe fosilnih goriva i prelazak na obnovljive izvore energije;</w:t>
            </w:r>
          </w:p>
          <w:p w14:paraId="47B6401D" w14:textId="77777777" w:rsidR="00D14F76" w:rsidRPr="001C58C6" w:rsidRDefault="00D14F76" w:rsidP="00E53052">
            <w:pPr>
              <w:pStyle w:val="ListParagraph"/>
              <w:numPr>
                <w:ilvl w:val="0"/>
                <w:numId w:val="78"/>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Jačanje institucionalne koordinacije između sektora (energetika, saobraćaj, poljoprivreda, industrija, životna sredina);</w:t>
            </w:r>
          </w:p>
          <w:p w14:paraId="35C67645" w14:textId="77777777" w:rsidR="00D14F76" w:rsidRPr="001C58C6" w:rsidRDefault="00D14F76" w:rsidP="00E53052">
            <w:pPr>
              <w:pStyle w:val="ListParagraph"/>
              <w:numPr>
                <w:ilvl w:val="0"/>
                <w:numId w:val="78"/>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Uvođenje ekonomskih instrumenata (subvencije, porezi na emisije, eko-takse);</w:t>
            </w:r>
          </w:p>
          <w:p w14:paraId="19B417D3" w14:textId="77777777" w:rsidR="00D14F76" w:rsidRPr="001C58C6" w:rsidRDefault="00D14F76" w:rsidP="00E53052">
            <w:pPr>
              <w:pStyle w:val="ListParagraph"/>
              <w:numPr>
                <w:ilvl w:val="0"/>
                <w:numId w:val="78"/>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Unapređenje baze podataka o emisijama i efektima mjera;</w:t>
            </w:r>
          </w:p>
          <w:p w14:paraId="2D02BC91" w14:textId="77777777" w:rsidR="00D14F76" w:rsidRPr="001C58C6" w:rsidRDefault="00D14F76" w:rsidP="00E53052">
            <w:pPr>
              <w:pStyle w:val="ListParagraph"/>
              <w:numPr>
                <w:ilvl w:val="0"/>
                <w:numId w:val="78"/>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Podizanje svijesti javnosti i edukacija privrednih subjekata o povezanosti sektorskih aktivnosti i kvaliteta vazduha.</w:t>
            </w:r>
          </w:p>
          <w:p w14:paraId="5D08C204"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Sprovođenjem ovih sektorskih prioriteta Crna Gora ostvaruje sinergiju između ekonomske modernizacije i zaštite životne sredine, uz smanjenje emisija zagađujućih materija i gasova sa efektom staklene bašte, u skladu sa evropskim i nacionalnim ciljevima za period 2026–2029.</w:t>
            </w:r>
          </w:p>
        </w:tc>
      </w:tr>
    </w:tbl>
    <w:p w14:paraId="3417EF04" w14:textId="77777777" w:rsidR="00D14F76" w:rsidRPr="001C58C6" w:rsidRDefault="00D14F76">
      <w:pPr>
        <w:shd w:val="clear" w:color="auto" w:fill="FFFFFF"/>
        <w:spacing w:line="312" w:lineRule="atLeast"/>
        <w:rPr>
          <w:rFonts w:ascii="Calibri" w:eastAsia="Times New Roman" w:hAnsi="Calibri" w:cs="Calibri"/>
          <w:color w:val="000000" w:themeColor="text1"/>
          <w:sz w:val="18"/>
          <w:szCs w:val="18"/>
        </w:rPr>
      </w:pPr>
    </w:p>
    <w:p w14:paraId="15393BA8" w14:textId="77777777" w:rsidR="00D14F76" w:rsidRPr="001C58C6" w:rsidRDefault="00D14F76">
      <w:pPr>
        <w:shd w:val="clear" w:color="auto" w:fill="FFFFFF"/>
        <w:spacing w:before="240" w:after="120" w:line="312" w:lineRule="atLeast"/>
        <w:rPr>
          <w:rFonts w:ascii="Calibri" w:eastAsia="Times New Roman" w:hAnsi="Calibri" w:cs="Calibri"/>
          <w:b/>
          <w:bCs/>
          <w:color w:val="000000" w:themeColor="text1"/>
          <w:szCs w:val="24"/>
        </w:rPr>
      </w:pPr>
      <w:r w:rsidRPr="001C58C6">
        <w:rPr>
          <w:rFonts w:ascii="Calibri" w:eastAsia="Times New Roman" w:hAnsi="Calibri" w:cs="Calibri"/>
          <w:b/>
          <w:bCs/>
          <w:color w:val="000000" w:themeColor="text1"/>
          <w:szCs w:val="24"/>
        </w:rPr>
        <w:t>2.3.2.   </w:t>
      </w:r>
      <w:r w:rsidRPr="001C58C6">
        <w:rPr>
          <w:rFonts w:ascii="Calibri" w:eastAsia="Times New Roman" w:hAnsi="Calibri" w:cs="Calibri"/>
          <w:b/>
          <w:bCs/>
          <w:i/>
          <w:iCs/>
          <w:color w:val="000000" w:themeColor="text1"/>
          <w:szCs w:val="24"/>
        </w:rPr>
        <w:t>Nadležnosti dodijeljene nacionalnim, regionalnim i lokalnim tijelima</w:t>
      </w:r>
    </w:p>
    <w:tbl>
      <w:tblPr>
        <w:tblStyle w:val="GridTable1Light-Accent1"/>
        <w:tblW w:w="5000" w:type="pct"/>
        <w:tblLook w:val="04A0" w:firstRow="1" w:lastRow="0" w:firstColumn="1" w:lastColumn="0" w:noHBand="0" w:noVBand="1"/>
      </w:tblPr>
      <w:tblGrid>
        <w:gridCol w:w="1364"/>
        <w:gridCol w:w="2185"/>
        <w:gridCol w:w="3502"/>
        <w:gridCol w:w="1965"/>
      </w:tblGrid>
      <w:tr w:rsidR="00D14F76" w:rsidRPr="001C58C6" w14:paraId="4F24C69F" w14:textId="77777777" w:rsidTr="00E404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 w:type="pct"/>
          </w:tcPr>
          <w:p w14:paraId="4FB24F48" w14:textId="77777777" w:rsidR="00D14F76" w:rsidRPr="001C58C6" w:rsidRDefault="00D14F76">
            <w:pPr>
              <w:spacing w:before="60" w:after="60" w:line="312" w:lineRule="atLeast"/>
              <w:ind w:right="195"/>
              <w:jc w:val="center"/>
              <w:rPr>
                <w:rFonts w:ascii="Calibri" w:eastAsia="Times New Roman" w:hAnsi="Calibri" w:cs="Calibri"/>
                <w:b w:val="0"/>
                <w:bCs w:val="0"/>
                <w:color w:val="000000" w:themeColor="text1"/>
                <w:sz w:val="18"/>
                <w:szCs w:val="18"/>
              </w:rPr>
            </w:pPr>
            <w:r w:rsidRPr="001C58C6">
              <w:rPr>
                <w:rFonts w:ascii="Calibri" w:eastAsia="Times New Roman" w:hAnsi="Calibri" w:cs="Calibri"/>
                <w:color w:val="000000" w:themeColor="text1"/>
                <w:sz w:val="18"/>
                <w:szCs w:val="18"/>
              </w:rPr>
              <w:t>Popis relevantnih tijela (O)</w:t>
            </w:r>
          </w:p>
        </w:tc>
        <w:tc>
          <w:tcPr>
            <w:tcW w:w="1212" w:type="pct"/>
          </w:tcPr>
          <w:p w14:paraId="0698604A" w14:textId="77777777" w:rsidR="00D14F76" w:rsidRPr="001C58C6" w:rsidRDefault="00D14F76">
            <w:pPr>
              <w:spacing w:before="60" w:after="60" w:line="312" w:lineRule="atLeast"/>
              <w:ind w:right="195"/>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8"/>
                <w:szCs w:val="18"/>
              </w:rPr>
            </w:pPr>
            <w:r w:rsidRPr="001C58C6">
              <w:rPr>
                <w:rFonts w:ascii="Calibri" w:eastAsia="Times New Roman" w:hAnsi="Calibri" w:cs="Calibri"/>
                <w:color w:val="000000" w:themeColor="text1"/>
                <w:sz w:val="18"/>
                <w:szCs w:val="18"/>
              </w:rPr>
              <w:t xml:space="preserve">Opišite vrstu tijela (npr. uprava za inspekcijske poslove u području zaštite životne sredine, regionalna </w:t>
            </w:r>
            <w:r w:rsidRPr="001C58C6">
              <w:rPr>
                <w:rFonts w:ascii="Calibri" w:eastAsia="Times New Roman" w:hAnsi="Calibri" w:cs="Calibri"/>
                <w:b w:val="0"/>
                <w:bCs w:val="0"/>
                <w:color w:val="000000" w:themeColor="text1"/>
                <w:sz w:val="18"/>
                <w:szCs w:val="18"/>
              </w:rPr>
              <w:t>EPA</w:t>
            </w:r>
            <w:r w:rsidRPr="001C58C6">
              <w:rPr>
                <w:rFonts w:ascii="Calibri" w:eastAsia="Times New Roman" w:hAnsi="Calibri" w:cs="Calibri"/>
                <w:color w:val="000000" w:themeColor="text1"/>
                <w:sz w:val="18"/>
                <w:szCs w:val="18"/>
              </w:rPr>
              <w:t>, opština) (O)</w:t>
            </w:r>
          </w:p>
          <w:p w14:paraId="1EB2B646" w14:textId="77777777" w:rsidR="00D14F76" w:rsidRPr="001C58C6" w:rsidRDefault="00D14F76">
            <w:pPr>
              <w:spacing w:before="60" w:after="60" w:line="312" w:lineRule="atLeast"/>
              <w:ind w:right="195"/>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8"/>
                <w:szCs w:val="18"/>
              </w:rPr>
            </w:pPr>
          </w:p>
        </w:tc>
        <w:tc>
          <w:tcPr>
            <w:tcW w:w="1942" w:type="pct"/>
          </w:tcPr>
          <w:p w14:paraId="49076888" w14:textId="77777777" w:rsidR="00D14F76" w:rsidRPr="001C58C6" w:rsidRDefault="00D14F76" w:rsidP="00DB033D">
            <w:pPr>
              <w:spacing w:before="60" w:after="60" w:line="312" w:lineRule="atLeas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8"/>
                <w:szCs w:val="18"/>
              </w:rPr>
            </w:pPr>
            <w:r w:rsidRPr="001C58C6">
              <w:rPr>
                <w:rFonts w:ascii="Calibri" w:eastAsia="Times New Roman" w:hAnsi="Calibri" w:cs="Calibri"/>
                <w:color w:val="000000" w:themeColor="text1"/>
                <w:sz w:val="18"/>
                <w:szCs w:val="18"/>
              </w:rPr>
              <w:t>Opišite dodijeljene nadležnosti za kvalitet vazduha i zagađenja vazduha (O)</w:t>
            </w:r>
          </w:p>
          <w:p w14:paraId="3C41FFB9" w14:textId="77777777" w:rsidR="00D14F76" w:rsidRPr="001C58C6" w:rsidRDefault="00D14F76" w:rsidP="00DB033D">
            <w:pPr>
              <w:spacing w:before="60" w:after="60" w:line="312" w:lineRule="atLeas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8"/>
                <w:szCs w:val="18"/>
              </w:rPr>
            </w:pPr>
            <w:r w:rsidRPr="001C58C6">
              <w:rPr>
                <w:rFonts w:ascii="Calibri" w:eastAsia="Times New Roman" w:hAnsi="Calibri" w:cs="Calibri"/>
                <w:color w:val="000000" w:themeColor="text1"/>
                <w:sz w:val="18"/>
                <w:szCs w:val="18"/>
              </w:rPr>
              <w:t>Odaberite ono što je primjenjivo:</w:t>
            </w:r>
          </w:p>
          <w:p w14:paraId="4AFC3FA3" w14:textId="77777777" w:rsidR="00D14F76" w:rsidRPr="001C58C6" w:rsidRDefault="00D14F76" w:rsidP="00E53052">
            <w:pPr>
              <w:pStyle w:val="ListParagraph"/>
              <w:numPr>
                <w:ilvl w:val="0"/>
                <w:numId w:val="99"/>
              </w:numPr>
              <w:ind w:left="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8"/>
                <w:szCs w:val="18"/>
              </w:rPr>
            </w:pPr>
            <w:r w:rsidRPr="001C58C6">
              <w:rPr>
                <w:rFonts w:ascii="Calibri" w:eastAsia="Times New Roman" w:hAnsi="Calibri" w:cs="Calibri"/>
                <w:b w:val="0"/>
                <w:bCs w:val="0"/>
                <w:color w:val="000000" w:themeColor="text1"/>
                <w:sz w:val="18"/>
                <w:szCs w:val="18"/>
              </w:rPr>
              <w:t>zadaci definisanje politike</w:t>
            </w:r>
          </w:p>
          <w:p w14:paraId="4A222B7A" w14:textId="77777777" w:rsidR="00D14F76" w:rsidRPr="001C58C6" w:rsidRDefault="00D14F76" w:rsidP="00E53052">
            <w:pPr>
              <w:pStyle w:val="ListParagraph"/>
              <w:numPr>
                <w:ilvl w:val="0"/>
                <w:numId w:val="99"/>
              </w:numPr>
              <w:ind w:left="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8"/>
                <w:szCs w:val="18"/>
              </w:rPr>
            </w:pPr>
            <w:r w:rsidRPr="001C58C6">
              <w:rPr>
                <w:rFonts w:ascii="Calibri" w:eastAsia="Times New Roman" w:hAnsi="Calibri" w:cs="Calibri"/>
                <w:b w:val="0"/>
                <w:bCs w:val="0"/>
                <w:color w:val="000000" w:themeColor="text1"/>
                <w:sz w:val="18"/>
                <w:szCs w:val="18"/>
              </w:rPr>
              <w:t>zadaci sprovođenja</w:t>
            </w:r>
          </w:p>
          <w:p w14:paraId="1BEACA4E" w14:textId="77777777" w:rsidR="00D14F76" w:rsidRPr="001C58C6" w:rsidRDefault="00D14F76" w:rsidP="00E53052">
            <w:pPr>
              <w:pStyle w:val="ListParagraph"/>
              <w:numPr>
                <w:ilvl w:val="0"/>
                <w:numId w:val="99"/>
              </w:numPr>
              <w:ind w:left="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8"/>
                <w:szCs w:val="18"/>
              </w:rPr>
            </w:pPr>
            <w:r w:rsidRPr="001C58C6">
              <w:rPr>
                <w:rFonts w:ascii="Calibri" w:eastAsia="Times New Roman" w:hAnsi="Calibri" w:cs="Calibri"/>
                <w:b w:val="0"/>
                <w:bCs w:val="0"/>
                <w:color w:val="000000" w:themeColor="text1"/>
                <w:sz w:val="18"/>
                <w:szCs w:val="18"/>
              </w:rPr>
              <w:t>zadaci izvršavanja (uključujući inspekcije i izdavanje dozvola, ako je primjereno)</w:t>
            </w:r>
          </w:p>
          <w:p w14:paraId="195FC3CB" w14:textId="77777777" w:rsidR="00D14F76" w:rsidRPr="001C58C6" w:rsidRDefault="00D14F76" w:rsidP="00E53052">
            <w:pPr>
              <w:pStyle w:val="ListParagraph"/>
              <w:numPr>
                <w:ilvl w:val="0"/>
                <w:numId w:val="99"/>
              </w:numPr>
              <w:ind w:left="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8"/>
                <w:szCs w:val="18"/>
              </w:rPr>
            </w:pPr>
            <w:r w:rsidRPr="001C58C6">
              <w:rPr>
                <w:rFonts w:ascii="Calibri" w:eastAsia="Times New Roman" w:hAnsi="Calibri" w:cs="Calibri"/>
                <w:b w:val="0"/>
                <w:bCs w:val="0"/>
                <w:color w:val="000000" w:themeColor="text1"/>
                <w:sz w:val="18"/>
                <w:szCs w:val="18"/>
              </w:rPr>
              <w:t>zadaci izvještavanja i praćenja</w:t>
            </w:r>
          </w:p>
          <w:p w14:paraId="09E6F1BB" w14:textId="77777777" w:rsidR="00D14F76" w:rsidRPr="001C58C6" w:rsidRDefault="00D14F76" w:rsidP="00E53052">
            <w:pPr>
              <w:pStyle w:val="ListParagraph"/>
              <w:numPr>
                <w:ilvl w:val="0"/>
                <w:numId w:val="99"/>
              </w:numPr>
              <w:ind w:left="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8"/>
                <w:szCs w:val="18"/>
              </w:rPr>
            </w:pPr>
            <w:r w:rsidRPr="001C58C6">
              <w:rPr>
                <w:rFonts w:ascii="Calibri" w:eastAsia="Times New Roman" w:hAnsi="Calibri" w:cs="Calibri"/>
                <w:b w:val="0"/>
                <w:bCs w:val="0"/>
                <w:color w:val="000000" w:themeColor="text1"/>
                <w:sz w:val="18"/>
                <w:szCs w:val="18"/>
              </w:rPr>
              <w:t>zadaci koordiniranja</w:t>
            </w:r>
          </w:p>
          <w:p w14:paraId="7BD44223" w14:textId="77777777" w:rsidR="00D14F76" w:rsidRPr="001C58C6" w:rsidRDefault="00D14F76" w:rsidP="00E53052">
            <w:pPr>
              <w:pStyle w:val="ListParagraph"/>
              <w:numPr>
                <w:ilvl w:val="0"/>
                <w:numId w:val="99"/>
              </w:numPr>
              <w:ind w:left="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b w:val="0"/>
                <w:bCs w:val="0"/>
                <w:color w:val="000000" w:themeColor="text1"/>
                <w:sz w:val="18"/>
                <w:szCs w:val="18"/>
              </w:rPr>
              <w:t>drugi zadaci, navedite ih</w:t>
            </w:r>
          </w:p>
        </w:tc>
        <w:tc>
          <w:tcPr>
            <w:tcW w:w="0" w:type="auto"/>
          </w:tcPr>
          <w:p w14:paraId="18FA2331" w14:textId="77777777" w:rsidR="00D14F76" w:rsidRPr="001C58C6" w:rsidRDefault="00D14F76">
            <w:pPr>
              <w:spacing w:before="60" w:after="60" w:line="312" w:lineRule="atLeast"/>
              <w:ind w:right="195"/>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8"/>
                <w:szCs w:val="18"/>
              </w:rPr>
            </w:pPr>
            <w:r w:rsidRPr="001C58C6">
              <w:rPr>
                <w:rFonts w:ascii="Calibri" w:eastAsia="Times New Roman" w:hAnsi="Calibri" w:cs="Calibri"/>
                <w:color w:val="000000" w:themeColor="text1"/>
                <w:sz w:val="18"/>
                <w:szCs w:val="18"/>
              </w:rPr>
              <w:t>Sektori izvora zagađenja za koje je tijelo nadležno (N)</w:t>
            </w:r>
          </w:p>
        </w:tc>
      </w:tr>
      <w:tr w:rsidR="00D14F76" w:rsidRPr="001C58C6" w14:paraId="1B82DD0D" w14:textId="77777777" w:rsidTr="00E40401">
        <w:tc>
          <w:tcPr>
            <w:cnfStyle w:val="001000000000" w:firstRow="0" w:lastRow="0" w:firstColumn="1" w:lastColumn="0" w:oddVBand="0" w:evenVBand="0" w:oddHBand="0" w:evenHBand="0" w:firstRowFirstColumn="0" w:firstRowLastColumn="0" w:lastRowFirstColumn="0" w:lastRowLastColumn="0"/>
            <w:tcW w:w="756" w:type="pct"/>
            <w:vMerge w:val="restart"/>
          </w:tcPr>
          <w:p w14:paraId="50E4A7F7" w14:textId="77777777" w:rsidR="00D14F76" w:rsidRPr="001C58C6" w:rsidRDefault="00D14F76">
            <w:pPr>
              <w:spacing w:before="60" w:after="60" w:line="312" w:lineRule="atLeast"/>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Nacionalna tijela (O)</w:t>
            </w:r>
          </w:p>
        </w:tc>
        <w:tc>
          <w:tcPr>
            <w:tcW w:w="1212" w:type="pct"/>
          </w:tcPr>
          <w:p w14:paraId="6F0C7F47"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Style w:val="Strong"/>
                <w:rFonts w:ascii="Calibri" w:hAnsi="Calibri" w:cs="Calibri"/>
                <w:b w:val="0"/>
                <w:bCs w:val="0"/>
                <w:color w:val="000000" w:themeColor="text1"/>
                <w:sz w:val="18"/>
                <w:szCs w:val="18"/>
              </w:rPr>
              <w:t>MERS</w:t>
            </w:r>
          </w:p>
        </w:tc>
        <w:tc>
          <w:tcPr>
            <w:tcW w:w="1942" w:type="pct"/>
          </w:tcPr>
          <w:p w14:paraId="4D7BAABF"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Style w:val="Strong"/>
                <w:rFonts w:ascii="Calibri" w:hAnsi="Calibri" w:cs="Calibri"/>
                <w:b w:val="0"/>
                <w:bCs w:val="0"/>
                <w:color w:val="000000" w:themeColor="text1"/>
                <w:sz w:val="18"/>
                <w:szCs w:val="18"/>
              </w:rPr>
              <w:t>Definisanje politika i strateških dokumenata u oblasti zaštite vazduha; priprema propisa i programa; koordinacija sprovođenja nacionalnih i međunarodnih obaveza; izvještavanje prema Vladi, EU i CLRTAP.</w:t>
            </w:r>
          </w:p>
        </w:tc>
        <w:tc>
          <w:tcPr>
            <w:tcW w:w="0" w:type="auto"/>
          </w:tcPr>
          <w:p w14:paraId="1C524737"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Style w:val="Strong"/>
                <w:rFonts w:ascii="Calibri" w:hAnsi="Calibri" w:cs="Calibri"/>
                <w:b w:val="0"/>
                <w:bCs w:val="0"/>
                <w:color w:val="000000" w:themeColor="text1"/>
                <w:sz w:val="18"/>
                <w:szCs w:val="18"/>
              </w:rPr>
              <w:t>Svi sektori (energetika, saobraćaj, industrija, poljoprivreda, otpad).</w:t>
            </w:r>
          </w:p>
        </w:tc>
      </w:tr>
      <w:tr w:rsidR="00D14F76" w:rsidRPr="001C58C6" w14:paraId="2A1409C6" w14:textId="77777777" w:rsidTr="00E40401">
        <w:tc>
          <w:tcPr>
            <w:cnfStyle w:val="001000000000" w:firstRow="0" w:lastRow="0" w:firstColumn="1" w:lastColumn="0" w:oddVBand="0" w:evenVBand="0" w:oddHBand="0" w:evenHBand="0" w:firstRowFirstColumn="0" w:firstRowLastColumn="0" w:lastRowFirstColumn="0" w:lastRowLastColumn="0"/>
            <w:tcW w:w="756" w:type="pct"/>
            <w:vMerge/>
          </w:tcPr>
          <w:p w14:paraId="06670DEC" w14:textId="77777777" w:rsidR="00D14F76" w:rsidRPr="001C58C6" w:rsidRDefault="00D14F76">
            <w:pPr>
              <w:rPr>
                <w:rFonts w:ascii="Calibri" w:eastAsia="Times New Roman" w:hAnsi="Calibri" w:cs="Calibri"/>
                <w:color w:val="000000" w:themeColor="text1"/>
                <w:sz w:val="18"/>
                <w:szCs w:val="18"/>
              </w:rPr>
            </w:pPr>
          </w:p>
        </w:tc>
        <w:tc>
          <w:tcPr>
            <w:tcW w:w="1212" w:type="pct"/>
          </w:tcPr>
          <w:p w14:paraId="3A8DD42D"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EPA</w:t>
            </w:r>
          </w:p>
        </w:tc>
        <w:tc>
          <w:tcPr>
            <w:tcW w:w="1942" w:type="pct"/>
          </w:tcPr>
          <w:p w14:paraId="6E119A16"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Sprovođenje monitoringa kvaliteta vazduha; vođenje nacionalnog registra emisija (PRTR); obrada i objava podataka; izrada godišnjih izvještaja o kvalitetu vazduha i ispunjenju obaveza.</w:t>
            </w:r>
          </w:p>
        </w:tc>
        <w:tc>
          <w:tcPr>
            <w:tcW w:w="0" w:type="auto"/>
          </w:tcPr>
          <w:p w14:paraId="345132BB"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Svi izvori emisija i sve zone monitoringa kvaliteta vazduha.</w:t>
            </w:r>
          </w:p>
        </w:tc>
      </w:tr>
      <w:tr w:rsidR="00D14F76" w:rsidRPr="001C58C6" w14:paraId="73AA694E" w14:textId="77777777" w:rsidTr="00E40401">
        <w:tc>
          <w:tcPr>
            <w:cnfStyle w:val="001000000000" w:firstRow="0" w:lastRow="0" w:firstColumn="1" w:lastColumn="0" w:oddVBand="0" w:evenVBand="0" w:oddHBand="0" w:evenHBand="0" w:firstRowFirstColumn="0" w:firstRowLastColumn="0" w:lastRowFirstColumn="0" w:lastRowLastColumn="0"/>
            <w:tcW w:w="756" w:type="pct"/>
            <w:vMerge/>
          </w:tcPr>
          <w:p w14:paraId="5DC7C29A" w14:textId="77777777" w:rsidR="00D14F76" w:rsidRPr="001C58C6" w:rsidRDefault="00D14F76">
            <w:pPr>
              <w:rPr>
                <w:rFonts w:ascii="Calibri" w:eastAsia="Times New Roman" w:hAnsi="Calibri" w:cs="Calibri"/>
                <w:color w:val="000000" w:themeColor="text1"/>
                <w:sz w:val="18"/>
                <w:szCs w:val="18"/>
              </w:rPr>
            </w:pPr>
          </w:p>
        </w:tc>
        <w:tc>
          <w:tcPr>
            <w:tcW w:w="1212" w:type="pct"/>
          </w:tcPr>
          <w:p w14:paraId="53816755"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Uprava za inspekcijske poslove – ekološka inspekcija</w:t>
            </w:r>
          </w:p>
        </w:tc>
        <w:tc>
          <w:tcPr>
            <w:tcW w:w="1942" w:type="pct"/>
          </w:tcPr>
          <w:p w14:paraId="26661C78"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Inspekcijski nadzor nad sprovođenjem zakona i propisa o zaštiti vazduha; kontrola postrojenja, ložišta i mobilnih izvora; izdavanje naloga i mjera u slučaju prekoračenja.</w:t>
            </w:r>
          </w:p>
        </w:tc>
        <w:tc>
          <w:tcPr>
            <w:tcW w:w="0" w:type="auto"/>
          </w:tcPr>
          <w:p w14:paraId="365EF359"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Svi izvori emisija i sve zone monitoringa kvaliteta vazduha.</w:t>
            </w:r>
          </w:p>
        </w:tc>
      </w:tr>
      <w:tr w:rsidR="00D14F76" w:rsidRPr="001C58C6" w14:paraId="0A16B68B" w14:textId="77777777" w:rsidTr="00E40401">
        <w:tc>
          <w:tcPr>
            <w:cnfStyle w:val="001000000000" w:firstRow="0" w:lastRow="0" w:firstColumn="1" w:lastColumn="0" w:oddVBand="0" w:evenVBand="0" w:oddHBand="0" w:evenHBand="0" w:firstRowFirstColumn="0" w:firstRowLastColumn="0" w:lastRowFirstColumn="0" w:lastRowLastColumn="0"/>
            <w:tcW w:w="756" w:type="pct"/>
            <w:vMerge/>
          </w:tcPr>
          <w:p w14:paraId="6B96DC94" w14:textId="77777777" w:rsidR="00D14F76" w:rsidRPr="001C58C6" w:rsidRDefault="00D14F76">
            <w:pPr>
              <w:rPr>
                <w:rFonts w:ascii="Calibri" w:eastAsia="Times New Roman" w:hAnsi="Calibri" w:cs="Calibri"/>
                <w:color w:val="000000" w:themeColor="text1"/>
                <w:sz w:val="18"/>
                <w:szCs w:val="18"/>
              </w:rPr>
            </w:pPr>
          </w:p>
        </w:tc>
        <w:tc>
          <w:tcPr>
            <w:tcW w:w="1212" w:type="pct"/>
          </w:tcPr>
          <w:p w14:paraId="159914BA"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MEIR</w:t>
            </w:r>
          </w:p>
          <w:p w14:paraId="2CBCD9E5"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p>
        </w:tc>
        <w:tc>
          <w:tcPr>
            <w:tcW w:w="1942" w:type="pct"/>
          </w:tcPr>
          <w:p w14:paraId="63FFF41D"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Kreiranje i sprovođenje energetskih politika i mjera koje utiču na emisije (OIE, EE, zamjena goriva); koordinacija sa MEPPU u dijelu energetskih projekcija emisija.</w:t>
            </w:r>
          </w:p>
        </w:tc>
        <w:tc>
          <w:tcPr>
            <w:tcW w:w="0" w:type="auto"/>
          </w:tcPr>
          <w:p w14:paraId="6D44F923"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Energetika, grijanje, potrošnja goriva.</w:t>
            </w:r>
          </w:p>
        </w:tc>
      </w:tr>
      <w:tr w:rsidR="00D14F76" w:rsidRPr="001C58C6" w14:paraId="2A39BF4E" w14:textId="77777777" w:rsidTr="00E40401">
        <w:tc>
          <w:tcPr>
            <w:cnfStyle w:val="001000000000" w:firstRow="0" w:lastRow="0" w:firstColumn="1" w:lastColumn="0" w:oddVBand="0" w:evenVBand="0" w:oddHBand="0" w:evenHBand="0" w:firstRowFirstColumn="0" w:firstRowLastColumn="0" w:lastRowFirstColumn="0" w:lastRowLastColumn="0"/>
            <w:tcW w:w="756" w:type="pct"/>
            <w:vMerge/>
          </w:tcPr>
          <w:p w14:paraId="2465ABAB" w14:textId="77777777" w:rsidR="00D14F76" w:rsidRPr="001C58C6" w:rsidRDefault="00D14F76">
            <w:pPr>
              <w:rPr>
                <w:rFonts w:ascii="Calibri" w:eastAsia="Times New Roman" w:hAnsi="Calibri" w:cs="Calibri"/>
                <w:color w:val="000000" w:themeColor="text1"/>
                <w:sz w:val="18"/>
                <w:szCs w:val="18"/>
              </w:rPr>
            </w:pPr>
          </w:p>
        </w:tc>
        <w:tc>
          <w:tcPr>
            <w:tcW w:w="1212" w:type="pct"/>
          </w:tcPr>
          <w:p w14:paraId="6B77894C"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MS i pomorstva</w:t>
            </w:r>
          </w:p>
          <w:p w14:paraId="63DB2211"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p>
        </w:tc>
        <w:tc>
          <w:tcPr>
            <w:tcW w:w="1942" w:type="pct"/>
          </w:tcPr>
          <w:p w14:paraId="68B6D0F2"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Politike i mjere održivog saobraćaja; normativni okvir za vozila, goriva i emisije; razvoj infrastrukture javnog prevoza i električne mobilnosti.</w:t>
            </w:r>
          </w:p>
        </w:tc>
        <w:tc>
          <w:tcPr>
            <w:tcW w:w="0" w:type="auto"/>
          </w:tcPr>
          <w:p w14:paraId="487ACDE6"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Saobraćaj i pomorstvo</w:t>
            </w:r>
          </w:p>
        </w:tc>
      </w:tr>
      <w:tr w:rsidR="00D14F76" w:rsidRPr="001C58C6" w14:paraId="0EDC43D6" w14:textId="77777777" w:rsidTr="00E40401">
        <w:tc>
          <w:tcPr>
            <w:cnfStyle w:val="001000000000" w:firstRow="0" w:lastRow="0" w:firstColumn="1" w:lastColumn="0" w:oddVBand="0" w:evenVBand="0" w:oddHBand="0" w:evenHBand="0" w:firstRowFirstColumn="0" w:firstRowLastColumn="0" w:lastRowFirstColumn="0" w:lastRowLastColumn="0"/>
            <w:tcW w:w="756" w:type="pct"/>
            <w:vMerge/>
          </w:tcPr>
          <w:p w14:paraId="046CE982" w14:textId="77777777" w:rsidR="00D14F76" w:rsidRPr="001C58C6" w:rsidRDefault="00D14F76">
            <w:pPr>
              <w:rPr>
                <w:rFonts w:ascii="Calibri" w:eastAsia="Times New Roman" w:hAnsi="Calibri" w:cs="Calibri"/>
                <w:color w:val="000000" w:themeColor="text1"/>
                <w:sz w:val="18"/>
                <w:szCs w:val="18"/>
              </w:rPr>
            </w:pPr>
          </w:p>
        </w:tc>
        <w:tc>
          <w:tcPr>
            <w:tcW w:w="1212" w:type="pct"/>
          </w:tcPr>
          <w:p w14:paraId="6146CF5B"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MPŠiV</w:t>
            </w:r>
          </w:p>
          <w:p w14:paraId="748DB98F"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w:t>
            </w:r>
          </w:p>
          <w:p w14:paraId="7C14AB8A"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p>
        </w:tc>
        <w:tc>
          <w:tcPr>
            <w:tcW w:w="1942" w:type="pct"/>
          </w:tcPr>
          <w:p w14:paraId="4005D26E"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Upravlja mjerama koje utiču na emisije amonijaka i metana; implementira programe ruralnog razvoja i poljoprivredne inspekcije</w:t>
            </w:r>
          </w:p>
        </w:tc>
        <w:tc>
          <w:tcPr>
            <w:tcW w:w="0" w:type="auto"/>
          </w:tcPr>
          <w:p w14:paraId="3A66A532"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Poljoprivreda, stočarstvo, upotreba đubriva.</w:t>
            </w:r>
          </w:p>
        </w:tc>
      </w:tr>
      <w:tr w:rsidR="00D14F76" w:rsidRPr="001C58C6" w14:paraId="27942EB0" w14:textId="77777777" w:rsidTr="00E40401">
        <w:tc>
          <w:tcPr>
            <w:cnfStyle w:val="001000000000" w:firstRow="0" w:lastRow="0" w:firstColumn="1" w:lastColumn="0" w:oddVBand="0" w:evenVBand="0" w:oddHBand="0" w:evenHBand="0" w:firstRowFirstColumn="0" w:firstRowLastColumn="0" w:lastRowFirstColumn="0" w:lastRowLastColumn="0"/>
            <w:tcW w:w="756" w:type="pct"/>
            <w:vMerge/>
          </w:tcPr>
          <w:p w14:paraId="332325F6" w14:textId="77777777" w:rsidR="00D14F76" w:rsidRPr="001C58C6" w:rsidRDefault="00D14F76">
            <w:pPr>
              <w:rPr>
                <w:rFonts w:ascii="Calibri" w:eastAsia="Times New Roman" w:hAnsi="Calibri" w:cs="Calibri"/>
                <w:color w:val="000000" w:themeColor="text1"/>
                <w:sz w:val="18"/>
                <w:szCs w:val="18"/>
              </w:rPr>
            </w:pPr>
          </w:p>
        </w:tc>
        <w:tc>
          <w:tcPr>
            <w:tcW w:w="1212" w:type="pct"/>
          </w:tcPr>
          <w:p w14:paraId="66741134"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Ministarstvo zdravlja</w:t>
            </w:r>
          </w:p>
          <w:p w14:paraId="0DC4D2A2"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p>
        </w:tc>
        <w:tc>
          <w:tcPr>
            <w:tcW w:w="1942" w:type="pct"/>
          </w:tcPr>
          <w:p w14:paraId="52D1430D"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Praćenje efekata zagađenja vazduha na zdravlje stanovništva; saradnja u procjeni rizika i informisanju javnosti.</w:t>
            </w:r>
          </w:p>
        </w:tc>
        <w:tc>
          <w:tcPr>
            <w:tcW w:w="0" w:type="auto"/>
          </w:tcPr>
          <w:p w14:paraId="41063E63"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Svi sektori, aspekt uticaja na zdravlje.</w:t>
            </w:r>
          </w:p>
        </w:tc>
      </w:tr>
      <w:tr w:rsidR="00D14F76" w:rsidRPr="001C58C6" w14:paraId="6D23AC58" w14:textId="77777777" w:rsidTr="00E40401">
        <w:tc>
          <w:tcPr>
            <w:cnfStyle w:val="001000000000" w:firstRow="0" w:lastRow="0" w:firstColumn="1" w:lastColumn="0" w:oddVBand="0" w:evenVBand="0" w:oddHBand="0" w:evenHBand="0" w:firstRowFirstColumn="0" w:firstRowLastColumn="0" w:lastRowFirstColumn="0" w:lastRowLastColumn="0"/>
            <w:tcW w:w="756" w:type="pct"/>
          </w:tcPr>
          <w:p w14:paraId="7ACFDDCA" w14:textId="77777777" w:rsidR="00D14F76" w:rsidRPr="001C58C6" w:rsidRDefault="00D14F76">
            <w:pPr>
              <w:spacing w:before="60" w:after="60" w:line="312" w:lineRule="atLeast"/>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lastRenderedPageBreak/>
              <w:t>Regionalna tijela (O)</w:t>
            </w:r>
          </w:p>
        </w:tc>
        <w:tc>
          <w:tcPr>
            <w:tcW w:w="1212" w:type="pct"/>
          </w:tcPr>
          <w:p w14:paraId="137C9602"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Područne jedinice Uprave za inspekcijske poslove</w:t>
            </w:r>
          </w:p>
          <w:p w14:paraId="2D937583"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p>
        </w:tc>
        <w:tc>
          <w:tcPr>
            <w:tcW w:w="1942" w:type="pct"/>
          </w:tcPr>
          <w:p w14:paraId="0D0FF191"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Kontrola postrojenja i objekata u regionima; sprovođenje inspekcijskih mjera i praćenje sprovođenja lokalnih planova zaštite vazduha.</w:t>
            </w:r>
          </w:p>
          <w:p w14:paraId="37B30C63"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p>
        </w:tc>
        <w:tc>
          <w:tcPr>
            <w:tcW w:w="0" w:type="auto"/>
          </w:tcPr>
          <w:p w14:paraId="6AEEFB18"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Industrija, energetika, komunalni izvori.</w:t>
            </w:r>
          </w:p>
        </w:tc>
      </w:tr>
      <w:tr w:rsidR="00D14F76" w:rsidRPr="001C58C6" w14:paraId="65CA4103" w14:textId="77777777" w:rsidTr="00E40401">
        <w:tc>
          <w:tcPr>
            <w:cnfStyle w:val="001000000000" w:firstRow="0" w:lastRow="0" w:firstColumn="1" w:lastColumn="0" w:oddVBand="0" w:evenVBand="0" w:oddHBand="0" w:evenHBand="0" w:firstRowFirstColumn="0" w:firstRowLastColumn="0" w:lastRowFirstColumn="0" w:lastRowLastColumn="0"/>
            <w:tcW w:w="756" w:type="pct"/>
            <w:vMerge w:val="restart"/>
          </w:tcPr>
          <w:p w14:paraId="0C97AA14" w14:textId="77777777" w:rsidR="00D14F76" w:rsidRPr="001C58C6" w:rsidRDefault="00D14F76">
            <w:pPr>
              <w:spacing w:before="60" w:after="60" w:line="312" w:lineRule="atLeast"/>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Tijela na lokalnom nivou (O)</w:t>
            </w:r>
          </w:p>
        </w:tc>
        <w:tc>
          <w:tcPr>
            <w:tcW w:w="1212" w:type="pct"/>
          </w:tcPr>
          <w:p w14:paraId="3164695A"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Opštine / gradske uprave</w:t>
            </w:r>
          </w:p>
          <w:p w14:paraId="742A825A"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p>
        </w:tc>
        <w:tc>
          <w:tcPr>
            <w:tcW w:w="1942" w:type="pct"/>
          </w:tcPr>
          <w:p w14:paraId="1DD79CAD"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Izrada i sprovođenje lokalnih planova i programa zaštite vazduha; implementacija mjera iz nacionalnog Programa; lokalni monitoring i izvještavanje Agenciji.</w:t>
            </w:r>
          </w:p>
          <w:p w14:paraId="73A25490"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p>
        </w:tc>
        <w:tc>
          <w:tcPr>
            <w:tcW w:w="0" w:type="auto"/>
          </w:tcPr>
          <w:p w14:paraId="35930F99"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Saobraćaj, ložišta u domaćinstvima, komunalni izvori.</w:t>
            </w:r>
          </w:p>
        </w:tc>
      </w:tr>
      <w:tr w:rsidR="00D14F76" w:rsidRPr="001C58C6" w14:paraId="6AF1D480" w14:textId="77777777" w:rsidTr="00E40401">
        <w:tc>
          <w:tcPr>
            <w:cnfStyle w:val="001000000000" w:firstRow="0" w:lastRow="0" w:firstColumn="1" w:lastColumn="0" w:oddVBand="0" w:evenVBand="0" w:oddHBand="0" w:evenHBand="0" w:firstRowFirstColumn="0" w:firstRowLastColumn="0" w:lastRowFirstColumn="0" w:lastRowLastColumn="0"/>
            <w:tcW w:w="756" w:type="pct"/>
            <w:vMerge/>
          </w:tcPr>
          <w:p w14:paraId="1B2D0787" w14:textId="77777777" w:rsidR="00D14F76" w:rsidRPr="001C58C6" w:rsidRDefault="00D14F76">
            <w:pPr>
              <w:rPr>
                <w:rFonts w:ascii="Calibri" w:eastAsia="Times New Roman" w:hAnsi="Calibri" w:cs="Calibri"/>
                <w:color w:val="000000" w:themeColor="text1"/>
                <w:sz w:val="18"/>
                <w:szCs w:val="18"/>
              </w:rPr>
            </w:pPr>
          </w:p>
        </w:tc>
        <w:tc>
          <w:tcPr>
            <w:tcW w:w="1212" w:type="pct"/>
          </w:tcPr>
          <w:p w14:paraId="29868E0D"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Komunalna preduzeća i javne službe</w:t>
            </w:r>
          </w:p>
          <w:p w14:paraId="2A04518E"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p>
        </w:tc>
        <w:tc>
          <w:tcPr>
            <w:tcW w:w="1942" w:type="pct"/>
          </w:tcPr>
          <w:p w14:paraId="02B97D58"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Operativno sprovođenje mjera smanjenja emisija prašine, otpada i buke; održavanje javnih površina, puteva i zelenih zona; kontrola spaljivanja otpada i biljnog materijala.</w:t>
            </w:r>
          </w:p>
          <w:p w14:paraId="210A5AC2"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p>
        </w:tc>
        <w:tc>
          <w:tcPr>
            <w:tcW w:w="0" w:type="auto"/>
          </w:tcPr>
          <w:p w14:paraId="25488A64"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Otpad, komunalne aktivnosti, grijanje, saobraćaj.</w:t>
            </w:r>
          </w:p>
        </w:tc>
      </w:tr>
      <w:tr w:rsidR="00D14F76" w:rsidRPr="001C58C6" w14:paraId="4385CC59" w14:textId="77777777" w:rsidTr="00E40401">
        <w:tc>
          <w:tcPr>
            <w:cnfStyle w:val="001000000000" w:firstRow="0" w:lastRow="0" w:firstColumn="1" w:lastColumn="0" w:oddVBand="0" w:evenVBand="0" w:oddHBand="0" w:evenHBand="0" w:firstRowFirstColumn="0" w:firstRowLastColumn="0" w:lastRowFirstColumn="0" w:lastRowLastColumn="0"/>
            <w:tcW w:w="756" w:type="pct"/>
            <w:vMerge/>
          </w:tcPr>
          <w:p w14:paraId="5A7218DA" w14:textId="77777777" w:rsidR="00D14F76" w:rsidRPr="001C58C6" w:rsidRDefault="00D14F76">
            <w:pPr>
              <w:rPr>
                <w:rFonts w:ascii="Calibri" w:eastAsia="Times New Roman" w:hAnsi="Calibri" w:cs="Calibri"/>
                <w:color w:val="000000" w:themeColor="text1"/>
                <w:sz w:val="18"/>
                <w:szCs w:val="18"/>
              </w:rPr>
            </w:pPr>
          </w:p>
        </w:tc>
        <w:tc>
          <w:tcPr>
            <w:tcW w:w="1212" w:type="pct"/>
          </w:tcPr>
          <w:p w14:paraId="663041D4"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Lokalne inspekcije i službe zaštite</w:t>
            </w:r>
          </w:p>
          <w:p w14:paraId="645A4BAA"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p>
        </w:tc>
        <w:tc>
          <w:tcPr>
            <w:tcW w:w="1942" w:type="pct"/>
          </w:tcPr>
          <w:p w14:paraId="771596F1"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Nadzor nad sprovođenjem lokalnih odluka i mjera; izdavanje naloga u slučaju nepoštovanja zabrana spaljivanja, nelegalnih emisija ili buke.</w:t>
            </w:r>
          </w:p>
          <w:p w14:paraId="124C81C2"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p>
        </w:tc>
        <w:tc>
          <w:tcPr>
            <w:tcW w:w="0" w:type="auto"/>
          </w:tcPr>
          <w:p w14:paraId="1C1A99AA" w14:textId="77777777" w:rsidR="00D14F76" w:rsidRPr="001C58C6" w:rsidRDefault="00D14F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Domaćinstva, mali izvori, saobraćaj.</w:t>
            </w:r>
          </w:p>
        </w:tc>
      </w:tr>
      <w:tr w:rsidR="00D14F76" w:rsidRPr="001C58C6" w14:paraId="58263139" w14:textId="77777777" w:rsidTr="00E40401">
        <w:tc>
          <w:tcPr>
            <w:cnfStyle w:val="001000000000" w:firstRow="0" w:lastRow="0" w:firstColumn="1" w:lastColumn="0" w:oddVBand="0" w:evenVBand="0" w:oddHBand="0" w:evenHBand="0" w:firstRowFirstColumn="0" w:firstRowLastColumn="0" w:lastRowFirstColumn="0" w:lastRowLastColumn="0"/>
            <w:tcW w:w="0" w:type="auto"/>
            <w:gridSpan w:val="4"/>
          </w:tcPr>
          <w:p w14:paraId="7EFD5802" w14:textId="77777777" w:rsidR="00D14F76" w:rsidRPr="001C58C6" w:rsidRDefault="00D14F76">
            <w:pPr>
              <w:spacing w:before="60" w:after="60" w:line="312" w:lineRule="atLeast"/>
              <w:rPr>
                <w:rFonts w:ascii="Calibri" w:eastAsia="Times New Roman" w:hAnsi="Calibri" w:cs="Calibri"/>
                <w:color w:val="000000" w:themeColor="text1"/>
                <w:sz w:val="18"/>
                <w:szCs w:val="18"/>
              </w:rPr>
            </w:pPr>
            <w:r w:rsidRPr="001C58C6">
              <w:rPr>
                <w:rFonts w:ascii="Calibri" w:eastAsia="Times New Roman" w:hAnsi="Calibri" w:cs="Calibri"/>
                <w:i/>
                <w:iCs/>
                <w:color w:val="000000" w:themeColor="text1"/>
                <w:sz w:val="18"/>
                <w:szCs w:val="18"/>
              </w:rPr>
              <w:t>Po potrebi dodajte nove redove.</w:t>
            </w:r>
          </w:p>
        </w:tc>
      </w:tr>
    </w:tbl>
    <w:p w14:paraId="4C3B3225" w14:textId="77777777" w:rsidR="00D14F76" w:rsidRPr="001C58C6" w:rsidRDefault="00D14F76">
      <w:pPr>
        <w:shd w:val="clear" w:color="auto" w:fill="FFFFFF"/>
        <w:spacing w:before="240" w:after="120" w:line="312" w:lineRule="atLeast"/>
        <w:rPr>
          <w:rFonts w:ascii="Calibri" w:eastAsia="Times New Roman" w:hAnsi="Calibri" w:cs="Calibri"/>
          <w:b/>
          <w:bCs/>
          <w:color w:val="000000" w:themeColor="text1"/>
          <w:szCs w:val="24"/>
        </w:rPr>
      </w:pPr>
      <w:r w:rsidRPr="001C58C6">
        <w:rPr>
          <w:rFonts w:ascii="Calibri" w:eastAsia="Times New Roman" w:hAnsi="Calibri" w:cs="Calibri"/>
          <w:b/>
          <w:bCs/>
          <w:color w:val="000000" w:themeColor="text1"/>
          <w:szCs w:val="24"/>
        </w:rPr>
        <w:t>2.4.   Napredak ostvaren dosadašnjim politikama i mjerama u smanjenju emisija i poboljšanju kvaliteta vazduha i stepen usklađenosti sa nacionalnim obavezama i obavezama Unije u poređenju sa 2005.</w:t>
      </w:r>
    </w:p>
    <w:p w14:paraId="15FF9880" w14:textId="77777777" w:rsidR="00D14F76" w:rsidRPr="001C58C6" w:rsidRDefault="00D14F76">
      <w:pPr>
        <w:shd w:val="clear" w:color="auto" w:fill="FFFFFF"/>
        <w:spacing w:before="240" w:after="120" w:line="312" w:lineRule="atLeast"/>
        <w:rPr>
          <w:rFonts w:ascii="Calibri" w:eastAsia="Times New Roman" w:hAnsi="Calibri" w:cs="Calibri"/>
          <w:b/>
          <w:bCs/>
          <w:i/>
          <w:iCs/>
          <w:color w:val="000000" w:themeColor="text1"/>
          <w:szCs w:val="24"/>
        </w:rPr>
      </w:pPr>
      <w:r w:rsidRPr="001C58C6">
        <w:rPr>
          <w:rFonts w:ascii="Calibri" w:eastAsia="Times New Roman" w:hAnsi="Calibri" w:cs="Calibri"/>
          <w:b/>
          <w:bCs/>
          <w:color w:val="000000" w:themeColor="text1"/>
          <w:szCs w:val="24"/>
        </w:rPr>
        <w:t>2.4.1.   </w:t>
      </w:r>
      <w:r w:rsidRPr="001C58C6">
        <w:rPr>
          <w:rFonts w:ascii="Calibri" w:eastAsia="Times New Roman" w:hAnsi="Calibri" w:cs="Calibri"/>
          <w:b/>
          <w:bCs/>
          <w:i/>
          <w:iCs/>
          <w:color w:val="000000" w:themeColor="text1"/>
          <w:szCs w:val="24"/>
        </w:rPr>
        <w:t>Napredak ostvaren dosadašnjim politikama i mjerama u smanjenju emisija te stepen usklađenosti sa nacionalnim obavezama i obavezama Unije u pogledu smanjenja emisija</w:t>
      </w:r>
    </w:p>
    <w:tbl>
      <w:tblPr>
        <w:tblStyle w:val="GridTable1Light-Accent1"/>
        <w:tblW w:w="5000" w:type="pct"/>
        <w:tblLook w:val="04A0" w:firstRow="1" w:lastRow="0" w:firstColumn="1" w:lastColumn="0" w:noHBand="0" w:noVBand="1"/>
      </w:tblPr>
      <w:tblGrid>
        <w:gridCol w:w="1980"/>
        <w:gridCol w:w="7036"/>
      </w:tblGrid>
      <w:tr w:rsidR="00D14F76" w:rsidRPr="001C58C6" w14:paraId="3BA3D512" w14:textId="77777777" w:rsidTr="00DB03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pct"/>
          </w:tcPr>
          <w:p w14:paraId="098A1EED" w14:textId="77777777" w:rsidR="00D14F76" w:rsidRPr="001C58C6" w:rsidRDefault="00D14F76">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Opisati napredak ostvaren dosadašnjim politikama i mjerama u smanjenju emisija i stepen usklađenosti sa nacionalnim zakonodavstvom i zakonodavstvom Unije u području smanjenja emisija (O)</w:t>
            </w:r>
          </w:p>
        </w:tc>
        <w:tc>
          <w:tcPr>
            <w:tcW w:w="3902" w:type="pct"/>
          </w:tcPr>
          <w:p w14:paraId="12D114F6"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Crna Gora je tokom protekle decenije:</w:t>
            </w:r>
          </w:p>
          <w:p w14:paraId="7A1DD0F2" w14:textId="7498A8AC" w:rsidR="00D14F76" w:rsidRPr="001C58C6" w:rsidRDefault="00D14F76" w:rsidP="00E53052">
            <w:pPr>
              <w:pStyle w:val="ListParagraph"/>
              <w:numPr>
                <w:ilvl w:val="0"/>
                <w:numId w:val="79"/>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uspostavila nacionalni sistem za praćenje i izvještavanje o emisijama (PRTR, CLRTAP, EMEP),</w:t>
            </w:r>
          </w:p>
          <w:p w14:paraId="64E5BADD" w14:textId="77777777" w:rsidR="00D14F76" w:rsidRPr="001C58C6" w:rsidRDefault="00D14F76" w:rsidP="00E53052">
            <w:pPr>
              <w:pStyle w:val="ListParagraph"/>
              <w:numPr>
                <w:ilvl w:val="0"/>
                <w:numId w:val="79"/>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modernizovala termoenergetsko postrojenje u skladu sa IED, IPPC i BAT zahtjevima,</w:t>
            </w:r>
          </w:p>
          <w:p w14:paraId="5C3EA04D" w14:textId="77777777" w:rsidR="00D14F76" w:rsidRPr="001C58C6" w:rsidRDefault="00D14F76" w:rsidP="00E53052">
            <w:pPr>
              <w:pStyle w:val="ListParagraph"/>
              <w:numPr>
                <w:ilvl w:val="0"/>
                <w:numId w:val="79"/>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uvela primjenu niskosumpornih goriva i zabranu upotrebe mazuta sa visokim sadržajem sumpora,</w:t>
            </w:r>
          </w:p>
          <w:p w14:paraId="69989904" w14:textId="77777777" w:rsidR="00D14F76" w:rsidRPr="001C58C6" w:rsidRDefault="00D14F76" w:rsidP="00E53052">
            <w:pPr>
              <w:pStyle w:val="ListParagraph"/>
              <w:numPr>
                <w:ilvl w:val="0"/>
                <w:numId w:val="79"/>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uvela Euro standarde za uvoz i registraciju vozila,</w:t>
            </w:r>
          </w:p>
          <w:p w14:paraId="1E330FA3" w14:textId="77777777" w:rsidR="00D14F76" w:rsidRPr="001C58C6" w:rsidRDefault="00D14F76" w:rsidP="00E53052">
            <w:pPr>
              <w:pStyle w:val="ListParagraph"/>
              <w:numPr>
                <w:ilvl w:val="0"/>
                <w:numId w:val="79"/>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povećala energetsku efikasnost u javnim objektima i domaćinstvima,</w:t>
            </w:r>
          </w:p>
          <w:p w14:paraId="27EBAA3F" w14:textId="77777777" w:rsidR="00D14F76" w:rsidRPr="001C58C6" w:rsidRDefault="00D14F76" w:rsidP="00E53052">
            <w:pPr>
              <w:pStyle w:val="ListParagraph"/>
              <w:numPr>
                <w:ilvl w:val="0"/>
                <w:numId w:val="79"/>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pojačala mrežu za monitoring kvaliteta vazduha pod upravom Agencije za zaštitu životne sredine.</w:t>
            </w:r>
          </w:p>
          <w:p w14:paraId="16EEF80C"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Od 2005. do 2023. godine ukupne emisije zagađujućih materija su uglavnom povećane (osim NH</w:t>
            </w:r>
            <w:r w:rsidRPr="001C58C6">
              <w:rPr>
                <w:rFonts w:ascii="Calibri" w:eastAsia="Times New Roman" w:hAnsi="Calibri" w:cs="Calibri"/>
                <w:b w:val="0"/>
                <w:bCs w:val="0"/>
                <w:color w:val="000000" w:themeColor="text1"/>
                <w:sz w:val="20"/>
                <w:szCs w:val="20"/>
                <w:vertAlign w:val="subscript"/>
              </w:rPr>
              <w:t>3</w:t>
            </w:r>
            <w:r w:rsidRPr="001C58C6">
              <w:rPr>
                <w:rFonts w:ascii="Calibri" w:eastAsia="Times New Roman" w:hAnsi="Calibri" w:cs="Calibri"/>
                <w:b w:val="0"/>
                <w:bCs w:val="0"/>
                <w:color w:val="000000" w:themeColor="text1"/>
                <w:sz w:val="20"/>
                <w:szCs w:val="20"/>
              </w:rPr>
              <w:t>) za:</w:t>
            </w:r>
          </w:p>
          <w:p w14:paraId="68AEB0EF" w14:textId="77777777" w:rsidR="00D14F76" w:rsidRPr="001C58C6" w:rsidRDefault="00D14F76" w:rsidP="00E53052">
            <w:pPr>
              <w:pStyle w:val="ListParagraph"/>
              <w:numPr>
                <w:ilvl w:val="0"/>
                <w:numId w:val="80"/>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SO₂: +52,2%,</w:t>
            </w:r>
          </w:p>
          <w:p w14:paraId="10C6B318" w14:textId="77777777" w:rsidR="00D14F76" w:rsidRPr="001C58C6" w:rsidRDefault="00D14F76" w:rsidP="00E53052">
            <w:pPr>
              <w:pStyle w:val="ListParagraph"/>
              <w:numPr>
                <w:ilvl w:val="0"/>
                <w:numId w:val="80"/>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NOₓ: +55,7%,</w:t>
            </w:r>
          </w:p>
          <w:p w14:paraId="31D15345" w14:textId="77777777" w:rsidR="00D14F76" w:rsidRPr="001C58C6" w:rsidRDefault="00D14F76" w:rsidP="00E53052">
            <w:pPr>
              <w:pStyle w:val="ListParagraph"/>
              <w:numPr>
                <w:ilvl w:val="0"/>
                <w:numId w:val="80"/>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PM₂.₅: +22,5%,</w:t>
            </w:r>
          </w:p>
          <w:p w14:paraId="467456B5" w14:textId="77777777" w:rsidR="00D14F76" w:rsidRPr="001C58C6" w:rsidRDefault="00D14F76" w:rsidP="00E53052">
            <w:pPr>
              <w:pStyle w:val="ListParagraph"/>
              <w:numPr>
                <w:ilvl w:val="0"/>
                <w:numId w:val="80"/>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NMVOC: +8,9%,</w:t>
            </w:r>
          </w:p>
          <w:p w14:paraId="782F3305" w14:textId="77777777" w:rsidR="00D14F76" w:rsidRPr="001C58C6" w:rsidRDefault="00D14F76" w:rsidP="00E53052">
            <w:pPr>
              <w:pStyle w:val="ListParagraph"/>
              <w:numPr>
                <w:ilvl w:val="0"/>
                <w:numId w:val="80"/>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NH₃: −31%.</w:t>
            </w:r>
          </w:p>
          <w:p w14:paraId="45C53BC8" w14:textId="1F8BC061"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 xml:space="preserve">Nacionalno zakonodavstvo je u velikoj mjeri usklađeno sa zakonodavstvom EU, naročito sa Direktivom 2008/50/EC (kvalitet vazduha) i Direktivom 2016/2284/EU (NEC). Dalje usklađivanje planirano je kroz </w:t>
            </w:r>
            <w:r w:rsidR="003B196E">
              <w:rPr>
                <w:rFonts w:ascii="Calibri" w:eastAsia="Times New Roman" w:hAnsi="Calibri" w:cs="Calibri"/>
                <w:b w:val="0"/>
                <w:bCs w:val="0"/>
                <w:color w:val="000000" w:themeColor="text1"/>
                <w:sz w:val="20"/>
                <w:szCs w:val="20"/>
              </w:rPr>
              <w:t>n</w:t>
            </w:r>
            <w:r w:rsidRPr="001C58C6">
              <w:rPr>
                <w:rFonts w:ascii="Calibri" w:eastAsia="Times New Roman" w:hAnsi="Calibri" w:cs="Calibri"/>
                <w:b w:val="0"/>
                <w:bCs w:val="0"/>
                <w:color w:val="000000" w:themeColor="text1"/>
                <w:sz w:val="20"/>
                <w:szCs w:val="20"/>
              </w:rPr>
              <w:t>ovi Zakon o klimatskim promjenama, donošenje novog Zakona o zaštiti kvaliteta vazduha i pratećih podzakonskih akata.</w:t>
            </w:r>
          </w:p>
          <w:p w14:paraId="3A932FF6"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Crna Gora redovno izvještava u okviru EMEP/CLRTAP konvencije, a od 2021. godine sistematski dostavlja i projekcije emisija po scenarijima WEM i WAM. Ukupni napredak se ocjenjuje kao umjeren, sa tendencijom potpunog ispunjenja obaveza do 2030. godine.</w:t>
            </w:r>
          </w:p>
        </w:tc>
      </w:tr>
      <w:tr w:rsidR="00D14F76" w:rsidRPr="001C58C6" w14:paraId="32415AA6" w14:textId="77777777" w:rsidTr="00DB033D">
        <w:tc>
          <w:tcPr>
            <w:cnfStyle w:val="001000000000" w:firstRow="0" w:lastRow="0" w:firstColumn="1" w:lastColumn="0" w:oddVBand="0" w:evenVBand="0" w:oddHBand="0" w:evenHBand="0" w:firstRowFirstColumn="0" w:firstRowLastColumn="0" w:lastRowFirstColumn="0" w:lastRowLastColumn="0"/>
            <w:tcW w:w="1098" w:type="pct"/>
          </w:tcPr>
          <w:p w14:paraId="1731F22D" w14:textId="77777777" w:rsidR="00D14F76" w:rsidRPr="001C58C6" w:rsidRDefault="00D14F76">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 xml:space="preserve">Navedite reference (poglavlje i stranica) na javno dostupne skupove podataka (npr. </w:t>
            </w:r>
            <w:r w:rsidRPr="001C58C6">
              <w:rPr>
                <w:rFonts w:ascii="Calibri" w:eastAsia="Times New Roman" w:hAnsi="Calibri" w:cs="Calibri"/>
                <w:color w:val="000000" w:themeColor="text1"/>
                <w:sz w:val="20"/>
                <w:szCs w:val="20"/>
              </w:rPr>
              <w:lastRenderedPageBreak/>
              <w:t>izvještavanje o inventaru istorijskih emisija) (O)</w:t>
            </w:r>
          </w:p>
        </w:tc>
        <w:tc>
          <w:tcPr>
            <w:tcW w:w="3902" w:type="pct"/>
          </w:tcPr>
          <w:p w14:paraId="72246BA1"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lastRenderedPageBreak/>
              <w:t>EPA Crne Gore (EPA):</w:t>
            </w:r>
          </w:p>
          <w:p w14:paraId="7A420408" w14:textId="77777777" w:rsidR="00D14F76" w:rsidRPr="001C58C6" w:rsidRDefault="00D14F76" w:rsidP="00E53052">
            <w:pPr>
              <w:pStyle w:val="ListParagraph"/>
              <w:numPr>
                <w:ilvl w:val="0"/>
                <w:numId w:val="81"/>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Godišnji izvještaji o kvalitetu vazduha u Crnoj Gori (2015–2023), dostupni na www.epa.org.me;</w:t>
            </w:r>
          </w:p>
          <w:p w14:paraId="51A1B38C" w14:textId="77777777" w:rsidR="00D14F76" w:rsidRPr="001C58C6" w:rsidRDefault="00D14F76" w:rsidP="00E53052">
            <w:pPr>
              <w:pStyle w:val="ListParagraph"/>
              <w:numPr>
                <w:ilvl w:val="0"/>
                <w:numId w:val="81"/>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Nacionalni inventar emisija zagađujućih materija u vazduh (CLRTAP/EMEP izvještaji);</w:t>
            </w:r>
          </w:p>
          <w:p w14:paraId="4371D973" w14:textId="77777777" w:rsidR="00D14F76" w:rsidRPr="001C58C6" w:rsidRDefault="00D14F76" w:rsidP="00E53052">
            <w:pPr>
              <w:pStyle w:val="ListParagraph"/>
              <w:numPr>
                <w:ilvl w:val="0"/>
                <w:numId w:val="81"/>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Baza podataka PRTR – Registar zagađujućih materija i emisija;</w:t>
            </w:r>
          </w:p>
          <w:p w14:paraId="01AFF795" w14:textId="77777777" w:rsidR="00D14F76" w:rsidRPr="001C58C6" w:rsidRDefault="00D14F76" w:rsidP="00E53052">
            <w:pPr>
              <w:pStyle w:val="ListParagraph"/>
              <w:numPr>
                <w:ilvl w:val="0"/>
                <w:numId w:val="81"/>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lastRenderedPageBreak/>
              <w:t>Portal za praćenje kvaliteta vazduha (automatske stanice, podaci u realnom vremenu).</w:t>
            </w:r>
          </w:p>
          <w:p w14:paraId="56B9CAB2"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MONSTAT:</w:t>
            </w:r>
          </w:p>
          <w:p w14:paraId="30A1F804" w14:textId="77777777" w:rsidR="00D14F76" w:rsidRPr="001C58C6" w:rsidRDefault="00D14F76" w:rsidP="00E53052">
            <w:pPr>
              <w:pStyle w:val="ListParagraph"/>
              <w:numPr>
                <w:ilvl w:val="0"/>
                <w:numId w:val="82"/>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Energetski bilansi i statistika potrošnje goriva po sektorima (2005–2023).</w:t>
            </w:r>
          </w:p>
          <w:p w14:paraId="50B48AC4" w14:textId="77777777" w:rsidR="00D14F76" w:rsidRPr="001C58C6" w:rsidRDefault="00D14F76" w:rsidP="00E53052">
            <w:pPr>
              <w:pStyle w:val="ListParagraph"/>
              <w:numPr>
                <w:ilvl w:val="0"/>
                <w:numId w:val="82"/>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EMEP Centre on Emission Inventories (CEIP):</w:t>
            </w:r>
          </w:p>
          <w:p w14:paraId="393C6ED3" w14:textId="77777777" w:rsidR="00D14F76" w:rsidRPr="001C58C6" w:rsidRDefault="00D14F76" w:rsidP="00E53052">
            <w:pPr>
              <w:pStyle w:val="ListParagraph"/>
              <w:numPr>
                <w:ilvl w:val="0"/>
                <w:numId w:val="82"/>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Regionalni inventar emisija za Jugoistočnu Evropu (Crna Gora – EMEP domain, 2023).</w:t>
            </w:r>
          </w:p>
          <w:p w14:paraId="5E746486" w14:textId="77777777" w:rsidR="00D14F76" w:rsidRPr="001C58C6" w:rsidRDefault="00D14F76" w:rsidP="00E40401">
            <w:pPr>
              <w:pStyle w:val="ListParagrap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p>
        </w:tc>
      </w:tr>
      <w:tr w:rsidR="00D14F76" w:rsidRPr="001C58C6" w14:paraId="4ACE0519" w14:textId="77777777" w:rsidTr="00DB033D">
        <w:tc>
          <w:tcPr>
            <w:cnfStyle w:val="001000000000" w:firstRow="0" w:lastRow="0" w:firstColumn="1" w:lastColumn="0" w:oddVBand="0" w:evenVBand="0" w:oddHBand="0" w:evenHBand="0" w:firstRowFirstColumn="0" w:firstRowLastColumn="0" w:lastRowFirstColumn="0" w:lastRowLastColumn="0"/>
            <w:tcW w:w="1098" w:type="pct"/>
          </w:tcPr>
          <w:p w14:paraId="103F5059" w14:textId="77777777" w:rsidR="00D14F76" w:rsidRPr="001C58C6" w:rsidRDefault="00D14F76">
            <w:pPr>
              <w:spacing w:before="60" w:after="60" w:line="312" w:lineRule="atLeast"/>
              <w:rPr>
                <w:rFonts w:ascii="Calibri" w:eastAsia="Times New Roman" w:hAnsi="Calibri" w:cs="Calibri"/>
                <w:color w:val="000000" w:themeColor="text1"/>
                <w:sz w:val="20"/>
                <w:szCs w:val="20"/>
                <w:highlight w:val="cyan"/>
              </w:rPr>
            </w:pPr>
            <w:r w:rsidRPr="001C58C6">
              <w:rPr>
                <w:rFonts w:ascii="Calibri" w:eastAsia="Times New Roman" w:hAnsi="Calibri" w:cs="Calibri"/>
                <w:color w:val="000000" w:themeColor="text1"/>
                <w:sz w:val="20"/>
                <w:szCs w:val="20"/>
              </w:rPr>
              <w:lastRenderedPageBreak/>
              <w:t>Uključite grafičke prikaze na kojima se vidi smanjenje emisija po zagađujućoj materiji i/ili po glavnim sektorima (N)</w:t>
            </w:r>
          </w:p>
        </w:tc>
        <w:tc>
          <w:tcPr>
            <w:tcW w:w="3902" w:type="pct"/>
          </w:tcPr>
          <w:p w14:paraId="67FA2917" w14:textId="77777777" w:rsidR="00D14F76" w:rsidRPr="001C58C6" w:rsidRDefault="00D14F76">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highlight w:val="cyan"/>
              </w:rPr>
            </w:pPr>
            <w:r w:rsidRPr="001C58C6">
              <w:rPr>
                <w:rFonts w:ascii="Calibri" w:hAnsi="Calibri" w:cs="Calibri"/>
                <w:noProof/>
                <w:color w:val="000000" w:themeColor="text1"/>
                <w:sz w:val="20"/>
                <w:szCs w:val="20"/>
                <w:highlight w:val="cyan"/>
              </w:rPr>
              <w:drawing>
                <wp:inline distT="0" distB="0" distL="0" distR="0" wp14:anchorId="6030B75E" wp14:editId="3736F5EC">
                  <wp:extent cx="4205926" cy="2766060"/>
                  <wp:effectExtent l="0" t="0" r="4445" b="0"/>
                  <wp:docPr id="1354017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017829"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4249464" cy="2794693"/>
                          </a:xfrm>
                          <a:prstGeom prst="rect">
                            <a:avLst/>
                          </a:prstGeom>
                          <a:noFill/>
                        </pic:spPr>
                      </pic:pic>
                    </a:graphicData>
                  </a:graphic>
                </wp:inline>
              </w:drawing>
            </w:r>
          </w:p>
          <w:p w14:paraId="0307517E" w14:textId="77777777" w:rsidR="00D14F76" w:rsidRPr="001C58C6" w:rsidRDefault="00D14F76">
            <w:pPr>
              <w:spacing w:before="120" w:line="312"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highlight w:val="cyan"/>
              </w:rPr>
            </w:pPr>
          </w:p>
        </w:tc>
      </w:tr>
    </w:tbl>
    <w:p w14:paraId="5CA65E02" w14:textId="77777777" w:rsidR="00D14F76" w:rsidRPr="001C58C6" w:rsidRDefault="00D14F76">
      <w:pPr>
        <w:shd w:val="clear" w:color="auto" w:fill="FFFFFF"/>
        <w:spacing w:line="312" w:lineRule="atLeast"/>
        <w:rPr>
          <w:rFonts w:ascii="Calibri" w:eastAsia="Times New Roman" w:hAnsi="Calibri" w:cs="Calibri"/>
          <w:color w:val="000000" w:themeColor="text1"/>
          <w:sz w:val="18"/>
          <w:szCs w:val="18"/>
        </w:rPr>
      </w:pPr>
    </w:p>
    <w:p w14:paraId="37BCD97B" w14:textId="77777777" w:rsidR="00ED5DB4" w:rsidRPr="001C58C6" w:rsidRDefault="00ED5DB4">
      <w:pPr>
        <w:shd w:val="clear" w:color="auto" w:fill="FFFFFF"/>
        <w:spacing w:line="312" w:lineRule="atLeast"/>
        <w:rPr>
          <w:rFonts w:ascii="Calibri" w:eastAsia="Times New Roman" w:hAnsi="Calibri" w:cs="Calibri"/>
          <w:color w:val="000000" w:themeColor="text1"/>
          <w:sz w:val="18"/>
          <w:szCs w:val="18"/>
        </w:rPr>
      </w:pPr>
    </w:p>
    <w:p w14:paraId="62F006D1" w14:textId="77777777" w:rsidR="00ED5DB4" w:rsidRPr="001C58C6" w:rsidRDefault="00ED5DB4">
      <w:pPr>
        <w:shd w:val="clear" w:color="auto" w:fill="FFFFFF"/>
        <w:spacing w:line="312" w:lineRule="atLeast"/>
        <w:rPr>
          <w:rFonts w:ascii="Calibri" w:eastAsia="Times New Roman" w:hAnsi="Calibri" w:cs="Calibri"/>
          <w:color w:val="000000" w:themeColor="text1"/>
          <w:sz w:val="18"/>
          <w:szCs w:val="18"/>
        </w:rPr>
      </w:pPr>
    </w:p>
    <w:p w14:paraId="2D42768A" w14:textId="77777777" w:rsidR="00D14F76" w:rsidRPr="001C58C6" w:rsidRDefault="00D14F76">
      <w:pPr>
        <w:shd w:val="clear" w:color="auto" w:fill="FFFFFF"/>
        <w:spacing w:before="240" w:after="120" w:line="312" w:lineRule="atLeast"/>
        <w:rPr>
          <w:rFonts w:ascii="Calibri" w:eastAsia="Times New Roman" w:hAnsi="Calibri" w:cs="Calibri"/>
          <w:b/>
          <w:bCs/>
          <w:i/>
          <w:iCs/>
          <w:color w:val="000000" w:themeColor="text1"/>
          <w:szCs w:val="24"/>
        </w:rPr>
      </w:pPr>
      <w:r w:rsidRPr="001C58C6">
        <w:rPr>
          <w:rFonts w:ascii="Calibri" w:eastAsia="Times New Roman" w:hAnsi="Calibri" w:cs="Calibri"/>
          <w:b/>
          <w:bCs/>
          <w:color w:val="000000" w:themeColor="text1"/>
          <w:szCs w:val="24"/>
        </w:rPr>
        <w:t>2.4.2.   </w:t>
      </w:r>
      <w:r w:rsidRPr="001C58C6">
        <w:rPr>
          <w:rFonts w:ascii="Calibri" w:eastAsia="Times New Roman" w:hAnsi="Calibri" w:cs="Calibri"/>
          <w:b/>
          <w:bCs/>
          <w:i/>
          <w:iCs/>
          <w:color w:val="000000" w:themeColor="text1"/>
          <w:szCs w:val="24"/>
        </w:rPr>
        <w:t>Napredak ostvaren dosadašnjim politikama i mjerama u poboljšanju kvaliteta vazduha te stepen usklađenosti sa nacionalnim obavezama i obavezama Unije u pogledu poboljšanju kvaliteta vazduha</w:t>
      </w:r>
    </w:p>
    <w:p w14:paraId="69CA5436" w14:textId="77777777" w:rsidR="00D14F76" w:rsidRPr="001C58C6" w:rsidRDefault="00D14F76">
      <w:pPr>
        <w:shd w:val="clear" w:color="auto" w:fill="FFFFFF"/>
        <w:spacing w:before="240" w:after="120" w:line="312" w:lineRule="atLeast"/>
        <w:rPr>
          <w:rFonts w:ascii="Calibri" w:eastAsia="Times New Roman" w:hAnsi="Calibri" w:cs="Calibri"/>
          <w:b/>
          <w:bCs/>
          <w:color w:val="000000" w:themeColor="text1"/>
          <w:sz w:val="22"/>
        </w:rPr>
      </w:pPr>
    </w:p>
    <w:tbl>
      <w:tblPr>
        <w:tblStyle w:val="GridTable1Light-Accent1"/>
        <w:tblW w:w="5000" w:type="pct"/>
        <w:tblLook w:val="04A0" w:firstRow="1" w:lastRow="0" w:firstColumn="1" w:lastColumn="0" w:noHBand="0" w:noVBand="1"/>
      </w:tblPr>
      <w:tblGrid>
        <w:gridCol w:w="2772"/>
        <w:gridCol w:w="6244"/>
      </w:tblGrid>
      <w:tr w:rsidR="00D14F76" w:rsidRPr="001C58C6" w14:paraId="4B547F7D" w14:textId="77777777" w:rsidTr="00E404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pct"/>
          </w:tcPr>
          <w:p w14:paraId="120D91C8" w14:textId="77777777" w:rsidR="00D14F76" w:rsidRPr="001C58C6" w:rsidRDefault="00D14F76">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Opisati napredak ostvaren dosadašnjim politikama i mjerama u poboljšanju kvaliteta vazduha i stepen usklađenosti sa nacionalnim obavezama i obavezama Unije u pogledu kvaliteta vazduha tako da navedete barem broj zona kvaliteta vazduha od ukupnog broja zona kvaliteta vazduha koje jesu/nisu u skladu sa ciljevima EU-a u pogledu kvaliteta vazduha za NO</w:t>
            </w:r>
            <w:r w:rsidRPr="001C58C6">
              <w:rPr>
                <w:rFonts w:ascii="Calibri" w:eastAsia="Times New Roman" w:hAnsi="Calibri" w:cs="Calibri"/>
                <w:color w:val="000000" w:themeColor="text1"/>
                <w:sz w:val="20"/>
                <w:szCs w:val="20"/>
                <w:vertAlign w:val="subscript"/>
              </w:rPr>
              <w:t>2</w:t>
            </w:r>
            <w:r w:rsidRPr="001C58C6">
              <w:rPr>
                <w:rFonts w:ascii="Calibri" w:eastAsia="Times New Roman" w:hAnsi="Calibri" w:cs="Calibri"/>
                <w:color w:val="000000" w:themeColor="text1"/>
                <w:sz w:val="20"/>
                <w:szCs w:val="20"/>
              </w:rPr>
              <w:t>, PM</w:t>
            </w:r>
            <w:r w:rsidRPr="001C58C6">
              <w:rPr>
                <w:rFonts w:ascii="Calibri" w:eastAsia="Times New Roman" w:hAnsi="Calibri" w:cs="Calibri"/>
                <w:color w:val="000000" w:themeColor="text1"/>
                <w:sz w:val="20"/>
                <w:szCs w:val="20"/>
                <w:vertAlign w:val="subscript"/>
              </w:rPr>
              <w:t>10</w:t>
            </w:r>
            <w:r w:rsidRPr="001C58C6">
              <w:rPr>
                <w:rFonts w:ascii="Calibri" w:eastAsia="Times New Roman" w:hAnsi="Calibri" w:cs="Calibri"/>
                <w:color w:val="000000" w:themeColor="text1"/>
                <w:sz w:val="20"/>
                <w:szCs w:val="20"/>
              </w:rPr>
              <w:t>, PM</w:t>
            </w:r>
            <w:r w:rsidRPr="001C58C6">
              <w:rPr>
                <w:rFonts w:ascii="Calibri" w:eastAsia="Times New Roman" w:hAnsi="Calibri" w:cs="Calibri"/>
                <w:color w:val="000000" w:themeColor="text1"/>
                <w:sz w:val="20"/>
                <w:szCs w:val="20"/>
                <w:vertAlign w:val="subscript"/>
              </w:rPr>
              <w:t>2,5</w:t>
            </w:r>
            <w:r w:rsidRPr="001C58C6">
              <w:rPr>
                <w:rFonts w:ascii="Calibri" w:eastAsia="Times New Roman" w:hAnsi="Calibri" w:cs="Calibri"/>
                <w:color w:val="000000" w:themeColor="text1"/>
                <w:sz w:val="20"/>
                <w:szCs w:val="20"/>
              </w:rPr>
              <w:t> i O</w:t>
            </w:r>
            <w:r w:rsidRPr="001C58C6">
              <w:rPr>
                <w:rFonts w:ascii="Calibri" w:eastAsia="Times New Roman" w:hAnsi="Calibri" w:cs="Calibri"/>
                <w:color w:val="000000" w:themeColor="text1"/>
                <w:sz w:val="20"/>
                <w:szCs w:val="20"/>
                <w:vertAlign w:val="subscript"/>
              </w:rPr>
              <w:t>3</w:t>
            </w:r>
            <w:r w:rsidRPr="001C58C6">
              <w:rPr>
                <w:rFonts w:ascii="Calibri" w:eastAsia="Times New Roman" w:hAnsi="Calibri" w:cs="Calibri"/>
                <w:color w:val="000000" w:themeColor="text1"/>
                <w:sz w:val="20"/>
                <w:szCs w:val="20"/>
              </w:rPr>
              <w:t xml:space="preserve">, i za sve </w:t>
            </w:r>
            <w:r w:rsidRPr="001C58C6">
              <w:rPr>
                <w:rFonts w:ascii="Calibri" w:eastAsia="Times New Roman" w:hAnsi="Calibri" w:cs="Calibri"/>
                <w:color w:val="000000" w:themeColor="text1"/>
                <w:sz w:val="20"/>
                <w:szCs w:val="20"/>
              </w:rPr>
              <w:lastRenderedPageBreak/>
              <w:t>druge zagađujuće materije kod kojih dolazi do prekoračenja (O)</w:t>
            </w:r>
          </w:p>
        </w:tc>
        <w:tc>
          <w:tcPr>
            <w:tcW w:w="3463" w:type="pct"/>
          </w:tcPr>
          <w:p w14:paraId="2D9E6A4B"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lastRenderedPageBreak/>
              <w:t>U periodu od bazne godine (2005) do posljednje godine izvještavanja (2023) Crna Gora je ostvarila još uvijek nedovoljan napredak u pogledu kvaliteta vazduha. U skladu sa važećom podjelom na zone kvaliteta vazduha razlikuju se tri zone:</w:t>
            </w:r>
          </w:p>
          <w:p w14:paraId="31608169"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sjeverna zona (Pljevlja, Bijelo Polje), centralna zona (Podgorica, Nikšić) i južna zona (primorje).</w:t>
            </w:r>
          </w:p>
          <w:p w14:paraId="5E515B88"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NO₂</w:t>
            </w:r>
          </w:p>
          <w:p w14:paraId="723147B2"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U baznoj godini i u 2023. godini sve 3 zone su u skladu sa graničnom godišnjom vrijednošću EU za NO₂ (40 µg/m³).</w:t>
            </w:r>
          </w:p>
          <w:p w14:paraId="679868F4"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Povremene povišene vrijednosti bilježe se uz glavne saobraćajnice u Podgorici i Kotoru, ali ne dovode do sistemskog neispunjavanja obaveza na nivou zona.</w:t>
            </w:r>
          </w:p>
          <w:p w14:paraId="5CFF4B0E"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PM₁₀</w:t>
            </w:r>
          </w:p>
          <w:p w14:paraId="48EF3FF0"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U baznoj godini 2 od 3 zona nijesu bile usklađene (sjeverna zona – Pljevlja; djelimično centralna zona – Podgorica, sa prekoračenjem dnevne GV &gt;35 dana/god).</w:t>
            </w:r>
          </w:p>
          <w:p w14:paraId="1D74AA97"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U 2023. godini 1 od 3 zona (sjeverna – Pljevlja) i dalje nije u potpunosti usklađena sa EU ciljevima za PM₁₀, dok su preostale 2 zone (centralna i južna) u skladu sa graničnim vrijednostima.</w:t>
            </w:r>
          </w:p>
          <w:p w14:paraId="1FC11283"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PM₂</w:t>
            </w:r>
            <w:r w:rsidRPr="001C58C6">
              <w:rPr>
                <w:rFonts w:ascii="Calibri" w:eastAsia="MS Gothic" w:hAnsi="Calibri" w:cs="Calibri"/>
                <w:b w:val="0"/>
                <w:bCs w:val="0"/>
                <w:color w:val="000000" w:themeColor="text1"/>
                <w:sz w:val="20"/>
                <w:szCs w:val="20"/>
              </w:rPr>
              <w:t>․</w:t>
            </w:r>
            <w:r w:rsidRPr="001C58C6">
              <w:rPr>
                <w:rFonts w:ascii="Calibri" w:eastAsia="Times New Roman" w:hAnsi="Calibri" w:cs="Calibri"/>
                <w:b w:val="0"/>
                <w:bCs w:val="0"/>
                <w:color w:val="000000" w:themeColor="text1"/>
                <w:sz w:val="20"/>
                <w:szCs w:val="20"/>
              </w:rPr>
              <w:t>₅</w:t>
            </w:r>
          </w:p>
          <w:p w14:paraId="4CEFF325"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lastRenderedPageBreak/>
              <w:t>U baznoj godini 2 od 3 zona su bile iznad ciljnih/godišnjih vrijednosti za PM₂</w:t>
            </w:r>
            <w:r w:rsidRPr="001C58C6">
              <w:rPr>
                <w:rFonts w:ascii="Calibri" w:eastAsia="MS Gothic" w:hAnsi="Calibri" w:cs="Calibri"/>
                <w:b w:val="0"/>
                <w:bCs w:val="0"/>
                <w:color w:val="000000" w:themeColor="text1"/>
                <w:sz w:val="20"/>
                <w:szCs w:val="20"/>
              </w:rPr>
              <w:t>․</w:t>
            </w:r>
            <w:r w:rsidRPr="001C58C6">
              <w:rPr>
                <w:rFonts w:ascii="Calibri" w:eastAsia="Times New Roman" w:hAnsi="Calibri" w:cs="Calibri"/>
                <w:b w:val="0"/>
                <w:bCs w:val="0"/>
                <w:color w:val="000000" w:themeColor="text1"/>
                <w:sz w:val="20"/>
                <w:szCs w:val="20"/>
              </w:rPr>
              <w:t>₅ (sjeverna i centralna).</w:t>
            </w:r>
          </w:p>
          <w:p w14:paraId="2C4FBE31"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Do 2023. godine 2 od 3 zona (centralna i južna) su u skladu sa ciljevima EU za PM₂</w:t>
            </w:r>
            <w:r w:rsidRPr="001C58C6">
              <w:rPr>
                <w:rFonts w:ascii="Calibri" w:eastAsia="MS Gothic" w:hAnsi="Calibri" w:cs="Calibri"/>
                <w:b w:val="0"/>
                <w:bCs w:val="0"/>
                <w:color w:val="000000" w:themeColor="text1"/>
                <w:sz w:val="20"/>
                <w:szCs w:val="20"/>
              </w:rPr>
              <w:t>․</w:t>
            </w:r>
            <w:r w:rsidRPr="001C58C6">
              <w:rPr>
                <w:rFonts w:ascii="Calibri" w:eastAsia="Times New Roman" w:hAnsi="Calibri" w:cs="Calibri"/>
                <w:b w:val="0"/>
                <w:bCs w:val="0"/>
                <w:color w:val="000000" w:themeColor="text1"/>
                <w:sz w:val="20"/>
                <w:szCs w:val="20"/>
              </w:rPr>
              <w:t>₅, dok sjeverna zona (Pljevlja i Bijelo Polje) i dalje bilježi granične ili blago povišene vrijednosti u zimskom periodu, povezane sa individualnim ložištima i lokalnim uslovima raslojavanja vazduha.</w:t>
            </w:r>
          </w:p>
          <w:p w14:paraId="0A4018EC"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O₃ (ozon)</w:t>
            </w:r>
          </w:p>
          <w:p w14:paraId="5808D546"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U baznoj godini 2 od 3 zona (južna i pojedini planinski dijelovi sjeverne zone) bilježile su povremena prekoračenja ciljnih vrijednosti za ozon.</w:t>
            </w:r>
          </w:p>
          <w:p w14:paraId="65EAB977"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U 2023. godini broj zona sa prekoračenjima je smanjen: 1 od 3 zona još povremeno prelazi ciljne vrijednosti (uglavnom južna zona tokom ljetnjih epizoda), ali bez sistemskog neispunjavanja obaveza na nivou države.</w:t>
            </w:r>
          </w:p>
          <w:p w14:paraId="78D9FEAA"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Druge zagađujuće materije (SO₂, CO, benzen, teški metali, BaP)</w:t>
            </w:r>
          </w:p>
          <w:p w14:paraId="5E0BCA4C"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Prema mjerenjima u sve tri zone, nije zabilježeno sistemsko prekoračenje graničnih vrijednosti za SO₂, CO, benzen i metale; prekoračenja benzo(a)pirena vezana su pretežno za sjevernu zonu (Pljevlja, Bijelo Polje), ali su obuhvaćena lokalnim planovima kvaliteta vazduha.</w:t>
            </w:r>
          </w:p>
          <w:p w14:paraId="055CC045"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U odnosu na nacionalne i EU obaveze, može se zaključiti da je:</w:t>
            </w:r>
          </w:p>
          <w:p w14:paraId="5248D7CE" w14:textId="77777777" w:rsidR="00D14F76" w:rsidRPr="001C58C6" w:rsidRDefault="00D14F76" w:rsidP="00E53052">
            <w:pPr>
              <w:pStyle w:val="ListParagraph"/>
              <w:numPr>
                <w:ilvl w:val="0"/>
                <w:numId w:val="83"/>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za NO₂ i većinu drugih gasovitih zagađujućih materija usklađenost već postignuta u svim zonama;</w:t>
            </w:r>
          </w:p>
          <w:p w14:paraId="4F8BD147" w14:textId="77777777" w:rsidR="00D14F76" w:rsidRPr="001C58C6" w:rsidRDefault="00D14F76" w:rsidP="00E53052">
            <w:pPr>
              <w:pStyle w:val="ListParagraph"/>
              <w:numPr>
                <w:ilvl w:val="0"/>
                <w:numId w:val="83"/>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za PM₁₀ i PM₂</w:t>
            </w:r>
            <w:r w:rsidRPr="001C58C6">
              <w:rPr>
                <w:rFonts w:ascii="Calibri" w:eastAsia="MS Gothic" w:hAnsi="Calibri" w:cs="Calibri"/>
                <w:b w:val="0"/>
                <w:bCs w:val="0"/>
                <w:color w:val="000000" w:themeColor="text1"/>
                <w:sz w:val="20"/>
                <w:szCs w:val="20"/>
              </w:rPr>
              <w:t>․</w:t>
            </w:r>
            <w:r w:rsidRPr="001C58C6">
              <w:rPr>
                <w:rFonts w:ascii="Calibri" w:eastAsia="Times New Roman" w:hAnsi="Calibri" w:cs="Calibri"/>
                <w:b w:val="0"/>
                <w:bCs w:val="0"/>
                <w:color w:val="000000" w:themeColor="text1"/>
                <w:sz w:val="20"/>
                <w:szCs w:val="20"/>
              </w:rPr>
              <w:t>₅ usklađenost ostvarena u 2 od 3 zone, dok je sjeverna zona i dalje problematična i predstavlja fokus mjera iz Programa (lokalni planovi Pljevlja/Bijelo Polje);</w:t>
            </w:r>
          </w:p>
          <w:p w14:paraId="41E869A8" w14:textId="77777777" w:rsidR="00D14F76" w:rsidRPr="001C58C6" w:rsidRDefault="00D14F76" w:rsidP="00E53052">
            <w:pPr>
              <w:pStyle w:val="ListParagraph"/>
              <w:numPr>
                <w:ilvl w:val="0"/>
                <w:numId w:val="83"/>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za O₃ je stepen usklađenosti poboljšan, sa smanjenjem broja zona sa prekoračenjima sa 2 na 1, uz preostale sezonske epizode na primorju.</w:t>
            </w:r>
          </w:p>
          <w:p w14:paraId="0C2A3C35"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Ovi rezultati potvrđuju djelimično ispunjavanje obaveza u pogledu kvaliteta vazduha, uz jasan prioritet daljeg smanjenja koncentracija PM₁₀/PM₂</w:t>
            </w:r>
            <w:r w:rsidRPr="001C58C6">
              <w:rPr>
                <w:rFonts w:ascii="Calibri" w:eastAsia="MS Gothic" w:hAnsi="Calibri" w:cs="Calibri"/>
                <w:b w:val="0"/>
                <w:bCs w:val="0"/>
                <w:color w:val="000000" w:themeColor="text1"/>
                <w:sz w:val="20"/>
                <w:szCs w:val="20"/>
              </w:rPr>
              <w:t>․</w:t>
            </w:r>
            <w:r w:rsidRPr="001C58C6">
              <w:rPr>
                <w:rFonts w:ascii="Calibri" w:eastAsia="Times New Roman" w:hAnsi="Calibri" w:cs="Calibri"/>
                <w:b w:val="0"/>
                <w:bCs w:val="0"/>
                <w:color w:val="000000" w:themeColor="text1"/>
                <w:sz w:val="20"/>
                <w:szCs w:val="20"/>
              </w:rPr>
              <w:t>₅ u sjevernoj zoni i smanjenja trajanja epizoda ozona u južnoj zoni, u skladu sa nacionalnim planovima kvaliteta vazduha i EU Direktivom o čistijem vazduhu.</w:t>
            </w:r>
          </w:p>
        </w:tc>
      </w:tr>
      <w:tr w:rsidR="00D14F76" w:rsidRPr="001C58C6" w14:paraId="00AC8FF6" w14:textId="77777777" w:rsidTr="00E40401">
        <w:tc>
          <w:tcPr>
            <w:cnfStyle w:val="001000000000" w:firstRow="0" w:lastRow="0" w:firstColumn="1" w:lastColumn="0" w:oddVBand="0" w:evenVBand="0" w:oddHBand="0" w:evenHBand="0" w:firstRowFirstColumn="0" w:firstRowLastColumn="0" w:lastRowFirstColumn="0" w:lastRowLastColumn="0"/>
            <w:tcW w:w="1537" w:type="pct"/>
          </w:tcPr>
          <w:p w14:paraId="03ABCE22" w14:textId="77777777" w:rsidR="00D14F76" w:rsidRPr="001C58C6" w:rsidRDefault="00D14F76">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lastRenderedPageBreak/>
              <w:t>Navedite potpune reference (poglavlje i stranica) na javno dostupne skupove podataka (npr. planovi za kvalitet vazduha, raspodjela izvora zagađenja) (O)</w:t>
            </w:r>
          </w:p>
        </w:tc>
        <w:tc>
          <w:tcPr>
            <w:tcW w:w="3463" w:type="pct"/>
          </w:tcPr>
          <w:p w14:paraId="710F9B28"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EPA Crne Gore (EPA):</w:t>
            </w:r>
          </w:p>
          <w:p w14:paraId="7EC03F32"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„Godišnji izvještaj o kvalitetu vazduha u Crnoj Gori, 2024“ -  Poglavlje 3 „Stanje kvaliteta vazduha po zonama“;</w:t>
            </w:r>
          </w:p>
          <w:p w14:paraId="30455022"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„Nacionalni inventar emisija zagađujućih materija u vazduh, 1990–2023“;</w:t>
            </w:r>
          </w:p>
          <w:p w14:paraId="6E2002A3"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Web-portal sa podacima monitoringa kvaliteta vazduha (mjerenje u realnom vremenu, istorijski podaci).</w:t>
            </w:r>
          </w:p>
          <w:p w14:paraId="5D1222B2"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Lokalni planovi kvaliteta vazduha i/ili lokalni planovi zaštite životne sredine.</w:t>
            </w:r>
          </w:p>
          <w:p w14:paraId="1BC9EDB1"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Prekogranično zagađenje vazduha sumporom, azotom, ozonom i česticama u 2022. godini</w:t>
            </w:r>
          </w:p>
          <w:p w14:paraId="2CB06FC6"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Drugi izvještaji i studije:</w:t>
            </w:r>
          </w:p>
          <w:p w14:paraId="07BCDBEB"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analize raspodjele izvora zagađenja, npr. „Source apportionment“ studije, gdje postoje;</w:t>
            </w:r>
          </w:p>
          <w:p w14:paraId="734D89CE"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sektorske analize (saobraćaj, grijanje domaćinstava, industrija) koje se odnose na doprinose PM i NO₂.</w:t>
            </w:r>
          </w:p>
        </w:tc>
      </w:tr>
      <w:tr w:rsidR="00D14F76" w:rsidRPr="001C58C6" w14:paraId="4BB57614" w14:textId="77777777" w:rsidTr="00E40401">
        <w:tc>
          <w:tcPr>
            <w:cnfStyle w:val="001000000000" w:firstRow="0" w:lastRow="0" w:firstColumn="1" w:lastColumn="0" w:oddVBand="0" w:evenVBand="0" w:oddHBand="0" w:evenHBand="0" w:firstRowFirstColumn="0" w:firstRowLastColumn="0" w:lastRowFirstColumn="0" w:lastRowLastColumn="0"/>
            <w:tcW w:w="1537" w:type="pct"/>
          </w:tcPr>
          <w:p w14:paraId="771B8809" w14:textId="77777777" w:rsidR="00D14F76" w:rsidRPr="001C58C6" w:rsidRDefault="00D14F76">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Karte ili histogrami koji prikazuju dosadašnje koncentracije u vazduhu (barem za NO</w:t>
            </w:r>
            <w:r w:rsidRPr="001C58C6">
              <w:rPr>
                <w:rFonts w:ascii="Calibri" w:eastAsia="Times New Roman" w:hAnsi="Calibri" w:cs="Calibri"/>
                <w:color w:val="000000" w:themeColor="text1"/>
                <w:sz w:val="20"/>
                <w:szCs w:val="20"/>
                <w:vertAlign w:val="subscript"/>
              </w:rPr>
              <w:t>2</w:t>
            </w:r>
            <w:r w:rsidRPr="001C58C6">
              <w:rPr>
                <w:rFonts w:ascii="Calibri" w:eastAsia="Times New Roman" w:hAnsi="Calibri" w:cs="Calibri"/>
                <w:color w:val="000000" w:themeColor="text1"/>
                <w:sz w:val="20"/>
                <w:szCs w:val="20"/>
              </w:rPr>
              <w:t>, PM</w:t>
            </w:r>
            <w:r w:rsidRPr="001C58C6">
              <w:rPr>
                <w:rFonts w:ascii="Calibri" w:eastAsia="Times New Roman" w:hAnsi="Calibri" w:cs="Calibri"/>
                <w:color w:val="000000" w:themeColor="text1"/>
                <w:sz w:val="20"/>
                <w:szCs w:val="20"/>
                <w:vertAlign w:val="subscript"/>
              </w:rPr>
              <w:t>10</w:t>
            </w:r>
            <w:r w:rsidRPr="001C58C6">
              <w:rPr>
                <w:rFonts w:ascii="Calibri" w:eastAsia="Times New Roman" w:hAnsi="Calibri" w:cs="Calibri"/>
                <w:color w:val="000000" w:themeColor="text1"/>
                <w:sz w:val="20"/>
                <w:szCs w:val="20"/>
              </w:rPr>
              <w:t>, PM</w:t>
            </w:r>
            <w:r w:rsidRPr="001C58C6">
              <w:rPr>
                <w:rFonts w:ascii="Calibri" w:eastAsia="Times New Roman" w:hAnsi="Calibri" w:cs="Calibri"/>
                <w:color w:val="000000" w:themeColor="text1"/>
                <w:sz w:val="20"/>
                <w:szCs w:val="20"/>
                <w:vertAlign w:val="subscript"/>
              </w:rPr>
              <w:t>2,5</w:t>
            </w:r>
            <w:r w:rsidRPr="001C58C6">
              <w:rPr>
                <w:rFonts w:ascii="Calibri" w:eastAsia="Times New Roman" w:hAnsi="Calibri" w:cs="Calibri"/>
                <w:color w:val="000000" w:themeColor="text1"/>
                <w:sz w:val="20"/>
                <w:szCs w:val="20"/>
              </w:rPr>
              <w:t> i O</w:t>
            </w:r>
            <w:r w:rsidRPr="001C58C6">
              <w:rPr>
                <w:rFonts w:ascii="Calibri" w:eastAsia="Times New Roman" w:hAnsi="Calibri" w:cs="Calibri"/>
                <w:color w:val="000000" w:themeColor="text1"/>
                <w:sz w:val="20"/>
                <w:szCs w:val="20"/>
                <w:vertAlign w:val="subscript"/>
              </w:rPr>
              <w:t>3</w:t>
            </w:r>
            <w:r w:rsidRPr="001C58C6">
              <w:rPr>
                <w:rFonts w:ascii="Calibri" w:eastAsia="Times New Roman" w:hAnsi="Calibri" w:cs="Calibri"/>
                <w:color w:val="000000" w:themeColor="text1"/>
                <w:sz w:val="20"/>
                <w:szCs w:val="20"/>
              </w:rPr>
              <w:t xml:space="preserve"> i za sve druge zagađujuće materije, koji predstavljaju problem) i na kojima se, na primjer, može vidjeti broj zona od ukupnih zona kvaliteta vazduha koje jesu/nisu usklađene </w:t>
            </w:r>
            <w:r w:rsidRPr="001C58C6">
              <w:rPr>
                <w:rFonts w:ascii="Calibri" w:eastAsia="Times New Roman" w:hAnsi="Calibri" w:cs="Calibri"/>
                <w:color w:val="000000" w:themeColor="text1"/>
                <w:sz w:val="20"/>
                <w:szCs w:val="20"/>
              </w:rPr>
              <w:lastRenderedPageBreak/>
              <w:t>u baznoj godini i godini izvještavanja (N)</w:t>
            </w:r>
          </w:p>
        </w:tc>
        <w:tc>
          <w:tcPr>
            <w:tcW w:w="3463" w:type="pct"/>
          </w:tcPr>
          <w:p w14:paraId="763EBFE6"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lastRenderedPageBreak/>
              <w:t>Karte ili histogrami koji prikazuju dosadašnje koncentracije u vazduhu (najmanje za NO₂, PM₁₀, PM₂.₅ i O₃, kao i za svaku drugu problematičnu zagađujuću materiju) obično su prikazani u:</w:t>
            </w:r>
          </w:p>
          <w:p w14:paraId="6054BEE2" w14:textId="77777777" w:rsidR="00D14F76" w:rsidRPr="001C58C6" w:rsidRDefault="00D14F76" w:rsidP="00E53052">
            <w:pPr>
              <w:pStyle w:val="ListParagraph"/>
              <w:numPr>
                <w:ilvl w:val="0"/>
                <w:numId w:val="84"/>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kartama prostorne raspodjele koncentracija po zonama (npr. karte sa označenim mjernim stanicama i bojama po klasama koncentracija);</w:t>
            </w:r>
          </w:p>
          <w:p w14:paraId="2E2BC655" w14:textId="77777777" w:rsidR="00D14F76" w:rsidRPr="001C58C6" w:rsidRDefault="00D14F76" w:rsidP="00E53052">
            <w:pPr>
              <w:pStyle w:val="ListParagraph"/>
              <w:numPr>
                <w:ilvl w:val="0"/>
                <w:numId w:val="84"/>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histogramima ili box-plot grafikonima koji prikazuju raspodjelu mjerne serije (npr. broj dana iznad 50 µg/m³ za PM₁₀, raspodjela osmočasovnih vrijednosti O₃).</w:t>
            </w:r>
          </w:p>
          <w:p w14:paraId="606489BD"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Za potrebe ovog Programa, priložiti najmanje:</w:t>
            </w:r>
          </w:p>
          <w:p w14:paraId="0C04EFDB" w14:textId="77777777" w:rsidR="00D14F76" w:rsidRPr="001C58C6" w:rsidRDefault="00D14F76" w:rsidP="00E53052">
            <w:pPr>
              <w:pStyle w:val="ListParagraph"/>
              <w:numPr>
                <w:ilvl w:val="0"/>
                <w:numId w:val="85"/>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karta sa označenim zonama kvaliteta vazduha i mjernim stanicama,</w:t>
            </w:r>
          </w:p>
          <w:p w14:paraId="34725005" w14:textId="77777777" w:rsidR="00D14F76" w:rsidRPr="001C58C6" w:rsidRDefault="00D14F76" w:rsidP="00E53052">
            <w:pPr>
              <w:pStyle w:val="ListParagraph"/>
              <w:numPr>
                <w:ilvl w:val="0"/>
                <w:numId w:val="85"/>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histogram ili grafikon za PM₁₀ i PM₂.₅ za Pljevlja, Podgoricu i Nikšić za baznu i zadnju godinu,</w:t>
            </w:r>
          </w:p>
          <w:p w14:paraId="207490C8" w14:textId="77777777" w:rsidR="00D14F76" w:rsidRPr="001C58C6" w:rsidRDefault="00D14F76" w:rsidP="00E53052">
            <w:pPr>
              <w:pStyle w:val="ListParagraph"/>
              <w:numPr>
                <w:ilvl w:val="0"/>
                <w:numId w:val="85"/>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grafikon sezonske varijacije NO₂ i O₃ po zonama.</w:t>
            </w:r>
          </w:p>
          <w:p w14:paraId="32E30EA4"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lastRenderedPageBreak/>
              <w:t>„Karte i histogrami dosadašnjih koncentracija (NO₂, PM₁₀, PM₂.₅, O₃) prikazani su u Poglavlju 3.2 – 3.4 godišnjeg izvještaja o kvalitetu vazduha (EPA, 2025) i u Poglavlju 2.3–2.5 lokalnih planova kvaliteta vazduha za Pljevlja i Podgoricu.“</w:t>
            </w:r>
          </w:p>
        </w:tc>
      </w:tr>
      <w:tr w:rsidR="00D14F76" w:rsidRPr="001C58C6" w14:paraId="3A6FDD15" w14:textId="77777777" w:rsidTr="00E40401">
        <w:tc>
          <w:tcPr>
            <w:cnfStyle w:val="001000000000" w:firstRow="0" w:lastRow="0" w:firstColumn="1" w:lastColumn="0" w:oddVBand="0" w:evenVBand="0" w:oddHBand="0" w:evenHBand="0" w:firstRowFirstColumn="0" w:firstRowLastColumn="0" w:lastRowFirstColumn="0" w:lastRowLastColumn="0"/>
            <w:tcW w:w="1537" w:type="pct"/>
          </w:tcPr>
          <w:p w14:paraId="0B7FC891" w14:textId="77777777" w:rsidR="00D14F76" w:rsidRPr="001C58C6" w:rsidRDefault="00D14F76">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lastRenderedPageBreak/>
              <w:t>Ako su utvrđeni problemi u zoni ili zonama kvaliteta vazduha, opišite kako je ostvaren napredak u smanjenju najviših prijavljenih koncentracija (N)</w:t>
            </w:r>
          </w:p>
        </w:tc>
        <w:tc>
          <w:tcPr>
            <w:tcW w:w="3463" w:type="pct"/>
          </w:tcPr>
          <w:p w14:paraId="403E1A59"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U zonama u kojima su utvrđeni problemi (prije svega Pljevlja, a djelimično Podgorica i Nikšić), napredak je vidljiv prvenstveno kroz:</w:t>
            </w:r>
          </w:p>
          <w:p w14:paraId="2985A099" w14:textId="77777777" w:rsidR="00D14F76" w:rsidRPr="001C58C6" w:rsidRDefault="00D14F76" w:rsidP="00E53052">
            <w:pPr>
              <w:pStyle w:val="ListParagraph"/>
              <w:numPr>
                <w:ilvl w:val="0"/>
                <w:numId w:val="86"/>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Smanjenje najviših dnevnih koncentracija PM₁₀ – broj dana sa koncentracijama iznad 100 µg/m³ u Pljevljima je smanjen u odnosu na baznu godinu (npr. sa &gt; 40 dana na oko 15–20 dana godišnje);</w:t>
            </w:r>
          </w:p>
          <w:p w14:paraId="066EE660" w14:textId="77777777" w:rsidR="00D14F76" w:rsidRPr="001C58C6" w:rsidRDefault="00D14F76" w:rsidP="00E53052">
            <w:pPr>
              <w:pStyle w:val="ListParagraph"/>
              <w:numPr>
                <w:ilvl w:val="0"/>
                <w:numId w:val="86"/>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Smanjenje godišnjih prosječnih vrijednosti PM₂.₅ – i dalje su blizu ili iznad ciljanih vrijednosti, ali trend je opadajući;</w:t>
            </w:r>
          </w:p>
          <w:p w14:paraId="6788ADB7" w14:textId="77777777" w:rsidR="00D14F76" w:rsidRPr="001C58C6" w:rsidRDefault="00D14F76" w:rsidP="00E53052">
            <w:pPr>
              <w:pStyle w:val="ListParagraph"/>
              <w:numPr>
                <w:ilvl w:val="0"/>
                <w:numId w:val="86"/>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Stabilizaciju NO₂ u saobraćajno opterećenim djelovima Podgorice i Nikšića, bez rasta najviših zabilježenih vrijednosti;</w:t>
            </w:r>
          </w:p>
          <w:p w14:paraId="017D3235" w14:textId="77777777" w:rsidR="00D14F76" w:rsidRPr="001C58C6" w:rsidRDefault="00D14F76" w:rsidP="00E53052">
            <w:pPr>
              <w:pStyle w:val="ListParagraph"/>
              <w:numPr>
                <w:ilvl w:val="0"/>
                <w:numId w:val="86"/>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Malo smanjenje trajanja epizoda sa povišenim ozonom, posebno u južnoj i planinskoj zoni, usljed djelimičnog smanjenja prekursora.</w:t>
            </w:r>
          </w:p>
          <w:p w14:paraId="3AFBBDDF"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Napredak je ostvarен kroz kombinaciju:</w:t>
            </w:r>
          </w:p>
          <w:p w14:paraId="66AFEAB4" w14:textId="77777777" w:rsidR="00D14F76" w:rsidRPr="001C58C6" w:rsidRDefault="00D14F76" w:rsidP="00E53052">
            <w:pPr>
              <w:pStyle w:val="ListParagraph"/>
              <w:numPr>
                <w:ilvl w:val="0"/>
                <w:numId w:val="8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djelimične modernizacije sistema grijanja i zamjene goriva u javnim objektima,</w:t>
            </w:r>
          </w:p>
          <w:p w14:paraId="05CBE6C4" w14:textId="77777777" w:rsidR="00D14F76" w:rsidRPr="001C58C6" w:rsidRDefault="00D14F76" w:rsidP="00E53052">
            <w:pPr>
              <w:pStyle w:val="ListParagraph"/>
              <w:numPr>
                <w:ilvl w:val="0"/>
                <w:numId w:val="8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lokalnih mjera ograničavanja saobraćaja i poboljšanja javnog prevoza,</w:t>
            </w:r>
          </w:p>
          <w:p w14:paraId="7A60ABD7" w14:textId="77777777" w:rsidR="00D14F76" w:rsidRPr="001C58C6" w:rsidRDefault="00D14F76" w:rsidP="00E53052">
            <w:pPr>
              <w:pStyle w:val="ListParagraph"/>
              <w:numPr>
                <w:ilvl w:val="0"/>
                <w:numId w:val="8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povećanog nadzora nad spaljivanjem otpada i biomase,</w:t>
            </w:r>
          </w:p>
          <w:p w14:paraId="69AD519C" w14:textId="77777777" w:rsidR="00D14F76" w:rsidRPr="001C58C6" w:rsidRDefault="00D14F76" w:rsidP="00E53052">
            <w:pPr>
              <w:pStyle w:val="ListParagraph"/>
              <w:numPr>
                <w:ilvl w:val="0"/>
                <w:numId w:val="8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kampanja informisanja stanovništva (posebno u Pljevljima) o uticaju individualnih ložišta.</w:t>
            </w:r>
          </w:p>
          <w:p w14:paraId="3920CD47"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Međutim, najviše prijavljene koncentracije PM₁₀ i PM₂.₅ u Pljevljima još uvijek povremeno premašuju granične vrijednosti, što ukazuje na potrebu za dodatnim sistemskim mjerama (prelazak na daljinsko grijanje, toplotne pumpe, smanjenje gužvi u saobraćaju, sanacija lokalnih izvora).</w:t>
            </w:r>
          </w:p>
        </w:tc>
      </w:tr>
    </w:tbl>
    <w:p w14:paraId="7081429F" w14:textId="77777777" w:rsidR="00D14F76" w:rsidRPr="001C58C6" w:rsidRDefault="00D14F76">
      <w:pPr>
        <w:shd w:val="clear" w:color="auto" w:fill="FFFFFF"/>
        <w:spacing w:line="312" w:lineRule="atLeast"/>
        <w:rPr>
          <w:rFonts w:ascii="Calibri" w:eastAsia="Times New Roman" w:hAnsi="Calibri" w:cs="Calibri"/>
          <w:color w:val="000000" w:themeColor="text1"/>
          <w:sz w:val="18"/>
          <w:szCs w:val="18"/>
        </w:rPr>
      </w:pPr>
    </w:p>
    <w:p w14:paraId="29E5BF5B" w14:textId="77777777" w:rsidR="00D14F76" w:rsidRPr="001C58C6" w:rsidRDefault="00D14F76">
      <w:pPr>
        <w:shd w:val="clear" w:color="auto" w:fill="FFFFFF"/>
        <w:spacing w:before="240" w:after="120" w:line="312" w:lineRule="atLeast"/>
        <w:rPr>
          <w:rFonts w:ascii="Calibri" w:eastAsia="Times New Roman" w:hAnsi="Calibri" w:cs="Calibri"/>
          <w:b/>
          <w:bCs/>
          <w:color w:val="000000" w:themeColor="text1"/>
          <w:sz w:val="28"/>
          <w:szCs w:val="28"/>
        </w:rPr>
      </w:pPr>
      <w:r w:rsidRPr="001C58C6">
        <w:rPr>
          <w:rFonts w:ascii="Calibri" w:eastAsia="Times New Roman" w:hAnsi="Calibri" w:cs="Calibri"/>
          <w:b/>
          <w:bCs/>
          <w:color w:val="000000" w:themeColor="text1"/>
          <w:sz w:val="28"/>
          <w:szCs w:val="28"/>
        </w:rPr>
        <w:t>2.4.3.   </w:t>
      </w:r>
      <w:r w:rsidRPr="001C58C6">
        <w:rPr>
          <w:rFonts w:ascii="Calibri" w:eastAsia="Times New Roman" w:hAnsi="Calibri" w:cs="Calibri"/>
          <w:b/>
          <w:bCs/>
          <w:i/>
          <w:iCs/>
          <w:color w:val="000000" w:themeColor="text1"/>
          <w:sz w:val="28"/>
          <w:szCs w:val="28"/>
        </w:rPr>
        <w:t xml:space="preserve">Prekogranični uticaj domaćih izvora emisija  </w:t>
      </w:r>
    </w:p>
    <w:tbl>
      <w:tblPr>
        <w:tblStyle w:val="GridTable1Light-Accent1"/>
        <w:tblW w:w="5000" w:type="pct"/>
        <w:tblLook w:val="04A0" w:firstRow="1" w:lastRow="0" w:firstColumn="1" w:lastColumn="0" w:noHBand="0" w:noVBand="1"/>
      </w:tblPr>
      <w:tblGrid>
        <w:gridCol w:w="2772"/>
        <w:gridCol w:w="6244"/>
      </w:tblGrid>
      <w:tr w:rsidR="00D14F76" w:rsidRPr="001C58C6" w14:paraId="52CD97C7" w14:textId="77777777" w:rsidTr="00E404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pct"/>
          </w:tcPr>
          <w:p w14:paraId="6DEAC79E" w14:textId="77777777" w:rsidR="00D14F76" w:rsidRPr="001C58C6" w:rsidRDefault="00D14F76">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Ako je primjenjivo, opišite Prekogranični uticaj domaćih izvora emisija (O)</w:t>
            </w:r>
          </w:p>
          <w:p w14:paraId="62F8F620" w14:textId="77777777" w:rsidR="00D14F76" w:rsidRPr="001C58C6" w:rsidRDefault="00D14F76">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i/>
                <w:iCs/>
                <w:color w:val="000000" w:themeColor="text1"/>
                <w:sz w:val="20"/>
                <w:szCs w:val="20"/>
              </w:rPr>
              <w:t>O napretku se može izvještavati kvantitativno ili kvalitativno.</w:t>
            </w:r>
          </w:p>
          <w:p w14:paraId="0407220A" w14:textId="77777777" w:rsidR="00D14F76" w:rsidRPr="001C58C6" w:rsidRDefault="00D14F76">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i/>
                <w:iCs/>
                <w:color w:val="000000" w:themeColor="text1"/>
                <w:sz w:val="20"/>
                <w:szCs w:val="20"/>
              </w:rPr>
              <w:t>Ako nisu utvrđeni problemi, navedite taj zaključak.</w:t>
            </w:r>
          </w:p>
        </w:tc>
        <w:tc>
          <w:tcPr>
            <w:tcW w:w="3463" w:type="pct"/>
          </w:tcPr>
          <w:p w14:paraId="20B18924"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Na osnovu dostupnih analiza i izvještaja o emisijama, procjenjuje se da prekogranični uticaj domaćih izvora emisija iz Crne Gore na susjedne države nije značajan, osim u ograničenim slučajevima epizoda sa povišenim koncentracijama PM₁₀ i ozona.</w:t>
            </w:r>
          </w:p>
          <w:p w14:paraId="55E6E3B2"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Zbog malog broja velikih industrijskih postrojenja i relativno ograničenih emisija u nacionalnom kontekstu, doprinos Crne Gore ukupnim regionalnim taloženjima sumpora, azota i sekundarnih čestica procjenjuje se na manje od 1% u EMEP modelu za Jugoistočnu Evropu (referenca: EMEP Status Report 2023 – South East Europe domain).</w:t>
            </w:r>
          </w:p>
          <w:p w14:paraId="15BA17A8"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Najveći potencijalni prekogranični efekti mogu se javiti u situacijama:</w:t>
            </w:r>
          </w:p>
          <w:p w14:paraId="1F2A4267" w14:textId="77777777" w:rsidR="00D14F76" w:rsidRPr="001C58C6" w:rsidRDefault="00D14F76" w:rsidP="00E53052">
            <w:pPr>
              <w:pStyle w:val="ListParagraph"/>
              <w:numPr>
                <w:ilvl w:val="0"/>
                <w:numId w:val="88"/>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transporta čestica PM₂.₅ i PM₁₀ iz područja Pljevalja i sjeverne Crne Gore prema jugozapadnoj Srbiji i istočnoj Bosni i Hercegovini tokom zimskih mjeseci,</w:t>
            </w:r>
          </w:p>
          <w:p w14:paraId="33423000" w14:textId="77777777" w:rsidR="00D14F76" w:rsidRPr="001C58C6" w:rsidRDefault="00D14F76" w:rsidP="00E53052">
            <w:pPr>
              <w:pStyle w:val="ListParagraph"/>
              <w:numPr>
                <w:ilvl w:val="0"/>
                <w:numId w:val="88"/>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transporta prizemnog ozona (O₃) tokom ljetnjih mjeseci iz priobalnog i centralnog dijela Crne Gore prema teritoriji Albanije i južnoj Dalmaciji, usljed regionalnih meteoroloških obrazaca.</w:t>
            </w:r>
          </w:p>
          <w:p w14:paraId="0D384DE3"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Modeli EMEP i CAMx, korišćeni u regionalnim analizama za Balkan, pokazuju da je međugranični prenos sekundarnih čestica iz Crne Gore nizak, ali da Crna Gora povremeno prima prekogranične doprinose iz termoenergetskih i industrijskih oblasti zapadne Srbije i Bosne i Hercegovine, što je potvrđeno i mjerenjima koncentracija SO₂ i NO₂ na sjevernim granicama.</w:t>
            </w:r>
          </w:p>
          <w:p w14:paraId="4410C7CB"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b w:val="0"/>
                <w:bCs w:val="0"/>
                <w:color w:val="000000" w:themeColor="text1"/>
                <w:sz w:val="20"/>
                <w:szCs w:val="20"/>
              </w:rPr>
              <w:t>Zaključak: Nijesu utvrđeni značajni prekogranični negativni uticaji domaćih emisija na susjedne države, a Crna Gora u većoj mjeri trpi nego što doprinosi prekograničnom zagađenju.</w:t>
            </w:r>
          </w:p>
        </w:tc>
      </w:tr>
      <w:tr w:rsidR="00D14F76" w:rsidRPr="001C58C6" w14:paraId="64283C29" w14:textId="77777777" w:rsidTr="00E40401">
        <w:tc>
          <w:tcPr>
            <w:cnfStyle w:val="001000000000" w:firstRow="0" w:lastRow="0" w:firstColumn="1" w:lastColumn="0" w:oddVBand="0" w:evenVBand="0" w:oddHBand="0" w:evenHBand="0" w:firstRowFirstColumn="0" w:firstRowLastColumn="0" w:lastRowFirstColumn="0" w:lastRowLastColumn="0"/>
            <w:tcW w:w="1537" w:type="pct"/>
          </w:tcPr>
          <w:p w14:paraId="34448FC0" w14:textId="77777777" w:rsidR="00D14F76" w:rsidRPr="001C58C6" w:rsidRDefault="00D14F76">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 xml:space="preserve">Ako se koriste kvantitativni podaci za opisivanje rezultata procjene, </w:t>
            </w:r>
            <w:r w:rsidRPr="001C58C6">
              <w:rPr>
                <w:rFonts w:ascii="Calibri" w:eastAsia="Times New Roman" w:hAnsi="Calibri" w:cs="Calibri"/>
                <w:color w:val="000000" w:themeColor="text1"/>
                <w:sz w:val="20"/>
                <w:szCs w:val="20"/>
              </w:rPr>
              <w:lastRenderedPageBreak/>
              <w:t>navedite podatke i metodologije upotrijebljene za sprovođenje navedene procjene (N)</w:t>
            </w:r>
          </w:p>
        </w:tc>
        <w:tc>
          <w:tcPr>
            <w:tcW w:w="3463" w:type="pct"/>
          </w:tcPr>
          <w:p w14:paraId="454B8627"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lastRenderedPageBreak/>
              <w:t>Za procjenu prekograničnih uticaja i doprinosa domaćih emisija korišćeni su sljedeći kvantitativni podaci i metodološki izvori:</w:t>
            </w:r>
          </w:p>
          <w:p w14:paraId="7D6651FE" w14:textId="77777777" w:rsidR="00D14F76" w:rsidRPr="001C58C6" w:rsidRDefault="00D14F76" w:rsidP="00E53052">
            <w:pPr>
              <w:pStyle w:val="ListParagraph"/>
              <w:numPr>
                <w:ilvl w:val="0"/>
                <w:numId w:val="89"/>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lastRenderedPageBreak/>
              <w:t>Nacionalni inventar emisija (EPA Crne Gore, CLRTAP/EMEP format, 2005–2023);</w:t>
            </w:r>
          </w:p>
          <w:p w14:paraId="59647695" w14:textId="77777777" w:rsidR="00D14F76" w:rsidRPr="001C58C6" w:rsidRDefault="00D14F76" w:rsidP="00E53052">
            <w:pPr>
              <w:pStyle w:val="ListParagraph"/>
              <w:numPr>
                <w:ilvl w:val="0"/>
                <w:numId w:val="89"/>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Podaci o emisijama iz velikih ložišta i industrijskih postrojenja (IPPC i PRTR baze);</w:t>
            </w:r>
          </w:p>
          <w:p w14:paraId="7E260EF6" w14:textId="77777777" w:rsidR="00D14F76" w:rsidRPr="001C58C6" w:rsidRDefault="00D14F76" w:rsidP="00E53052">
            <w:pPr>
              <w:pStyle w:val="ListParagraph"/>
              <w:numPr>
                <w:ilvl w:val="0"/>
                <w:numId w:val="89"/>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Meteorološki podaci Zavoda za hidrometeorologiju i seizmologiju (vjetar, temperatura, inverzije, stabilnost vazduha);</w:t>
            </w:r>
          </w:p>
          <w:p w14:paraId="1518F598" w14:textId="77777777" w:rsidR="00D14F76" w:rsidRPr="001C58C6" w:rsidRDefault="00D14F76" w:rsidP="00E53052">
            <w:pPr>
              <w:pStyle w:val="ListParagraph"/>
              <w:numPr>
                <w:ilvl w:val="0"/>
                <w:numId w:val="89"/>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Regionalni EMEP modeli i rezultati CEIP-a za jugoistočnu Evropu (rezolucija 0.1° × 0.1°);</w:t>
            </w:r>
          </w:p>
          <w:p w14:paraId="7992965E" w14:textId="77777777" w:rsidR="00D14F76" w:rsidRPr="001C58C6" w:rsidRDefault="00D14F76" w:rsidP="00E53052">
            <w:pPr>
              <w:pStyle w:val="ListParagraph"/>
              <w:numPr>
                <w:ilvl w:val="0"/>
                <w:numId w:val="89"/>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Model CAMx (Comprehensive Air Quality Model with Extensions) za procjenu transporta i disperzije PM i O₃;</w:t>
            </w:r>
          </w:p>
          <w:p w14:paraId="079F7F4D" w14:textId="77777777" w:rsidR="00D14F76" w:rsidRPr="001C58C6" w:rsidRDefault="00D14F76" w:rsidP="00E53052">
            <w:pPr>
              <w:pStyle w:val="ListParagraph"/>
              <w:numPr>
                <w:ilvl w:val="0"/>
                <w:numId w:val="89"/>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Metodologija EMEP/EEA Air Pollutant Emission Inventory Guidebook 2019 – korišćena za kvantifikaciju emisija po sektorima i verifikaciju unosa u modele.</w:t>
            </w:r>
          </w:p>
          <w:p w14:paraId="0CE356DC"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Procjena se zasnivala na kombinaciji kvalitativne i kvantitativne analize, poređenjem godišnjih taloženja i emisija po mreži ćelija EMEP domena i modelovanjem prostorne distribucije koncentracija.</w:t>
            </w:r>
          </w:p>
          <w:p w14:paraId="0887FE02"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Rezultati su u skladu sa regionalnim izvještajima EMEP i pokazuju da Crna Gora ostvaruje usaglašenost sa obavezama CLRTAP Konvencije u pogledu kontrole prekograničnih emisija sumpora, azota i finih čestica.</w:t>
            </w:r>
          </w:p>
        </w:tc>
      </w:tr>
    </w:tbl>
    <w:p w14:paraId="1E4A8793" w14:textId="77777777" w:rsidR="00D14F76" w:rsidRPr="001C58C6" w:rsidRDefault="00D14F76">
      <w:pPr>
        <w:shd w:val="clear" w:color="auto" w:fill="FFFFFF"/>
        <w:spacing w:before="240" w:after="120" w:line="312" w:lineRule="atLeast"/>
        <w:rPr>
          <w:rFonts w:ascii="Calibri" w:eastAsia="Times New Roman" w:hAnsi="Calibri" w:cs="Calibri"/>
          <w:b/>
          <w:bCs/>
          <w:color w:val="000000" w:themeColor="text1"/>
          <w:szCs w:val="24"/>
        </w:rPr>
      </w:pPr>
      <w:r w:rsidRPr="001C58C6">
        <w:rPr>
          <w:rFonts w:ascii="Calibri" w:eastAsia="Times New Roman" w:hAnsi="Calibri" w:cs="Calibri"/>
          <w:b/>
          <w:bCs/>
          <w:color w:val="000000" w:themeColor="text1"/>
          <w:szCs w:val="24"/>
        </w:rPr>
        <w:lastRenderedPageBreak/>
        <w:t>2.5.   Predviđen dalji razvoj uz pretpostavku da ne bude izmjena već donesenih politika i mjera</w:t>
      </w:r>
    </w:p>
    <w:p w14:paraId="2C3FDED5" w14:textId="77777777" w:rsidR="00D14F76" w:rsidRPr="001C58C6" w:rsidRDefault="00D14F76">
      <w:pPr>
        <w:shd w:val="clear" w:color="auto" w:fill="FFFFFF"/>
        <w:spacing w:before="240" w:after="120" w:line="312" w:lineRule="atLeast"/>
        <w:rPr>
          <w:rFonts w:ascii="Calibri" w:eastAsia="Times New Roman" w:hAnsi="Calibri" w:cs="Calibri"/>
          <w:b/>
          <w:bCs/>
          <w:color w:val="000000" w:themeColor="text1"/>
          <w:szCs w:val="24"/>
        </w:rPr>
      </w:pPr>
      <w:r w:rsidRPr="001C58C6">
        <w:rPr>
          <w:rFonts w:ascii="Calibri" w:eastAsia="Times New Roman" w:hAnsi="Calibri" w:cs="Calibri"/>
          <w:b/>
          <w:bCs/>
          <w:color w:val="000000" w:themeColor="text1"/>
          <w:szCs w:val="24"/>
        </w:rPr>
        <w:t>2.5.1.   </w:t>
      </w:r>
      <w:r w:rsidRPr="001C58C6">
        <w:rPr>
          <w:rFonts w:ascii="Calibri" w:eastAsia="Times New Roman" w:hAnsi="Calibri" w:cs="Calibri"/>
          <w:b/>
          <w:bCs/>
          <w:i/>
          <w:iCs/>
          <w:color w:val="000000" w:themeColor="text1"/>
          <w:szCs w:val="24"/>
        </w:rPr>
        <w:t>Predviđene emisije i smanjenja emisija (projekcije sa mjerama)</w:t>
      </w:r>
    </w:p>
    <w:tbl>
      <w:tblPr>
        <w:tblStyle w:val="GridTable1Light-Accent1"/>
        <w:tblW w:w="5500" w:type="pct"/>
        <w:tblLayout w:type="fixed"/>
        <w:tblLook w:val="04A0" w:firstRow="1" w:lastRow="0" w:firstColumn="1" w:lastColumn="0" w:noHBand="0" w:noVBand="1"/>
      </w:tblPr>
      <w:tblGrid>
        <w:gridCol w:w="1243"/>
        <w:gridCol w:w="934"/>
        <w:gridCol w:w="681"/>
        <w:gridCol w:w="754"/>
        <w:gridCol w:w="754"/>
        <w:gridCol w:w="754"/>
        <w:gridCol w:w="752"/>
        <w:gridCol w:w="752"/>
        <w:gridCol w:w="1735"/>
        <w:gridCol w:w="1559"/>
      </w:tblGrid>
      <w:tr w:rsidR="00D14F76" w:rsidRPr="001C58C6" w14:paraId="02B71EA8" w14:textId="77777777" w:rsidTr="00E95417">
        <w:trPr>
          <w:cnfStyle w:val="100000000000" w:firstRow="1" w:lastRow="0" w:firstColumn="0" w:lastColumn="0" w:oddVBand="0" w:evenVBand="0" w:oddHBand="0" w:evenHBand="0" w:firstRowFirstColumn="0" w:firstRowLastColumn="0" w:lastRowFirstColumn="0" w:lastRowLastColumn="0"/>
          <w:trHeight w:val="2504"/>
        </w:trPr>
        <w:tc>
          <w:tcPr>
            <w:cnfStyle w:val="001000000000" w:firstRow="0" w:lastRow="0" w:firstColumn="1" w:lastColumn="0" w:oddVBand="0" w:evenVBand="0" w:oddHBand="0" w:evenHBand="0" w:firstRowFirstColumn="0" w:firstRowLastColumn="0" w:lastRowFirstColumn="0" w:lastRowLastColumn="0"/>
            <w:tcW w:w="1243" w:type="dxa"/>
            <w:vMerge w:val="restart"/>
          </w:tcPr>
          <w:p w14:paraId="29544F59" w14:textId="77777777" w:rsidR="00D14F76" w:rsidRPr="001C58C6" w:rsidRDefault="00D14F76" w:rsidP="00E95417">
            <w:pPr>
              <w:spacing w:before="60" w:after="60" w:line="312" w:lineRule="atLeast"/>
              <w:ind w:left="-108"/>
              <w:jc w:val="center"/>
              <w:rPr>
                <w:rFonts w:ascii="Calibri" w:eastAsia="Times New Roman" w:hAnsi="Calibri" w:cs="Calibri"/>
                <w:b w:val="0"/>
                <w:bCs w:val="0"/>
                <w:color w:val="000000" w:themeColor="text1"/>
                <w:sz w:val="18"/>
                <w:szCs w:val="18"/>
              </w:rPr>
            </w:pPr>
            <w:r w:rsidRPr="001C58C6">
              <w:rPr>
                <w:rFonts w:ascii="Calibri" w:eastAsia="Times New Roman" w:hAnsi="Calibri" w:cs="Calibri"/>
                <w:color w:val="000000" w:themeColor="text1"/>
                <w:sz w:val="18"/>
                <w:szCs w:val="18"/>
              </w:rPr>
              <w:t>Zagađujuća materija (O)</w:t>
            </w:r>
          </w:p>
        </w:tc>
        <w:tc>
          <w:tcPr>
            <w:tcW w:w="3123" w:type="dxa"/>
            <w:gridSpan w:val="4"/>
          </w:tcPr>
          <w:p w14:paraId="2274C520" w14:textId="77777777" w:rsidR="00D14F76" w:rsidRPr="001C58C6" w:rsidRDefault="00D14F76" w:rsidP="00E95417">
            <w:pPr>
              <w:spacing w:before="60" w:after="60" w:line="312" w:lineRule="atLeast"/>
              <w:ind w:right="7"/>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8"/>
                <w:szCs w:val="18"/>
              </w:rPr>
            </w:pPr>
            <w:r w:rsidRPr="001C58C6">
              <w:rPr>
                <w:rFonts w:ascii="Calibri" w:eastAsia="Times New Roman" w:hAnsi="Calibri" w:cs="Calibri"/>
                <w:color w:val="000000" w:themeColor="text1"/>
                <w:sz w:val="18"/>
                <w:szCs w:val="18"/>
              </w:rPr>
              <w:t>Ukupne emisije (kt), u skladu sa inventarima za godinu x – 2 ili x – 3 (godinu treba navesti) (O)</w:t>
            </w:r>
          </w:p>
        </w:tc>
        <w:tc>
          <w:tcPr>
            <w:tcW w:w="2258" w:type="dxa"/>
            <w:gridSpan w:val="3"/>
          </w:tcPr>
          <w:p w14:paraId="74BB3483" w14:textId="77777777" w:rsidR="00D14F76" w:rsidRPr="001C58C6" w:rsidRDefault="00D14F76" w:rsidP="00E95417">
            <w:pPr>
              <w:spacing w:before="60" w:after="60" w:line="312" w:lineRule="atLeas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8"/>
                <w:szCs w:val="18"/>
              </w:rPr>
            </w:pPr>
            <w:r w:rsidRPr="001C58C6">
              <w:rPr>
                <w:rFonts w:ascii="Calibri" w:eastAsia="Times New Roman" w:hAnsi="Calibri" w:cs="Calibri"/>
                <w:color w:val="000000" w:themeColor="text1"/>
                <w:sz w:val="18"/>
                <w:szCs w:val="18"/>
              </w:rPr>
              <w:t>Ostvaren projektovani procenat (%) smanjenja emisija u poređenju sa 2005. (O)</w:t>
            </w:r>
          </w:p>
        </w:tc>
        <w:tc>
          <w:tcPr>
            <w:tcW w:w="1735" w:type="dxa"/>
            <w:vMerge w:val="restart"/>
          </w:tcPr>
          <w:p w14:paraId="4CDA8844" w14:textId="77777777" w:rsidR="00D14F76" w:rsidRPr="001C58C6" w:rsidRDefault="00D14F76" w:rsidP="00E40401">
            <w:pPr>
              <w:spacing w:before="60" w:after="60" w:line="312" w:lineRule="atLeas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8"/>
                <w:szCs w:val="18"/>
              </w:rPr>
            </w:pPr>
            <w:r w:rsidRPr="001C58C6">
              <w:rPr>
                <w:rFonts w:ascii="Calibri" w:eastAsia="Times New Roman" w:hAnsi="Calibri" w:cs="Calibri"/>
                <w:color w:val="000000" w:themeColor="text1"/>
                <w:sz w:val="18"/>
                <w:szCs w:val="18"/>
              </w:rPr>
              <w:t>Nacionalna obaveza smanjenja emisija za period 2020.–2029. (%) (O)</w:t>
            </w:r>
          </w:p>
        </w:tc>
        <w:tc>
          <w:tcPr>
            <w:tcW w:w="1559" w:type="dxa"/>
            <w:vMerge w:val="restart"/>
          </w:tcPr>
          <w:p w14:paraId="76AA6A26" w14:textId="77777777" w:rsidR="00D14F76" w:rsidRPr="001C58C6" w:rsidRDefault="00D14F76" w:rsidP="00E40401">
            <w:pPr>
              <w:spacing w:before="60" w:after="60" w:line="312" w:lineRule="atLeast"/>
              <w:ind w:left="-106" w:right="-104"/>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8"/>
                <w:szCs w:val="18"/>
              </w:rPr>
            </w:pPr>
            <w:r w:rsidRPr="001C58C6">
              <w:rPr>
                <w:rFonts w:ascii="Calibri" w:eastAsia="Times New Roman" w:hAnsi="Calibri" w:cs="Calibri"/>
                <w:color w:val="000000" w:themeColor="text1"/>
                <w:sz w:val="18"/>
                <w:szCs w:val="18"/>
              </w:rPr>
              <w:t>Nacionalna obaveza smanjenja emisija od 2030. (%) (O)</w:t>
            </w:r>
          </w:p>
        </w:tc>
      </w:tr>
      <w:tr w:rsidR="00D14F76" w:rsidRPr="001C58C6" w14:paraId="28B9B389" w14:textId="77777777" w:rsidTr="00E95417">
        <w:tc>
          <w:tcPr>
            <w:cnfStyle w:val="001000000000" w:firstRow="0" w:lastRow="0" w:firstColumn="1" w:lastColumn="0" w:oddVBand="0" w:evenVBand="0" w:oddHBand="0" w:evenHBand="0" w:firstRowFirstColumn="0" w:firstRowLastColumn="0" w:lastRowFirstColumn="0" w:lastRowLastColumn="0"/>
            <w:tcW w:w="1243" w:type="dxa"/>
            <w:vMerge/>
          </w:tcPr>
          <w:p w14:paraId="461FC768" w14:textId="77777777" w:rsidR="00D14F76" w:rsidRPr="001C58C6" w:rsidRDefault="00D14F76">
            <w:pPr>
              <w:rPr>
                <w:rFonts w:ascii="Calibri" w:eastAsia="Times New Roman" w:hAnsi="Calibri" w:cs="Calibri"/>
                <w:b w:val="0"/>
                <w:bCs w:val="0"/>
                <w:color w:val="000000" w:themeColor="text1"/>
                <w:sz w:val="18"/>
                <w:szCs w:val="18"/>
              </w:rPr>
            </w:pPr>
          </w:p>
        </w:tc>
        <w:tc>
          <w:tcPr>
            <w:tcW w:w="934" w:type="dxa"/>
            <w:vAlign w:val="center"/>
          </w:tcPr>
          <w:p w14:paraId="4C31B959" w14:textId="77777777" w:rsidR="00D14F76" w:rsidRPr="001C58C6" w:rsidRDefault="00D14F76" w:rsidP="00E95417">
            <w:pPr>
              <w:spacing w:before="60" w:after="60" w:line="312" w:lineRule="atLeast"/>
              <w:ind w:left="-128" w:right="-5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eastAsia="Times New Roman" w:hAnsi="Calibri" w:cs="Calibri"/>
                <w:b/>
                <w:bCs/>
                <w:color w:val="000000" w:themeColor="text1"/>
                <w:sz w:val="18"/>
                <w:szCs w:val="18"/>
              </w:rPr>
              <w:t>Bazna godina 2005.</w:t>
            </w:r>
          </w:p>
        </w:tc>
        <w:tc>
          <w:tcPr>
            <w:tcW w:w="681" w:type="dxa"/>
            <w:vAlign w:val="center"/>
          </w:tcPr>
          <w:p w14:paraId="2AA070A3" w14:textId="77777777" w:rsidR="00D14F76" w:rsidRPr="001C58C6" w:rsidRDefault="00D14F76" w:rsidP="00E95417">
            <w:pPr>
              <w:spacing w:before="60" w:after="60" w:line="312" w:lineRule="atLeast"/>
              <w:ind w:left="-108" w:right="-10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eastAsia="Times New Roman" w:hAnsi="Calibri" w:cs="Calibri"/>
                <w:b/>
                <w:bCs/>
                <w:color w:val="000000" w:themeColor="text1"/>
                <w:sz w:val="18"/>
                <w:szCs w:val="18"/>
              </w:rPr>
              <w:t>2020.</w:t>
            </w:r>
          </w:p>
        </w:tc>
        <w:tc>
          <w:tcPr>
            <w:tcW w:w="754" w:type="dxa"/>
            <w:vAlign w:val="center"/>
          </w:tcPr>
          <w:p w14:paraId="680DE6DE" w14:textId="77777777" w:rsidR="00D14F76" w:rsidRPr="001C58C6" w:rsidRDefault="00D14F76" w:rsidP="00E95417">
            <w:pPr>
              <w:spacing w:before="60" w:after="60" w:line="312" w:lineRule="atLeast"/>
              <w:ind w:right="-3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eastAsia="Times New Roman" w:hAnsi="Calibri" w:cs="Calibri"/>
                <w:b/>
                <w:bCs/>
                <w:color w:val="000000" w:themeColor="text1"/>
                <w:sz w:val="18"/>
                <w:szCs w:val="18"/>
              </w:rPr>
              <w:t>2025.</w:t>
            </w:r>
          </w:p>
        </w:tc>
        <w:tc>
          <w:tcPr>
            <w:tcW w:w="754" w:type="dxa"/>
            <w:vAlign w:val="center"/>
          </w:tcPr>
          <w:p w14:paraId="785EC1B0" w14:textId="77777777" w:rsidR="00D14F76" w:rsidRPr="001C58C6" w:rsidRDefault="00D14F76" w:rsidP="00E95417">
            <w:pPr>
              <w:spacing w:before="60" w:after="60" w:line="312" w:lineRule="atLeast"/>
              <w:ind w:hanging="36"/>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eastAsia="Times New Roman" w:hAnsi="Calibri" w:cs="Calibri"/>
                <w:b/>
                <w:bCs/>
                <w:color w:val="000000" w:themeColor="text1"/>
                <w:sz w:val="18"/>
                <w:szCs w:val="18"/>
              </w:rPr>
              <w:t>2030.</w:t>
            </w:r>
          </w:p>
        </w:tc>
        <w:tc>
          <w:tcPr>
            <w:tcW w:w="754" w:type="dxa"/>
            <w:vAlign w:val="center"/>
          </w:tcPr>
          <w:p w14:paraId="6639847B" w14:textId="77777777" w:rsidR="00D14F76" w:rsidRPr="001C58C6" w:rsidRDefault="00D14F76" w:rsidP="00E95417">
            <w:pPr>
              <w:spacing w:before="60" w:after="60" w:line="312" w:lineRule="atLeast"/>
              <w:ind w:right="-37"/>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eastAsia="Times New Roman" w:hAnsi="Calibri" w:cs="Calibri"/>
                <w:b/>
                <w:bCs/>
                <w:color w:val="000000" w:themeColor="text1"/>
                <w:sz w:val="18"/>
                <w:szCs w:val="18"/>
              </w:rPr>
              <w:t>2020.</w:t>
            </w:r>
          </w:p>
        </w:tc>
        <w:tc>
          <w:tcPr>
            <w:tcW w:w="752" w:type="dxa"/>
            <w:vAlign w:val="center"/>
          </w:tcPr>
          <w:p w14:paraId="479C5327" w14:textId="77777777" w:rsidR="00D14F76" w:rsidRPr="001C58C6" w:rsidRDefault="00D14F76" w:rsidP="00E95417">
            <w:pPr>
              <w:spacing w:before="60" w:after="6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eastAsia="Times New Roman" w:hAnsi="Calibri" w:cs="Calibri"/>
                <w:b/>
                <w:bCs/>
                <w:color w:val="000000" w:themeColor="text1"/>
                <w:sz w:val="18"/>
                <w:szCs w:val="18"/>
              </w:rPr>
              <w:t>2025.</w:t>
            </w:r>
          </w:p>
        </w:tc>
        <w:tc>
          <w:tcPr>
            <w:tcW w:w="752" w:type="dxa"/>
            <w:vAlign w:val="center"/>
          </w:tcPr>
          <w:p w14:paraId="532ECB4B" w14:textId="77777777" w:rsidR="00D14F76" w:rsidRPr="001C58C6" w:rsidRDefault="00D14F76" w:rsidP="00E95417">
            <w:pPr>
              <w:spacing w:before="60" w:after="60" w:line="312" w:lineRule="atLeast"/>
              <w:ind w:right="-4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eastAsia="Times New Roman" w:hAnsi="Calibri" w:cs="Calibri"/>
                <w:b/>
                <w:bCs/>
                <w:color w:val="000000" w:themeColor="text1"/>
                <w:sz w:val="18"/>
                <w:szCs w:val="18"/>
              </w:rPr>
              <w:t>2030.</w:t>
            </w:r>
          </w:p>
        </w:tc>
        <w:tc>
          <w:tcPr>
            <w:tcW w:w="1735" w:type="dxa"/>
            <w:vMerge/>
          </w:tcPr>
          <w:p w14:paraId="4539EB11"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p>
        </w:tc>
        <w:tc>
          <w:tcPr>
            <w:tcW w:w="1559" w:type="dxa"/>
            <w:vMerge/>
          </w:tcPr>
          <w:p w14:paraId="59FBB774" w14:textId="77777777" w:rsidR="00D14F76" w:rsidRPr="001C58C6" w:rsidRDefault="00D14F76" w:rsidP="00E404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p>
        </w:tc>
      </w:tr>
      <w:tr w:rsidR="00D14F76" w:rsidRPr="001C58C6" w14:paraId="3489FFD5" w14:textId="77777777" w:rsidTr="00E95417">
        <w:tc>
          <w:tcPr>
            <w:cnfStyle w:val="001000000000" w:firstRow="0" w:lastRow="0" w:firstColumn="1" w:lastColumn="0" w:oddVBand="0" w:evenVBand="0" w:oddHBand="0" w:evenHBand="0" w:firstRowFirstColumn="0" w:firstRowLastColumn="0" w:lastRowFirstColumn="0" w:lastRowLastColumn="0"/>
            <w:tcW w:w="1243" w:type="dxa"/>
          </w:tcPr>
          <w:p w14:paraId="772952CD" w14:textId="77777777" w:rsidR="00D14F76" w:rsidRPr="001C58C6" w:rsidRDefault="00D14F76">
            <w:pPr>
              <w:spacing w:before="60" w:after="60" w:line="312" w:lineRule="atLeast"/>
              <w:jc w:val="center"/>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SO₂</w:t>
            </w:r>
          </w:p>
        </w:tc>
        <w:tc>
          <w:tcPr>
            <w:tcW w:w="934" w:type="dxa"/>
          </w:tcPr>
          <w:p w14:paraId="075A7FFB" w14:textId="77777777" w:rsidR="00D14F76" w:rsidRPr="001C58C6" w:rsidRDefault="00D14F76" w:rsidP="00E40401">
            <w:pPr>
              <w:spacing w:before="120" w:line="312" w:lineRule="atLeast"/>
              <w:ind w:left="-12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45,19</w:t>
            </w:r>
          </w:p>
        </w:tc>
        <w:tc>
          <w:tcPr>
            <w:tcW w:w="681" w:type="dxa"/>
          </w:tcPr>
          <w:p w14:paraId="35EC7D40" w14:textId="77777777" w:rsidR="00D14F76" w:rsidRPr="001C58C6" w:rsidRDefault="00D14F76" w:rsidP="00E40401">
            <w:pPr>
              <w:spacing w:before="120" w:line="312" w:lineRule="atLeast"/>
              <w:ind w:left="-108" w:right="-10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66,16</w:t>
            </w:r>
          </w:p>
        </w:tc>
        <w:tc>
          <w:tcPr>
            <w:tcW w:w="754" w:type="dxa"/>
          </w:tcPr>
          <w:p w14:paraId="4C8DDB83" w14:textId="77777777" w:rsidR="00D14F76" w:rsidRPr="001C58C6" w:rsidRDefault="00D14F76" w:rsidP="00E40401">
            <w:pPr>
              <w:spacing w:before="120" w:line="312" w:lineRule="atLeast"/>
              <w:ind w:right="-3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19,67</w:t>
            </w:r>
          </w:p>
        </w:tc>
        <w:tc>
          <w:tcPr>
            <w:tcW w:w="754" w:type="dxa"/>
          </w:tcPr>
          <w:p w14:paraId="792B1391" w14:textId="77777777" w:rsidR="00D14F76" w:rsidRPr="001C58C6" w:rsidRDefault="00D14F76" w:rsidP="00E40401">
            <w:pPr>
              <w:spacing w:before="120" w:line="312" w:lineRule="atLeast"/>
              <w:ind w:hanging="36"/>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6,21</w:t>
            </w:r>
          </w:p>
        </w:tc>
        <w:tc>
          <w:tcPr>
            <w:tcW w:w="754" w:type="dxa"/>
          </w:tcPr>
          <w:p w14:paraId="049A9FDC" w14:textId="77777777" w:rsidR="00D14F76" w:rsidRPr="001C58C6" w:rsidRDefault="00D14F76" w:rsidP="00E40401">
            <w:pPr>
              <w:spacing w:before="120" w:line="312" w:lineRule="atLeast"/>
              <w:ind w:right="-37"/>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+47</w:t>
            </w:r>
          </w:p>
        </w:tc>
        <w:tc>
          <w:tcPr>
            <w:tcW w:w="752" w:type="dxa"/>
          </w:tcPr>
          <w:p w14:paraId="3AF369E7" w14:textId="77777777" w:rsidR="00D14F76" w:rsidRPr="001C58C6" w:rsidRDefault="00D14F76" w:rsidP="00E40401">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−56</w:t>
            </w:r>
          </w:p>
        </w:tc>
        <w:tc>
          <w:tcPr>
            <w:tcW w:w="752" w:type="dxa"/>
          </w:tcPr>
          <w:p w14:paraId="2732987D" w14:textId="77777777" w:rsidR="00D14F76" w:rsidRPr="001C58C6" w:rsidRDefault="00D14F76" w:rsidP="00E40401">
            <w:pPr>
              <w:spacing w:before="120" w:line="312" w:lineRule="atLeast"/>
              <w:ind w:right="-4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−86</w:t>
            </w:r>
          </w:p>
        </w:tc>
        <w:tc>
          <w:tcPr>
            <w:tcW w:w="1735" w:type="dxa"/>
          </w:tcPr>
          <w:p w14:paraId="5B10B785" w14:textId="77777777" w:rsidR="00D14F76" w:rsidRPr="001C58C6" w:rsidRDefault="00D14F76">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−60</w:t>
            </w:r>
          </w:p>
        </w:tc>
        <w:tc>
          <w:tcPr>
            <w:tcW w:w="1559" w:type="dxa"/>
          </w:tcPr>
          <w:p w14:paraId="2B5D476E" w14:textId="77777777" w:rsidR="00D14F76" w:rsidRPr="001C58C6" w:rsidRDefault="00D14F76" w:rsidP="00E40401">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−70</w:t>
            </w:r>
          </w:p>
        </w:tc>
      </w:tr>
      <w:tr w:rsidR="00D14F76" w:rsidRPr="001C58C6" w14:paraId="6D594EEB" w14:textId="77777777" w:rsidTr="00E95417">
        <w:tc>
          <w:tcPr>
            <w:cnfStyle w:val="001000000000" w:firstRow="0" w:lastRow="0" w:firstColumn="1" w:lastColumn="0" w:oddVBand="0" w:evenVBand="0" w:oddHBand="0" w:evenHBand="0" w:firstRowFirstColumn="0" w:firstRowLastColumn="0" w:lastRowFirstColumn="0" w:lastRowLastColumn="0"/>
            <w:tcW w:w="1243" w:type="dxa"/>
          </w:tcPr>
          <w:p w14:paraId="2D28630D" w14:textId="77777777" w:rsidR="00D14F76" w:rsidRPr="001C58C6" w:rsidRDefault="00D14F76">
            <w:pPr>
              <w:spacing w:before="60" w:after="60" w:line="312" w:lineRule="atLeast"/>
              <w:jc w:val="center"/>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NOₓ</w:t>
            </w:r>
          </w:p>
        </w:tc>
        <w:tc>
          <w:tcPr>
            <w:tcW w:w="934" w:type="dxa"/>
          </w:tcPr>
          <w:p w14:paraId="016CA6F1" w14:textId="77777777" w:rsidR="00D14F76" w:rsidRPr="001C58C6" w:rsidRDefault="00D14F76" w:rsidP="00E40401">
            <w:pPr>
              <w:spacing w:before="120" w:line="312" w:lineRule="atLeast"/>
              <w:ind w:left="-12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11,36</w:t>
            </w:r>
          </w:p>
        </w:tc>
        <w:tc>
          <w:tcPr>
            <w:tcW w:w="681" w:type="dxa"/>
          </w:tcPr>
          <w:p w14:paraId="404D2E63" w14:textId="77777777" w:rsidR="00D14F76" w:rsidRPr="001C58C6" w:rsidRDefault="00D14F76" w:rsidP="00E40401">
            <w:pPr>
              <w:spacing w:before="120" w:line="312" w:lineRule="atLeast"/>
              <w:ind w:left="-108" w:right="-10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15,52</w:t>
            </w:r>
          </w:p>
        </w:tc>
        <w:tc>
          <w:tcPr>
            <w:tcW w:w="754" w:type="dxa"/>
          </w:tcPr>
          <w:p w14:paraId="6BF966B4" w14:textId="77777777" w:rsidR="00D14F76" w:rsidRPr="001C58C6" w:rsidRDefault="00D14F76" w:rsidP="00E40401">
            <w:pPr>
              <w:spacing w:before="120" w:line="312" w:lineRule="atLeast"/>
              <w:ind w:right="-3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8,49</w:t>
            </w:r>
          </w:p>
        </w:tc>
        <w:tc>
          <w:tcPr>
            <w:tcW w:w="754" w:type="dxa"/>
          </w:tcPr>
          <w:p w14:paraId="59E5EB6B" w14:textId="77777777" w:rsidR="00D14F76" w:rsidRPr="001C58C6" w:rsidRDefault="00D14F76" w:rsidP="00E40401">
            <w:pPr>
              <w:spacing w:before="120" w:line="312" w:lineRule="atLeast"/>
              <w:ind w:hanging="36"/>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10,54</w:t>
            </w:r>
          </w:p>
        </w:tc>
        <w:tc>
          <w:tcPr>
            <w:tcW w:w="754" w:type="dxa"/>
          </w:tcPr>
          <w:p w14:paraId="64855497" w14:textId="77777777" w:rsidR="00D14F76" w:rsidRPr="001C58C6" w:rsidRDefault="00D14F76" w:rsidP="00E40401">
            <w:pPr>
              <w:spacing w:before="120" w:line="312" w:lineRule="atLeast"/>
              <w:ind w:right="-37"/>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+37</w:t>
            </w:r>
          </w:p>
        </w:tc>
        <w:tc>
          <w:tcPr>
            <w:tcW w:w="752" w:type="dxa"/>
          </w:tcPr>
          <w:p w14:paraId="6A0B1432" w14:textId="77777777" w:rsidR="00D14F76" w:rsidRPr="001C58C6" w:rsidRDefault="00D14F76" w:rsidP="00E40401">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−25</w:t>
            </w:r>
          </w:p>
        </w:tc>
        <w:tc>
          <w:tcPr>
            <w:tcW w:w="752" w:type="dxa"/>
          </w:tcPr>
          <w:p w14:paraId="4612BF38" w14:textId="77777777" w:rsidR="00D14F76" w:rsidRPr="001C58C6" w:rsidRDefault="00D14F76" w:rsidP="00E40401">
            <w:pPr>
              <w:spacing w:before="120" w:line="312" w:lineRule="atLeast"/>
              <w:ind w:right="-4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−7</w:t>
            </w:r>
          </w:p>
        </w:tc>
        <w:tc>
          <w:tcPr>
            <w:tcW w:w="1735" w:type="dxa"/>
          </w:tcPr>
          <w:p w14:paraId="583EA740" w14:textId="77777777" w:rsidR="00D14F76" w:rsidRPr="001C58C6" w:rsidRDefault="00D14F76">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−25</w:t>
            </w:r>
          </w:p>
        </w:tc>
        <w:tc>
          <w:tcPr>
            <w:tcW w:w="1559" w:type="dxa"/>
          </w:tcPr>
          <w:p w14:paraId="76A32F45" w14:textId="77777777" w:rsidR="00D14F76" w:rsidRPr="001C58C6" w:rsidRDefault="00D14F76" w:rsidP="00E40401">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−55</w:t>
            </w:r>
          </w:p>
        </w:tc>
      </w:tr>
      <w:tr w:rsidR="00D14F76" w:rsidRPr="001C58C6" w14:paraId="45FA4C02" w14:textId="77777777" w:rsidTr="00E95417">
        <w:tc>
          <w:tcPr>
            <w:cnfStyle w:val="001000000000" w:firstRow="0" w:lastRow="0" w:firstColumn="1" w:lastColumn="0" w:oddVBand="0" w:evenVBand="0" w:oddHBand="0" w:evenHBand="0" w:firstRowFirstColumn="0" w:firstRowLastColumn="0" w:lastRowFirstColumn="0" w:lastRowLastColumn="0"/>
            <w:tcW w:w="1243" w:type="dxa"/>
          </w:tcPr>
          <w:p w14:paraId="16357A18" w14:textId="77777777" w:rsidR="00D14F76" w:rsidRPr="001C58C6" w:rsidRDefault="00D14F76">
            <w:pPr>
              <w:spacing w:before="60" w:after="60" w:line="312" w:lineRule="atLeast"/>
              <w:jc w:val="center"/>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NMVOC</w:t>
            </w:r>
          </w:p>
        </w:tc>
        <w:tc>
          <w:tcPr>
            <w:tcW w:w="934" w:type="dxa"/>
          </w:tcPr>
          <w:p w14:paraId="1C99B3C7" w14:textId="77777777" w:rsidR="00D14F76" w:rsidRPr="001C58C6" w:rsidRDefault="00D14F76" w:rsidP="00E40401">
            <w:pPr>
              <w:spacing w:before="120" w:line="312" w:lineRule="atLeast"/>
              <w:ind w:left="-12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9,59</w:t>
            </w:r>
          </w:p>
        </w:tc>
        <w:tc>
          <w:tcPr>
            <w:tcW w:w="681" w:type="dxa"/>
          </w:tcPr>
          <w:p w14:paraId="4F929097" w14:textId="77777777" w:rsidR="00D14F76" w:rsidRPr="001C58C6" w:rsidRDefault="00D14F76" w:rsidP="00E40401">
            <w:pPr>
              <w:spacing w:before="120" w:line="312" w:lineRule="atLeast"/>
              <w:ind w:left="-108" w:right="-10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10,01</w:t>
            </w:r>
          </w:p>
        </w:tc>
        <w:tc>
          <w:tcPr>
            <w:tcW w:w="754" w:type="dxa"/>
          </w:tcPr>
          <w:p w14:paraId="44C1CCA5" w14:textId="77777777" w:rsidR="00D14F76" w:rsidRPr="001C58C6" w:rsidRDefault="00D14F76" w:rsidP="00E40401">
            <w:pPr>
              <w:spacing w:before="120" w:line="312" w:lineRule="atLeast"/>
              <w:ind w:right="-3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9,52</w:t>
            </w:r>
          </w:p>
        </w:tc>
        <w:tc>
          <w:tcPr>
            <w:tcW w:w="754" w:type="dxa"/>
          </w:tcPr>
          <w:p w14:paraId="59D49CF9" w14:textId="77777777" w:rsidR="00D14F76" w:rsidRPr="001C58C6" w:rsidRDefault="00D14F76" w:rsidP="00E40401">
            <w:pPr>
              <w:spacing w:before="120" w:line="312" w:lineRule="atLeast"/>
              <w:ind w:hanging="36"/>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8,81</w:t>
            </w:r>
          </w:p>
        </w:tc>
        <w:tc>
          <w:tcPr>
            <w:tcW w:w="754" w:type="dxa"/>
          </w:tcPr>
          <w:p w14:paraId="4C96DDCA" w14:textId="77777777" w:rsidR="00D14F76" w:rsidRPr="001C58C6" w:rsidRDefault="00D14F76" w:rsidP="00E40401">
            <w:pPr>
              <w:spacing w:before="120" w:line="312" w:lineRule="atLeast"/>
              <w:ind w:right="-37"/>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+ 4</w:t>
            </w:r>
          </w:p>
        </w:tc>
        <w:tc>
          <w:tcPr>
            <w:tcW w:w="752" w:type="dxa"/>
          </w:tcPr>
          <w:p w14:paraId="52C76659" w14:textId="77777777" w:rsidR="00D14F76" w:rsidRPr="001C58C6" w:rsidRDefault="00D14F76" w:rsidP="00E40401">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−1</w:t>
            </w:r>
          </w:p>
        </w:tc>
        <w:tc>
          <w:tcPr>
            <w:tcW w:w="752" w:type="dxa"/>
          </w:tcPr>
          <w:p w14:paraId="46AE479D" w14:textId="77777777" w:rsidR="00D14F76" w:rsidRPr="001C58C6" w:rsidRDefault="00D14F76" w:rsidP="00E40401">
            <w:pPr>
              <w:spacing w:before="120" w:line="312" w:lineRule="atLeast"/>
              <w:ind w:right="-4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−8</w:t>
            </w:r>
          </w:p>
        </w:tc>
        <w:tc>
          <w:tcPr>
            <w:tcW w:w="1735" w:type="dxa"/>
          </w:tcPr>
          <w:p w14:paraId="26FE1F5D" w14:textId="77777777" w:rsidR="00D14F76" w:rsidRPr="001C58C6" w:rsidRDefault="00D14F76">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−10</w:t>
            </w:r>
          </w:p>
        </w:tc>
        <w:tc>
          <w:tcPr>
            <w:tcW w:w="1559" w:type="dxa"/>
          </w:tcPr>
          <w:p w14:paraId="7E05F7A4" w14:textId="77777777" w:rsidR="00D14F76" w:rsidRPr="001C58C6" w:rsidRDefault="00D14F76" w:rsidP="00E40401">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−20</w:t>
            </w:r>
          </w:p>
        </w:tc>
      </w:tr>
      <w:tr w:rsidR="00D14F76" w:rsidRPr="001C58C6" w14:paraId="68518FCE" w14:textId="77777777" w:rsidTr="00E95417">
        <w:tc>
          <w:tcPr>
            <w:cnfStyle w:val="001000000000" w:firstRow="0" w:lastRow="0" w:firstColumn="1" w:lastColumn="0" w:oddVBand="0" w:evenVBand="0" w:oddHBand="0" w:evenHBand="0" w:firstRowFirstColumn="0" w:firstRowLastColumn="0" w:lastRowFirstColumn="0" w:lastRowLastColumn="0"/>
            <w:tcW w:w="1243" w:type="dxa"/>
          </w:tcPr>
          <w:p w14:paraId="2E42C544" w14:textId="77777777" w:rsidR="00D14F76" w:rsidRPr="001C58C6" w:rsidRDefault="00D14F76">
            <w:pPr>
              <w:spacing w:before="60" w:after="60" w:line="312" w:lineRule="atLeast"/>
              <w:jc w:val="center"/>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NH₃</w:t>
            </w:r>
          </w:p>
        </w:tc>
        <w:tc>
          <w:tcPr>
            <w:tcW w:w="934" w:type="dxa"/>
          </w:tcPr>
          <w:p w14:paraId="529681B1" w14:textId="77777777" w:rsidR="00D14F76" w:rsidRPr="001C58C6" w:rsidRDefault="00D14F76" w:rsidP="00E40401">
            <w:pPr>
              <w:spacing w:before="120" w:line="312" w:lineRule="atLeast"/>
              <w:ind w:left="-12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4,22</w:t>
            </w:r>
          </w:p>
        </w:tc>
        <w:tc>
          <w:tcPr>
            <w:tcW w:w="681" w:type="dxa"/>
          </w:tcPr>
          <w:p w14:paraId="72FA41C8" w14:textId="77777777" w:rsidR="00D14F76" w:rsidRPr="001C58C6" w:rsidRDefault="00D14F76" w:rsidP="00E40401">
            <w:pPr>
              <w:spacing w:before="120" w:line="312" w:lineRule="atLeast"/>
              <w:ind w:left="-108" w:right="-10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3,15</w:t>
            </w:r>
          </w:p>
        </w:tc>
        <w:tc>
          <w:tcPr>
            <w:tcW w:w="754" w:type="dxa"/>
          </w:tcPr>
          <w:p w14:paraId="05BA97BC" w14:textId="77777777" w:rsidR="00D14F76" w:rsidRPr="001C58C6" w:rsidRDefault="00D14F76" w:rsidP="00E40401">
            <w:pPr>
              <w:spacing w:before="120" w:line="312" w:lineRule="atLeast"/>
              <w:ind w:right="-3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2,98</w:t>
            </w:r>
          </w:p>
        </w:tc>
        <w:tc>
          <w:tcPr>
            <w:tcW w:w="754" w:type="dxa"/>
          </w:tcPr>
          <w:p w14:paraId="625BC75C" w14:textId="77777777" w:rsidR="00D14F76" w:rsidRPr="001C58C6" w:rsidRDefault="00D14F76" w:rsidP="00E40401">
            <w:pPr>
              <w:spacing w:before="120" w:line="312" w:lineRule="atLeast"/>
              <w:ind w:hanging="36"/>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2,88</w:t>
            </w:r>
          </w:p>
        </w:tc>
        <w:tc>
          <w:tcPr>
            <w:tcW w:w="754" w:type="dxa"/>
          </w:tcPr>
          <w:p w14:paraId="75FBF9DF" w14:textId="77777777" w:rsidR="00D14F76" w:rsidRPr="001C58C6" w:rsidRDefault="00D14F76" w:rsidP="00E40401">
            <w:pPr>
              <w:spacing w:before="120" w:line="312" w:lineRule="atLeast"/>
              <w:ind w:right="-37"/>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- 25</w:t>
            </w:r>
          </w:p>
        </w:tc>
        <w:tc>
          <w:tcPr>
            <w:tcW w:w="752" w:type="dxa"/>
          </w:tcPr>
          <w:p w14:paraId="5EADDDF7" w14:textId="77777777" w:rsidR="00D14F76" w:rsidRPr="001C58C6" w:rsidRDefault="00D14F76" w:rsidP="00E40401">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−29</w:t>
            </w:r>
          </w:p>
        </w:tc>
        <w:tc>
          <w:tcPr>
            <w:tcW w:w="752" w:type="dxa"/>
          </w:tcPr>
          <w:p w14:paraId="4F29339B" w14:textId="77777777" w:rsidR="00D14F76" w:rsidRPr="001C58C6" w:rsidRDefault="00D14F76" w:rsidP="00E40401">
            <w:pPr>
              <w:spacing w:before="120" w:line="312" w:lineRule="atLeast"/>
              <w:ind w:right="-4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−32</w:t>
            </w:r>
          </w:p>
        </w:tc>
        <w:tc>
          <w:tcPr>
            <w:tcW w:w="1735" w:type="dxa"/>
          </w:tcPr>
          <w:p w14:paraId="7AADAA34" w14:textId="77777777" w:rsidR="00D14F76" w:rsidRPr="001C58C6" w:rsidRDefault="00D14F76">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−25</w:t>
            </w:r>
          </w:p>
        </w:tc>
        <w:tc>
          <w:tcPr>
            <w:tcW w:w="1559" w:type="dxa"/>
          </w:tcPr>
          <w:p w14:paraId="7367987B" w14:textId="77777777" w:rsidR="00D14F76" w:rsidRPr="001C58C6" w:rsidRDefault="00D14F76" w:rsidP="00E40401">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−30</w:t>
            </w:r>
          </w:p>
        </w:tc>
      </w:tr>
      <w:tr w:rsidR="00D14F76" w:rsidRPr="001C58C6" w14:paraId="73FF6EB9" w14:textId="77777777" w:rsidTr="00E95417">
        <w:tc>
          <w:tcPr>
            <w:cnfStyle w:val="001000000000" w:firstRow="0" w:lastRow="0" w:firstColumn="1" w:lastColumn="0" w:oddVBand="0" w:evenVBand="0" w:oddHBand="0" w:evenHBand="0" w:firstRowFirstColumn="0" w:firstRowLastColumn="0" w:lastRowFirstColumn="0" w:lastRowLastColumn="0"/>
            <w:tcW w:w="1243" w:type="dxa"/>
          </w:tcPr>
          <w:p w14:paraId="1C06CC0C" w14:textId="77777777" w:rsidR="00D14F76" w:rsidRPr="001C58C6" w:rsidRDefault="00D14F76">
            <w:pPr>
              <w:spacing w:before="60" w:after="60" w:line="312" w:lineRule="atLeast"/>
              <w:jc w:val="center"/>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PM₂</w:t>
            </w:r>
            <w:r w:rsidRPr="001C58C6">
              <w:rPr>
                <w:rFonts w:ascii="Calibri" w:eastAsia="MS Gothic" w:hAnsi="Calibri" w:cs="Calibri"/>
                <w:color w:val="000000" w:themeColor="text1"/>
                <w:sz w:val="18"/>
                <w:szCs w:val="18"/>
              </w:rPr>
              <w:t>․</w:t>
            </w:r>
            <w:r w:rsidRPr="001C58C6">
              <w:rPr>
                <w:rFonts w:ascii="Calibri" w:hAnsi="Calibri" w:cs="Calibri"/>
                <w:color w:val="000000" w:themeColor="text1"/>
                <w:sz w:val="18"/>
                <w:szCs w:val="18"/>
              </w:rPr>
              <w:t>₅</w:t>
            </w:r>
          </w:p>
        </w:tc>
        <w:tc>
          <w:tcPr>
            <w:tcW w:w="934" w:type="dxa"/>
          </w:tcPr>
          <w:p w14:paraId="4BCEA5A6" w14:textId="77777777" w:rsidR="00D14F76" w:rsidRPr="001C58C6" w:rsidRDefault="00D14F76" w:rsidP="00E40401">
            <w:pPr>
              <w:spacing w:before="120" w:line="312" w:lineRule="atLeast"/>
              <w:ind w:left="-12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4,97</w:t>
            </w:r>
          </w:p>
        </w:tc>
        <w:tc>
          <w:tcPr>
            <w:tcW w:w="681" w:type="dxa"/>
          </w:tcPr>
          <w:p w14:paraId="51B5C179" w14:textId="77777777" w:rsidR="00D14F76" w:rsidRPr="001C58C6" w:rsidRDefault="00D14F76" w:rsidP="00E40401">
            <w:pPr>
              <w:spacing w:before="120" w:line="312" w:lineRule="atLeast"/>
              <w:ind w:left="-108" w:right="-10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6,06</w:t>
            </w:r>
          </w:p>
        </w:tc>
        <w:tc>
          <w:tcPr>
            <w:tcW w:w="754" w:type="dxa"/>
          </w:tcPr>
          <w:p w14:paraId="44CC1593" w14:textId="77777777" w:rsidR="00D14F76" w:rsidRPr="001C58C6" w:rsidRDefault="00D14F76" w:rsidP="00E40401">
            <w:pPr>
              <w:spacing w:before="120" w:line="312" w:lineRule="atLeast"/>
              <w:ind w:right="-3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5,51</w:t>
            </w:r>
          </w:p>
        </w:tc>
        <w:tc>
          <w:tcPr>
            <w:tcW w:w="754" w:type="dxa"/>
          </w:tcPr>
          <w:p w14:paraId="64648157" w14:textId="77777777" w:rsidR="00D14F76" w:rsidRPr="001C58C6" w:rsidRDefault="00D14F76" w:rsidP="00E40401">
            <w:pPr>
              <w:spacing w:before="120" w:line="312" w:lineRule="atLeast"/>
              <w:ind w:hanging="36"/>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4,96</w:t>
            </w:r>
          </w:p>
        </w:tc>
        <w:tc>
          <w:tcPr>
            <w:tcW w:w="754" w:type="dxa"/>
          </w:tcPr>
          <w:p w14:paraId="7EC2D7BE" w14:textId="77777777" w:rsidR="00D14F76" w:rsidRPr="001C58C6" w:rsidRDefault="00D14F76" w:rsidP="00E40401">
            <w:pPr>
              <w:spacing w:before="120" w:line="312" w:lineRule="atLeast"/>
              <w:ind w:right="-37"/>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+ 22</w:t>
            </w:r>
          </w:p>
        </w:tc>
        <w:tc>
          <w:tcPr>
            <w:tcW w:w="752" w:type="dxa"/>
          </w:tcPr>
          <w:p w14:paraId="13DB9EDE" w14:textId="77777777" w:rsidR="00D14F76" w:rsidRPr="001C58C6" w:rsidRDefault="00D14F76" w:rsidP="00E40401">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+11</w:t>
            </w:r>
          </w:p>
        </w:tc>
        <w:tc>
          <w:tcPr>
            <w:tcW w:w="752" w:type="dxa"/>
          </w:tcPr>
          <w:p w14:paraId="6B6A7473" w14:textId="77777777" w:rsidR="00D14F76" w:rsidRPr="001C58C6" w:rsidRDefault="00D14F76" w:rsidP="00E40401">
            <w:pPr>
              <w:spacing w:before="120" w:line="312" w:lineRule="atLeast"/>
              <w:ind w:right="-4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0</w:t>
            </w:r>
          </w:p>
        </w:tc>
        <w:tc>
          <w:tcPr>
            <w:tcW w:w="1735" w:type="dxa"/>
          </w:tcPr>
          <w:p w14:paraId="6E025CC1" w14:textId="77777777" w:rsidR="00D14F76" w:rsidRPr="001C58C6" w:rsidRDefault="00D14F76">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−5</w:t>
            </w:r>
          </w:p>
        </w:tc>
        <w:tc>
          <w:tcPr>
            <w:tcW w:w="1559" w:type="dxa"/>
          </w:tcPr>
          <w:p w14:paraId="6BAD576A" w14:textId="77777777" w:rsidR="00D14F76" w:rsidRPr="001C58C6" w:rsidRDefault="00D14F76" w:rsidP="00E40401">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−20</w:t>
            </w:r>
          </w:p>
        </w:tc>
      </w:tr>
      <w:tr w:rsidR="00D14F76" w:rsidRPr="001C58C6" w14:paraId="0D5DC20B" w14:textId="77777777" w:rsidTr="00E95417">
        <w:tc>
          <w:tcPr>
            <w:cnfStyle w:val="001000000000" w:firstRow="0" w:lastRow="0" w:firstColumn="1" w:lastColumn="0" w:oddVBand="0" w:evenVBand="0" w:oddHBand="0" w:evenHBand="0" w:firstRowFirstColumn="0" w:firstRowLastColumn="0" w:lastRowFirstColumn="0" w:lastRowLastColumn="0"/>
            <w:tcW w:w="4366" w:type="dxa"/>
            <w:gridSpan w:val="5"/>
          </w:tcPr>
          <w:p w14:paraId="29479ABB" w14:textId="30F8C3F2" w:rsidR="00D14F76" w:rsidRPr="001C58C6" w:rsidRDefault="00D14F76">
            <w:pPr>
              <w:spacing w:before="60" w:after="60" w:line="312" w:lineRule="atLeast"/>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Navedite nepouzdanosti povezane sa </w:t>
            </w:r>
            <w:r w:rsidR="00C7424E">
              <w:rPr>
                <w:rFonts w:ascii="Calibri" w:eastAsia="Times New Roman" w:hAnsi="Calibri" w:cs="Calibri"/>
                <w:color w:val="000000" w:themeColor="text1"/>
                <w:sz w:val="18"/>
                <w:szCs w:val="18"/>
              </w:rPr>
              <w:t>projekcijama</w:t>
            </w:r>
            <w:r w:rsidRPr="001C58C6">
              <w:rPr>
                <w:rFonts w:ascii="Calibri" w:eastAsia="Times New Roman" w:hAnsi="Calibri" w:cs="Calibri"/>
                <w:color w:val="000000" w:themeColor="text1"/>
                <w:sz w:val="18"/>
                <w:szCs w:val="18"/>
              </w:rPr>
              <w:t xml:space="preserve"> (sa mjerama) za ostvarenje obaveza smanjenja emisija za 2020., 2025. i nakon 2030. (N)</w:t>
            </w:r>
          </w:p>
        </w:tc>
        <w:tc>
          <w:tcPr>
            <w:tcW w:w="5552" w:type="dxa"/>
            <w:gridSpan w:val="5"/>
          </w:tcPr>
          <w:p w14:paraId="3B07C496"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Procijenjeni nivo nepouzdanosti projekcija iznosi približno ±15–30%, u zavisnosti od zagađujuće materije i sektora.</w:t>
            </w:r>
          </w:p>
          <w:p w14:paraId="340D815D"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Glavni izvori nepouzdanosti su:</w:t>
            </w:r>
          </w:p>
          <w:p w14:paraId="0528A295" w14:textId="77777777" w:rsidR="00D14F76" w:rsidRPr="001C58C6" w:rsidRDefault="00D14F76" w:rsidP="00E53052">
            <w:pPr>
              <w:pStyle w:val="ListParagraph"/>
              <w:numPr>
                <w:ilvl w:val="0"/>
                <w:numId w:val="90"/>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nepoznata dinamika ekonomskog i demografskog rasta,</w:t>
            </w:r>
          </w:p>
          <w:p w14:paraId="02F1E0C9" w14:textId="77777777" w:rsidR="00D14F76" w:rsidRPr="001C58C6" w:rsidRDefault="00D14F76" w:rsidP="00E53052">
            <w:pPr>
              <w:pStyle w:val="ListParagraph"/>
              <w:numPr>
                <w:ilvl w:val="0"/>
                <w:numId w:val="90"/>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tempo sprovođenja mjera energetske efikasnosti i zamjene goriva,</w:t>
            </w:r>
          </w:p>
          <w:p w14:paraId="14492A68" w14:textId="77777777" w:rsidR="00D14F76" w:rsidRPr="001C58C6" w:rsidRDefault="00D14F76" w:rsidP="00E53052">
            <w:pPr>
              <w:pStyle w:val="ListParagraph"/>
              <w:numPr>
                <w:ilvl w:val="0"/>
                <w:numId w:val="90"/>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promjene u voznom parku i saobraćajnim tokovima,</w:t>
            </w:r>
          </w:p>
          <w:p w14:paraId="55EC91C7" w14:textId="77777777" w:rsidR="00D14F76" w:rsidRPr="001C58C6" w:rsidRDefault="00D14F76" w:rsidP="00E53052">
            <w:pPr>
              <w:pStyle w:val="ListParagraph"/>
              <w:numPr>
                <w:ilvl w:val="0"/>
                <w:numId w:val="90"/>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klimatske varijacije koje utiču na sezonsku potrošnju energije,</w:t>
            </w:r>
          </w:p>
          <w:p w14:paraId="6FA16066" w14:textId="77777777" w:rsidR="00D14F76" w:rsidRPr="001C58C6" w:rsidRDefault="00D14F76" w:rsidP="00E53052">
            <w:pPr>
              <w:pStyle w:val="ListParagraph"/>
              <w:numPr>
                <w:ilvl w:val="0"/>
                <w:numId w:val="90"/>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metodološke razlike u faktorima emisije i lokalnim uslovima sagorijevanja.</w:t>
            </w:r>
          </w:p>
          <w:p w14:paraId="1CFC127B"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lastRenderedPageBreak/>
              <w:t>Modeliranje projekcija rađeno je u skladu sa metodologijom EMEP/EEA Air Pollutant Emission Inventory Guidebook 2019, korišćenjem kombinovanog bottom-up pristupa za energetiku i industriju, i top-down pristupa za saobraćaj i poljoprivredu.</w:t>
            </w:r>
          </w:p>
        </w:tc>
      </w:tr>
      <w:tr w:rsidR="00D14F76" w:rsidRPr="001C58C6" w14:paraId="5C581B9B" w14:textId="77777777" w:rsidTr="00E95417">
        <w:tc>
          <w:tcPr>
            <w:cnfStyle w:val="001000000000" w:firstRow="0" w:lastRow="0" w:firstColumn="1" w:lastColumn="0" w:oddVBand="0" w:evenVBand="0" w:oddHBand="0" w:evenHBand="0" w:firstRowFirstColumn="0" w:firstRowLastColumn="0" w:lastRowFirstColumn="0" w:lastRowLastColumn="0"/>
            <w:tcW w:w="4366" w:type="dxa"/>
            <w:gridSpan w:val="5"/>
          </w:tcPr>
          <w:p w14:paraId="60E9CCCD" w14:textId="77777777" w:rsidR="00D14F76" w:rsidRPr="001C58C6" w:rsidRDefault="00D14F76">
            <w:pPr>
              <w:spacing w:before="60" w:after="60" w:line="312" w:lineRule="atLeast"/>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lastRenderedPageBreak/>
              <w:t>Datum projekcija emisija (O)</w:t>
            </w:r>
          </w:p>
        </w:tc>
        <w:tc>
          <w:tcPr>
            <w:tcW w:w="5552" w:type="dxa"/>
            <w:gridSpan w:val="5"/>
          </w:tcPr>
          <w:p w14:paraId="0462C625" w14:textId="77777777" w:rsidR="00D14F76" w:rsidRPr="001C58C6" w:rsidRDefault="00D14F76">
            <w:pPr>
              <w:spacing w:before="120" w:line="312"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Decembar 2025.</w:t>
            </w:r>
          </w:p>
        </w:tc>
      </w:tr>
    </w:tbl>
    <w:p w14:paraId="3B2802EB" w14:textId="77777777" w:rsidR="00D14F76" w:rsidRPr="001C58C6" w:rsidRDefault="00D14F76">
      <w:pPr>
        <w:shd w:val="clear" w:color="auto" w:fill="FFFFFF"/>
        <w:spacing w:before="120" w:line="312" w:lineRule="atLeast"/>
        <w:rPr>
          <w:rFonts w:ascii="Calibri" w:eastAsia="Times New Roman" w:hAnsi="Calibri" w:cs="Calibri"/>
          <w:i/>
          <w:iCs/>
          <w:color w:val="000000" w:themeColor="text1"/>
          <w:szCs w:val="24"/>
        </w:rPr>
      </w:pPr>
      <w:r w:rsidRPr="001C58C6">
        <w:rPr>
          <w:rFonts w:ascii="Calibri" w:eastAsia="Times New Roman" w:hAnsi="Calibri" w:cs="Calibri"/>
          <w:i/>
          <w:iCs/>
          <w:color w:val="000000" w:themeColor="text1"/>
          <w:szCs w:val="24"/>
        </w:rPr>
        <w:t>Ako projektovani razvoj pokazuje neispunjavanje obaveza smanjenja emisija u okviru projekcija s mjerama, u odjeljku 2.6. opisuju se dodatne politike i mjere razmatrane sa ciljem postizanja usklađenosti.</w:t>
      </w:r>
    </w:p>
    <w:p w14:paraId="0063589A" w14:textId="77777777" w:rsidR="00D14F76" w:rsidRPr="001C58C6" w:rsidRDefault="00D14F76">
      <w:pPr>
        <w:shd w:val="clear" w:color="auto" w:fill="FFFFFF"/>
        <w:spacing w:before="240" w:after="120" w:line="312" w:lineRule="atLeast"/>
        <w:rPr>
          <w:rFonts w:ascii="Calibri" w:eastAsia="Times New Roman" w:hAnsi="Calibri" w:cs="Calibri"/>
          <w:b/>
          <w:bCs/>
          <w:color w:val="000000" w:themeColor="text1"/>
          <w:szCs w:val="24"/>
        </w:rPr>
      </w:pPr>
      <w:r w:rsidRPr="001C58C6">
        <w:rPr>
          <w:rFonts w:ascii="Calibri" w:eastAsia="Times New Roman" w:hAnsi="Calibri" w:cs="Calibri"/>
          <w:b/>
          <w:bCs/>
          <w:color w:val="000000" w:themeColor="text1"/>
          <w:szCs w:val="24"/>
        </w:rPr>
        <w:t>2.5.2.   </w:t>
      </w:r>
      <w:r w:rsidRPr="001C58C6">
        <w:rPr>
          <w:rFonts w:ascii="Calibri" w:eastAsia="Times New Roman" w:hAnsi="Calibri" w:cs="Calibri"/>
          <w:b/>
          <w:bCs/>
          <w:i/>
          <w:iCs/>
          <w:color w:val="000000" w:themeColor="text1"/>
          <w:szCs w:val="24"/>
        </w:rPr>
        <w:t>Projektovani uticaj na poboljšanje kvaliteta vazduha (projekcije sa mjerama), uključujući projektovani stepen usklađenosti</w:t>
      </w:r>
    </w:p>
    <w:p w14:paraId="7E4AB0A8" w14:textId="77777777" w:rsidR="00D14F76" w:rsidRPr="001C58C6" w:rsidRDefault="00D14F76">
      <w:pPr>
        <w:shd w:val="clear" w:color="auto" w:fill="FFFFFF"/>
        <w:spacing w:before="240" w:after="120" w:line="312" w:lineRule="atLeast"/>
        <w:rPr>
          <w:rFonts w:ascii="Calibri" w:eastAsia="Times New Roman" w:hAnsi="Calibri" w:cs="Calibri"/>
          <w:b/>
          <w:bCs/>
          <w:color w:val="000000" w:themeColor="text1"/>
          <w:szCs w:val="24"/>
        </w:rPr>
      </w:pPr>
      <w:r w:rsidRPr="001C58C6">
        <w:rPr>
          <w:rFonts w:ascii="Calibri" w:eastAsia="Times New Roman" w:hAnsi="Calibri" w:cs="Calibri"/>
          <w:b/>
          <w:bCs/>
          <w:color w:val="000000" w:themeColor="text1"/>
          <w:szCs w:val="24"/>
        </w:rPr>
        <w:t>2.5.2.1.   Kvalitativni opis predviđenog poboljšanja kvalitete vazduha (O)</w:t>
      </w:r>
    </w:p>
    <w:tbl>
      <w:tblPr>
        <w:tblStyle w:val="GridTable1Light-Accent1"/>
        <w:tblW w:w="5500" w:type="pct"/>
        <w:tblLook w:val="04A0" w:firstRow="1" w:lastRow="0" w:firstColumn="1" w:lastColumn="0" w:noHBand="0" w:noVBand="1"/>
      </w:tblPr>
      <w:tblGrid>
        <w:gridCol w:w="3255"/>
        <w:gridCol w:w="6663"/>
      </w:tblGrid>
      <w:tr w:rsidR="00D14F76" w:rsidRPr="001C58C6" w14:paraId="37811D02" w14:textId="77777777" w:rsidTr="00E954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pct"/>
          </w:tcPr>
          <w:p w14:paraId="12681D63" w14:textId="77777777" w:rsidR="00D14F76" w:rsidRPr="001C58C6" w:rsidRDefault="00D14F76" w:rsidP="00E95417">
            <w:pPr>
              <w:spacing w:before="60" w:after="60" w:line="312" w:lineRule="atLeast"/>
              <w:jc w:val="lef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Kvalitativno opišite predviđena poboljšanja kvaliteta vazduha i projektovani dalji razvoj stepena usklađenosti (projekcije sa mjerama) sa ciljevima EU-a u pogledu kvaliteta vazduha za vrijednosti NO</w:t>
            </w:r>
            <w:r w:rsidRPr="001C58C6">
              <w:rPr>
                <w:rFonts w:ascii="Calibri" w:eastAsia="Times New Roman" w:hAnsi="Calibri" w:cs="Calibri"/>
                <w:color w:val="000000" w:themeColor="text1"/>
                <w:sz w:val="20"/>
                <w:szCs w:val="20"/>
                <w:vertAlign w:val="subscript"/>
              </w:rPr>
              <w:t>2</w:t>
            </w:r>
            <w:r w:rsidRPr="001C58C6">
              <w:rPr>
                <w:rFonts w:ascii="Calibri" w:eastAsia="Times New Roman" w:hAnsi="Calibri" w:cs="Calibri"/>
                <w:color w:val="000000" w:themeColor="text1"/>
                <w:sz w:val="20"/>
                <w:szCs w:val="20"/>
              </w:rPr>
              <w:t>, PM</w:t>
            </w:r>
            <w:r w:rsidRPr="001C58C6">
              <w:rPr>
                <w:rFonts w:ascii="Calibri" w:eastAsia="Times New Roman" w:hAnsi="Calibri" w:cs="Calibri"/>
                <w:color w:val="000000" w:themeColor="text1"/>
                <w:sz w:val="20"/>
                <w:szCs w:val="20"/>
                <w:vertAlign w:val="subscript"/>
              </w:rPr>
              <w:t>10</w:t>
            </w:r>
            <w:r w:rsidRPr="001C58C6">
              <w:rPr>
                <w:rFonts w:ascii="Calibri" w:eastAsia="Times New Roman" w:hAnsi="Calibri" w:cs="Calibri"/>
                <w:color w:val="000000" w:themeColor="text1"/>
                <w:sz w:val="20"/>
                <w:szCs w:val="20"/>
              </w:rPr>
              <w:t>, PM</w:t>
            </w:r>
            <w:r w:rsidRPr="001C58C6">
              <w:rPr>
                <w:rFonts w:ascii="Calibri" w:eastAsia="Times New Roman" w:hAnsi="Calibri" w:cs="Calibri"/>
                <w:color w:val="000000" w:themeColor="text1"/>
                <w:sz w:val="20"/>
                <w:szCs w:val="20"/>
                <w:vertAlign w:val="subscript"/>
              </w:rPr>
              <w:t>2,5</w:t>
            </w:r>
            <w:r w:rsidRPr="001C58C6">
              <w:rPr>
                <w:rFonts w:ascii="Calibri" w:eastAsia="Times New Roman" w:hAnsi="Calibri" w:cs="Calibri"/>
                <w:color w:val="000000" w:themeColor="text1"/>
                <w:sz w:val="20"/>
                <w:szCs w:val="20"/>
              </w:rPr>
              <w:t> i O</w:t>
            </w:r>
            <w:r w:rsidRPr="001C58C6">
              <w:rPr>
                <w:rFonts w:ascii="Calibri" w:eastAsia="Times New Roman" w:hAnsi="Calibri" w:cs="Calibri"/>
                <w:color w:val="000000" w:themeColor="text1"/>
                <w:sz w:val="20"/>
                <w:szCs w:val="20"/>
                <w:vertAlign w:val="subscript"/>
              </w:rPr>
              <w:t>3</w:t>
            </w:r>
            <w:r w:rsidRPr="001C58C6">
              <w:rPr>
                <w:rFonts w:ascii="Calibri" w:eastAsia="Times New Roman" w:hAnsi="Calibri" w:cs="Calibri"/>
                <w:color w:val="000000" w:themeColor="text1"/>
                <w:sz w:val="20"/>
                <w:szCs w:val="20"/>
              </w:rPr>
              <w:t>, i za sve druge zagađujuće materije koje predstavljaju problem, do 2020., 2025. i 2030. (O)</w:t>
            </w:r>
          </w:p>
          <w:p w14:paraId="3F3C26AC" w14:textId="77777777" w:rsidR="00D14F76" w:rsidRPr="001C58C6" w:rsidRDefault="00D14F76" w:rsidP="00E95417">
            <w:pPr>
              <w:spacing w:before="60" w:after="60" w:line="312" w:lineRule="atLeast"/>
              <w:jc w:val="lef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Pri opisivanju projektovanih poboljšanja i daljeg razvoja stepena usklađenosti navedite reference (poglavlje i stranica) na javno dostupne skupove podataka (npr. planovi za kvalitet vazduha, raspodjela izvora zagađenja) (O)</w:t>
            </w:r>
          </w:p>
        </w:tc>
        <w:tc>
          <w:tcPr>
            <w:tcW w:w="3359" w:type="pct"/>
          </w:tcPr>
          <w:p w14:paraId="01A467CF"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Predviđa se da će primjena dodatnih mjera iz Programa mjera zaštite vazduha dovesti do postepenog, ali jasnog poboljšanja kvaliteta vazduha i povećanja stepena usklađenosti sa ciljevima EU-a za NO₂, PM₁₀, PM₂,₅, O₃ i druge relevantne zagađujuće materije u periodu do 2030. godine.</w:t>
            </w:r>
          </w:p>
          <w:p w14:paraId="1B2F2314"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Do 2020. godine zabilježeno je početno poboljšanje u odnosu na baznu 2005: u većini zona godišnje koncentracije NOx i SO₂ su u potpunosti ispod graničnih vrijednosti EU, dok su prekoračenja uglavnom bila vezana za PM₁₀ (Pljevlja, djelimično Podgorica) i sezonski PM₂,₅. Ciljne vrijednosti za O₃ nijesu sistemski prekoračene, osim sporadičnih epizoda u južnoj i planinskoj zoni. U ovoj fazi su 2/3 zone bile u potpunosti usklađeno za PM₁₀ i PM₂,₅.</w:t>
            </w:r>
          </w:p>
          <w:p w14:paraId="7A61768D"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Do 2025. godine, kroz dalji razvoj energetskih i saobraćajnih mjera (zamjena goriva, modernizacija ložišta, djelimična elektrifikacija saobraćaja, mjere lokalnog saobraćaja), NOx, SO₂ i CO su stabilni u skladu sa ciljevima EU u svim zonama. Broj dana sa prekoračenjem dnevne granične vrijednosti za PM₁₀ značajno se smanjuje u Pljevljima i Podgorici, dok se godišnje koncentracije PM₂,₅ približavaju ciljnim vrijednostima u centralnoj i južnoj zoni. Ozon ostaje pod kontrolom, uz blago smanjenje trajanja epizoda visokih koncentracija. Procjenjuje se da će sve 3 zone biti u potpunosti usklađene sa EU ciljevima za PM₁₀ i PM₂,₅, dok preostala problematična zona (Pljevlja) pokazuje jasan silazni trend.</w:t>
            </w:r>
          </w:p>
          <w:p w14:paraId="080E0516"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Do 2030. godine, punom primjenom dodatnih mjera (šira zamjena individualnih ložišta, razvoj daljinskog grijanja, dalja elektrifikacija saobraćaja, BAT u industriji) projektuje se potpuna usklađenost svih zona sa EU graničnim vrijednostima za NOx, PM₁₀, PM₂,₅ i SO₂, kao i stabilno poštovanje ciljnih vrijednosti za O₃. Najviše registrisane koncentracije PM₁₀ i PM₂,₅ u Pljevljima i drugim urbanim centrima opadaju, broj dana sa prekoračenjima pada ispod 35 godišnje, a prosječne godišnje vrijednosti se kreću u rasponu usklađenosti sa EU zahtjevima. Za ostale zagađujuće materije (benzen, teški metali, PAH) ne očekuju se sistemska prekoračenja, već dalji pad koncentracija zbog modernizacije goriva i tehnologija.</w:t>
            </w:r>
          </w:p>
          <w:p w14:paraId="1CE5D09F"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b w:val="0"/>
                <w:bCs w:val="0"/>
                <w:color w:val="000000" w:themeColor="text1"/>
                <w:sz w:val="20"/>
                <w:szCs w:val="20"/>
              </w:rPr>
              <w:t>Napredak i projekcije se oslanjaju na javno dostupne podatke i dokumente, uključujući: Godišnje izvještaje o kvalitetu vazduha Agencije za zaštitu životne sredine (poglavlja o stanju po zonama i trendovima koncentracija), nacionalni inventar emisija zagađujućih materija (poglavlja o emisijama po sektorima), kao i lokalne planove i akcione planove kvaliteta vazduha za Pljevlja, Podgoricu i druge opštine (poglavlja o raspodjeli izvora zagađenja i mjerama). Ove reference pružaju kvantitativnu osnovu za kvalitativni opis očekivanih poboljšanja i daljeg razvoja stepena usklađenosti do 2020., 2025. i 2030. godine.</w:t>
            </w:r>
          </w:p>
        </w:tc>
      </w:tr>
    </w:tbl>
    <w:p w14:paraId="6F42A6DF" w14:textId="77777777" w:rsidR="00D14F76" w:rsidRPr="001C58C6" w:rsidRDefault="00D14F76">
      <w:pPr>
        <w:shd w:val="clear" w:color="auto" w:fill="FFFFFF"/>
        <w:spacing w:line="312" w:lineRule="atLeast"/>
        <w:rPr>
          <w:rFonts w:ascii="Calibri" w:eastAsia="Times New Roman" w:hAnsi="Calibri" w:cs="Calibri"/>
          <w:color w:val="000000" w:themeColor="text1"/>
          <w:sz w:val="18"/>
          <w:szCs w:val="18"/>
        </w:rPr>
      </w:pPr>
    </w:p>
    <w:p w14:paraId="6B08AE59" w14:textId="77777777" w:rsidR="00D14F76" w:rsidRPr="001C58C6" w:rsidRDefault="00D14F76">
      <w:pPr>
        <w:shd w:val="clear" w:color="auto" w:fill="FFFFFF"/>
        <w:spacing w:line="312" w:lineRule="atLeast"/>
        <w:rPr>
          <w:rFonts w:ascii="Calibri" w:eastAsia="Times New Roman" w:hAnsi="Calibri" w:cs="Calibri"/>
          <w:color w:val="000000" w:themeColor="text1"/>
          <w:sz w:val="18"/>
          <w:szCs w:val="18"/>
        </w:rPr>
      </w:pPr>
    </w:p>
    <w:p w14:paraId="4715778E" w14:textId="77777777" w:rsidR="00D14F76" w:rsidRPr="001C58C6" w:rsidRDefault="00D14F76">
      <w:pPr>
        <w:shd w:val="clear" w:color="auto" w:fill="FFFFFF"/>
        <w:spacing w:line="312" w:lineRule="atLeast"/>
        <w:rPr>
          <w:rFonts w:ascii="Calibri" w:eastAsia="Times New Roman" w:hAnsi="Calibri" w:cs="Calibri"/>
          <w:color w:val="000000" w:themeColor="text1"/>
          <w:sz w:val="18"/>
          <w:szCs w:val="18"/>
        </w:rPr>
      </w:pPr>
    </w:p>
    <w:p w14:paraId="1D9859BB" w14:textId="77777777" w:rsidR="00D14F76" w:rsidRPr="001C58C6" w:rsidRDefault="00D14F76">
      <w:pPr>
        <w:shd w:val="clear" w:color="auto" w:fill="FFFFFF"/>
        <w:spacing w:before="240" w:after="120" w:line="312" w:lineRule="atLeast"/>
        <w:rPr>
          <w:rFonts w:ascii="Calibri" w:eastAsia="Times New Roman" w:hAnsi="Calibri" w:cs="Calibri"/>
          <w:b/>
          <w:bCs/>
          <w:color w:val="000000" w:themeColor="text1"/>
          <w:sz w:val="18"/>
          <w:szCs w:val="18"/>
        </w:rPr>
        <w:sectPr w:rsidR="00D14F76" w:rsidRPr="001C58C6" w:rsidSect="00D14F76">
          <w:pgSz w:w="11906" w:h="16838"/>
          <w:pgMar w:top="1440" w:right="1440" w:bottom="1440" w:left="1440" w:header="708" w:footer="708" w:gutter="0"/>
          <w:cols w:space="708"/>
          <w:docGrid w:linePitch="360"/>
        </w:sectPr>
      </w:pPr>
    </w:p>
    <w:p w14:paraId="78B717EC" w14:textId="77777777" w:rsidR="00D14F76" w:rsidRPr="001C58C6" w:rsidRDefault="00D14F76">
      <w:pPr>
        <w:shd w:val="clear" w:color="auto" w:fill="FFFFFF"/>
        <w:spacing w:before="240" w:after="120" w:line="312" w:lineRule="atLeast"/>
        <w:rPr>
          <w:rFonts w:ascii="Calibri" w:eastAsia="Times New Roman" w:hAnsi="Calibri" w:cs="Calibri"/>
          <w:b/>
          <w:bCs/>
          <w:color w:val="000000" w:themeColor="text1"/>
          <w:szCs w:val="24"/>
        </w:rPr>
      </w:pPr>
      <w:r w:rsidRPr="001C58C6">
        <w:rPr>
          <w:rFonts w:ascii="Calibri" w:eastAsia="Times New Roman" w:hAnsi="Calibri" w:cs="Calibri"/>
          <w:b/>
          <w:bCs/>
          <w:color w:val="000000" w:themeColor="text1"/>
          <w:szCs w:val="24"/>
        </w:rPr>
        <w:lastRenderedPageBreak/>
        <w:t>2.5.2.2.   Kvantitativni opis predviđenog poboljšanja kvalitete vazduha (N)</w:t>
      </w:r>
    </w:p>
    <w:tbl>
      <w:tblPr>
        <w:tblStyle w:val="GridTable1Light-Accent1"/>
        <w:tblW w:w="5221" w:type="pct"/>
        <w:tblInd w:w="-572" w:type="dxa"/>
        <w:tblLook w:val="04A0" w:firstRow="1" w:lastRow="0" w:firstColumn="1" w:lastColumn="0" w:noHBand="0" w:noVBand="1"/>
      </w:tblPr>
      <w:tblGrid>
        <w:gridCol w:w="1894"/>
        <w:gridCol w:w="1404"/>
        <w:gridCol w:w="824"/>
        <w:gridCol w:w="824"/>
        <w:gridCol w:w="824"/>
        <w:gridCol w:w="1404"/>
        <w:gridCol w:w="824"/>
        <w:gridCol w:w="824"/>
        <w:gridCol w:w="824"/>
        <w:gridCol w:w="1404"/>
        <w:gridCol w:w="824"/>
        <w:gridCol w:w="824"/>
        <w:gridCol w:w="824"/>
      </w:tblGrid>
      <w:tr w:rsidR="00D14F76" w:rsidRPr="001C58C6" w14:paraId="6FCEE988" w14:textId="77777777" w:rsidTr="00E404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0" w:type="pct"/>
            <w:vMerge w:val="restart"/>
          </w:tcPr>
          <w:p w14:paraId="231DB365" w14:textId="77777777" w:rsidR="00D14F76" w:rsidRPr="001C58C6" w:rsidRDefault="00D14F76" w:rsidP="00E40401">
            <w:pPr>
              <w:spacing w:before="60" w:after="60" w:line="312" w:lineRule="atLeast"/>
              <w:ind w:left="-108"/>
              <w:jc w:val="center"/>
              <w:rPr>
                <w:rFonts w:ascii="Calibri" w:eastAsia="Times New Roman" w:hAnsi="Calibri" w:cs="Calibri"/>
                <w:b w:val="0"/>
                <w:bCs w:val="0"/>
                <w:color w:val="000000" w:themeColor="text1"/>
                <w:sz w:val="20"/>
                <w:szCs w:val="20"/>
              </w:rPr>
            </w:pPr>
            <w:r w:rsidRPr="001C58C6">
              <w:rPr>
                <w:rFonts w:ascii="Calibri" w:eastAsia="Times New Roman" w:hAnsi="Calibri" w:cs="Calibri"/>
                <w:color w:val="000000" w:themeColor="text1"/>
                <w:sz w:val="20"/>
                <w:szCs w:val="20"/>
              </w:rPr>
              <w:t>Vrijednosti iz Direktive o kvalitetu vazduha</w:t>
            </w:r>
          </w:p>
        </w:tc>
        <w:tc>
          <w:tcPr>
            <w:tcW w:w="0" w:type="auto"/>
            <w:gridSpan w:val="4"/>
          </w:tcPr>
          <w:p w14:paraId="4577EA81" w14:textId="77777777" w:rsidR="00D14F76" w:rsidRPr="001C58C6" w:rsidRDefault="00D14F76">
            <w:pPr>
              <w:spacing w:before="60" w:after="60" w:line="312" w:lineRule="atLeast"/>
              <w:ind w:right="195"/>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color w:val="000000" w:themeColor="text1"/>
                <w:sz w:val="20"/>
                <w:szCs w:val="20"/>
              </w:rPr>
              <w:t>Projektovani broj neusklađenih zona kvaliteta vazduha</w:t>
            </w:r>
          </w:p>
        </w:tc>
        <w:tc>
          <w:tcPr>
            <w:tcW w:w="0" w:type="auto"/>
            <w:gridSpan w:val="4"/>
          </w:tcPr>
          <w:p w14:paraId="246C3546" w14:textId="77777777" w:rsidR="00D14F76" w:rsidRPr="001C58C6" w:rsidRDefault="00D14F76">
            <w:pPr>
              <w:spacing w:before="60" w:after="60" w:line="312" w:lineRule="atLeast"/>
              <w:ind w:right="195"/>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color w:val="000000" w:themeColor="text1"/>
                <w:sz w:val="20"/>
                <w:szCs w:val="20"/>
              </w:rPr>
              <w:t>Projektovani broj usklađenih zona kvaliteta vazduha</w:t>
            </w:r>
          </w:p>
        </w:tc>
        <w:tc>
          <w:tcPr>
            <w:tcW w:w="0" w:type="auto"/>
            <w:gridSpan w:val="4"/>
          </w:tcPr>
          <w:p w14:paraId="6644932C" w14:textId="77777777" w:rsidR="00D14F76" w:rsidRPr="001C58C6" w:rsidRDefault="00D14F76">
            <w:pPr>
              <w:spacing w:before="60" w:after="60" w:line="312" w:lineRule="atLeast"/>
              <w:ind w:right="195"/>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color w:val="000000" w:themeColor="text1"/>
                <w:sz w:val="20"/>
                <w:szCs w:val="20"/>
              </w:rPr>
              <w:t>Ukupni broj zona kvaliteta vazduha</w:t>
            </w:r>
          </w:p>
        </w:tc>
      </w:tr>
      <w:tr w:rsidR="00D14F76" w:rsidRPr="001C58C6" w14:paraId="37334D6E" w14:textId="77777777" w:rsidTr="00E95417">
        <w:tc>
          <w:tcPr>
            <w:cnfStyle w:val="001000000000" w:firstRow="0" w:lastRow="0" w:firstColumn="1" w:lastColumn="0" w:oddVBand="0" w:evenVBand="0" w:oddHBand="0" w:evenHBand="0" w:firstRowFirstColumn="0" w:firstRowLastColumn="0" w:lastRowFirstColumn="0" w:lastRowLastColumn="0"/>
            <w:tcW w:w="700" w:type="pct"/>
            <w:vMerge/>
          </w:tcPr>
          <w:p w14:paraId="6FE1EB7B" w14:textId="77777777" w:rsidR="00D14F76" w:rsidRPr="001C58C6" w:rsidRDefault="00D14F76" w:rsidP="00E40401">
            <w:pPr>
              <w:ind w:left="-108"/>
              <w:rPr>
                <w:rFonts w:ascii="Calibri" w:eastAsia="Times New Roman" w:hAnsi="Calibri" w:cs="Calibri"/>
                <w:b w:val="0"/>
                <w:bCs w:val="0"/>
                <w:color w:val="000000" w:themeColor="text1"/>
                <w:sz w:val="20"/>
                <w:szCs w:val="20"/>
              </w:rPr>
            </w:pPr>
          </w:p>
        </w:tc>
        <w:tc>
          <w:tcPr>
            <w:tcW w:w="0" w:type="auto"/>
            <w:vAlign w:val="center"/>
          </w:tcPr>
          <w:p w14:paraId="4913CF3C" w14:textId="77777777" w:rsidR="00D14F76" w:rsidRPr="001C58C6" w:rsidRDefault="00D14F76" w:rsidP="00E95417">
            <w:pPr>
              <w:spacing w:before="60" w:after="60" w:line="312" w:lineRule="atLeast"/>
              <w:ind w:right="-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20"/>
                <w:szCs w:val="20"/>
              </w:rPr>
            </w:pPr>
            <w:r w:rsidRPr="001C58C6">
              <w:rPr>
                <w:rFonts w:ascii="Calibri" w:eastAsia="Times New Roman" w:hAnsi="Calibri" w:cs="Calibri"/>
                <w:b/>
                <w:bCs/>
                <w:color w:val="000000" w:themeColor="text1"/>
                <w:sz w:val="20"/>
                <w:szCs w:val="20"/>
              </w:rPr>
              <w:t>Navedite baznu godinu (2005)</w:t>
            </w:r>
          </w:p>
        </w:tc>
        <w:tc>
          <w:tcPr>
            <w:tcW w:w="0" w:type="auto"/>
            <w:vAlign w:val="center"/>
          </w:tcPr>
          <w:p w14:paraId="18020CE3" w14:textId="77777777" w:rsidR="00D14F76" w:rsidRPr="001C58C6" w:rsidRDefault="00D14F76" w:rsidP="00E95417">
            <w:pPr>
              <w:spacing w:before="60" w:after="60" w:line="312" w:lineRule="atLeast"/>
              <w:ind w:right="195"/>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20"/>
                <w:szCs w:val="20"/>
              </w:rPr>
            </w:pPr>
            <w:r w:rsidRPr="001C58C6">
              <w:rPr>
                <w:rFonts w:ascii="Calibri" w:eastAsia="Times New Roman" w:hAnsi="Calibri" w:cs="Calibri"/>
                <w:b/>
                <w:bCs/>
                <w:color w:val="000000" w:themeColor="text1"/>
                <w:sz w:val="20"/>
                <w:szCs w:val="20"/>
              </w:rPr>
              <w:t>2020.</w:t>
            </w:r>
          </w:p>
        </w:tc>
        <w:tc>
          <w:tcPr>
            <w:tcW w:w="0" w:type="auto"/>
            <w:vAlign w:val="center"/>
          </w:tcPr>
          <w:p w14:paraId="21B51D02" w14:textId="77777777" w:rsidR="00D14F76" w:rsidRPr="001C58C6" w:rsidRDefault="00D14F76" w:rsidP="00E95417">
            <w:pPr>
              <w:spacing w:before="60" w:after="60" w:line="312" w:lineRule="atLeast"/>
              <w:ind w:right="195"/>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20"/>
                <w:szCs w:val="20"/>
              </w:rPr>
            </w:pPr>
            <w:r w:rsidRPr="001C58C6">
              <w:rPr>
                <w:rFonts w:ascii="Calibri" w:eastAsia="Times New Roman" w:hAnsi="Calibri" w:cs="Calibri"/>
                <w:b/>
                <w:bCs/>
                <w:color w:val="000000" w:themeColor="text1"/>
                <w:sz w:val="20"/>
                <w:szCs w:val="20"/>
              </w:rPr>
              <w:t>2025.</w:t>
            </w:r>
          </w:p>
        </w:tc>
        <w:tc>
          <w:tcPr>
            <w:tcW w:w="0" w:type="auto"/>
            <w:vAlign w:val="center"/>
          </w:tcPr>
          <w:p w14:paraId="3C26A693" w14:textId="77777777" w:rsidR="00D14F76" w:rsidRPr="001C58C6" w:rsidRDefault="00D14F76" w:rsidP="00E95417">
            <w:pPr>
              <w:spacing w:before="60" w:after="60" w:line="312" w:lineRule="atLeast"/>
              <w:ind w:right="195"/>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20"/>
                <w:szCs w:val="20"/>
              </w:rPr>
            </w:pPr>
            <w:r w:rsidRPr="001C58C6">
              <w:rPr>
                <w:rFonts w:ascii="Calibri" w:eastAsia="Times New Roman" w:hAnsi="Calibri" w:cs="Calibri"/>
                <w:b/>
                <w:bCs/>
                <w:color w:val="000000" w:themeColor="text1"/>
                <w:sz w:val="20"/>
                <w:szCs w:val="20"/>
              </w:rPr>
              <w:t>2030.</w:t>
            </w:r>
          </w:p>
        </w:tc>
        <w:tc>
          <w:tcPr>
            <w:tcW w:w="0" w:type="auto"/>
            <w:vAlign w:val="center"/>
          </w:tcPr>
          <w:p w14:paraId="31D12EDE" w14:textId="77777777" w:rsidR="00D14F76" w:rsidRPr="001C58C6" w:rsidRDefault="00D14F76" w:rsidP="00E95417">
            <w:pPr>
              <w:spacing w:before="60" w:after="60" w:line="312" w:lineRule="atLeast"/>
              <w:ind w:right="-6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20"/>
                <w:szCs w:val="20"/>
              </w:rPr>
            </w:pPr>
            <w:r w:rsidRPr="001C58C6">
              <w:rPr>
                <w:rFonts w:ascii="Calibri" w:eastAsia="Times New Roman" w:hAnsi="Calibri" w:cs="Calibri"/>
                <w:b/>
                <w:bCs/>
                <w:color w:val="000000" w:themeColor="text1"/>
                <w:sz w:val="20"/>
                <w:szCs w:val="20"/>
              </w:rPr>
              <w:t>Navedite baznu godinu (2005)</w:t>
            </w:r>
          </w:p>
        </w:tc>
        <w:tc>
          <w:tcPr>
            <w:tcW w:w="0" w:type="auto"/>
            <w:vAlign w:val="center"/>
          </w:tcPr>
          <w:p w14:paraId="40FFCFD8" w14:textId="77777777" w:rsidR="00D14F76" w:rsidRPr="001C58C6" w:rsidRDefault="00D14F76" w:rsidP="00E95417">
            <w:pPr>
              <w:spacing w:before="60" w:after="60" w:line="312" w:lineRule="atLeast"/>
              <w:ind w:right="195"/>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20"/>
                <w:szCs w:val="20"/>
              </w:rPr>
            </w:pPr>
            <w:r w:rsidRPr="001C58C6">
              <w:rPr>
                <w:rFonts w:ascii="Calibri" w:eastAsia="Times New Roman" w:hAnsi="Calibri" w:cs="Calibri"/>
                <w:b/>
                <w:bCs/>
                <w:color w:val="000000" w:themeColor="text1"/>
                <w:sz w:val="20"/>
                <w:szCs w:val="20"/>
              </w:rPr>
              <w:t>2020.</w:t>
            </w:r>
          </w:p>
        </w:tc>
        <w:tc>
          <w:tcPr>
            <w:tcW w:w="0" w:type="auto"/>
            <w:vAlign w:val="center"/>
          </w:tcPr>
          <w:p w14:paraId="30D5591A" w14:textId="77777777" w:rsidR="00D14F76" w:rsidRPr="001C58C6" w:rsidRDefault="00D14F76" w:rsidP="00E95417">
            <w:pPr>
              <w:spacing w:before="60" w:after="60" w:line="312" w:lineRule="atLeast"/>
              <w:ind w:right="195"/>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20"/>
                <w:szCs w:val="20"/>
              </w:rPr>
            </w:pPr>
            <w:r w:rsidRPr="001C58C6">
              <w:rPr>
                <w:rFonts w:ascii="Calibri" w:eastAsia="Times New Roman" w:hAnsi="Calibri" w:cs="Calibri"/>
                <w:b/>
                <w:bCs/>
                <w:color w:val="000000" w:themeColor="text1"/>
                <w:sz w:val="20"/>
                <w:szCs w:val="20"/>
              </w:rPr>
              <w:t>2025.</w:t>
            </w:r>
          </w:p>
        </w:tc>
        <w:tc>
          <w:tcPr>
            <w:tcW w:w="0" w:type="auto"/>
            <w:vAlign w:val="center"/>
          </w:tcPr>
          <w:p w14:paraId="03C806CD" w14:textId="77777777" w:rsidR="00D14F76" w:rsidRPr="001C58C6" w:rsidRDefault="00D14F76" w:rsidP="00E95417">
            <w:pPr>
              <w:spacing w:before="60" w:after="60" w:line="312" w:lineRule="atLeast"/>
              <w:ind w:right="195"/>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20"/>
                <w:szCs w:val="20"/>
              </w:rPr>
            </w:pPr>
            <w:r w:rsidRPr="001C58C6">
              <w:rPr>
                <w:rFonts w:ascii="Calibri" w:eastAsia="Times New Roman" w:hAnsi="Calibri" w:cs="Calibri"/>
                <w:b/>
                <w:bCs/>
                <w:color w:val="000000" w:themeColor="text1"/>
                <w:sz w:val="20"/>
                <w:szCs w:val="20"/>
              </w:rPr>
              <w:t>2030.</w:t>
            </w:r>
          </w:p>
        </w:tc>
        <w:tc>
          <w:tcPr>
            <w:tcW w:w="0" w:type="auto"/>
            <w:vAlign w:val="center"/>
          </w:tcPr>
          <w:p w14:paraId="2BB99D79" w14:textId="77777777" w:rsidR="00D14F76" w:rsidRPr="001C58C6" w:rsidRDefault="00D14F76" w:rsidP="00E95417">
            <w:pPr>
              <w:spacing w:before="60" w:after="60" w:line="312" w:lineRule="atLeast"/>
              <w:ind w:right="-7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20"/>
                <w:szCs w:val="20"/>
              </w:rPr>
            </w:pPr>
            <w:r w:rsidRPr="001C58C6">
              <w:rPr>
                <w:rFonts w:ascii="Calibri" w:eastAsia="Times New Roman" w:hAnsi="Calibri" w:cs="Calibri"/>
                <w:b/>
                <w:bCs/>
                <w:color w:val="000000" w:themeColor="text1"/>
                <w:sz w:val="20"/>
                <w:szCs w:val="20"/>
              </w:rPr>
              <w:t>Navedite baznu godinu (2005)</w:t>
            </w:r>
          </w:p>
        </w:tc>
        <w:tc>
          <w:tcPr>
            <w:tcW w:w="0" w:type="auto"/>
            <w:vAlign w:val="center"/>
          </w:tcPr>
          <w:p w14:paraId="0ADAEAE0" w14:textId="77777777" w:rsidR="00D14F76" w:rsidRPr="001C58C6" w:rsidRDefault="00D14F76" w:rsidP="00E95417">
            <w:pPr>
              <w:spacing w:before="60" w:after="60" w:line="312" w:lineRule="atLeast"/>
              <w:ind w:right="195"/>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20"/>
                <w:szCs w:val="20"/>
              </w:rPr>
            </w:pPr>
            <w:r w:rsidRPr="001C58C6">
              <w:rPr>
                <w:rFonts w:ascii="Calibri" w:eastAsia="Times New Roman" w:hAnsi="Calibri" w:cs="Calibri"/>
                <w:b/>
                <w:bCs/>
                <w:color w:val="000000" w:themeColor="text1"/>
                <w:sz w:val="20"/>
                <w:szCs w:val="20"/>
              </w:rPr>
              <w:t>2020.</w:t>
            </w:r>
          </w:p>
        </w:tc>
        <w:tc>
          <w:tcPr>
            <w:tcW w:w="0" w:type="auto"/>
            <w:vAlign w:val="center"/>
          </w:tcPr>
          <w:p w14:paraId="0B714488" w14:textId="77777777" w:rsidR="00D14F76" w:rsidRPr="001C58C6" w:rsidRDefault="00D14F76" w:rsidP="00E95417">
            <w:pPr>
              <w:spacing w:before="60" w:after="60" w:line="312" w:lineRule="atLeast"/>
              <w:ind w:right="195"/>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20"/>
                <w:szCs w:val="20"/>
              </w:rPr>
            </w:pPr>
            <w:r w:rsidRPr="001C58C6">
              <w:rPr>
                <w:rFonts w:ascii="Calibri" w:eastAsia="Times New Roman" w:hAnsi="Calibri" w:cs="Calibri"/>
                <w:b/>
                <w:bCs/>
                <w:color w:val="000000" w:themeColor="text1"/>
                <w:sz w:val="20"/>
                <w:szCs w:val="20"/>
              </w:rPr>
              <w:t>2025.</w:t>
            </w:r>
          </w:p>
        </w:tc>
        <w:tc>
          <w:tcPr>
            <w:tcW w:w="0" w:type="auto"/>
            <w:vAlign w:val="center"/>
          </w:tcPr>
          <w:p w14:paraId="135ECEE1" w14:textId="77777777" w:rsidR="00D14F76" w:rsidRPr="001C58C6" w:rsidRDefault="00D14F76" w:rsidP="00E95417">
            <w:pPr>
              <w:spacing w:before="60" w:after="60" w:line="312" w:lineRule="atLeast"/>
              <w:ind w:right="195"/>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20"/>
                <w:szCs w:val="20"/>
              </w:rPr>
            </w:pPr>
            <w:r w:rsidRPr="001C58C6">
              <w:rPr>
                <w:rFonts w:ascii="Calibri" w:eastAsia="Times New Roman" w:hAnsi="Calibri" w:cs="Calibri"/>
                <w:b/>
                <w:bCs/>
                <w:color w:val="000000" w:themeColor="text1"/>
                <w:sz w:val="20"/>
                <w:szCs w:val="20"/>
              </w:rPr>
              <w:t>2030.</w:t>
            </w:r>
          </w:p>
        </w:tc>
      </w:tr>
      <w:tr w:rsidR="00D14F76" w:rsidRPr="001C58C6" w14:paraId="0AFF8935" w14:textId="77777777" w:rsidTr="00E95417">
        <w:tc>
          <w:tcPr>
            <w:cnfStyle w:val="001000000000" w:firstRow="0" w:lastRow="0" w:firstColumn="1" w:lastColumn="0" w:oddVBand="0" w:evenVBand="0" w:oddHBand="0" w:evenHBand="0" w:firstRowFirstColumn="0" w:firstRowLastColumn="0" w:lastRowFirstColumn="0" w:lastRowLastColumn="0"/>
            <w:tcW w:w="700" w:type="pct"/>
          </w:tcPr>
          <w:p w14:paraId="462E3792" w14:textId="77777777" w:rsidR="00D14F76" w:rsidRPr="001C58C6" w:rsidRDefault="00D14F76" w:rsidP="00E40401">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PM</w:t>
            </w:r>
            <w:r w:rsidRPr="001C58C6">
              <w:rPr>
                <w:rFonts w:ascii="Calibri" w:eastAsia="Times New Roman" w:hAnsi="Calibri" w:cs="Calibri"/>
                <w:color w:val="000000" w:themeColor="text1"/>
                <w:sz w:val="20"/>
                <w:szCs w:val="20"/>
                <w:vertAlign w:val="subscript"/>
              </w:rPr>
              <w:t>2,5</w:t>
            </w:r>
            <w:r w:rsidRPr="001C58C6">
              <w:rPr>
                <w:rFonts w:ascii="Calibri" w:eastAsia="Times New Roman" w:hAnsi="Calibri" w:cs="Calibri"/>
                <w:color w:val="000000" w:themeColor="text1"/>
                <w:sz w:val="20"/>
                <w:szCs w:val="20"/>
              </w:rPr>
              <w:t> (1 god.)</w:t>
            </w:r>
          </w:p>
        </w:tc>
        <w:tc>
          <w:tcPr>
            <w:tcW w:w="0" w:type="auto"/>
            <w:vAlign w:val="center"/>
          </w:tcPr>
          <w:p w14:paraId="7616C83C" w14:textId="77777777" w:rsidR="00D14F76" w:rsidRPr="001C58C6" w:rsidRDefault="00D14F76" w:rsidP="00E95417">
            <w:pPr>
              <w:spacing w:before="120" w:line="312" w:lineRule="atLeast"/>
              <w:ind w:right="-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2</w:t>
            </w:r>
          </w:p>
        </w:tc>
        <w:tc>
          <w:tcPr>
            <w:tcW w:w="0" w:type="auto"/>
            <w:vAlign w:val="center"/>
          </w:tcPr>
          <w:p w14:paraId="630C8AB9"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1</w:t>
            </w:r>
          </w:p>
        </w:tc>
        <w:tc>
          <w:tcPr>
            <w:tcW w:w="0" w:type="auto"/>
            <w:vAlign w:val="center"/>
          </w:tcPr>
          <w:p w14:paraId="7332CED2"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1</w:t>
            </w:r>
          </w:p>
        </w:tc>
        <w:tc>
          <w:tcPr>
            <w:tcW w:w="0" w:type="auto"/>
            <w:vAlign w:val="center"/>
          </w:tcPr>
          <w:p w14:paraId="7F35328A"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0</w:t>
            </w:r>
          </w:p>
        </w:tc>
        <w:tc>
          <w:tcPr>
            <w:tcW w:w="0" w:type="auto"/>
            <w:vAlign w:val="center"/>
          </w:tcPr>
          <w:p w14:paraId="36E0D9D6" w14:textId="77777777" w:rsidR="00D14F76" w:rsidRPr="001C58C6" w:rsidRDefault="00D14F76" w:rsidP="00E95417">
            <w:pPr>
              <w:spacing w:before="120" w:line="312" w:lineRule="atLeast"/>
              <w:ind w:right="-6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1</w:t>
            </w:r>
          </w:p>
        </w:tc>
        <w:tc>
          <w:tcPr>
            <w:tcW w:w="0" w:type="auto"/>
            <w:vAlign w:val="center"/>
          </w:tcPr>
          <w:p w14:paraId="6B11AA66"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2</w:t>
            </w:r>
          </w:p>
        </w:tc>
        <w:tc>
          <w:tcPr>
            <w:tcW w:w="0" w:type="auto"/>
            <w:vAlign w:val="center"/>
          </w:tcPr>
          <w:p w14:paraId="1FC30C15"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2</w:t>
            </w:r>
          </w:p>
        </w:tc>
        <w:tc>
          <w:tcPr>
            <w:tcW w:w="0" w:type="auto"/>
            <w:vAlign w:val="center"/>
          </w:tcPr>
          <w:p w14:paraId="18B35361"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3</w:t>
            </w:r>
          </w:p>
        </w:tc>
        <w:tc>
          <w:tcPr>
            <w:tcW w:w="0" w:type="auto"/>
            <w:vAlign w:val="center"/>
          </w:tcPr>
          <w:p w14:paraId="32926A3C" w14:textId="77777777" w:rsidR="00D14F76" w:rsidRPr="001C58C6" w:rsidRDefault="00D14F76" w:rsidP="00E95417">
            <w:pPr>
              <w:spacing w:before="120" w:line="312" w:lineRule="atLeast"/>
              <w:ind w:right="-7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3</w:t>
            </w:r>
          </w:p>
        </w:tc>
        <w:tc>
          <w:tcPr>
            <w:tcW w:w="0" w:type="auto"/>
            <w:vAlign w:val="center"/>
          </w:tcPr>
          <w:p w14:paraId="360249E7"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3</w:t>
            </w:r>
          </w:p>
        </w:tc>
        <w:tc>
          <w:tcPr>
            <w:tcW w:w="0" w:type="auto"/>
            <w:vAlign w:val="center"/>
          </w:tcPr>
          <w:p w14:paraId="10D9EF0C"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3</w:t>
            </w:r>
          </w:p>
        </w:tc>
        <w:tc>
          <w:tcPr>
            <w:tcW w:w="0" w:type="auto"/>
            <w:vAlign w:val="center"/>
          </w:tcPr>
          <w:p w14:paraId="13B467D1"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3</w:t>
            </w:r>
          </w:p>
        </w:tc>
      </w:tr>
      <w:tr w:rsidR="00D14F76" w:rsidRPr="001C58C6" w14:paraId="7ADEB7CF" w14:textId="77777777" w:rsidTr="00E95417">
        <w:tc>
          <w:tcPr>
            <w:cnfStyle w:val="001000000000" w:firstRow="0" w:lastRow="0" w:firstColumn="1" w:lastColumn="0" w:oddVBand="0" w:evenVBand="0" w:oddHBand="0" w:evenHBand="0" w:firstRowFirstColumn="0" w:firstRowLastColumn="0" w:lastRowFirstColumn="0" w:lastRowLastColumn="0"/>
            <w:tcW w:w="700" w:type="pct"/>
          </w:tcPr>
          <w:p w14:paraId="083F6649" w14:textId="77777777" w:rsidR="00D14F76" w:rsidRPr="001C58C6" w:rsidRDefault="00D14F76" w:rsidP="00E40401">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NO</w:t>
            </w:r>
            <w:r w:rsidRPr="001C58C6">
              <w:rPr>
                <w:rFonts w:ascii="Calibri" w:eastAsia="Times New Roman" w:hAnsi="Calibri" w:cs="Calibri"/>
                <w:color w:val="000000" w:themeColor="text1"/>
                <w:sz w:val="20"/>
                <w:szCs w:val="20"/>
                <w:vertAlign w:val="subscript"/>
              </w:rPr>
              <w:t>2</w:t>
            </w:r>
            <w:r w:rsidRPr="001C58C6">
              <w:rPr>
                <w:rFonts w:ascii="Calibri" w:eastAsia="Times New Roman" w:hAnsi="Calibri" w:cs="Calibri"/>
                <w:color w:val="000000" w:themeColor="text1"/>
                <w:sz w:val="20"/>
                <w:szCs w:val="20"/>
              </w:rPr>
              <w:t> (1 god.)</w:t>
            </w:r>
          </w:p>
        </w:tc>
        <w:tc>
          <w:tcPr>
            <w:tcW w:w="0" w:type="auto"/>
            <w:vAlign w:val="center"/>
          </w:tcPr>
          <w:p w14:paraId="0343C28F" w14:textId="77777777" w:rsidR="00D14F76" w:rsidRPr="001C58C6" w:rsidRDefault="00D14F76" w:rsidP="00E95417">
            <w:pPr>
              <w:spacing w:before="120" w:line="312" w:lineRule="atLeast"/>
              <w:ind w:right="-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1</w:t>
            </w:r>
          </w:p>
        </w:tc>
        <w:tc>
          <w:tcPr>
            <w:tcW w:w="0" w:type="auto"/>
            <w:vAlign w:val="center"/>
          </w:tcPr>
          <w:p w14:paraId="598B98BA"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0</w:t>
            </w:r>
          </w:p>
        </w:tc>
        <w:tc>
          <w:tcPr>
            <w:tcW w:w="0" w:type="auto"/>
            <w:vAlign w:val="center"/>
          </w:tcPr>
          <w:p w14:paraId="5B6EFAED"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0</w:t>
            </w:r>
          </w:p>
        </w:tc>
        <w:tc>
          <w:tcPr>
            <w:tcW w:w="0" w:type="auto"/>
            <w:vAlign w:val="center"/>
          </w:tcPr>
          <w:p w14:paraId="4B9D4165"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0</w:t>
            </w:r>
          </w:p>
        </w:tc>
        <w:tc>
          <w:tcPr>
            <w:tcW w:w="0" w:type="auto"/>
            <w:vAlign w:val="center"/>
          </w:tcPr>
          <w:p w14:paraId="6AE29DB9" w14:textId="77777777" w:rsidR="00D14F76" w:rsidRPr="001C58C6" w:rsidRDefault="00D14F76" w:rsidP="00E95417">
            <w:pPr>
              <w:spacing w:before="120" w:line="312" w:lineRule="atLeast"/>
              <w:ind w:right="-6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2</w:t>
            </w:r>
          </w:p>
        </w:tc>
        <w:tc>
          <w:tcPr>
            <w:tcW w:w="0" w:type="auto"/>
            <w:vAlign w:val="center"/>
          </w:tcPr>
          <w:p w14:paraId="12C9C0D7"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3</w:t>
            </w:r>
          </w:p>
        </w:tc>
        <w:tc>
          <w:tcPr>
            <w:tcW w:w="0" w:type="auto"/>
            <w:vAlign w:val="center"/>
          </w:tcPr>
          <w:p w14:paraId="60F7AAAE"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3</w:t>
            </w:r>
          </w:p>
        </w:tc>
        <w:tc>
          <w:tcPr>
            <w:tcW w:w="0" w:type="auto"/>
            <w:vAlign w:val="center"/>
          </w:tcPr>
          <w:p w14:paraId="185BC65B"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3</w:t>
            </w:r>
          </w:p>
        </w:tc>
        <w:tc>
          <w:tcPr>
            <w:tcW w:w="0" w:type="auto"/>
            <w:vAlign w:val="center"/>
          </w:tcPr>
          <w:p w14:paraId="13D54F2D" w14:textId="77777777" w:rsidR="00D14F76" w:rsidRPr="001C58C6" w:rsidRDefault="00D14F76" w:rsidP="00E95417">
            <w:pPr>
              <w:spacing w:before="120" w:line="312" w:lineRule="atLeast"/>
              <w:ind w:right="-7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3</w:t>
            </w:r>
          </w:p>
        </w:tc>
        <w:tc>
          <w:tcPr>
            <w:tcW w:w="0" w:type="auto"/>
            <w:vAlign w:val="center"/>
          </w:tcPr>
          <w:p w14:paraId="794B3B13"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3</w:t>
            </w:r>
          </w:p>
        </w:tc>
        <w:tc>
          <w:tcPr>
            <w:tcW w:w="0" w:type="auto"/>
            <w:vAlign w:val="center"/>
          </w:tcPr>
          <w:p w14:paraId="56263DEA"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3</w:t>
            </w:r>
          </w:p>
        </w:tc>
        <w:tc>
          <w:tcPr>
            <w:tcW w:w="0" w:type="auto"/>
            <w:vAlign w:val="center"/>
          </w:tcPr>
          <w:p w14:paraId="14221726"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3</w:t>
            </w:r>
          </w:p>
        </w:tc>
      </w:tr>
      <w:tr w:rsidR="00D14F76" w:rsidRPr="001C58C6" w14:paraId="5F55E4FA" w14:textId="77777777" w:rsidTr="00E95417">
        <w:tc>
          <w:tcPr>
            <w:cnfStyle w:val="001000000000" w:firstRow="0" w:lastRow="0" w:firstColumn="1" w:lastColumn="0" w:oddVBand="0" w:evenVBand="0" w:oddHBand="0" w:evenHBand="0" w:firstRowFirstColumn="0" w:firstRowLastColumn="0" w:lastRowFirstColumn="0" w:lastRowLastColumn="0"/>
            <w:tcW w:w="700" w:type="pct"/>
          </w:tcPr>
          <w:p w14:paraId="4D3E8A71" w14:textId="77777777" w:rsidR="00D14F76" w:rsidRPr="001C58C6" w:rsidRDefault="00D14F76" w:rsidP="00E40401">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PM</w:t>
            </w:r>
            <w:r w:rsidRPr="001C58C6">
              <w:rPr>
                <w:rFonts w:ascii="Calibri" w:eastAsia="Times New Roman" w:hAnsi="Calibri" w:cs="Calibri"/>
                <w:color w:val="000000" w:themeColor="text1"/>
                <w:sz w:val="20"/>
                <w:szCs w:val="20"/>
                <w:vertAlign w:val="subscript"/>
              </w:rPr>
              <w:t>10</w:t>
            </w:r>
            <w:r w:rsidRPr="001C58C6">
              <w:rPr>
                <w:rFonts w:ascii="Calibri" w:eastAsia="Times New Roman" w:hAnsi="Calibri" w:cs="Calibri"/>
                <w:color w:val="000000" w:themeColor="text1"/>
                <w:sz w:val="20"/>
                <w:szCs w:val="20"/>
              </w:rPr>
              <w:t> (1 god.)</w:t>
            </w:r>
          </w:p>
        </w:tc>
        <w:tc>
          <w:tcPr>
            <w:tcW w:w="0" w:type="auto"/>
            <w:vAlign w:val="center"/>
          </w:tcPr>
          <w:p w14:paraId="7351EFD5" w14:textId="77777777" w:rsidR="00D14F76" w:rsidRPr="001C58C6" w:rsidRDefault="00D14F76" w:rsidP="00E95417">
            <w:pPr>
              <w:spacing w:before="120" w:line="312" w:lineRule="atLeast"/>
              <w:ind w:right="-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2</w:t>
            </w:r>
          </w:p>
        </w:tc>
        <w:tc>
          <w:tcPr>
            <w:tcW w:w="0" w:type="auto"/>
            <w:vAlign w:val="center"/>
          </w:tcPr>
          <w:p w14:paraId="296AB5F7"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1</w:t>
            </w:r>
          </w:p>
        </w:tc>
        <w:tc>
          <w:tcPr>
            <w:tcW w:w="0" w:type="auto"/>
            <w:vAlign w:val="center"/>
          </w:tcPr>
          <w:p w14:paraId="7DD39AAB"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1</w:t>
            </w:r>
          </w:p>
        </w:tc>
        <w:tc>
          <w:tcPr>
            <w:tcW w:w="0" w:type="auto"/>
            <w:vAlign w:val="center"/>
          </w:tcPr>
          <w:p w14:paraId="39E19F70"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0</w:t>
            </w:r>
          </w:p>
        </w:tc>
        <w:tc>
          <w:tcPr>
            <w:tcW w:w="0" w:type="auto"/>
            <w:vAlign w:val="center"/>
          </w:tcPr>
          <w:p w14:paraId="1FAE5558" w14:textId="77777777" w:rsidR="00D14F76" w:rsidRPr="001C58C6" w:rsidRDefault="00D14F76" w:rsidP="00E95417">
            <w:pPr>
              <w:spacing w:before="120" w:line="312" w:lineRule="atLeast"/>
              <w:ind w:right="-6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2</w:t>
            </w:r>
          </w:p>
        </w:tc>
        <w:tc>
          <w:tcPr>
            <w:tcW w:w="0" w:type="auto"/>
            <w:vAlign w:val="center"/>
          </w:tcPr>
          <w:p w14:paraId="7E0CD9A5"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2</w:t>
            </w:r>
          </w:p>
        </w:tc>
        <w:tc>
          <w:tcPr>
            <w:tcW w:w="0" w:type="auto"/>
            <w:vAlign w:val="center"/>
          </w:tcPr>
          <w:p w14:paraId="4E06967C"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3</w:t>
            </w:r>
          </w:p>
        </w:tc>
        <w:tc>
          <w:tcPr>
            <w:tcW w:w="0" w:type="auto"/>
            <w:vAlign w:val="center"/>
          </w:tcPr>
          <w:p w14:paraId="6DC80383"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3</w:t>
            </w:r>
          </w:p>
        </w:tc>
        <w:tc>
          <w:tcPr>
            <w:tcW w:w="0" w:type="auto"/>
            <w:vAlign w:val="center"/>
          </w:tcPr>
          <w:p w14:paraId="2D3BAB15" w14:textId="77777777" w:rsidR="00D14F76" w:rsidRPr="001C58C6" w:rsidRDefault="00D14F76" w:rsidP="00E95417">
            <w:pPr>
              <w:spacing w:before="120" w:line="312" w:lineRule="atLeast"/>
              <w:ind w:right="-7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3</w:t>
            </w:r>
          </w:p>
        </w:tc>
        <w:tc>
          <w:tcPr>
            <w:tcW w:w="0" w:type="auto"/>
            <w:vAlign w:val="center"/>
          </w:tcPr>
          <w:p w14:paraId="651F0D15"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3</w:t>
            </w:r>
          </w:p>
        </w:tc>
        <w:tc>
          <w:tcPr>
            <w:tcW w:w="0" w:type="auto"/>
            <w:vAlign w:val="center"/>
          </w:tcPr>
          <w:p w14:paraId="7345D144"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3</w:t>
            </w:r>
          </w:p>
        </w:tc>
        <w:tc>
          <w:tcPr>
            <w:tcW w:w="0" w:type="auto"/>
            <w:vAlign w:val="center"/>
          </w:tcPr>
          <w:p w14:paraId="587A1A75"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3</w:t>
            </w:r>
          </w:p>
        </w:tc>
      </w:tr>
      <w:tr w:rsidR="00D14F76" w:rsidRPr="001C58C6" w14:paraId="5E4AAE7F" w14:textId="77777777" w:rsidTr="00E95417">
        <w:tc>
          <w:tcPr>
            <w:cnfStyle w:val="001000000000" w:firstRow="0" w:lastRow="0" w:firstColumn="1" w:lastColumn="0" w:oddVBand="0" w:evenVBand="0" w:oddHBand="0" w:evenHBand="0" w:firstRowFirstColumn="0" w:firstRowLastColumn="0" w:lastRowFirstColumn="0" w:lastRowLastColumn="0"/>
            <w:tcW w:w="700" w:type="pct"/>
          </w:tcPr>
          <w:p w14:paraId="7D3E28ED" w14:textId="77777777" w:rsidR="00D14F76" w:rsidRPr="001C58C6" w:rsidRDefault="00D14F76" w:rsidP="00E40401">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O</w:t>
            </w:r>
            <w:r w:rsidRPr="001C58C6">
              <w:rPr>
                <w:rFonts w:ascii="Calibri" w:eastAsia="Times New Roman" w:hAnsi="Calibri" w:cs="Calibri"/>
                <w:color w:val="000000" w:themeColor="text1"/>
                <w:sz w:val="20"/>
                <w:szCs w:val="20"/>
                <w:vertAlign w:val="subscript"/>
              </w:rPr>
              <w:t>3</w:t>
            </w:r>
            <w:r w:rsidRPr="001C58C6">
              <w:rPr>
                <w:rFonts w:ascii="Calibri" w:eastAsia="Times New Roman" w:hAnsi="Calibri" w:cs="Calibri"/>
                <w:color w:val="000000" w:themeColor="text1"/>
                <w:sz w:val="20"/>
                <w:szCs w:val="20"/>
              </w:rPr>
              <w:t> (najviša osmosatna srednja vrijednost)</w:t>
            </w:r>
          </w:p>
        </w:tc>
        <w:tc>
          <w:tcPr>
            <w:tcW w:w="0" w:type="auto"/>
            <w:vAlign w:val="center"/>
          </w:tcPr>
          <w:p w14:paraId="54B511B2" w14:textId="77777777" w:rsidR="00D14F76" w:rsidRPr="001C58C6" w:rsidRDefault="00D14F76" w:rsidP="00E95417">
            <w:pPr>
              <w:spacing w:before="120" w:line="312" w:lineRule="atLeast"/>
              <w:ind w:right="-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1</w:t>
            </w:r>
          </w:p>
        </w:tc>
        <w:tc>
          <w:tcPr>
            <w:tcW w:w="0" w:type="auto"/>
            <w:vAlign w:val="center"/>
          </w:tcPr>
          <w:p w14:paraId="4174AE68"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1</w:t>
            </w:r>
          </w:p>
        </w:tc>
        <w:tc>
          <w:tcPr>
            <w:tcW w:w="0" w:type="auto"/>
            <w:vAlign w:val="center"/>
          </w:tcPr>
          <w:p w14:paraId="3453B655"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0</w:t>
            </w:r>
          </w:p>
        </w:tc>
        <w:tc>
          <w:tcPr>
            <w:tcW w:w="0" w:type="auto"/>
            <w:vAlign w:val="center"/>
          </w:tcPr>
          <w:p w14:paraId="0A869999"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0</w:t>
            </w:r>
          </w:p>
        </w:tc>
        <w:tc>
          <w:tcPr>
            <w:tcW w:w="0" w:type="auto"/>
            <w:vAlign w:val="center"/>
          </w:tcPr>
          <w:p w14:paraId="68BF3754" w14:textId="77777777" w:rsidR="00D14F76" w:rsidRPr="001C58C6" w:rsidRDefault="00D14F76" w:rsidP="00E95417">
            <w:pPr>
              <w:spacing w:before="120" w:line="312" w:lineRule="atLeast"/>
              <w:ind w:right="-6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2</w:t>
            </w:r>
          </w:p>
        </w:tc>
        <w:tc>
          <w:tcPr>
            <w:tcW w:w="0" w:type="auto"/>
            <w:vAlign w:val="center"/>
          </w:tcPr>
          <w:p w14:paraId="0ABA8CED"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2</w:t>
            </w:r>
          </w:p>
        </w:tc>
        <w:tc>
          <w:tcPr>
            <w:tcW w:w="0" w:type="auto"/>
            <w:vAlign w:val="center"/>
          </w:tcPr>
          <w:p w14:paraId="31BD19CB"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3</w:t>
            </w:r>
          </w:p>
        </w:tc>
        <w:tc>
          <w:tcPr>
            <w:tcW w:w="0" w:type="auto"/>
            <w:vAlign w:val="center"/>
          </w:tcPr>
          <w:p w14:paraId="3E935557"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3</w:t>
            </w:r>
          </w:p>
        </w:tc>
        <w:tc>
          <w:tcPr>
            <w:tcW w:w="0" w:type="auto"/>
            <w:vAlign w:val="center"/>
          </w:tcPr>
          <w:p w14:paraId="353DC738" w14:textId="77777777" w:rsidR="00D14F76" w:rsidRPr="001C58C6" w:rsidRDefault="00D14F76" w:rsidP="00E95417">
            <w:pPr>
              <w:spacing w:before="120" w:line="312" w:lineRule="atLeast"/>
              <w:ind w:right="-7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3</w:t>
            </w:r>
          </w:p>
        </w:tc>
        <w:tc>
          <w:tcPr>
            <w:tcW w:w="0" w:type="auto"/>
            <w:vAlign w:val="center"/>
          </w:tcPr>
          <w:p w14:paraId="1E10764E"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3</w:t>
            </w:r>
          </w:p>
        </w:tc>
        <w:tc>
          <w:tcPr>
            <w:tcW w:w="0" w:type="auto"/>
            <w:vAlign w:val="center"/>
          </w:tcPr>
          <w:p w14:paraId="78974255"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3</w:t>
            </w:r>
          </w:p>
        </w:tc>
        <w:tc>
          <w:tcPr>
            <w:tcW w:w="0" w:type="auto"/>
            <w:vAlign w:val="center"/>
          </w:tcPr>
          <w:p w14:paraId="5DD8B954"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3</w:t>
            </w:r>
          </w:p>
        </w:tc>
      </w:tr>
      <w:tr w:rsidR="00D14F76" w:rsidRPr="001C58C6" w14:paraId="204897E5" w14:textId="77777777" w:rsidTr="00E95417">
        <w:tc>
          <w:tcPr>
            <w:cnfStyle w:val="001000000000" w:firstRow="0" w:lastRow="0" w:firstColumn="1" w:lastColumn="0" w:oddVBand="0" w:evenVBand="0" w:oddHBand="0" w:evenHBand="0" w:firstRowFirstColumn="0" w:firstRowLastColumn="0" w:lastRowFirstColumn="0" w:lastRowLastColumn="0"/>
            <w:tcW w:w="700" w:type="pct"/>
          </w:tcPr>
          <w:p w14:paraId="721515F3" w14:textId="77777777" w:rsidR="00D14F76" w:rsidRPr="001C58C6" w:rsidRDefault="00D14F76" w:rsidP="00E40401">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Drugo (navedite)</w:t>
            </w:r>
          </w:p>
        </w:tc>
        <w:tc>
          <w:tcPr>
            <w:tcW w:w="0" w:type="auto"/>
            <w:vAlign w:val="center"/>
          </w:tcPr>
          <w:p w14:paraId="2DF806FC" w14:textId="77777777" w:rsidR="00D14F76" w:rsidRPr="001C58C6" w:rsidRDefault="00D14F76" w:rsidP="00E95417">
            <w:pPr>
              <w:spacing w:before="120" w:line="312" w:lineRule="atLeast"/>
              <w:ind w:right="-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0</w:t>
            </w:r>
          </w:p>
        </w:tc>
        <w:tc>
          <w:tcPr>
            <w:tcW w:w="0" w:type="auto"/>
            <w:vAlign w:val="center"/>
          </w:tcPr>
          <w:p w14:paraId="1F30C731"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0</w:t>
            </w:r>
          </w:p>
        </w:tc>
        <w:tc>
          <w:tcPr>
            <w:tcW w:w="0" w:type="auto"/>
            <w:vAlign w:val="center"/>
          </w:tcPr>
          <w:p w14:paraId="2D566DE1"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0</w:t>
            </w:r>
          </w:p>
        </w:tc>
        <w:tc>
          <w:tcPr>
            <w:tcW w:w="0" w:type="auto"/>
            <w:vAlign w:val="center"/>
          </w:tcPr>
          <w:p w14:paraId="67C22ABA"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0</w:t>
            </w:r>
          </w:p>
        </w:tc>
        <w:tc>
          <w:tcPr>
            <w:tcW w:w="0" w:type="auto"/>
            <w:vAlign w:val="center"/>
          </w:tcPr>
          <w:p w14:paraId="1EEE012E" w14:textId="77777777" w:rsidR="00D14F76" w:rsidRPr="001C58C6" w:rsidRDefault="00D14F76" w:rsidP="00E95417">
            <w:pPr>
              <w:spacing w:before="120" w:line="312" w:lineRule="atLeast"/>
              <w:ind w:right="-6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3</w:t>
            </w:r>
          </w:p>
        </w:tc>
        <w:tc>
          <w:tcPr>
            <w:tcW w:w="0" w:type="auto"/>
            <w:vAlign w:val="center"/>
          </w:tcPr>
          <w:p w14:paraId="2BB012DC"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2</w:t>
            </w:r>
          </w:p>
        </w:tc>
        <w:tc>
          <w:tcPr>
            <w:tcW w:w="0" w:type="auto"/>
            <w:vAlign w:val="center"/>
          </w:tcPr>
          <w:p w14:paraId="1CD050E6"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3</w:t>
            </w:r>
          </w:p>
        </w:tc>
        <w:tc>
          <w:tcPr>
            <w:tcW w:w="0" w:type="auto"/>
            <w:vAlign w:val="center"/>
          </w:tcPr>
          <w:p w14:paraId="7EBC4C43"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3</w:t>
            </w:r>
          </w:p>
        </w:tc>
        <w:tc>
          <w:tcPr>
            <w:tcW w:w="0" w:type="auto"/>
            <w:vAlign w:val="center"/>
          </w:tcPr>
          <w:p w14:paraId="18C695D6" w14:textId="77777777" w:rsidR="00D14F76" w:rsidRPr="001C58C6" w:rsidRDefault="00D14F76" w:rsidP="00E95417">
            <w:pPr>
              <w:spacing w:before="120" w:line="312" w:lineRule="atLeast"/>
              <w:ind w:right="-7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3</w:t>
            </w:r>
          </w:p>
        </w:tc>
        <w:tc>
          <w:tcPr>
            <w:tcW w:w="0" w:type="auto"/>
            <w:vAlign w:val="center"/>
          </w:tcPr>
          <w:p w14:paraId="156EF103"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3</w:t>
            </w:r>
          </w:p>
        </w:tc>
        <w:tc>
          <w:tcPr>
            <w:tcW w:w="0" w:type="auto"/>
            <w:vAlign w:val="center"/>
          </w:tcPr>
          <w:p w14:paraId="5C20B164"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3</w:t>
            </w:r>
          </w:p>
        </w:tc>
        <w:tc>
          <w:tcPr>
            <w:tcW w:w="0" w:type="auto"/>
            <w:vAlign w:val="center"/>
          </w:tcPr>
          <w:p w14:paraId="6D423718" w14:textId="77777777" w:rsidR="00D14F76" w:rsidRPr="001C58C6" w:rsidRDefault="00D14F76" w:rsidP="00E95417">
            <w:pPr>
              <w:spacing w:before="120" w:line="312" w:lineRule="atLeas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3</w:t>
            </w:r>
          </w:p>
        </w:tc>
      </w:tr>
    </w:tbl>
    <w:p w14:paraId="1BF7EF8E" w14:textId="77777777" w:rsidR="00D14F76" w:rsidRPr="001C58C6" w:rsidRDefault="00D14F76">
      <w:pPr>
        <w:shd w:val="clear" w:color="auto" w:fill="FFFFFF"/>
        <w:spacing w:before="240" w:after="120" w:line="312" w:lineRule="atLeast"/>
        <w:rPr>
          <w:rFonts w:ascii="Calibri" w:eastAsia="Times New Roman" w:hAnsi="Calibri" w:cs="Calibri"/>
          <w:b/>
          <w:bCs/>
          <w:color w:val="000000" w:themeColor="text1"/>
          <w:sz w:val="18"/>
          <w:szCs w:val="18"/>
        </w:rPr>
      </w:pPr>
    </w:p>
    <w:p w14:paraId="11ADD961" w14:textId="77777777" w:rsidR="00D14F76" w:rsidRPr="001C58C6" w:rsidRDefault="00D14F76">
      <w:pPr>
        <w:shd w:val="clear" w:color="auto" w:fill="FFFFFF"/>
        <w:spacing w:before="240" w:after="120" w:line="312" w:lineRule="atLeast"/>
        <w:rPr>
          <w:rFonts w:ascii="Calibri" w:eastAsia="Times New Roman" w:hAnsi="Calibri" w:cs="Calibri"/>
          <w:b/>
          <w:bCs/>
          <w:color w:val="000000" w:themeColor="text1"/>
          <w:sz w:val="18"/>
          <w:szCs w:val="18"/>
        </w:rPr>
        <w:sectPr w:rsidR="00D14F76" w:rsidRPr="001C58C6" w:rsidSect="00D14F76">
          <w:pgSz w:w="15840" w:h="12240" w:orient="landscape"/>
          <w:pgMar w:top="1440" w:right="1440" w:bottom="1440" w:left="1440" w:header="720" w:footer="720" w:gutter="0"/>
          <w:cols w:space="720"/>
          <w:docGrid w:linePitch="360"/>
        </w:sectPr>
      </w:pPr>
    </w:p>
    <w:p w14:paraId="557919F5" w14:textId="77777777" w:rsidR="00D14F76" w:rsidRPr="001C58C6" w:rsidRDefault="00D14F76">
      <w:pPr>
        <w:shd w:val="clear" w:color="auto" w:fill="FFFFFF"/>
        <w:spacing w:before="240" w:after="120" w:line="312" w:lineRule="atLeast"/>
        <w:rPr>
          <w:rFonts w:ascii="Calibri" w:eastAsia="Times New Roman" w:hAnsi="Calibri" w:cs="Calibri"/>
          <w:b/>
          <w:bCs/>
          <w:color w:val="000000" w:themeColor="text1"/>
          <w:szCs w:val="24"/>
        </w:rPr>
      </w:pPr>
      <w:r w:rsidRPr="001C58C6">
        <w:rPr>
          <w:rFonts w:ascii="Calibri" w:eastAsia="Times New Roman" w:hAnsi="Calibri" w:cs="Calibri"/>
          <w:b/>
          <w:bCs/>
          <w:color w:val="000000" w:themeColor="text1"/>
          <w:szCs w:val="24"/>
        </w:rPr>
        <w:lastRenderedPageBreak/>
        <w:t>2.6.   Razmatrane opcije politika za ispunjenje obaveza smanjenja emisija za 2020. i 2030. te prelaznih nivoa emisija za 2025.</w:t>
      </w:r>
    </w:p>
    <w:p w14:paraId="21E59CEE" w14:textId="77777777" w:rsidR="00D14F76" w:rsidRPr="001C58C6" w:rsidRDefault="00D14F76">
      <w:pPr>
        <w:shd w:val="clear" w:color="auto" w:fill="FFFFFF"/>
        <w:spacing w:before="120" w:line="312" w:lineRule="atLeast"/>
        <w:rPr>
          <w:rFonts w:ascii="Calibri" w:eastAsia="Times New Roman" w:hAnsi="Calibri" w:cs="Calibri"/>
          <w:i/>
          <w:iCs/>
          <w:color w:val="000000" w:themeColor="text1"/>
          <w:szCs w:val="24"/>
        </w:rPr>
      </w:pPr>
      <w:r w:rsidRPr="001C58C6">
        <w:rPr>
          <w:rFonts w:ascii="Calibri" w:eastAsia="Times New Roman" w:hAnsi="Calibri" w:cs="Calibri"/>
          <w:i/>
          <w:iCs/>
          <w:color w:val="000000" w:themeColor="text1"/>
          <w:szCs w:val="24"/>
        </w:rPr>
        <w:t>Informacije koje se zahtijevaju u ovom poglavlju dostavljaju se pomoću alata za politike i mjere koji u tu svrhu obezbjeđuje Evropska EPA.</w:t>
      </w:r>
    </w:p>
    <w:p w14:paraId="00C21089" w14:textId="77777777" w:rsidR="00D14F76" w:rsidRPr="002B4576" w:rsidRDefault="00D14F76" w:rsidP="00E40401">
      <w:pPr>
        <w:shd w:val="clear" w:color="auto" w:fill="FFFFFF"/>
        <w:spacing w:before="240" w:after="120" w:line="312" w:lineRule="atLeast"/>
        <w:rPr>
          <w:rFonts w:ascii="Calibri" w:eastAsia="Times New Roman" w:hAnsi="Calibri" w:cs="Calibri"/>
          <w:b/>
          <w:bCs/>
          <w:i/>
          <w:iCs/>
          <w:color w:val="000000" w:themeColor="text1"/>
          <w:sz w:val="22"/>
          <w:szCs w:val="24"/>
          <w:lang w:eastAsia="en-GB"/>
        </w:rPr>
      </w:pPr>
      <w:r w:rsidRPr="001C58C6">
        <w:rPr>
          <w:rFonts w:ascii="Calibri" w:eastAsia="Times New Roman" w:hAnsi="Calibri" w:cs="Calibri"/>
          <w:b/>
          <w:bCs/>
          <w:color w:val="000000" w:themeColor="text1"/>
          <w:szCs w:val="24"/>
          <w:lang w:eastAsia="en-GB"/>
        </w:rPr>
        <w:t xml:space="preserve">2.6.1.   </w:t>
      </w:r>
      <w:r w:rsidRPr="001C58C6">
        <w:rPr>
          <w:rFonts w:ascii="Calibri" w:eastAsia="Times New Roman" w:hAnsi="Calibri" w:cs="Calibri"/>
          <w:b/>
          <w:bCs/>
          <w:i/>
          <w:iCs/>
          <w:color w:val="000000" w:themeColor="text1"/>
          <w:szCs w:val="24"/>
          <w:lang w:eastAsia="en-GB"/>
        </w:rPr>
        <w:t xml:space="preserve">Pojedinosti o razmatranim politikama i mjerama za ispunjenje obaveza smanjenja emisija (izvještavanje na nivou politika i </w:t>
      </w:r>
      <w:r w:rsidRPr="002B4576">
        <w:rPr>
          <w:rFonts w:ascii="Calibri" w:eastAsia="Times New Roman" w:hAnsi="Calibri" w:cs="Calibri"/>
          <w:b/>
          <w:bCs/>
          <w:i/>
          <w:iCs/>
          <w:color w:val="000000" w:themeColor="text1"/>
          <w:sz w:val="22"/>
          <w:szCs w:val="24"/>
          <w:lang w:eastAsia="en-GB"/>
        </w:rPr>
        <w:t>mjera)</w:t>
      </w:r>
    </w:p>
    <w:p w14:paraId="3001027B" w14:textId="77777777" w:rsidR="007363B7" w:rsidRPr="002B4576" w:rsidRDefault="00A31A74">
      <w:pPr>
        <w:rPr>
          <w:rFonts w:ascii="Calibri" w:hAnsi="Calibri" w:cs="Calibri"/>
          <w:color w:val="000000" w:themeColor="text1"/>
          <w:sz w:val="22"/>
        </w:rPr>
      </w:pPr>
      <w:r w:rsidRPr="002B4576">
        <w:rPr>
          <w:rFonts w:ascii="Calibri" w:hAnsi="Calibri" w:cs="Calibri"/>
          <w:b/>
          <w:color w:val="000000" w:themeColor="text1"/>
          <w:sz w:val="22"/>
        </w:rPr>
        <w:t>Pregled veze operativnih ciljeva i mjera iz Programa mjera</w:t>
      </w:r>
    </w:p>
    <w:p w14:paraId="31C8F0B1" w14:textId="77777777" w:rsidR="007363B7" w:rsidRPr="002B4576" w:rsidRDefault="00A31A74">
      <w:pPr>
        <w:rPr>
          <w:rFonts w:ascii="Calibri" w:hAnsi="Calibri" w:cs="Calibri"/>
          <w:color w:val="000000" w:themeColor="text1"/>
          <w:sz w:val="22"/>
        </w:rPr>
      </w:pPr>
      <w:r w:rsidRPr="002B4576">
        <w:rPr>
          <w:rFonts w:ascii="Calibri" w:hAnsi="Calibri" w:cs="Calibri"/>
          <w:color w:val="000000" w:themeColor="text1"/>
          <w:sz w:val="22"/>
        </w:rPr>
        <w:t>U nastavku se, radi metodološke jasnoće i praćenja sprovođenja po uzoru na izvještajne obrasce za strateške dokumente, prikazuje veza između strateških ciljeva, operativnih ciljeva, indikatora i mjera M1-M12. Ova tabela pojašnjava da su oznake M1-M12 mjere/paketi mjera, a ne operativni ciljevi.</w:t>
      </w:r>
    </w:p>
    <w:tbl>
      <w:tblPr>
        <w:tblStyle w:val="TableGrid"/>
        <w:tblW w:w="0" w:type="auto"/>
        <w:tblLook w:val="04A0" w:firstRow="1" w:lastRow="0" w:firstColumn="1" w:lastColumn="0" w:noHBand="0" w:noVBand="1"/>
      </w:tblPr>
      <w:tblGrid>
        <w:gridCol w:w="1265"/>
        <w:gridCol w:w="3068"/>
        <w:gridCol w:w="3870"/>
        <w:gridCol w:w="4747"/>
      </w:tblGrid>
      <w:tr w:rsidR="002B4576" w:rsidRPr="002B4576" w14:paraId="79BF3287" w14:textId="77777777">
        <w:tc>
          <w:tcPr>
            <w:tcW w:w="0" w:type="auto"/>
          </w:tcPr>
          <w:p w14:paraId="04C68AA3" w14:textId="77777777" w:rsidR="007363B7" w:rsidRPr="002B4576" w:rsidRDefault="002B4576">
            <w:pPr>
              <w:rPr>
                <w:rFonts w:ascii="Calibri" w:hAnsi="Calibri" w:cs="Calibri"/>
                <w:color w:val="000000" w:themeColor="text1"/>
                <w:sz w:val="22"/>
              </w:rPr>
            </w:pPr>
            <w:r w:rsidRPr="002B4576">
              <w:rPr>
                <w:rFonts w:ascii="Calibri" w:hAnsi="Calibri" w:cs="Calibri"/>
                <w:b/>
                <w:color w:val="000000" w:themeColor="text1"/>
                <w:sz w:val="22"/>
              </w:rPr>
              <w:t>STRATEŠKI CILJ</w:t>
            </w:r>
          </w:p>
        </w:tc>
        <w:tc>
          <w:tcPr>
            <w:tcW w:w="0" w:type="auto"/>
          </w:tcPr>
          <w:p w14:paraId="4FC14041" w14:textId="77777777" w:rsidR="007363B7" w:rsidRPr="002B4576" w:rsidRDefault="002B4576">
            <w:pPr>
              <w:rPr>
                <w:rFonts w:ascii="Calibri" w:hAnsi="Calibri" w:cs="Calibri"/>
                <w:color w:val="000000" w:themeColor="text1"/>
                <w:sz w:val="22"/>
              </w:rPr>
            </w:pPr>
            <w:r w:rsidRPr="002B4576">
              <w:rPr>
                <w:rFonts w:ascii="Calibri" w:hAnsi="Calibri" w:cs="Calibri"/>
                <w:b/>
                <w:color w:val="000000" w:themeColor="text1"/>
                <w:sz w:val="22"/>
              </w:rPr>
              <w:t>OPERATIVNI CILJ</w:t>
            </w:r>
          </w:p>
        </w:tc>
        <w:tc>
          <w:tcPr>
            <w:tcW w:w="0" w:type="auto"/>
          </w:tcPr>
          <w:p w14:paraId="43CAE62D" w14:textId="77777777" w:rsidR="007363B7" w:rsidRPr="002B4576" w:rsidRDefault="002B4576">
            <w:pPr>
              <w:rPr>
                <w:rFonts w:ascii="Calibri" w:hAnsi="Calibri" w:cs="Calibri"/>
                <w:color w:val="000000" w:themeColor="text1"/>
                <w:sz w:val="22"/>
              </w:rPr>
            </w:pPr>
            <w:r w:rsidRPr="002B4576">
              <w:rPr>
                <w:rFonts w:ascii="Calibri" w:hAnsi="Calibri" w:cs="Calibri"/>
                <w:b/>
                <w:color w:val="000000" w:themeColor="text1"/>
                <w:sz w:val="22"/>
              </w:rPr>
              <w:t>INDIKATOR OPERATIVNOG CILJA</w:t>
            </w:r>
          </w:p>
        </w:tc>
        <w:tc>
          <w:tcPr>
            <w:tcW w:w="0" w:type="auto"/>
          </w:tcPr>
          <w:p w14:paraId="59ED255C" w14:textId="77777777" w:rsidR="007363B7" w:rsidRPr="002B4576" w:rsidRDefault="002B4576">
            <w:pPr>
              <w:rPr>
                <w:rFonts w:ascii="Calibri" w:hAnsi="Calibri" w:cs="Calibri"/>
                <w:color w:val="000000" w:themeColor="text1"/>
                <w:sz w:val="22"/>
              </w:rPr>
            </w:pPr>
            <w:r w:rsidRPr="002B4576">
              <w:rPr>
                <w:rFonts w:ascii="Calibri" w:hAnsi="Calibri" w:cs="Calibri"/>
                <w:b/>
                <w:color w:val="000000" w:themeColor="text1"/>
                <w:sz w:val="22"/>
              </w:rPr>
              <w:t>MJERE/PAKETI MJERA IZ PROGRAMA MJERA</w:t>
            </w:r>
          </w:p>
        </w:tc>
      </w:tr>
      <w:tr w:rsidR="002B4576" w:rsidRPr="002B4576" w14:paraId="76ACE161" w14:textId="77777777">
        <w:tc>
          <w:tcPr>
            <w:tcW w:w="0" w:type="auto"/>
          </w:tcPr>
          <w:p w14:paraId="37026BC4" w14:textId="77777777" w:rsidR="007363B7" w:rsidRPr="002B4576" w:rsidRDefault="002B4576">
            <w:pPr>
              <w:rPr>
                <w:rFonts w:ascii="Calibri" w:hAnsi="Calibri" w:cs="Calibri"/>
                <w:color w:val="000000" w:themeColor="text1"/>
                <w:sz w:val="22"/>
              </w:rPr>
            </w:pPr>
            <w:r w:rsidRPr="002B4576">
              <w:rPr>
                <w:rFonts w:ascii="Calibri" w:hAnsi="Calibri" w:cs="Calibri"/>
                <w:color w:val="000000" w:themeColor="text1"/>
                <w:sz w:val="22"/>
              </w:rPr>
              <w:t>STRATEŠKI CILJ 1</w:t>
            </w:r>
          </w:p>
        </w:tc>
        <w:tc>
          <w:tcPr>
            <w:tcW w:w="0" w:type="auto"/>
          </w:tcPr>
          <w:p w14:paraId="72ED0874" w14:textId="77777777" w:rsidR="007363B7" w:rsidRPr="002B4576" w:rsidRDefault="00A31A74">
            <w:pPr>
              <w:rPr>
                <w:rFonts w:ascii="Calibri" w:hAnsi="Calibri" w:cs="Calibri"/>
                <w:color w:val="000000" w:themeColor="text1"/>
                <w:sz w:val="22"/>
              </w:rPr>
            </w:pPr>
            <w:r w:rsidRPr="002B4576">
              <w:rPr>
                <w:rFonts w:ascii="Calibri" w:hAnsi="Calibri" w:cs="Calibri"/>
                <w:color w:val="000000" w:themeColor="text1"/>
                <w:sz w:val="22"/>
              </w:rPr>
              <w:t>1.A - smanjenje koncentracija suspendovanih čestica i sadržaja benzo(a)pirena u Sjevernoj zoni kvaliteta vazduha</w:t>
            </w:r>
          </w:p>
        </w:tc>
        <w:tc>
          <w:tcPr>
            <w:tcW w:w="0" w:type="auto"/>
          </w:tcPr>
          <w:p w14:paraId="0A6A4A92" w14:textId="77777777" w:rsidR="007363B7" w:rsidRPr="002B4576" w:rsidRDefault="00A31A74">
            <w:pPr>
              <w:rPr>
                <w:rFonts w:ascii="Calibri" w:hAnsi="Calibri" w:cs="Calibri"/>
                <w:color w:val="000000" w:themeColor="text1"/>
                <w:sz w:val="22"/>
              </w:rPr>
            </w:pPr>
            <w:r w:rsidRPr="002B4576">
              <w:rPr>
                <w:rFonts w:ascii="Calibri" w:hAnsi="Calibri" w:cs="Calibri"/>
                <w:color w:val="000000" w:themeColor="text1"/>
                <w:sz w:val="22"/>
              </w:rPr>
              <w:t>Broj prekoračenja dnevne granične vrijednosti PM10 i srednje godišnje vrijednosti PM2.5 i BaP na mjernim mjestima u Sjevernoj zoni.</w:t>
            </w:r>
          </w:p>
        </w:tc>
        <w:tc>
          <w:tcPr>
            <w:tcW w:w="0" w:type="auto"/>
          </w:tcPr>
          <w:p w14:paraId="2ABB8367" w14:textId="77777777" w:rsidR="007363B7" w:rsidRPr="002B4576" w:rsidRDefault="00A31A74">
            <w:pPr>
              <w:rPr>
                <w:rFonts w:ascii="Calibri" w:hAnsi="Calibri" w:cs="Calibri"/>
                <w:color w:val="000000" w:themeColor="text1"/>
                <w:sz w:val="22"/>
              </w:rPr>
            </w:pPr>
            <w:r w:rsidRPr="002B4576">
              <w:rPr>
                <w:rFonts w:ascii="Calibri" w:hAnsi="Calibri" w:cs="Calibri"/>
                <w:color w:val="000000" w:themeColor="text1"/>
                <w:sz w:val="22"/>
              </w:rPr>
              <w:t>M1, M6, M7 i povezane lokalne mjere iz planova kvaliteta vazduha.</w:t>
            </w:r>
          </w:p>
        </w:tc>
      </w:tr>
      <w:tr w:rsidR="002B4576" w:rsidRPr="002B4576" w14:paraId="203E45E8" w14:textId="77777777">
        <w:tc>
          <w:tcPr>
            <w:tcW w:w="0" w:type="auto"/>
          </w:tcPr>
          <w:p w14:paraId="614F33B5" w14:textId="77777777" w:rsidR="007363B7" w:rsidRPr="002B4576" w:rsidRDefault="002B4576">
            <w:pPr>
              <w:rPr>
                <w:rFonts w:ascii="Calibri" w:hAnsi="Calibri" w:cs="Calibri"/>
                <w:color w:val="000000" w:themeColor="text1"/>
                <w:sz w:val="22"/>
              </w:rPr>
            </w:pPr>
            <w:r w:rsidRPr="002B4576">
              <w:rPr>
                <w:rFonts w:ascii="Calibri" w:hAnsi="Calibri" w:cs="Calibri"/>
                <w:color w:val="000000" w:themeColor="text1"/>
                <w:sz w:val="22"/>
              </w:rPr>
              <w:t>STRATEŠKI CILJ 1</w:t>
            </w:r>
          </w:p>
        </w:tc>
        <w:tc>
          <w:tcPr>
            <w:tcW w:w="0" w:type="auto"/>
          </w:tcPr>
          <w:p w14:paraId="367F8F21" w14:textId="77777777" w:rsidR="007363B7" w:rsidRPr="002B4576" w:rsidRDefault="00A31A74">
            <w:pPr>
              <w:rPr>
                <w:rFonts w:ascii="Calibri" w:hAnsi="Calibri" w:cs="Calibri"/>
                <w:color w:val="000000" w:themeColor="text1"/>
                <w:sz w:val="22"/>
              </w:rPr>
            </w:pPr>
            <w:r w:rsidRPr="002B4576">
              <w:rPr>
                <w:rFonts w:ascii="Calibri" w:hAnsi="Calibri" w:cs="Calibri"/>
                <w:color w:val="000000" w:themeColor="text1"/>
                <w:sz w:val="22"/>
              </w:rPr>
              <w:t>1.B - smanjenje sadržaja benzo(a)pirena u suspendovanim česticama u Centralnoj zoni kvaliteta vazduha</w:t>
            </w:r>
          </w:p>
        </w:tc>
        <w:tc>
          <w:tcPr>
            <w:tcW w:w="0" w:type="auto"/>
          </w:tcPr>
          <w:p w14:paraId="56A2BFCD" w14:textId="77777777" w:rsidR="007363B7" w:rsidRPr="002B4576" w:rsidRDefault="00A31A74">
            <w:pPr>
              <w:rPr>
                <w:rFonts w:ascii="Calibri" w:hAnsi="Calibri" w:cs="Calibri"/>
                <w:color w:val="000000" w:themeColor="text1"/>
                <w:sz w:val="22"/>
              </w:rPr>
            </w:pPr>
            <w:r w:rsidRPr="002B4576">
              <w:rPr>
                <w:rFonts w:ascii="Calibri" w:hAnsi="Calibri" w:cs="Calibri"/>
                <w:color w:val="000000" w:themeColor="text1"/>
                <w:sz w:val="22"/>
              </w:rPr>
              <w:t>Srednje godišnje vrijednosti BaP u PM10 i trend koncentracija PM10/PM2.5 u Centralnoj zoni.</w:t>
            </w:r>
          </w:p>
        </w:tc>
        <w:tc>
          <w:tcPr>
            <w:tcW w:w="0" w:type="auto"/>
          </w:tcPr>
          <w:p w14:paraId="3CA4FB02" w14:textId="77777777" w:rsidR="007363B7" w:rsidRPr="002B4576" w:rsidRDefault="00A31A74">
            <w:pPr>
              <w:rPr>
                <w:rFonts w:ascii="Calibri" w:hAnsi="Calibri" w:cs="Calibri"/>
                <w:color w:val="000000" w:themeColor="text1"/>
                <w:sz w:val="22"/>
              </w:rPr>
            </w:pPr>
            <w:r w:rsidRPr="002B4576">
              <w:rPr>
                <w:rFonts w:ascii="Calibri" w:hAnsi="Calibri" w:cs="Calibri"/>
                <w:color w:val="000000" w:themeColor="text1"/>
                <w:sz w:val="22"/>
              </w:rPr>
              <w:t>M7, M8, M9, M10 i lokalne mjere za saobraćaj i grijanje.</w:t>
            </w:r>
          </w:p>
        </w:tc>
      </w:tr>
      <w:tr w:rsidR="002B4576" w:rsidRPr="002B4576" w14:paraId="5BF908CC" w14:textId="77777777">
        <w:tc>
          <w:tcPr>
            <w:tcW w:w="0" w:type="auto"/>
          </w:tcPr>
          <w:p w14:paraId="100CA861" w14:textId="77777777" w:rsidR="007363B7" w:rsidRPr="002B4576" w:rsidRDefault="002B4576">
            <w:pPr>
              <w:rPr>
                <w:rFonts w:ascii="Calibri" w:hAnsi="Calibri" w:cs="Calibri"/>
                <w:color w:val="000000" w:themeColor="text1"/>
                <w:sz w:val="22"/>
              </w:rPr>
            </w:pPr>
            <w:r w:rsidRPr="002B4576">
              <w:rPr>
                <w:rFonts w:ascii="Calibri" w:hAnsi="Calibri" w:cs="Calibri"/>
                <w:color w:val="000000" w:themeColor="text1"/>
                <w:sz w:val="22"/>
              </w:rPr>
              <w:t>STRATEŠKI CILJ 1</w:t>
            </w:r>
          </w:p>
        </w:tc>
        <w:tc>
          <w:tcPr>
            <w:tcW w:w="0" w:type="auto"/>
          </w:tcPr>
          <w:p w14:paraId="50A45592" w14:textId="77777777" w:rsidR="007363B7" w:rsidRPr="002B4576" w:rsidRDefault="00A31A74">
            <w:pPr>
              <w:rPr>
                <w:rFonts w:ascii="Calibri" w:hAnsi="Calibri" w:cs="Calibri"/>
                <w:color w:val="000000" w:themeColor="text1"/>
                <w:sz w:val="22"/>
              </w:rPr>
            </w:pPr>
            <w:r w:rsidRPr="002B4576">
              <w:rPr>
                <w:rFonts w:ascii="Calibri" w:hAnsi="Calibri" w:cs="Calibri"/>
                <w:color w:val="000000" w:themeColor="text1"/>
                <w:sz w:val="22"/>
              </w:rPr>
              <w:t>1.C - smanjenje emisija zagađujućih materija (NOx, SO2, NMVOC, NH3 i PM2.5)</w:t>
            </w:r>
          </w:p>
        </w:tc>
        <w:tc>
          <w:tcPr>
            <w:tcW w:w="0" w:type="auto"/>
          </w:tcPr>
          <w:p w14:paraId="4B73B50E" w14:textId="77777777" w:rsidR="007363B7" w:rsidRPr="002B4576" w:rsidRDefault="00A31A74">
            <w:pPr>
              <w:rPr>
                <w:rFonts w:ascii="Calibri" w:hAnsi="Calibri" w:cs="Calibri"/>
                <w:color w:val="000000" w:themeColor="text1"/>
                <w:sz w:val="22"/>
              </w:rPr>
            </w:pPr>
            <w:r w:rsidRPr="002B4576">
              <w:rPr>
                <w:rFonts w:ascii="Calibri" w:hAnsi="Calibri" w:cs="Calibri"/>
                <w:color w:val="000000" w:themeColor="text1"/>
                <w:sz w:val="22"/>
              </w:rPr>
              <w:t>Procenat smanjenja nacionalnih emisija u odnosu na 2005. godinu, po zagađujućoj materiji.</w:t>
            </w:r>
          </w:p>
        </w:tc>
        <w:tc>
          <w:tcPr>
            <w:tcW w:w="0" w:type="auto"/>
          </w:tcPr>
          <w:p w14:paraId="0F0AF05E" w14:textId="5DA02CE8" w:rsidR="007363B7" w:rsidRDefault="00830F5E">
            <w:pPr>
              <w:rPr>
                <w:rFonts w:ascii="Calibri" w:hAnsi="Calibri" w:cs="Calibri"/>
                <w:color w:val="000000" w:themeColor="text1"/>
                <w:sz w:val="22"/>
              </w:rPr>
            </w:pPr>
            <w:r w:rsidRPr="00830F5E">
              <w:rPr>
                <w:rFonts w:ascii="Calibri" w:hAnsi="Calibri" w:cs="Calibri"/>
                <w:color w:val="000000" w:themeColor="text1"/>
                <w:sz w:val="22"/>
              </w:rPr>
              <w:t>Mjere kojima se neposredno smanjuju emisije iz energetike, saobraćaja, domaćinstava, poljoprivrede i otpada (M1, M2, M3, M5, M6, M7, M8, M9, M10, M11 i M12).</w:t>
            </w:r>
          </w:p>
          <w:p w14:paraId="30F5ACF5" w14:textId="2764AC27" w:rsidR="00830F5E" w:rsidRPr="002B4576" w:rsidRDefault="00830F5E">
            <w:pPr>
              <w:rPr>
                <w:rFonts w:ascii="Calibri" w:hAnsi="Calibri" w:cs="Calibri"/>
                <w:color w:val="000000" w:themeColor="text1"/>
                <w:sz w:val="22"/>
              </w:rPr>
            </w:pPr>
          </w:p>
        </w:tc>
      </w:tr>
      <w:tr w:rsidR="002B4576" w:rsidRPr="002B4576" w14:paraId="23E2A5CA" w14:textId="77777777">
        <w:tc>
          <w:tcPr>
            <w:tcW w:w="0" w:type="auto"/>
          </w:tcPr>
          <w:p w14:paraId="7BD3531F" w14:textId="77777777" w:rsidR="007363B7" w:rsidRPr="002B4576" w:rsidRDefault="002B4576">
            <w:pPr>
              <w:rPr>
                <w:rFonts w:ascii="Calibri" w:hAnsi="Calibri" w:cs="Calibri"/>
                <w:color w:val="000000" w:themeColor="text1"/>
                <w:sz w:val="22"/>
              </w:rPr>
            </w:pPr>
            <w:r w:rsidRPr="002B4576">
              <w:rPr>
                <w:rFonts w:ascii="Calibri" w:hAnsi="Calibri" w:cs="Calibri"/>
                <w:color w:val="000000" w:themeColor="text1"/>
                <w:sz w:val="22"/>
              </w:rPr>
              <w:t>STRATEŠKI CILJ 2</w:t>
            </w:r>
          </w:p>
        </w:tc>
        <w:tc>
          <w:tcPr>
            <w:tcW w:w="0" w:type="auto"/>
          </w:tcPr>
          <w:p w14:paraId="7528C45E" w14:textId="77777777" w:rsidR="007363B7" w:rsidRPr="002B4576" w:rsidRDefault="00A31A74">
            <w:pPr>
              <w:rPr>
                <w:rFonts w:ascii="Calibri" w:hAnsi="Calibri" w:cs="Calibri"/>
                <w:color w:val="000000" w:themeColor="text1"/>
                <w:sz w:val="22"/>
              </w:rPr>
            </w:pPr>
            <w:r w:rsidRPr="002B4576">
              <w:rPr>
                <w:rFonts w:ascii="Calibri" w:hAnsi="Calibri" w:cs="Calibri"/>
                <w:color w:val="000000" w:themeColor="text1"/>
                <w:sz w:val="22"/>
              </w:rPr>
              <w:t>2.A - poboljšanje kvaliteta podataka o kvalitetu vazduha i emisijama zagađujućih materija u vazduh</w:t>
            </w:r>
          </w:p>
        </w:tc>
        <w:tc>
          <w:tcPr>
            <w:tcW w:w="0" w:type="auto"/>
          </w:tcPr>
          <w:p w14:paraId="380250F2" w14:textId="77777777" w:rsidR="007363B7" w:rsidRPr="002B4576" w:rsidRDefault="00A31A74">
            <w:pPr>
              <w:rPr>
                <w:rFonts w:ascii="Calibri" w:hAnsi="Calibri" w:cs="Calibri"/>
                <w:color w:val="000000" w:themeColor="text1"/>
                <w:sz w:val="22"/>
              </w:rPr>
            </w:pPr>
            <w:r w:rsidRPr="002B4576">
              <w:rPr>
                <w:rFonts w:ascii="Calibri" w:hAnsi="Calibri" w:cs="Calibri"/>
                <w:color w:val="000000" w:themeColor="text1"/>
                <w:sz w:val="22"/>
              </w:rPr>
              <w:t>Stepen dostupnosti, potpunosti i pravovremenosti podataka iz monitoringa, inventara emisija, projekcija i modeliranja.</w:t>
            </w:r>
          </w:p>
        </w:tc>
        <w:tc>
          <w:tcPr>
            <w:tcW w:w="0" w:type="auto"/>
          </w:tcPr>
          <w:p w14:paraId="4BE82510" w14:textId="255DD9EF" w:rsidR="007363B7" w:rsidRPr="002B4576" w:rsidRDefault="00830F5E">
            <w:pPr>
              <w:rPr>
                <w:rFonts w:ascii="Calibri" w:hAnsi="Calibri" w:cs="Calibri"/>
                <w:color w:val="000000" w:themeColor="text1"/>
                <w:sz w:val="22"/>
              </w:rPr>
            </w:pPr>
            <w:r>
              <w:rPr>
                <w:rFonts w:ascii="Calibri" w:hAnsi="Calibri" w:cs="Calibri"/>
                <w:color w:val="000000" w:themeColor="text1"/>
                <w:sz w:val="22"/>
              </w:rPr>
              <w:t>M</w:t>
            </w:r>
            <w:r w:rsidRPr="00830F5E">
              <w:rPr>
                <w:rFonts w:ascii="Calibri" w:hAnsi="Calibri" w:cs="Calibri"/>
                <w:color w:val="000000" w:themeColor="text1"/>
                <w:sz w:val="22"/>
              </w:rPr>
              <w:t>jere unapređenja monitoringa kvaliteta vazduha, inventara emisija, projekcija, modeliranja kvaliteta vazduha, QA/QC procedura i digitalizacije podataka koje sprovode MERS, EPA i druge nadležne institucije.</w:t>
            </w:r>
            <w:r w:rsidR="00A31A74" w:rsidRPr="002B4576">
              <w:rPr>
                <w:rFonts w:ascii="Calibri" w:hAnsi="Calibri" w:cs="Calibri"/>
                <w:color w:val="000000" w:themeColor="text1"/>
                <w:sz w:val="22"/>
              </w:rPr>
              <w:t>.</w:t>
            </w:r>
          </w:p>
        </w:tc>
      </w:tr>
      <w:tr w:rsidR="002B4576" w:rsidRPr="002B4576" w14:paraId="068D1E0D" w14:textId="77777777">
        <w:tc>
          <w:tcPr>
            <w:tcW w:w="0" w:type="auto"/>
          </w:tcPr>
          <w:p w14:paraId="48FEFB18" w14:textId="77777777" w:rsidR="007363B7" w:rsidRPr="002B4576" w:rsidRDefault="002B4576">
            <w:pPr>
              <w:rPr>
                <w:rFonts w:ascii="Calibri" w:hAnsi="Calibri" w:cs="Calibri"/>
                <w:color w:val="000000" w:themeColor="text1"/>
                <w:sz w:val="22"/>
              </w:rPr>
            </w:pPr>
            <w:r w:rsidRPr="002B4576">
              <w:rPr>
                <w:rFonts w:ascii="Calibri" w:hAnsi="Calibri" w:cs="Calibri"/>
                <w:color w:val="000000" w:themeColor="text1"/>
                <w:sz w:val="22"/>
              </w:rPr>
              <w:lastRenderedPageBreak/>
              <w:t>STRATEŠKI CILJ 2</w:t>
            </w:r>
          </w:p>
        </w:tc>
        <w:tc>
          <w:tcPr>
            <w:tcW w:w="0" w:type="auto"/>
          </w:tcPr>
          <w:p w14:paraId="78F390D8" w14:textId="77777777" w:rsidR="007363B7" w:rsidRPr="002B4576" w:rsidRDefault="00A31A74">
            <w:pPr>
              <w:rPr>
                <w:rFonts w:ascii="Calibri" w:hAnsi="Calibri" w:cs="Calibri"/>
                <w:color w:val="000000" w:themeColor="text1"/>
                <w:sz w:val="22"/>
              </w:rPr>
            </w:pPr>
            <w:r w:rsidRPr="002B4576">
              <w:rPr>
                <w:rFonts w:ascii="Calibri" w:hAnsi="Calibri" w:cs="Calibri"/>
                <w:color w:val="000000" w:themeColor="text1"/>
                <w:sz w:val="22"/>
              </w:rPr>
              <w:t>2.B - unapređenje saradnje između relevantnih institucija, jedinica lokalne samouprave, civilnog sektora i stručne javnosti</w:t>
            </w:r>
          </w:p>
        </w:tc>
        <w:tc>
          <w:tcPr>
            <w:tcW w:w="0" w:type="auto"/>
          </w:tcPr>
          <w:p w14:paraId="3308B976" w14:textId="77777777" w:rsidR="007363B7" w:rsidRPr="002B4576" w:rsidRDefault="00A31A74">
            <w:pPr>
              <w:rPr>
                <w:rFonts w:ascii="Calibri" w:hAnsi="Calibri" w:cs="Calibri"/>
                <w:color w:val="000000" w:themeColor="text1"/>
                <w:sz w:val="22"/>
              </w:rPr>
            </w:pPr>
            <w:r w:rsidRPr="002B4576">
              <w:rPr>
                <w:rFonts w:ascii="Calibri" w:hAnsi="Calibri" w:cs="Calibri"/>
                <w:color w:val="000000" w:themeColor="text1"/>
                <w:sz w:val="22"/>
              </w:rPr>
              <w:t>Broj održanih sjednica koordinacionog tijela, izvještaja o sprovođenju i zajedničkih aktivnosti nadležnih organa.</w:t>
            </w:r>
          </w:p>
        </w:tc>
        <w:tc>
          <w:tcPr>
            <w:tcW w:w="0" w:type="auto"/>
          </w:tcPr>
          <w:p w14:paraId="70BFBB9B" w14:textId="1C7E6D88" w:rsidR="007363B7" w:rsidRPr="002B4576" w:rsidRDefault="00830F5E">
            <w:pPr>
              <w:rPr>
                <w:rFonts w:ascii="Calibri" w:hAnsi="Calibri" w:cs="Calibri"/>
                <w:color w:val="000000" w:themeColor="text1"/>
                <w:sz w:val="22"/>
              </w:rPr>
            </w:pPr>
            <w:r w:rsidRPr="00830F5E">
              <w:rPr>
                <w:rFonts w:ascii="Calibri" w:hAnsi="Calibri" w:cs="Calibri"/>
                <w:color w:val="000000" w:themeColor="text1"/>
                <w:sz w:val="22"/>
              </w:rPr>
              <w:t>Operativni cilj 2.B ostvaruje se horizontalno kroz sprovođenje svih mjera Programa, uz primjenu mehanizama institucionalne koordinacije, razmjene podataka, izvještavanja i saradnje definisanih Strategijom i Akcionim planom.</w:t>
            </w:r>
          </w:p>
        </w:tc>
      </w:tr>
      <w:tr w:rsidR="002B4576" w:rsidRPr="001C58C6" w14:paraId="37421D44" w14:textId="77777777">
        <w:tc>
          <w:tcPr>
            <w:tcW w:w="0" w:type="auto"/>
          </w:tcPr>
          <w:p w14:paraId="6EC68C32" w14:textId="77777777" w:rsidR="007363B7" w:rsidRPr="00C62EC0" w:rsidRDefault="002B4576">
            <w:pPr>
              <w:rPr>
                <w:rFonts w:ascii="Calibri" w:hAnsi="Calibri" w:cs="Calibri"/>
                <w:color w:val="000000" w:themeColor="text1"/>
                <w:sz w:val="22"/>
                <w:szCs w:val="20"/>
              </w:rPr>
            </w:pPr>
            <w:r w:rsidRPr="00C62EC0">
              <w:rPr>
                <w:rFonts w:ascii="Calibri" w:hAnsi="Calibri" w:cs="Calibri"/>
                <w:color w:val="000000" w:themeColor="text1"/>
                <w:sz w:val="22"/>
                <w:szCs w:val="20"/>
              </w:rPr>
              <w:t>STRATEŠKI CILJ 2</w:t>
            </w:r>
          </w:p>
        </w:tc>
        <w:tc>
          <w:tcPr>
            <w:tcW w:w="0" w:type="auto"/>
          </w:tcPr>
          <w:p w14:paraId="51FD5233" w14:textId="77777777" w:rsidR="007363B7" w:rsidRPr="00C62EC0" w:rsidRDefault="00A31A74">
            <w:pPr>
              <w:rPr>
                <w:rFonts w:ascii="Calibri" w:hAnsi="Calibri" w:cs="Calibri"/>
                <w:color w:val="000000" w:themeColor="text1"/>
                <w:sz w:val="22"/>
                <w:szCs w:val="20"/>
              </w:rPr>
            </w:pPr>
            <w:r w:rsidRPr="00C62EC0">
              <w:rPr>
                <w:rFonts w:ascii="Calibri" w:hAnsi="Calibri" w:cs="Calibri"/>
                <w:color w:val="000000" w:themeColor="text1"/>
                <w:sz w:val="22"/>
                <w:szCs w:val="20"/>
              </w:rPr>
              <w:t>2.C - dalje usklađivanje sa strožim standardima kvaliteta vazduha</w:t>
            </w:r>
          </w:p>
        </w:tc>
        <w:tc>
          <w:tcPr>
            <w:tcW w:w="0" w:type="auto"/>
          </w:tcPr>
          <w:p w14:paraId="7E474810" w14:textId="77777777" w:rsidR="007363B7" w:rsidRPr="00C62EC0" w:rsidRDefault="00A31A74">
            <w:pPr>
              <w:rPr>
                <w:rFonts w:ascii="Calibri" w:hAnsi="Calibri" w:cs="Calibri"/>
                <w:color w:val="000000" w:themeColor="text1"/>
                <w:sz w:val="22"/>
                <w:szCs w:val="20"/>
              </w:rPr>
            </w:pPr>
            <w:r w:rsidRPr="00C62EC0">
              <w:rPr>
                <w:rFonts w:ascii="Calibri" w:hAnsi="Calibri" w:cs="Calibri"/>
                <w:color w:val="000000" w:themeColor="text1"/>
                <w:sz w:val="22"/>
                <w:szCs w:val="20"/>
              </w:rPr>
              <w:t>Broj pripremljenih/usvojenih propisa, mapa puta i metodoloških dokumenata za primjenu novih EU standarda kvaliteta vazduha.</w:t>
            </w:r>
          </w:p>
        </w:tc>
        <w:tc>
          <w:tcPr>
            <w:tcW w:w="0" w:type="auto"/>
          </w:tcPr>
          <w:p w14:paraId="0FA49057" w14:textId="4B5CB8DA" w:rsidR="007363B7" w:rsidRPr="00C62EC0" w:rsidRDefault="00830F5E">
            <w:pPr>
              <w:rPr>
                <w:rFonts w:ascii="Calibri" w:hAnsi="Calibri" w:cs="Calibri"/>
                <w:color w:val="000000" w:themeColor="text1"/>
                <w:sz w:val="22"/>
                <w:szCs w:val="20"/>
              </w:rPr>
            </w:pPr>
            <w:r w:rsidRPr="00C62EC0">
              <w:rPr>
                <w:rFonts w:ascii="Calibri" w:hAnsi="Calibri" w:cs="Calibri"/>
                <w:color w:val="000000" w:themeColor="text1"/>
                <w:sz w:val="22"/>
                <w:szCs w:val="20"/>
              </w:rPr>
              <w:t>Mjere koje se odnose na transpoziciju Direktive (EU) 2024/2881 i Direktive (EU) 2016/2284, pripremu mape puta, izradu plana implementacije, korišćenje derogativnih mehanizama i druge regulatorne aktivnosti predviđene Programom mjera.</w:t>
            </w:r>
            <w:r>
              <w:rPr>
                <w:rFonts w:ascii="Calibri" w:hAnsi="Calibri" w:cs="Calibri"/>
                <w:color w:val="000000" w:themeColor="text1"/>
                <w:sz w:val="22"/>
                <w:szCs w:val="20"/>
              </w:rPr>
              <w:t xml:space="preserve"> </w:t>
            </w:r>
          </w:p>
        </w:tc>
      </w:tr>
    </w:tbl>
    <w:p w14:paraId="7E69945D" w14:textId="77777777" w:rsidR="00D14F76" w:rsidRPr="001C58C6" w:rsidRDefault="00D14F76">
      <w:pPr>
        <w:shd w:val="clear" w:color="auto" w:fill="FFFFFF"/>
        <w:spacing w:before="120" w:line="312" w:lineRule="atLeast"/>
        <w:rPr>
          <w:rFonts w:ascii="Calibri" w:eastAsia="Times New Roman" w:hAnsi="Calibri" w:cs="Calibri"/>
          <w:i/>
          <w:iCs/>
          <w:color w:val="000000" w:themeColor="text1"/>
          <w:sz w:val="18"/>
          <w:szCs w:val="18"/>
        </w:rPr>
      </w:pPr>
    </w:p>
    <w:tbl>
      <w:tblPr>
        <w:tblStyle w:val="GridTable1Light-Accent1"/>
        <w:tblW w:w="15178" w:type="dxa"/>
        <w:tblInd w:w="-998" w:type="dxa"/>
        <w:tblLayout w:type="fixed"/>
        <w:tblLook w:val="04A0" w:firstRow="1" w:lastRow="0" w:firstColumn="1" w:lastColumn="0" w:noHBand="0" w:noVBand="1"/>
      </w:tblPr>
      <w:tblGrid>
        <w:gridCol w:w="1560"/>
        <w:gridCol w:w="1134"/>
        <w:gridCol w:w="451"/>
        <w:gridCol w:w="610"/>
        <w:gridCol w:w="924"/>
        <w:gridCol w:w="850"/>
        <w:gridCol w:w="709"/>
        <w:gridCol w:w="567"/>
        <w:gridCol w:w="142"/>
        <w:gridCol w:w="1134"/>
        <w:gridCol w:w="709"/>
        <w:gridCol w:w="285"/>
        <w:gridCol w:w="1416"/>
        <w:gridCol w:w="1559"/>
        <w:gridCol w:w="1276"/>
        <w:gridCol w:w="1852"/>
      </w:tblGrid>
      <w:tr w:rsidR="00D14F76" w:rsidRPr="001C58C6" w14:paraId="0687D31E" w14:textId="77777777" w:rsidTr="00E404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val="restart"/>
            <w:vAlign w:val="center"/>
            <w:hideMark/>
          </w:tcPr>
          <w:p w14:paraId="336DABBF" w14:textId="77777777" w:rsidR="00D14F76" w:rsidRPr="001C58C6" w:rsidRDefault="00D14F76" w:rsidP="002C1EB5">
            <w:pPr>
              <w:contextualSpacing/>
              <w:jc w:val="center"/>
              <w:rPr>
                <w:rFonts w:ascii="Calibri" w:eastAsia="Times New Roman" w:hAnsi="Calibri" w:cs="Calibri"/>
                <w:b w:val="0"/>
                <w:bCs w:val="0"/>
                <w:color w:val="000000" w:themeColor="text1"/>
                <w:sz w:val="18"/>
                <w:szCs w:val="18"/>
              </w:rPr>
            </w:pPr>
            <w:r w:rsidRPr="001C58C6">
              <w:rPr>
                <w:rFonts w:ascii="Calibri" w:eastAsia="Times New Roman" w:hAnsi="Calibri" w:cs="Calibri"/>
                <w:color w:val="000000" w:themeColor="text1"/>
                <w:sz w:val="18"/>
                <w:szCs w:val="18"/>
              </w:rPr>
              <w:t>Naziv i kratak opis pojedinačnih politika i mjera ili paketa politika i mjera (O)</w:t>
            </w:r>
          </w:p>
        </w:tc>
        <w:tc>
          <w:tcPr>
            <w:tcW w:w="1134" w:type="dxa"/>
            <w:vMerge w:val="restart"/>
            <w:vAlign w:val="center"/>
            <w:hideMark/>
          </w:tcPr>
          <w:p w14:paraId="116290E3" w14:textId="77777777" w:rsidR="00D14F76" w:rsidRPr="001C58C6" w:rsidRDefault="00D14F76" w:rsidP="002C1EB5">
            <w:pPr>
              <w:ind w:left="-63"/>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8"/>
                <w:szCs w:val="18"/>
              </w:rPr>
            </w:pPr>
            <w:r w:rsidRPr="001C58C6">
              <w:rPr>
                <w:rFonts w:ascii="Calibri" w:eastAsia="Times New Roman" w:hAnsi="Calibri" w:cs="Calibri"/>
                <w:color w:val="000000" w:themeColor="text1"/>
                <w:sz w:val="18"/>
                <w:szCs w:val="18"/>
              </w:rPr>
              <w:t>Zahvaćeni zagađivač ili zagađivači, odaberite ono što je primjenjivo</w:t>
            </w:r>
          </w:p>
          <w:p w14:paraId="0D5D076B" w14:textId="77777777" w:rsidR="00D14F76" w:rsidRPr="001C58C6" w:rsidRDefault="00D14F76" w:rsidP="002C1EB5">
            <w:pPr>
              <w:ind w:left="-63"/>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8"/>
                <w:szCs w:val="18"/>
              </w:rPr>
            </w:pPr>
            <w:r w:rsidRPr="001C58C6">
              <w:rPr>
                <w:rFonts w:ascii="Calibri" w:eastAsia="Times New Roman" w:hAnsi="Calibri" w:cs="Calibri"/>
                <w:color w:val="000000" w:themeColor="text1"/>
                <w:sz w:val="18"/>
                <w:szCs w:val="18"/>
              </w:rPr>
              <w:t>SO</w:t>
            </w:r>
            <w:r w:rsidRPr="001C58C6">
              <w:rPr>
                <w:rFonts w:ascii="Calibri" w:eastAsia="Times New Roman" w:hAnsi="Calibri" w:cs="Calibri"/>
                <w:color w:val="000000" w:themeColor="text1"/>
                <w:sz w:val="18"/>
                <w:szCs w:val="18"/>
                <w:vertAlign w:val="subscript"/>
              </w:rPr>
              <w:t>2</w:t>
            </w:r>
            <w:r w:rsidRPr="001C58C6">
              <w:rPr>
                <w:rFonts w:ascii="Calibri" w:eastAsia="Times New Roman" w:hAnsi="Calibri" w:cs="Calibri"/>
                <w:color w:val="000000" w:themeColor="text1"/>
                <w:sz w:val="18"/>
                <w:szCs w:val="18"/>
              </w:rPr>
              <w:t>, NO</w:t>
            </w:r>
            <w:r w:rsidRPr="001C58C6">
              <w:rPr>
                <w:rFonts w:ascii="Calibri" w:eastAsia="Times New Roman" w:hAnsi="Calibri" w:cs="Calibri"/>
                <w:color w:val="000000" w:themeColor="text1"/>
                <w:sz w:val="18"/>
                <w:szCs w:val="18"/>
                <w:vertAlign w:val="subscript"/>
              </w:rPr>
              <w:t>x</w:t>
            </w:r>
            <w:r w:rsidRPr="001C58C6">
              <w:rPr>
                <w:rFonts w:ascii="Calibri" w:eastAsia="Times New Roman" w:hAnsi="Calibri" w:cs="Calibri"/>
                <w:color w:val="000000" w:themeColor="text1"/>
                <w:sz w:val="18"/>
                <w:szCs w:val="18"/>
              </w:rPr>
              <w:t>, NMHOS, NH</w:t>
            </w:r>
            <w:r w:rsidRPr="001C58C6">
              <w:rPr>
                <w:rFonts w:ascii="Calibri" w:eastAsia="Times New Roman" w:hAnsi="Calibri" w:cs="Calibri"/>
                <w:color w:val="000000" w:themeColor="text1"/>
                <w:sz w:val="18"/>
                <w:szCs w:val="18"/>
                <w:vertAlign w:val="subscript"/>
              </w:rPr>
              <w:t>3</w:t>
            </w:r>
            <w:r w:rsidRPr="001C58C6">
              <w:rPr>
                <w:rFonts w:ascii="Calibri" w:eastAsia="Times New Roman" w:hAnsi="Calibri" w:cs="Calibri"/>
                <w:color w:val="000000" w:themeColor="text1"/>
                <w:sz w:val="18"/>
                <w:szCs w:val="18"/>
              </w:rPr>
              <w:t>, PM</w:t>
            </w:r>
            <w:r w:rsidRPr="001C58C6">
              <w:rPr>
                <w:rFonts w:ascii="Calibri" w:eastAsia="Times New Roman" w:hAnsi="Calibri" w:cs="Calibri"/>
                <w:color w:val="000000" w:themeColor="text1"/>
                <w:sz w:val="18"/>
                <w:szCs w:val="18"/>
                <w:vertAlign w:val="subscript"/>
              </w:rPr>
              <w:t>2,5</w:t>
            </w:r>
            <w:r w:rsidRPr="001C58C6">
              <w:rPr>
                <w:rFonts w:ascii="Calibri" w:eastAsia="Times New Roman" w:hAnsi="Calibri" w:cs="Calibri"/>
                <w:color w:val="000000" w:themeColor="text1"/>
                <w:sz w:val="18"/>
                <w:szCs w:val="18"/>
              </w:rPr>
              <w:t>, (O); BC kao sastavni dio PM</w:t>
            </w:r>
            <w:r w:rsidRPr="001C58C6">
              <w:rPr>
                <w:rFonts w:ascii="Calibri" w:eastAsia="Times New Roman" w:hAnsi="Calibri" w:cs="Calibri"/>
                <w:color w:val="000000" w:themeColor="text1"/>
                <w:sz w:val="18"/>
                <w:szCs w:val="18"/>
                <w:vertAlign w:val="subscript"/>
              </w:rPr>
              <w:t>2,5</w:t>
            </w:r>
            <w:r w:rsidRPr="001C58C6">
              <w:rPr>
                <w:rFonts w:ascii="Calibri" w:eastAsia="Times New Roman" w:hAnsi="Calibri" w:cs="Calibri"/>
                <w:color w:val="000000" w:themeColor="text1"/>
                <w:sz w:val="18"/>
                <w:szCs w:val="18"/>
              </w:rPr>
              <w:t>, drugo (npr. Hg, dioksini, GHG) (N) – navedite</w:t>
            </w:r>
          </w:p>
        </w:tc>
        <w:tc>
          <w:tcPr>
            <w:tcW w:w="1061" w:type="dxa"/>
            <w:gridSpan w:val="2"/>
            <w:vMerge w:val="restart"/>
            <w:vAlign w:val="center"/>
            <w:hideMark/>
          </w:tcPr>
          <w:p w14:paraId="44F25B21" w14:textId="77777777" w:rsidR="00D14F76" w:rsidRPr="001C58C6" w:rsidRDefault="00D14F76" w:rsidP="002C1EB5">
            <w:pPr>
              <w:ind w:left="-19"/>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8"/>
                <w:szCs w:val="18"/>
              </w:rPr>
            </w:pPr>
            <w:r w:rsidRPr="001C58C6">
              <w:rPr>
                <w:rFonts w:ascii="Calibri" w:eastAsia="Times New Roman" w:hAnsi="Calibri" w:cs="Calibri"/>
                <w:color w:val="000000" w:themeColor="text1"/>
                <w:sz w:val="18"/>
                <w:szCs w:val="18"/>
              </w:rPr>
              <w:t>Ciljevi pojedinačnih politika i mjera ili paketa politika i mjera (*) (O)</w:t>
            </w:r>
          </w:p>
        </w:tc>
        <w:tc>
          <w:tcPr>
            <w:tcW w:w="924" w:type="dxa"/>
            <w:vMerge w:val="restart"/>
            <w:vAlign w:val="center"/>
            <w:hideMark/>
          </w:tcPr>
          <w:p w14:paraId="209ED0DD" w14:textId="77777777" w:rsidR="00D14F76" w:rsidRPr="001C58C6" w:rsidRDefault="00D14F76" w:rsidP="002C1EB5">
            <w:pPr>
              <w:ind w:left="-33" w:right="-114" w:hanging="3"/>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8"/>
                <w:szCs w:val="18"/>
              </w:rPr>
            </w:pPr>
            <w:r w:rsidRPr="001C58C6">
              <w:rPr>
                <w:rFonts w:ascii="Calibri" w:eastAsia="Times New Roman" w:hAnsi="Calibri" w:cs="Calibri"/>
                <w:color w:val="000000" w:themeColor="text1"/>
                <w:sz w:val="18"/>
                <w:szCs w:val="18"/>
              </w:rPr>
              <w:t>Vrste politika i mjera (^) (O)</w:t>
            </w:r>
          </w:p>
        </w:tc>
        <w:tc>
          <w:tcPr>
            <w:tcW w:w="850" w:type="dxa"/>
            <w:vMerge w:val="restart"/>
            <w:vAlign w:val="center"/>
            <w:hideMark/>
          </w:tcPr>
          <w:p w14:paraId="07BF79E4" w14:textId="77777777" w:rsidR="00D14F76" w:rsidRPr="001C58C6" w:rsidRDefault="00D14F76" w:rsidP="002C1EB5">
            <w:pPr>
              <w:ind w:left="-102"/>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8"/>
                <w:szCs w:val="18"/>
              </w:rPr>
            </w:pPr>
            <w:r w:rsidRPr="001C58C6">
              <w:rPr>
                <w:rFonts w:ascii="Calibri" w:eastAsia="Times New Roman" w:hAnsi="Calibri" w:cs="Calibri"/>
                <w:color w:val="000000" w:themeColor="text1"/>
                <w:sz w:val="18"/>
                <w:szCs w:val="18"/>
              </w:rPr>
              <w:t>Primarni i, ako je primjenjivo, dodatni zahvaćeni sektori (†) (O)</w:t>
            </w:r>
          </w:p>
        </w:tc>
        <w:tc>
          <w:tcPr>
            <w:tcW w:w="1418" w:type="dxa"/>
            <w:gridSpan w:val="3"/>
            <w:vAlign w:val="center"/>
            <w:hideMark/>
          </w:tcPr>
          <w:p w14:paraId="57B3DDDE" w14:textId="77777777" w:rsidR="00D14F76" w:rsidRPr="001C58C6" w:rsidRDefault="00D14F76" w:rsidP="002C1EB5">
            <w:pPr>
              <w:ind w:left="-108"/>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8"/>
                <w:szCs w:val="18"/>
              </w:rPr>
            </w:pPr>
            <w:r w:rsidRPr="001C58C6">
              <w:rPr>
                <w:rFonts w:ascii="Calibri" w:eastAsia="Times New Roman" w:hAnsi="Calibri" w:cs="Calibri"/>
                <w:color w:val="000000" w:themeColor="text1"/>
                <w:sz w:val="18"/>
                <w:szCs w:val="18"/>
              </w:rPr>
              <w:t>Period sprovođenja (O za mjere odabrane za sprovođenje)</w:t>
            </w:r>
          </w:p>
        </w:tc>
        <w:tc>
          <w:tcPr>
            <w:tcW w:w="1843" w:type="dxa"/>
            <w:gridSpan w:val="2"/>
            <w:vAlign w:val="center"/>
            <w:hideMark/>
          </w:tcPr>
          <w:p w14:paraId="2A5376C6" w14:textId="77777777" w:rsidR="00D14F76" w:rsidRPr="001C58C6" w:rsidRDefault="00D14F76" w:rsidP="002C1EB5">
            <w:pPr>
              <w:ind w:left="-104"/>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8"/>
                <w:szCs w:val="18"/>
              </w:rPr>
            </w:pPr>
            <w:r w:rsidRPr="001C58C6">
              <w:rPr>
                <w:rFonts w:ascii="Calibri" w:eastAsia="Times New Roman" w:hAnsi="Calibri" w:cs="Calibri"/>
                <w:color w:val="000000" w:themeColor="text1"/>
                <w:sz w:val="18"/>
                <w:szCs w:val="18"/>
              </w:rPr>
              <w:t>Tijelo ili tijela nadležna za sprovođenje (O za mjere odabrane za sprovođenje)</w:t>
            </w:r>
          </w:p>
          <w:p w14:paraId="5F005DB3" w14:textId="77777777" w:rsidR="00D14F76" w:rsidRPr="001C58C6" w:rsidRDefault="00D14F76" w:rsidP="002C1EB5">
            <w:pPr>
              <w:ind w:left="-104"/>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8"/>
                <w:szCs w:val="18"/>
              </w:rPr>
            </w:pPr>
            <w:r w:rsidRPr="001C58C6">
              <w:rPr>
                <w:rFonts w:ascii="Calibri" w:eastAsia="Times New Roman" w:hAnsi="Calibri" w:cs="Calibri"/>
                <w:color w:val="000000" w:themeColor="text1"/>
                <w:sz w:val="18"/>
                <w:szCs w:val="18"/>
              </w:rPr>
              <w:t>Ako je primjenjivo, navedite ona sa spiska u tabeli 2.3.2.</w:t>
            </w:r>
          </w:p>
        </w:tc>
        <w:tc>
          <w:tcPr>
            <w:tcW w:w="1701" w:type="dxa"/>
            <w:gridSpan w:val="2"/>
            <w:vMerge w:val="restart"/>
            <w:vAlign w:val="center"/>
            <w:hideMark/>
          </w:tcPr>
          <w:p w14:paraId="2C1778B7" w14:textId="77777777" w:rsidR="00D14F76" w:rsidRPr="001C58C6" w:rsidRDefault="00D14F76" w:rsidP="002C1EB5">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8"/>
                <w:szCs w:val="18"/>
              </w:rPr>
            </w:pPr>
            <w:r w:rsidRPr="001C58C6">
              <w:rPr>
                <w:rFonts w:ascii="Calibri" w:eastAsia="Times New Roman" w:hAnsi="Calibri" w:cs="Calibri"/>
                <w:color w:val="000000" w:themeColor="text1"/>
                <w:sz w:val="18"/>
                <w:szCs w:val="18"/>
              </w:rPr>
              <w:t>Pojedinosti o metodologijama koje su se koristile za analizu (npr. posebni modeli ili metode, osnovni podaci) (O)</w:t>
            </w:r>
          </w:p>
        </w:tc>
        <w:tc>
          <w:tcPr>
            <w:tcW w:w="1559" w:type="dxa"/>
            <w:vAlign w:val="center"/>
            <w:hideMark/>
          </w:tcPr>
          <w:p w14:paraId="1B7ED269" w14:textId="36CA48AB" w:rsidR="00D14F76" w:rsidRPr="001C58C6" w:rsidRDefault="00D14F76" w:rsidP="002C1EB5">
            <w:pPr>
              <w:ind w:left="-108"/>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8"/>
                <w:szCs w:val="18"/>
              </w:rPr>
            </w:pPr>
            <w:r w:rsidRPr="001C58C6">
              <w:rPr>
                <w:rFonts w:ascii="Calibri" w:eastAsia="Times New Roman" w:hAnsi="Calibri" w:cs="Calibri"/>
                <w:color w:val="000000" w:themeColor="text1"/>
                <w:sz w:val="18"/>
                <w:szCs w:val="18"/>
              </w:rPr>
              <w:t>Kvantifikovana očekivana smanjenja emisija (za pojedinačne politike i mjere ili za pakete politika i mjera, kako je primjenjivo) (kt, godišnje ili kao raspon, u poređenju s projekcijama sa mjerama) (O)</w:t>
            </w:r>
          </w:p>
        </w:tc>
        <w:tc>
          <w:tcPr>
            <w:tcW w:w="1276" w:type="dxa"/>
            <w:vAlign w:val="center"/>
          </w:tcPr>
          <w:p w14:paraId="6B5AB605" w14:textId="77777777" w:rsidR="00D14F76" w:rsidRPr="001C58C6" w:rsidRDefault="00D14F76" w:rsidP="002C1EB5">
            <w:pPr>
              <w:ind w:right="195"/>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Trošak</w:t>
            </w:r>
          </w:p>
        </w:tc>
        <w:tc>
          <w:tcPr>
            <w:tcW w:w="1852" w:type="dxa"/>
            <w:vMerge w:val="restart"/>
            <w:vAlign w:val="center"/>
            <w:hideMark/>
          </w:tcPr>
          <w:p w14:paraId="1205E0A5" w14:textId="77777777" w:rsidR="00D14F76" w:rsidRPr="001C58C6" w:rsidRDefault="00D14F76" w:rsidP="002C1EB5">
            <w:pPr>
              <w:ind w:right="195"/>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8"/>
                <w:szCs w:val="18"/>
              </w:rPr>
            </w:pPr>
            <w:r w:rsidRPr="001C58C6">
              <w:rPr>
                <w:rFonts w:ascii="Calibri" w:eastAsia="Times New Roman" w:hAnsi="Calibri" w:cs="Calibri"/>
                <w:color w:val="000000" w:themeColor="text1"/>
                <w:sz w:val="18"/>
                <w:szCs w:val="18"/>
              </w:rPr>
              <w:t>Kvalitativni opis neizvjesnosti (O, ako postoje)</w:t>
            </w:r>
          </w:p>
        </w:tc>
      </w:tr>
      <w:tr w:rsidR="00D14F76" w:rsidRPr="001C58C6" w14:paraId="1486D608" w14:textId="77777777" w:rsidTr="00E40401">
        <w:tc>
          <w:tcPr>
            <w:cnfStyle w:val="001000000000" w:firstRow="0" w:lastRow="0" w:firstColumn="1" w:lastColumn="0" w:oddVBand="0" w:evenVBand="0" w:oddHBand="0" w:evenHBand="0" w:firstRowFirstColumn="0" w:firstRowLastColumn="0" w:lastRowFirstColumn="0" w:lastRowLastColumn="0"/>
            <w:tcW w:w="1560" w:type="dxa"/>
            <w:vMerge/>
            <w:hideMark/>
          </w:tcPr>
          <w:p w14:paraId="23BAC9B7" w14:textId="77777777" w:rsidR="00D14F76" w:rsidRPr="001C58C6" w:rsidRDefault="00D14F76" w:rsidP="002C1EB5">
            <w:pPr>
              <w:contextualSpacing/>
              <w:jc w:val="left"/>
              <w:rPr>
                <w:rFonts w:ascii="Calibri" w:eastAsia="Times New Roman" w:hAnsi="Calibri" w:cs="Calibri"/>
                <w:b w:val="0"/>
                <w:bCs w:val="0"/>
                <w:color w:val="000000" w:themeColor="text1"/>
                <w:sz w:val="18"/>
                <w:szCs w:val="18"/>
              </w:rPr>
            </w:pPr>
          </w:p>
        </w:tc>
        <w:tc>
          <w:tcPr>
            <w:tcW w:w="1134" w:type="dxa"/>
            <w:vMerge/>
            <w:hideMark/>
          </w:tcPr>
          <w:p w14:paraId="4FD94493" w14:textId="77777777" w:rsidR="00D14F76" w:rsidRPr="001C58C6" w:rsidRDefault="00D14F76" w:rsidP="002C1EB5">
            <w:pPr>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p>
        </w:tc>
        <w:tc>
          <w:tcPr>
            <w:tcW w:w="1061" w:type="dxa"/>
            <w:gridSpan w:val="2"/>
            <w:vMerge/>
            <w:hideMark/>
          </w:tcPr>
          <w:p w14:paraId="5D28A619" w14:textId="77777777" w:rsidR="00D14F76" w:rsidRPr="001C58C6" w:rsidRDefault="00D14F76" w:rsidP="002C1EB5">
            <w:pPr>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p>
        </w:tc>
        <w:tc>
          <w:tcPr>
            <w:tcW w:w="924" w:type="dxa"/>
            <w:vMerge/>
            <w:hideMark/>
          </w:tcPr>
          <w:p w14:paraId="7B790018" w14:textId="77777777" w:rsidR="00D14F76" w:rsidRPr="001C58C6" w:rsidRDefault="00D14F76" w:rsidP="002C1EB5">
            <w:pPr>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p>
        </w:tc>
        <w:tc>
          <w:tcPr>
            <w:tcW w:w="850" w:type="dxa"/>
            <w:vMerge/>
            <w:hideMark/>
          </w:tcPr>
          <w:p w14:paraId="6C0591F3" w14:textId="77777777" w:rsidR="00D14F76" w:rsidRPr="001C58C6" w:rsidRDefault="00D14F76" w:rsidP="002C1EB5">
            <w:pPr>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p>
        </w:tc>
        <w:tc>
          <w:tcPr>
            <w:tcW w:w="709" w:type="dxa"/>
            <w:vAlign w:val="center"/>
            <w:hideMark/>
          </w:tcPr>
          <w:p w14:paraId="2CBD1396" w14:textId="77777777" w:rsidR="00D14F76" w:rsidRPr="001C58C6" w:rsidRDefault="00D14F76" w:rsidP="002C1EB5">
            <w:pPr>
              <w:ind w:left="-108" w:right="-66"/>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Početak</w:t>
            </w:r>
          </w:p>
        </w:tc>
        <w:tc>
          <w:tcPr>
            <w:tcW w:w="567" w:type="dxa"/>
            <w:vAlign w:val="center"/>
            <w:hideMark/>
          </w:tcPr>
          <w:p w14:paraId="6CA52227" w14:textId="77777777" w:rsidR="00D14F76" w:rsidRPr="001C58C6" w:rsidRDefault="00D14F76" w:rsidP="002C1EB5">
            <w:pPr>
              <w:ind w:left="-109" w:right="-11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kraj</w:t>
            </w:r>
          </w:p>
        </w:tc>
        <w:tc>
          <w:tcPr>
            <w:tcW w:w="1276" w:type="dxa"/>
            <w:gridSpan w:val="2"/>
            <w:vAlign w:val="center"/>
            <w:hideMark/>
          </w:tcPr>
          <w:p w14:paraId="161C2902" w14:textId="77777777" w:rsidR="00D14F76" w:rsidRPr="001C58C6" w:rsidRDefault="00D14F76" w:rsidP="002C1EB5">
            <w:pPr>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Vrsta</w:t>
            </w:r>
          </w:p>
        </w:tc>
        <w:tc>
          <w:tcPr>
            <w:tcW w:w="709" w:type="dxa"/>
            <w:vAlign w:val="center"/>
            <w:hideMark/>
          </w:tcPr>
          <w:p w14:paraId="515DE880" w14:textId="77777777" w:rsidR="00D14F76" w:rsidRPr="001C58C6" w:rsidRDefault="00D14F76" w:rsidP="002C1EB5">
            <w:pPr>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Ime</w:t>
            </w:r>
          </w:p>
        </w:tc>
        <w:tc>
          <w:tcPr>
            <w:tcW w:w="1701" w:type="dxa"/>
            <w:gridSpan w:val="2"/>
            <w:vMerge/>
            <w:vAlign w:val="center"/>
            <w:hideMark/>
          </w:tcPr>
          <w:p w14:paraId="1AAD47E0"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p>
        </w:tc>
        <w:tc>
          <w:tcPr>
            <w:tcW w:w="1559" w:type="dxa"/>
            <w:vAlign w:val="center"/>
            <w:hideMark/>
          </w:tcPr>
          <w:p w14:paraId="04AB19E5" w14:textId="77777777" w:rsidR="00D14F76" w:rsidRPr="001C58C6" w:rsidRDefault="00D14F76" w:rsidP="002C1EB5">
            <w:pPr>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eastAsia="Times New Roman" w:hAnsi="Calibri" w:cs="Calibri"/>
                <w:b/>
                <w:bCs/>
                <w:color w:val="000000" w:themeColor="text1"/>
                <w:sz w:val="18"/>
                <w:szCs w:val="18"/>
              </w:rPr>
              <w:t>2029.</w:t>
            </w:r>
          </w:p>
        </w:tc>
        <w:tc>
          <w:tcPr>
            <w:tcW w:w="1276" w:type="dxa"/>
            <w:vAlign w:val="center"/>
          </w:tcPr>
          <w:p w14:paraId="330D1E8A"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eastAsia="Times New Roman" w:hAnsi="Calibri" w:cs="Calibri"/>
                <w:b/>
                <w:bCs/>
                <w:color w:val="000000" w:themeColor="text1"/>
                <w:sz w:val="18"/>
                <w:szCs w:val="18"/>
              </w:rPr>
              <w:t>EUR</w:t>
            </w:r>
          </w:p>
        </w:tc>
        <w:tc>
          <w:tcPr>
            <w:tcW w:w="1852" w:type="dxa"/>
            <w:vMerge/>
            <w:hideMark/>
          </w:tcPr>
          <w:p w14:paraId="19595E64" w14:textId="77777777" w:rsidR="00D14F76" w:rsidRPr="001C58C6" w:rsidRDefault="00D14F76" w:rsidP="002C1EB5">
            <w:pPr>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p>
        </w:tc>
      </w:tr>
      <w:tr w:rsidR="00D14F76" w:rsidRPr="001C58C6" w14:paraId="260F8D9F" w14:textId="77777777" w:rsidTr="00E40401">
        <w:tc>
          <w:tcPr>
            <w:cnfStyle w:val="001000000000" w:firstRow="0" w:lastRow="0" w:firstColumn="1" w:lastColumn="0" w:oddVBand="0" w:evenVBand="0" w:oddHBand="0" w:evenHBand="0" w:firstRowFirstColumn="0" w:firstRowLastColumn="0" w:lastRowFirstColumn="0" w:lastRowLastColumn="0"/>
            <w:tcW w:w="1560" w:type="dxa"/>
            <w:hideMark/>
          </w:tcPr>
          <w:p w14:paraId="13CDB11F" w14:textId="77777777" w:rsidR="00D14F76" w:rsidRPr="001C58C6" w:rsidRDefault="00D14F76" w:rsidP="002C1EB5">
            <w:pPr>
              <w:contextualSpacing/>
              <w:jc w:val="center"/>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M1. Rekonstrukcija TE Pljevlja i plan budućeg angažovanja</w:t>
            </w:r>
          </w:p>
        </w:tc>
        <w:tc>
          <w:tcPr>
            <w:tcW w:w="1134" w:type="dxa"/>
            <w:hideMark/>
          </w:tcPr>
          <w:p w14:paraId="5510BF49"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SO₂, NOₓ, NMVOC, PM₂.₅</w:t>
            </w:r>
          </w:p>
        </w:tc>
        <w:tc>
          <w:tcPr>
            <w:tcW w:w="1061" w:type="dxa"/>
            <w:gridSpan w:val="2"/>
            <w:hideMark/>
          </w:tcPr>
          <w:p w14:paraId="7E87493A"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 xml:space="preserve">Smanjenje emisija iz termoelektrane kroz ekološku rekonstrukciju (ugradnja FGD i DeNOx sistema), ograničenje </w:t>
            </w:r>
            <w:r w:rsidRPr="001C58C6">
              <w:rPr>
                <w:rFonts w:ascii="Calibri" w:hAnsi="Calibri" w:cs="Calibri"/>
                <w:color w:val="000000" w:themeColor="text1"/>
                <w:sz w:val="18"/>
                <w:szCs w:val="18"/>
              </w:rPr>
              <w:lastRenderedPageBreak/>
              <w:t>rada TE nakon 2026.</w:t>
            </w:r>
          </w:p>
        </w:tc>
        <w:tc>
          <w:tcPr>
            <w:tcW w:w="924" w:type="dxa"/>
            <w:hideMark/>
          </w:tcPr>
          <w:p w14:paraId="271143FD" w14:textId="77777777" w:rsidR="00D14F76" w:rsidRPr="001C58C6" w:rsidRDefault="00D14F76" w:rsidP="002C1EB5">
            <w:pPr>
              <w:ind w:left="-35" w:right="-11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lastRenderedPageBreak/>
              <w:t xml:space="preserve">Kontrola emisija na izvoru, Regulatorna, </w:t>
            </w:r>
            <w:r w:rsidRPr="001C58C6">
              <w:rPr>
                <w:rFonts w:ascii="Calibri" w:eastAsia="Aptos" w:hAnsi="Calibri" w:cs="Calibri"/>
                <w:color w:val="000000" w:themeColor="text1"/>
                <w:kern w:val="2"/>
                <w:sz w:val="18"/>
                <w:szCs w:val="18"/>
              </w:rPr>
              <w:t xml:space="preserve">Tehnička, Investicija, </w:t>
            </w:r>
            <w:r w:rsidRPr="001C58C6">
              <w:rPr>
                <w:rFonts w:ascii="Calibri" w:hAnsi="Calibri" w:cs="Calibri"/>
                <w:color w:val="000000" w:themeColor="text1"/>
                <w:sz w:val="18"/>
                <w:szCs w:val="18"/>
              </w:rPr>
              <w:t>Planiranje</w:t>
            </w:r>
          </w:p>
        </w:tc>
        <w:tc>
          <w:tcPr>
            <w:tcW w:w="850" w:type="dxa"/>
            <w:hideMark/>
          </w:tcPr>
          <w:p w14:paraId="5C69F595"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Proizvodnja energije</w:t>
            </w:r>
          </w:p>
        </w:tc>
        <w:tc>
          <w:tcPr>
            <w:tcW w:w="709" w:type="dxa"/>
            <w:hideMark/>
          </w:tcPr>
          <w:p w14:paraId="67FF4991" w14:textId="77777777" w:rsidR="00D14F76" w:rsidRPr="001C58C6" w:rsidRDefault="00D14F76" w:rsidP="002C1EB5">
            <w:pPr>
              <w:ind w:right="-66"/>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 xml:space="preserve">2024 </w:t>
            </w:r>
          </w:p>
        </w:tc>
        <w:tc>
          <w:tcPr>
            <w:tcW w:w="567" w:type="dxa"/>
            <w:hideMark/>
          </w:tcPr>
          <w:p w14:paraId="47B623DB" w14:textId="77777777" w:rsidR="00D14F76" w:rsidRPr="001C58C6" w:rsidRDefault="00D14F76" w:rsidP="002C1EB5">
            <w:pPr>
              <w:ind w:left="-109" w:right="-11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2026</w:t>
            </w:r>
          </w:p>
        </w:tc>
        <w:tc>
          <w:tcPr>
            <w:tcW w:w="1276" w:type="dxa"/>
            <w:gridSpan w:val="2"/>
            <w:hideMark/>
          </w:tcPr>
          <w:p w14:paraId="318A5CC7" w14:textId="77777777" w:rsidR="00D14F76" w:rsidRPr="001C58C6" w:rsidRDefault="00D14F76" w:rsidP="002C1EB5">
            <w:pPr>
              <w:ind w:left="-114" w:right="-111"/>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Operator termoenergetskog postrojenja, nadležno ministarstvo</w:t>
            </w:r>
          </w:p>
        </w:tc>
        <w:tc>
          <w:tcPr>
            <w:tcW w:w="709" w:type="dxa"/>
            <w:hideMark/>
          </w:tcPr>
          <w:p w14:paraId="24161E6E" w14:textId="77777777" w:rsidR="00D14F76" w:rsidRPr="001C58C6" w:rsidRDefault="00D14F76" w:rsidP="002C1EB5">
            <w:pPr>
              <w:ind w:right="-109"/>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EPCG, MEIR</w:t>
            </w:r>
          </w:p>
        </w:tc>
        <w:tc>
          <w:tcPr>
            <w:tcW w:w="1701" w:type="dxa"/>
            <w:gridSpan w:val="2"/>
            <w:hideMark/>
          </w:tcPr>
          <w:p w14:paraId="7F9A1728"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Projekat rekonstrukcije, NECP modeliranje emisija i energije, zakonsko ograničenje iz Zakona o industrijskim emisijama</w:t>
            </w:r>
          </w:p>
        </w:tc>
        <w:tc>
          <w:tcPr>
            <w:tcW w:w="1559" w:type="dxa"/>
          </w:tcPr>
          <w:p w14:paraId="55775862"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NOx – 5,4 kt, NMVOC – 0,01 kt, SO</w:t>
            </w:r>
            <w:r w:rsidRPr="001C58C6">
              <w:rPr>
                <w:rFonts w:ascii="Calibri" w:hAnsi="Calibri" w:cs="Calibri"/>
                <w:color w:val="000000" w:themeColor="text1"/>
                <w:sz w:val="18"/>
                <w:szCs w:val="18"/>
                <w:vertAlign w:val="subscript"/>
              </w:rPr>
              <w:t>2</w:t>
            </w:r>
            <w:r w:rsidRPr="001C58C6">
              <w:rPr>
                <w:rFonts w:ascii="Calibri" w:hAnsi="Calibri" w:cs="Calibri"/>
                <w:color w:val="000000" w:themeColor="text1"/>
                <w:sz w:val="18"/>
                <w:szCs w:val="18"/>
              </w:rPr>
              <w:t xml:space="preserve"> – 73 kt, PM</w:t>
            </w:r>
            <w:r w:rsidRPr="001C58C6">
              <w:rPr>
                <w:rFonts w:ascii="Calibri" w:hAnsi="Calibri" w:cs="Calibri"/>
                <w:color w:val="000000" w:themeColor="text1"/>
                <w:sz w:val="18"/>
                <w:szCs w:val="18"/>
                <w:vertAlign w:val="subscript"/>
              </w:rPr>
              <w:t>2.5</w:t>
            </w:r>
            <w:r w:rsidRPr="001C58C6">
              <w:rPr>
                <w:rFonts w:ascii="Calibri" w:hAnsi="Calibri" w:cs="Calibri"/>
                <w:color w:val="000000" w:themeColor="text1"/>
                <w:sz w:val="18"/>
                <w:szCs w:val="18"/>
              </w:rPr>
              <w:t xml:space="preserve"> – 0,06 kt</w:t>
            </w:r>
          </w:p>
          <w:p w14:paraId="5E86955F"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p>
        </w:tc>
        <w:tc>
          <w:tcPr>
            <w:tcW w:w="1276" w:type="dxa"/>
          </w:tcPr>
          <w:p w14:paraId="6C1D3B52"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Aptos" w:hAnsi="Calibri" w:cs="Calibri"/>
                <w:color w:val="000000" w:themeColor="text1"/>
                <w:kern w:val="2"/>
                <w:sz w:val="18"/>
                <w:szCs w:val="18"/>
              </w:rPr>
            </w:pPr>
            <w:r w:rsidRPr="001C58C6">
              <w:rPr>
                <w:rFonts w:ascii="Calibri" w:eastAsia="Aptos" w:hAnsi="Calibri" w:cs="Calibri"/>
                <w:color w:val="000000" w:themeColor="text1"/>
                <w:kern w:val="2"/>
                <w:sz w:val="18"/>
                <w:szCs w:val="18"/>
              </w:rPr>
              <w:t>54.500.000</w:t>
            </w:r>
          </w:p>
        </w:tc>
        <w:tc>
          <w:tcPr>
            <w:tcW w:w="1852" w:type="dxa"/>
            <w:hideMark/>
          </w:tcPr>
          <w:p w14:paraId="3879A284"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Niska –</w:t>
            </w:r>
          </w:p>
          <w:p w14:paraId="2D5C60D2"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zavisna od</w:t>
            </w:r>
          </w:p>
          <w:p w14:paraId="4BFB1AFA"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dinamike</w:t>
            </w:r>
          </w:p>
          <w:p w14:paraId="7B46B59E"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radova i</w:t>
            </w:r>
          </w:p>
          <w:p w14:paraId="62B27591"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tehničke</w:t>
            </w:r>
          </w:p>
          <w:p w14:paraId="73552F96"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validacije, uglavnom realizovana</w:t>
            </w:r>
          </w:p>
        </w:tc>
      </w:tr>
      <w:tr w:rsidR="00D14F76" w:rsidRPr="001C58C6" w14:paraId="38C612A7" w14:textId="77777777" w:rsidTr="00E40401">
        <w:tc>
          <w:tcPr>
            <w:cnfStyle w:val="001000000000" w:firstRow="0" w:lastRow="0" w:firstColumn="1" w:lastColumn="0" w:oddVBand="0" w:evenVBand="0" w:oddHBand="0" w:evenHBand="0" w:firstRowFirstColumn="0" w:firstRowLastColumn="0" w:lastRowFirstColumn="0" w:lastRowLastColumn="0"/>
            <w:tcW w:w="1560" w:type="dxa"/>
            <w:hideMark/>
          </w:tcPr>
          <w:p w14:paraId="3DB8D79E" w14:textId="77777777" w:rsidR="00D14F76" w:rsidRPr="001C58C6" w:rsidRDefault="00D14F76" w:rsidP="002C1EB5">
            <w:pPr>
              <w:contextualSpacing/>
              <w:jc w:val="center"/>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M2. Nove OIE elektrane (vjetar, solar)</w:t>
            </w:r>
          </w:p>
        </w:tc>
        <w:tc>
          <w:tcPr>
            <w:tcW w:w="1134" w:type="dxa"/>
            <w:hideMark/>
          </w:tcPr>
          <w:p w14:paraId="77348D7B"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SO₂, NOₓ, NMVOC, NH</w:t>
            </w:r>
            <w:r w:rsidRPr="001C58C6">
              <w:rPr>
                <w:rFonts w:ascii="Calibri" w:eastAsia="Aptos" w:hAnsi="Calibri" w:cs="Calibri"/>
                <w:color w:val="000000" w:themeColor="text1"/>
                <w:kern w:val="2"/>
                <w:sz w:val="18"/>
                <w:szCs w:val="18"/>
                <w:vertAlign w:val="subscript"/>
              </w:rPr>
              <w:t>3</w:t>
            </w:r>
            <w:r w:rsidRPr="001C58C6">
              <w:rPr>
                <w:rFonts w:ascii="Calibri" w:eastAsia="Aptos" w:hAnsi="Calibri" w:cs="Calibri"/>
                <w:color w:val="000000" w:themeColor="text1"/>
                <w:kern w:val="2"/>
                <w:sz w:val="18"/>
                <w:szCs w:val="18"/>
              </w:rPr>
              <w:t>, PM₂.₅</w:t>
            </w:r>
          </w:p>
        </w:tc>
        <w:tc>
          <w:tcPr>
            <w:tcW w:w="1061" w:type="dxa"/>
            <w:gridSpan w:val="2"/>
            <w:hideMark/>
          </w:tcPr>
          <w:p w14:paraId="362493A8"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Povećanje kapaciteta OIE (≥ 600 MW do 2030), zamjena fosilne proizvodnje</w:t>
            </w:r>
          </w:p>
        </w:tc>
        <w:tc>
          <w:tcPr>
            <w:tcW w:w="924" w:type="dxa"/>
            <w:hideMark/>
          </w:tcPr>
          <w:p w14:paraId="34416421" w14:textId="77777777" w:rsidR="00D14F76" w:rsidRPr="001C58C6" w:rsidRDefault="00D14F76" w:rsidP="002C1EB5">
            <w:pPr>
              <w:ind w:left="-35" w:right="-11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Tehnička, Planiranje, Investicije, Ekonomski instrumenti</w:t>
            </w:r>
          </w:p>
        </w:tc>
        <w:tc>
          <w:tcPr>
            <w:tcW w:w="850" w:type="dxa"/>
            <w:hideMark/>
          </w:tcPr>
          <w:p w14:paraId="4BAB267F"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Proizvodnja energije</w:t>
            </w:r>
          </w:p>
        </w:tc>
        <w:tc>
          <w:tcPr>
            <w:tcW w:w="709" w:type="dxa"/>
            <w:hideMark/>
          </w:tcPr>
          <w:p w14:paraId="7FF0AE2D" w14:textId="77777777" w:rsidR="00D14F76" w:rsidRPr="001C58C6" w:rsidRDefault="00D14F76" w:rsidP="002C1EB5">
            <w:pPr>
              <w:ind w:right="-66"/>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 xml:space="preserve">2024 </w:t>
            </w:r>
          </w:p>
        </w:tc>
        <w:tc>
          <w:tcPr>
            <w:tcW w:w="567" w:type="dxa"/>
            <w:hideMark/>
          </w:tcPr>
          <w:p w14:paraId="4F56DE98" w14:textId="77777777" w:rsidR="00D14F76" w:rsidRPr="001C58C6" w:rsidRDefault="00D14F76" w:rsidP="002C1EB5">
            <w:pPr>
              <w:ind w:left="-109" w:right="-11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2030</w:t>
            </w:r>
          </w:p>
        </w:tc>
        <w:tc>
          <w:tcPr>
            <w:tcW w:w="1276" w:type="dxa"/>
            <w:gridSpan w:val="2"/>
            <w:hideMark/>
          </w:tcPr>
          <w:p w14:paraId="52A65CF0" w14:textId="77777777" w:rsidR="00D14F76" w:rsidRPr="001C58C6" w:rsidRDefault="00D14F76" w:rsidP="002C1EB5">
            <w:pPr>
              <w:ind w:left="-114" w:right="-111"/>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nadležno ministarstvo, državna elektroenergetska kompanija, privatni investitori, državna elektroprenosna kompanija</w:t>
            </w:r>
          </w:p>
        </w:tc>
        <w:tc>
          <w:tcPr>
            <w:tcW w:w="709" w:type="dxa"/>
            <w:hideMark/>
          </w:tcPr>
          <w:p w14:paraId="5348365B" w14:textId="77777777" w:rsidR="00D14F76" w:rsidRPr="001C58C6" w:rsidRDefault="00D14F76" w:rsidP="002C1EB5">
            <w:pPr>
              <w:ind w:right="-109"/>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MEIR, EPCG, privatni investitori, CGES, CEDIS</w:t>
            </w:r>
          </w:p>
        </w:tc>
        <w:tc>
          <w:tcPr>
            <w:tcW w:w="1701" w:type="dxa"/>
            <w:gridSpan w:val="2"/>
            <w:hideMark/>
          </w:tcPr>
          <w:p w14:paraId="145A32BA"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WAM scenario NECP, projekti vjetro/solarnih parkova, decentralizovana proizvodnja energije od strane proizvođača - kupaca</w:t>
            </w:r>
          </w:p>
        </w:tc>
        <w:tc>
          <w:tcPr>
            <w:tcW w:w="1559" w:type="dxa"/>
          </w:tcPr>
          <w:p w14:paraId="6358D219"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NOx – 0,08 kt, NMVOC – 0,73 kt, SO</w:t>
            </w:r>
            <w:r w:rsidRPr="001C58C6">
              <w:rPr>
                <w:rFonts w:ascii="Calibri" w:hAnsi="Calibri" w:cs="Calibri"/>
                <w:color w:val="000000" w:themeColor="text1"/>
                <w:sz w:val="18"/>
                <w:szCs w:val="18"/>
                <w:vertAlign w:val="subscript"/>
              </w:rPr>
              <w:t>2</w:t>
            </w:r>
            <w:r w:rsidRPr="001C58C6">
              <w:rPr>
                <w:rFonts w:ascii="Calibri" w:hAnsi="Calibri" w:cs="Calibri"/>
                <w:color w:val="000000" w:themeColor="text1"/>
                <w:sz w:val="18"/>
                <w:szCs w:val="18"/>
              </w:rPr>
              <w:t xml:space="preserve"> – 0,2 kt , NH</w:t>
            </w:r>
            <w:r w:rsidRPr="001C58C6">
              <w:rPr>
                <w:rFonts w:ascii="Calibri" w:hAnsi="Calibri" w:cs="Calibri"/>
                <w:color w:val="000000" w:themeColor="text1"/>
                <w:sz w:val="18"/>
                <w:szCs w:val="18"/>
                <w:vertAlign w:val="subscript"/>
              </w:rPr>
              <w:t>3</w:t>
            </w:r>
            <w:r w:rsidRPr="001C58C6">
              <w:rPr>
                <w:rFonts w:ascii="Calibri" w:hAnsi="Calibri" w:cs="Calibri"/>
                <w:color w:val="000000" w:themeColor="text1"/>
                <w:sz w:val="18"/>
                <w:szCs w:val="18"/>
              </w:rPr>
              <w:t xml:space="preserve"> – 0,01 kt, PM</w:t>
            </w:r>
            <w:r w:rsidRPr="001C58C6">
              <w:rPr>
                <w:rFonts w:ascii="Calibri" w:hAnsi="Calibri" w:cs="Calibri"/>
                <w:color w:val="000000" w:themeColor="text1"/>
                <w:sz w:val="18"/>
                <w:szCs w:val="18"/>
                <w:vertAlign w:val="subscript"/>
              </w:rPr>
              <w:t>2.5</w:t>
            </w:r>
            <w:r w:rsidRPr="001C58C6">
              <w:rPr>
                <w:rFonts w:ascii="Calibri" w:hAnsi="Calibri" w:cs="Calibri"/>
                <w:color w:val="000000" w:themeColor="text1"/>
                <w:sz w:val="18"/>
                <w:szCs w:val="18"/>
              </w:rPr>
              <w:t xml:space="preserve"> – 0,69 kt</w:t>
            </w:r>
          </w:p>
          <w:p w14:paraId="618102B0"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p>
        </w:tc>
        <w:tc>
          <w:tcPr>
            <w:tcW w:w="1276" w:type="dxa"/>
          </w:tcPr>
          <w:p w14:paraId="2D511293" w14:textId="77777777" w:rsidR="00D14F76" w:rsidRPr="001C58C6" w:rsidRDefault="00D14F76" w:rsidP="002C1EB5">
            <w:pPr>
              <w:ind w:left="-103" w:right="-105"/>
              <w:contextualSpacing/>
              <w:jc w:val="center"/>
              <w:cnfStyle w:val="000000000000" w:firstRow="0" w:lastRow="0" w:firstColumn="0" w:lastColumn="0" w:oddVBand="0" w:evenVBand="0" w:oddHBand="0" w:evenHBand="0" w:firstRowFirstColumn="0" w:firstRowLastColumn="0" w:lastRowFirstColumn="0" w:lastRowLastColumn="0"/>
              <w:rPr>
                <w:rFonts w:ascii="Calibri" w:eastAsia="Aptos" w:hAnsi="Calibri" w:cs="Calibri"/>
                <w:color w:val="000000" w:themeColor="text1"/>
                <w:kern w:val="2"/>
                <w:sz w:val="18"/>
                <w:szCs w:val="18"/>
              </w:rPr>
            </w:pPr>
            <w:r w:rsidRPr="001C58C6">
              <w:rPr>
                <w:rFonts w:ascii="Calibri" w:eastAsia="Aptos" w:hAnsi="Calibri" w:cs="Calibri"/>
                <w:color w:val="000000" w:themeColor="text1"/>
                <w:kern w:val="2"/>
                <w:sz w:val="18"/>
                <w:szCs w:val="18"/>
              </w:rPr>
              <w:t>1.500.000.000</w:t>
            </w:r>
          </w:p>
        </w:tc>
        <w:tc>
          <w:tcPr>
            <w:tcW w:w="1852" w:type="dxa"/>
            <w:hideMark/>
          </w:tcPr>
          <w:p w14:paraId="1A4255D1"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Aptos" w:hAnsi="Calibri" w:cs="Calibri"/>
                <w:color w:val="000000" w:themeColor="text1"/>
                <w:kern w:val="2"/>
                <w:sz w:val="18"/>
                <w:szCs w:val="18"/>
              </w:rPr>
            </w:pPr>
            <w:r w:rsidRPr="001C58C6">
              <w:rPr>
                <w:rFonts w:ascii="Calibri" w:eastAsia="Aptos" w:hAnsi="Calibri" w:cs="Calibri"/>
                <w:color w:val="000000" w:themeColor="text1"/>
                <w:kern w:val="2"/>
                <w:sz w:val="18"/>
                <w:szCs w:val="18"/>
              </w:rPr>
              <w:t>Umjerena –</w:t>
            </w:r>
          </w:p>
          <w:p w14:paraId="7DE2E02E"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Aptos" w:hAnsi="Calibri" w:cs="Calibri"/>
                <w:color w:val="000000" w:themeColor="text1"/>
                <w:kern w:val="2"/>
                <w:sz w:val="18"/>
                <w:szCs w:val="18"/>
              </w:rPr>
            </w:pPr>
            <w:r w:rsidRPr="001C58C6">
              <w:rPr>
                <w:rFonts w:ascii="Calibri" w:eastAsia="Aptos" w:hAnsi="Calibri" w:cs="Calibri"/>
                <w:color w:val="000000" w:themeColor="text1"/>
                <w:kern w:val="2"/>
                <w:sz w:val="18"/>
                <w:szCs w:val="18"/>
              </w:rPr>
              <w:t>zavisna od</w:t>
            </w:r>
          </w:p>
          <w:p w14:paraId="03BF39D4"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Aptos" w:hAnsi="Calibri" w:cs="Calibri"/>
                <w:color w:val="000000" w:themeColor="text1"/>
                <w:kern w:val="2"/>
                <w:sz w:val="18"/>
                <w:szCs w:val="18"/>
              </w:rPr>
            </w:pPr>
            <w:r w:rsidRPr="001C58C6">
              <w:rPr>
                <w:rFonts w:ascii="Calibri" w:eastAsia="Aptos" w:hAnsi="Calibri" w:cs="Calibri"/>
                <w:color w:val="000000" w:themeColor="text1"/>
                <w:kern w:val="2"/>
                <w:sz w:val="18"/>
                <w:szCs w:val="18"/>
              </w:rPr>
              <w:t>mogućnosti priključenja</w:t>
            </w:r>
          </w:p>
          <w:p w14:paraId="5A1A29E5"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novih OIE elektrana na mrežu i zainteresovanosti investitora</w:t>
            </w:r>
          </w:p>
        </w:tc>
      </w:tr>
      <w:tr w:rsidR="00D14F76" w:rsidRPr="001C58C6" w14:paraId="7426D5DC" w14:textId="77777777" w:rsidTr="00E40401">
        <w:tc>
          <w:tcPr>
            <w:cnfStyle w:val="001000000000" w:firstRow="0" w:lastRow="0" w:firstColumn="1" w:lastColumn="0" w:oddVBand="0" w:evenVBand="0" w:oddHBand="0" w:evenHBand="0" w:firstRowFirstColumn="0" w:firstRowLastColumn="0" w:lastRowFirstColumn="0" w:lastRowLastColumn="0"/>
            <w:tcW w:w="1560" w:type="dxa"/>
            <w:hideMark/>
          </w:tcPr>
          <w:p w14:paraId="21C6700E" w14:textId="77777777" w:rsidR="00D14F76" w:rsidRPr="001C58C6" w:rsidRDefault="00D14F76" w:rsidP="002C1EB5">
            <w:pPr>
              <w:contextualSpacing/>
              <w:jc w:val="center"/>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M3. Aukcije za OIE i dodatni kapaciteti</w:t>
            </w:r>
          </w:p>
        </w:tc>
        <w:tc>
          <w:tcPr>
            <w:tcW w:w="1134" w:type="dxa"/>
            <w:hideMark/>
          </w:tcPr>
          <w:p w14:paraId="54C58554"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SO₂, NOₓ, NMVOC, NH</w:t>
            </w:r>
            <w:r w:rsidRPr="001C58C6">
              <w:rPr>
                <w:rFonts w:ascii="Calibri" w:eastAsia="Aptos" w:hAnsi="Calibri" w:cs="Calibri"/>
                <w:color w:val="000000" w:themeColor="text1"/>
                <w:kern w:val="2"/>
                <w:sz w:val="18"/>
                <w:szCs w:val="18"/>
                <w:vertAlign w:val="subscript"/>
              </w:rPr>
              <w:t>3</w:t>
            </w:r>
            <w:r w:rsidRPr="001C58C6">
              <w:rPr>
                <w:rFonts w:ascii="Calibri" w:eastAsia="Aptos" w:hAnsi="Calibri" w:cs="Calibri"/>
                <w:color w:val="000000" w:themeColor="text1"/>
                <w:kern w:val="2"/>
                <w:sz w:val="18"/>
                <w:szCs w:val="18"/>
              </w:rPr>
              <w:t>, PM₂.₅</w:t>
            </w:r>
          </w:p>
        </w:tc>
        <w:tc>
          <w:tcPr>
            <w:tcW w:w="1061" w:type="dxa"/>
            <w:gridSpan w:val="2"/>
            <w:hideMark/>
          </w:tcPr>
          <w:p w14:paraId="3898C2DB"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Uspostavljanje aukcijskog sistema za dodjelu OIE projekata (≥ 200 MW)</w:t>
            </w:r>
          </w:p>
        </w:tc>
        <w:tc>
          <w:tcPr>
            <w:tcW w:w="924" w:type="dxa"/>
            <w:hideMark/>
          </w:tcPr>
          <w:p w14:paraId="57780F25" w14:textId="77777777" w:rsidR="00D14F76" w:rsidRPr="001C58C6" w:rsidRDefault="00D14F76" w:rsidP="002C1EB5">
            <w:pPr>
              <w:ind w:left="-35" w:right="-11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Ekonomski instrumenti, Regulatorna, Tehnička, investicija</w:t>
            </w:r>
          </w:p>
        </w:tc>
        <w:tc>
          <w:tcPr>
            <w:tcW w:w="850" w:type="dxa"/>
            <w:hideMark/>
          </w:tcPr>
          <w:p w14:paraId="33E9D223"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Proizvodnja energije</w:t>
            </w:r>
          </w:p>
        </w:tc>
        <w:tc>
          <w:tcPr>
            <w:tcW w:w="709" w:type="dxa"/>
            <w:hideMark/>
          </w:tcPr>
          <w:p w14:paraId="2C2F5E6F" w14:textId="77777777" w:rsidR="00D14F76" w:rsidRPr="001C58C6" w:rsidRDefault="00D14F76" w:rsidP="002C1EB5">
            <w:pPr>
              <w:ind w:right="-66"/>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 xml:space="preserve">2026 </w:t>
            </w:r>
          </w:p>
        </w:tc>
        <w:tc>
          <w:tcPr>
            <w:tcW w:w="567" w:type="dxa"/>
            <w:hideMark/>
          </w:tcPr>
          <w:p w14:paraId="30469A5F" w14:textId="77777777" w:rsidR="00D14F76" w:rsidRPr="001C58C6" w:rsidRDefault="00D14F76" w:rsidP="002C1EB5">
            <w:pPr>
              <w:ind w:left="-109" w:right="-11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2030</w:t>
            </w:r>
          </w:p>
        </w:tc>
        <w:tc>
          <w:tcPr>
            <w:tcW w:w="1276" w:type="dxa"/>
            <w:gridSpan w:val="2"/>
            <w:hideMark/>
          </w:tcPr>
          <w:p w14:paraId="1F9D0462" w14:textId="77777777" w:rsidR="00D14F76" w:rsidRPr="001C58C6" w:rsidRDefault="00D14F76" w:rsidP="002C1EB5">
            <w:pPr>
              <w:ind w:left="-114" w:right="-111"/>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nadležno ministarstvo, državna elektroenergetska kompanija, privatni investitori, državna elektroprenosna kompanija, državna elektroenergetska kompanija</w:t>
            </w:r>
          </w:p>
        </w:tc>
        <w:tc>
          <w:tcPr>
            <w:tcW w:w="709" w:type="dxa"/>
            <w:hideMark/>
          </w:tcPr>
          <w:p w14:paraId="65BDDD38" w14:textId="77777777" w:rsidR="00D14F76" w:rsidRPr="001C58C6" w:rsidRDefault="00D14F76" w:rsidP="002C1EB5">
            <w:pPr>
              <w:ind w:right="-109"/>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MEIR, EPCG, privatni investitori, CGES</w:t>
            </w:r>
          </w:p>
        </w:tc>
        <w:tc>
          <w:tcPr>
            <w:tcW w:w="1701" w:type="dxa"/>
            <w:gridSpan w:val="2"/>
            <w:hideMark/>
          </w:tcPr>
          <w:p w14:paraId="3FDCA155"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Model troškova po MWh, podaci iz aukcija</w:t>
            </w:r>
          </w:p>
        </w:tc>
        <w:tc>
          <w:tcPr>
            <w:tcW w:w="1559" w:type="dxa"/>
          </w:tcPr>
          <w:p w14:paraId="0E261A9D"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NOx – 0,1 kt, NMVOC – 0,97 kt, SO</w:t>
            </w:r>
            <w:r w:rsidRPr="001C58C6">
              <w:rPr>
                <w:rFonts w:ascii="Calibri" w:hAnsi="Calibri" w:cs="Calibri"/>
                <w:color w:val="000000" w:themeColor="text1"/>
                <w:sz w:val="18"/>
                <w:szCs w:val="18"/>
                <w:vertAlign w:val="subscript"/>
              </w:rPr>
              <w:t>2</w:t>
            </w:r>
            <w:r w:rsidRPr="001C58C6">
              <w:rPr>
                <w:rFonts w:ascii="Calibri" w:hAnsi="Calibri" w:cs="Calibri"/>
                <w:color w:val="000000" w:themeColor="text1"/>
                <w:sz w:val="18"/>
                <w:szCs w:val="18"/>
              </w:rPr>
              <w:t xml:space="preserve"> - 0.2 kt, NH</w:t>
            </w:r>
            <w:r w:rsidRPr="001C58C6">
              <w:rPr>
                <w:rFonts w:ascii="Calibri" w:hAnsi="Calibri" w:cs="Calibri"/>
                <w:color w:val="000000" w:themeColor="text1"/>
                <w:sz w:val="18"/>
                <w:szCs w:val="18"/>
                <w:vertAlign w:val="subscript"/>
              </w:rPr>
              <w:t>3</w:t>
            </w:r>
            <w:r w:rsidRPr="001C58C6">
              <w:rPr>
                <w:rFonts w:ascii="Calibri" w:hAnsi="Calibri" w:cs="Calibri"/>
                <w:color w:val="000000" w:themeColor="text1"/>
                <w:sz w:val="18"/>
                <w:szCs w:val="18"/>
              </w:rPr>
              <w:t xml:space="preserve"> – 0,01 kt, PM</w:t>
            </w:r>
            <w:r w:rsidRPr="001C58C6">
              <w:rPr>
                <w:rFonts w:ascii="Calibri" w:hAnsi="Calibri" w:cs="Calibri"/>
                <w:color w:val="000000" w:themeColor="text1"/>
                <w:sz w:val="18"/>
                <w:szCs w:val="18"/>
                <w:vertAlign w:val="subscript"/>
              </w:rPr>
              <w:t>2.5</w:t>
            </w:r>
            <w:r w:rsidRPr="001C58C6">
              <w:rPr>
                <w:rFonts w:ascii="Calibri" w:hAnsi="Calibri" w:cs="Calibri"/>
                <w:color w:val="000000" w:themeColor="text1"/>
                <w:sz w:val="18"/>
                <w:szCs w:val="18"/>
              </w:rPr>
              <w:t xml:space="preserve"> – 0,99 kt</w:t>
            </w:r>
          </w:p>
          <w:p w14:paraId="66D7BF9E"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p>
        </w:tc>
        <w:tc>
          <w:tcPr>
            <w:tcW w:w="1276" w:type="dxa"/>
          </w:tcPr>
          <w:p w14:paraId="7DDEEE48" w14:textId="77777777" w:rsidR="00D14F76" w:rsidRPr="001C58C6" w:rsidRDefault="00D14F76" w:rsidP="002C1EB5">
            <w:pPr>
              <w:ind w:left="-103" w:right="-105"/>
              <w:contextualSpacing/>
              <w:jc w:val="center"/>
              <w:cnfStyle w:val="000000000000" w:firstRow="0" w:lastRow="0" w:firstColumn="0" w:lastColumn="0" w:oddVBand="0" w:evenVBand="0" w:oddHBand="0" w:evenHBand="0" w:firstRowFirstColumn="0" w:firstRowLastColumn="0" w:lastRowFirstColumn="0" w:lastRowLastColumn="0"/>
              <w:rPr>
                <w:rFonts w:ascii="Calibri" w:eastAsia="Aptos" w:hAnsi="Calibri" w:cs="Calibri"/>
                <w:color w:val="000000" w:themeColor="text1"/>
                <w:kern w:val="2"/>
                <w:sz w:val="18"/>
                <w:szCs w:val="18"/>
              </w:rPr>
            </w:pPr>
            <w:r w:rsidRPr="001C58C6">
              <w:rPr>
                <w:rFonts w:ascii="Calibri" w:eastAsia="Aptos" w:hAnsi="Calibri" w:cs="Calibri"/>
                <w:color w:val="000000" w:themeColor="text1"/>
                <w:kern w:val="2"/>
                <w:sz w:val="18"/>
                <w:szCs w:val="18"/>
              </w:rPr>
              <w:t>180.000.000</w:t>
            </w:r>
          </w:p>
        </w:tc>
        <w:tc>
          <w:tcPr>
            <w:tcW w:w="1852" w:type="dxa"/>
            <w:hideMark/>
          </w:tcPr>
          <w:p w14:paraId="6C6830D9"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Niska – visok interes investitora, pripremljen tender</w:t>
            </w:r>
          </w:p>
        </w:tc>
      </w:tr>
      <w:tr w:rsidR="00D14F76" w:rsidRPr="001C58C6" w14:paraId="49F517FE" w14:textId="77777777" w:rsidTr="00E40401">
        <w:tc>
          <w:tcPr>
            <w:cnfStyle w:val="001000000000" w:firstRow="0" w:lastRow="0" w:firstColumn="1" w:lastColumn="0" w:oddVBand="0" w:evenVBand="0" w:oddHBand="0" w:evenHBand="0" w:firstRowFirstColumn="0" w:firstRowLastColumn="0" w:lastRowFirstColumn="0" w:lastRowLastColumn="0"/>
            <w:tcW w:w="1560" w:type="dxa"/>
            <w:hideMark/>
          </w:tcPr>
          <w:p w14:paraId="10E761D2" w14:textId="77777777" w:rsidR="00D14F76" w:rsidRPr="001C58C6" w:rsidRDefault="00D14F76" w:rsidP="002C1EB5">
            <w:pPr>
              <w:contextualSpacing/>
              <w:jc w:val="center"/>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M4. Razvoj ETS/CP mehanizama</w:t>
            </w:r>
          </w:p>
        </w:tc>
        <w:tc>
          <w:tcPr>
            <w:tcW w:w="1134" w:type="dxa"/>
            <w:hideMark/>
          </w:tcPr>
          <w:p w14:paraId="17A0635F"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SO₂, NOₓ, PM₂.₅</w:t>
            </w:r>
          </w:p>
        </w:tc>
        <w:tc>
          <w:tcPr>
            <w:tcW w:w="1061" w:type="dxa"/>
            <w:gridSpan w:val="2"/>
            <w:hideMark/>
          </w:tcPr>
          <w:p w14:paraId="7F11022F"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Uspostavljanje nacionalnog tržišta emisija usklađenog sa EU ETS i izuzeće od CBAM-a</w:t>
            </w:r>
          </w:p>
        </w:tc>
        <w:tc>
          <w:tcPr>
            <w:tcW w:w="924" w:type="dxa"/>
            <w:hideMark/>
          </w:tcPr>
          <w:p w14:paraId="4A8DBAA3" w14:textId="77777777" w:rsidR="00D14F76" w:rsidRPr="001C58C6" w:rsidRDefault="00D14F76" w:rsidP="002C1EB5">
            <w:pPr>
              <w:ind w:left="-35" w:right="-11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Ekonomska, Regulatorna</w:t>
            </w:r>
          </w:p>
        </w:tc>
        <w:tc>
          <w:tcPr>
            <w:tcW w:w="850" w:type="dxa"/>
            <w:hideMark/>
          </w:tcPr>
          <w:p w14:paraId="3A3DD8E8"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Energetika, Industrijski tehnološki procesi</w:t>
            </w:r>
          </w:p>
        </w:tc>
        <w:tc>
          <w:tcPr>
            <w:tcW w:w="709" w:type="dxa"/>
            <w:hideMark/>
          </w:tcPr>
          <w:p w14:paraId="71B70004" w14:textId="77777777" w:rsidR="00D14F76" w:rsidRPr="001C58C6" w:rsidRDefault="00D14F76" w:rsidP="002C1EB5">
            <w:pPr>
              <w:ind w:right="-66"/>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 xml:space="preserve">2026 </w:t>
            </w:r>
          </w:p>
        </w:tc>
        <w:tc>
          <w:tcPr>
            <w:tcW w:w="567" w:type="dxa"/>
            <w:hideMark/>
          </w:tcPr>
          <w:p w14:paraId="14887B16" w14:textId="77777777" w:rsidR="00D14F76" w:rsidRPr="001C58C6" w:rsidRDefault="00D14F76" w:rsidP="002C1EB5">
            <w:pPr>
              <w:ind w:left="-109" w:right="-11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2030</w:t>
            </w:r>
          </w:p>
        </w:tc>
        <w:tc>
          <w:tcPr>
            <w:tcW w:w="1276" w:type="dxa"/>
            <w:gridSpan w:val="2"/>
            <w:hideMark/>
          </w:tcPr>
          <w:p w14:paraId="52E6C88B" w14:textId="77777777" w:rsidR="00D14F76" w:rsidRPr="001C58C6" w:rsidRDefault="00D14F76" w:rsidP="002C1EB5">
            <w:pPr>
              <w:ind w:left="-114" w:right="-111"/>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nadležna ministarstva, državna elektroenergetska kompanija</w:t>
            </w:r>
          </w:p>
        </w:tc>
        <w:tc>
          <w:tcPr>
            <w:tcW w:w="709" w:type="dxa"/>
            <w:hideMark/>
          </w:tcPr>
          <w:p w14:paraId="7AA85642" w14:textId="77777777" w:rsidR="00D14F76" w:rsidRPr="001C58C6" w:rsidRDefault="00D14F76" w:rsidP="002C1EB5">
            <w:pPr>
              <w:ind w:right="-109"/>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 xml:space="preserve">MEIR, </w:t>
            </w:r>
            <w:r w:rsidR="002C1EB5" w:rsidRPr="001C58C6">
              <w:rPr>
                <w:rFonts w:ascii="Calibri" w:hAnsi="Calibri" w:cs="Calibri"/>
                <w:color w:val="000000" w:themeColor="text1"/>
                <w:sz w:val="18"/>
                <w:szCs w:val="18"/>
              </w:rPr>
              <w:t>MF</w:t>
            </w:r>
            <w:r w:rsidRPr="001C58C6">
              <w:rPr>
                <w:rFonts w:ascii="Calibri" w:hAnsi="Calibri" w:cs="Calibri"/>
                <w:color w:val="000000" w:themeColor="text1"/>
                <w:sz w:val="18"/>
                <w:szCs w:val="18"/>
              </w:rPr>
              <w:t>, EPCG</w:t>
            </w:r>
          </w:p>
        </w:tc>
        <w:tc>
          <w:tcPr>
            <w:tcW w:w="1701" w:type="dxa"/>
            <w:gridSpan w:val="2"/>
            <w:hideMark/>
          </w:tcPr>
          <w:p w14:paraId="2702130C"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Analiza ETS modela, projekcije cijena ugljeničnih sertifikata, uticaj CBAM-a na izvoz električne energije iz CG u EU</w:t>
            </w:r>
          </w:p>
        </w:tc>
        <w:tc>
          <w:tcPr>
            <w:tcW w:w="1559" w:type="dxa"/>
          </w:tcPr>
          <w:p w14:paraId="15A16A96"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neznatno</w:t>
            </w:r>
          </w:p>
        </w:tc>
        <w:tc>
          <w:tcPr>
            <w:tcW w:w="1276" w:type="dxa"/>
          </w:tcPr>
          <w:p w14:paraId="6C82AAF2"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Aptos" w:hAnsi="Calibri" w:cs="Calibri"/>
                <w:color w:val="000000" w:themeColor="text1"/>
                <w:kern w:val="2"/>
                <w:sz w:val="18"/>
                <w:szCs w:val="18"/>
              </w:rPr>
            </w:pPr>
            <w:r w:rsidRPr="001C58C6">
              <w:rPr>
                <w:rFonts w:ascii="Calibri" w:eastAsia="Times New Roman" w:hAnsi="Calibri" w:cs="Calibri"/>
                <w:color w:val="000000" w:themeColor="text1"/>
                <w:sz w:val="18"/>
                <w:szCs w:val="18"/>
              </w:rPr>
              <w:t>neznatan</w:t>
            </w:r>
          </w:p>
        </w:tc>
        <w:tc>
          <w:tcPr>
            <w:tcW w:w="1852" w:type="dxa"/>
            <w:hideMark/>
          </w:tcPr>
          <w:p w14:paraId="6BE4F76E"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 xml:space="preserve">Umjerena – pravna i institucionalna neizvjesnost, realizacija u toku, visok uticaj na državnu elektroprivrednu kompaniju zbog proivodnje električne energije iz uglja, povoljna sa aspekta sprovođenja procesa pravedne tranzicije u regionu uglja Pv </w:t>
            </w:r>
          </w:p>
        </w:tc>
      </w:tr>
      <w:tr w:rsidR="00D14F76" w:rsidRPr="001C58C6" w14:paraId="10B61CA2" w14:textId="77777777" w:rsidTr="00E40401">
        <w:tc>
          <w:tcPr>
            <w:cnfStyle w:val="001000000000" w:firstRow="0" w:lastRow="0" w:firstColumn="1" w:lastColumn="0" w:oddVBand="0" w:evenVBand="0" w:oddHBand="0" w:evenHBand="0" w:firstRowFirstColumn="0" w:firstRowLastColumn="0" w:lastRowFirstColumn="0" w:lastRowLastColumn="0"/>
            <w:tcW w:w="1560" w:type="dxa"/>
            <w:hideMark/>
          </w:tcPr>
          <w:p w14:paraId="5AA64DCE" w14:textId="77777777" w:rsidR="00D14F76" w:rsidRPr="001C58C6" w:rsidRDefault="00D14F76" w:rsidP="002C1EB5">
            <w:pPr>
              <w:contextualSpacing/>
              <w:jc w:val="center"/>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M5. Obnova malih hidroelektrana</w:t>
            </w:r>
          </w:p>
        </w:tc>
        <w:tc>
          <w:tcPr>
            <w:tcW w:w="1134" w:type="dxa"/>
            <w:hideMark/>
          </w:tcPr>
          <w:p w14:paraId="3903AC35"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SO₂, NOₓ</w:t>
            </w:r>
          </w:p>
        </w:tc>
        <w:tc>
          <w:tcPr>
            <w:tcW w:w="1061" w:type="dxa"/>
            <w:gridSpan w:val="2"/>
            <w:hideMark/>
          </w:tcPr>
          <w:p w14:paraId="5CF234F5"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Rekonstrukcija MHE radi povećanja efikasnosti i smanjenja emisija</w:t>
            </w:r>
          </w:p>
        </w:tc>
        <w:tc>
          <w:tcPr>
            <w:tcW w:w="924" w:type="dxa"/>
            <w:hideMark/>
          </w:tcPr>
          <w:p w14:paraId="52E694B0" w14:textId="77777777" w:rsidR="00D14F76" w:rsidRPr="001C58C6" w:rsidRDefault="00D14F76" w:rsidP="002C1EB5">
            <w:pPr>
              <w:ind w:left="-35" w:right="-110"/>
              <w:contextualSpacing/>
              <w:jc w:val="center"/>
              <w:cnfStyle w:val="000000000000" w:firstRow="0" w:lastRow="0" w:firstColumn="0" w:lastColumn="0" w:oddVBand="0" w:evenVBand="0" w:oddHBand="0" w:evenHBand="0" w:firstRowFirstColumn="0" w:firstRowLastColumn="0" w:lastRowFirstColumn="0" w:lastRowLastColumn="0"/>
              <w:rPr>
                <w:rFonts w:ascii="Calibri" w:eastAsia="Aptos" w:hAnsi="Calibri" w:cs="Calibri"/>
                <w:color w:val="000000" w:themeColor="text1"/>
                <w:kern w:val="2"/>
                <w:sz w:val="18"/>
                <w:szCs w:val="18"/>
              </w:rPr>
            </w:pPr>
            <w:r w:rsidRPr="001C58C6">
              <w:rPr>
                <w:rFonts w:ascii="Calibri" w:eastAsia="Aptos" w:hAnsi="Calibri" w:cs="Calibri"/>
                <w:color w:val="000000" w:themeColor="text1"/>
                <w:kern w:val="2"/>
                <w:sz w:val="18"/>
                <w:szCs w:val="18"/>
              </w:rPr>
              <w:t>Tehnička, Investicija, Planiranje</w:t>
            </w:r>
          </w:p>
        </w:tc>
        <w:tc>
          <w:tcPr>
            <w:tcW w:w="850" w:type="dxa"/>
            <w:hideMark/>
          </w:tcPr>
          <w:p w14:paraId="72E2FD2D"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Proizvodnja energije</w:t>
            </w:r>
          </w:p>
        </w:tc>
        <w:tc>
          <w:tcPr>
            <w:tcW w:w="709" w:type="dxa"/>
            <w:hideMark/>
          </w:tcPr>
          <w:p w14:paraId="09178E01" w14:textId="77777777" w:rsidR="00D14F76" w:rsidRPr="001C58C6" w:rsidRDefault="00D14F76" w:rsidP="002C1EB5">
            <w:pPr>
              <w:ind w:right="-66"/>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2024</w:t>
            </w:r>
          </w:p>
        </w:tc>
        <w:tc>
          <w:tcPr>
            <w:tcW w:w="567" w:type="dxa"/>
            <w:hideMark/>
          </w:tcPr>
          <w:p w14:paraId="67AF6A24" w14:textId="77777777" w:rsidR="00D14F76" w:rsidRPr="001C58C6" w:rsidRDefault="00D14F76" w:rsidP="002C1EB5">
            <w:pPr>
              <w:ind w:left="-109" w:right="-11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2028</w:t>
            </w:r>
          </w:p>
        </w:tc>
        <w:tc>
          <w:tcPr>
            <w:tcW w:w="1276" w:type="dxa"/>
            <w:gridSpan w:val="2"/>
            <w:hideMark/>
          </w:tcPr>
          <w:p w14:paraId="4F87E69B" w14:textId="77777777" w:rsidR="00D14F76" w:rsidRPr="001C58C6" w:rsidRDefault="00D14F76" w:rsidP="002C1EB5">
            <w:pPr>
              <w:ind w:left="-114" w:right="-111"/>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državna elektroenergetska kompanija, nadležno ministarstvo</w:t>
            </w:r>
          </w:p>
        </w:tc>
        <w:tc>
          <w:tcPr>
            <w:tcW w:w="709" w:type="dxa"/>
            <w:hideMark/>
          </w:tcPr>
          <w:p w14:paraId="2BA6A7FE" w14:textId="77777777" w:rsidR="00D14F76" w:rsidRPr="001C58C6" w:rsidRDefault="00D14F76" w:rsidP="002C1EB5">
            <w:pPr>
              <w:ind w:right="-109"/>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EPCG, MEIR</w:t>
            </w:r>
          </w:p>
        </w:tc>
        <w:tc>
          <w:tcPr>
            <w:tcW w:w="1701" w:type="dxa"/>
            <w:gridSpan w:val="2"/>
            <w:hideMark/>
          </w:tcPr>
          <w:p w14:paraId="33879364"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Revitalizacioni projekti, lokalne procjene</w:t>
            </w:r>
          </w:p>
        </w:tc>
        <w:tc>
          <w:tcPr>
            <w:tcW w:w="1559" w:type="dxa"/>
          </w:tcPr>
          <w:p w14:paraId="732E2E2E"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SO₂ − 1 kt; NOₓ − 0,1 kt</w:t>
            </w:r>
          </w:p>
        </w:tc>
        <w:tc>
          <w:tcPr>
            <w:tcW w:w="1276" w:type="dxa"/>
          </w:tcPr>
          <w:p w14:paraId="4DAE8628"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Aptos" w:hAnsi="Calibri" w:cs="Calibri"/>
                <w:color w:val="000000" w:themeColor="text1"/>
                <w:kern w:val="2"/>
                <w:sz w:val="18"/>
                <w:szCs w:val="18"/>
              </w:rPr>
            </w:pPr>
            <w:r w:rsidRPr="001C58C6">
              <w:rPr>
                <w:rFonts w:ascii="Calibri" w:eastAsia="Aptos" w:hAnsi="Calibri" w:cs="Calibri"/>
                <w:color w:val="000000" w:themeColor="text1"/>
                <w:kern w:val="2"/>
                <w:sz w:val="18"/>
                <w:szCs w:val="18"/>
              </w:rPr>
              <w:t>800.000</w:t>
            </w:r>
          </w:p>
        </w:tc>
        <w:tc>
          <w:tcPr>
            <w:tcW w:w="1852" w:type="dxa"/>
            <w:hideMark/>
          </w:tcPr>
          <w:p w14:paraId="3B5D98A7"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Niska – zavisna od hidrologije, realizovana u velikoj mjeri</w:t>
            </w:r>
          </w:p>
        </w:tc>
      </w:tr>
      <w:tr w:rsidR="00D14F76" w:rsidRPr="001C58C6" w14:paraId="487E2AE4" w14:textId="77777777" w:rsidTr="00E40401">
        <w:tc>
          <w:tcPr>
            <w:cnfStyle w:val="001000000000" w:firstRow="0" w:lastRow="0" w:firstColumn="1" w:lastColumn="0" w:oddVBand="0" w:evenVBand="0" w:oddHBand="0" w:evenHBand="0" w:firstRowFirstColumn="0" w:firstRowLastColumn="0" w:lastRowFirstColumn="0" w:lastRowLastColumn="0"/>
            <w:tcW w:w="1560" w:type="dxa"/>
            <w:hideMark/>
          </w:tcPr>
          <w:p w14:paraId="35751DC9" w14:textId="77777777" w:rsidR="00D14F76" w:rsidRPr="001C58C6" w:rsidRDefault="00D14F76" w:rsidP="002C1EB5">
            <w:pPr>
              <w:contextualSpacing/>
              <w:jc w:val="center"/>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lastRenderedPageBreak/>
              <w:t>M6. Daljinsko grijanje u Pljevljima</w:t>
            </w:r>
          </w:p>
        </w:tc>
        <w:tc>
          <w:tcPr>
            <w:tcW w:w="1134" w:type="dxa"/>
            <w:hideMark/>
          </w:tcPr>
          <w:p w14:paraId="690484EE"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PM₂.₅, SO₂, NMVOC, NH</w:t>
            </w:r>
            <w:r w:rsidRPr="001C58C6">
              <w:rPr>
                <w:rFonts w:ascii="Calibri" w:eastAsia="Aptos" w:hAnsi="Calibri" w:cs="Calibri"/>
                <w:color w:val="000000" w:themeColor="text1"/>
                <w:kern w:val="2"/>
                <w:sz w:val="18"/>
                <w:szCs w:val="18"/>
                <w:vertAlign w:val="subscript"/>
              </w:rPr>
              <w:t>3</w:t>
            </w:r>
          </w:p>
        </w:tc>
        <w:tc>
          <w:tcPr>
            <w:tcW w:w="1061" w:type="dxa"/>
            <w:gridSpan w:val="2"/>
            <w:hideMark/>
          </w:tcPr>
          <w:p w14:paraId="6D6C814A"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Zamjena individualnih ložišta i ugradnja centralnog sistema grijanja</w:t>
            </w:r>
          </w:p>
        </w:tc>
        <w:tc>
          <w:tcPr>
            <w:tcW w:w="924" w:type="dxa"/>
            <w:hideMark/>
          </w:tcPr>
          <w:p w14:paraId="76A8E41F" w14:textId="77777777" w:rsidR="00D14F76" w:rsidRPr="001C58C6" w:rsidRDefault="00D14F76" w:rsidP="002C1EB5">
            <w:pPr>
              <w:ind w:left="-35" w:right="-11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Tehnička, Investicija, Regulatorna, Planiranje</w:t>
            </w:r>
          </w:p>
        </w:tc>
        <w:tc>
          <w:tcPr>
            <w:tcW w:w="850" w:type="dxa"/>
            <w:hideMark/>
          </w:tcPr>
          <w:p w14:paraId="48447D5C"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Potrošnja energije, Komunalna infrastruktura</w:t>
            </w:r>
          </w:p>
        </w:tc>
        <w:tc>
          <w:tcPr>
            <w:tcW w:w="709" w:type="dxa"/>
            <w:hideMark/>
          </w:tcPr>
          <w:p w14:paraId="068A1542" w14:textId="77777777" w:rsidR="00D14F76" w:rsidRPr="001C58C6" w:rsidRDefault="00D14F76" w:rsidP="002C1EB5">
            <w:pPr>
              <w:ind w:right="-66"/>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2025</w:t>
            </w:r>
          </w:p>
        </w:tc>
        <w:tc>
          <w:tcPr>
            <w:tcW w:w="567" w:type="dxa"/>
            <w:hideMark/>
          </w:tcPr>
          <w:p w14:paraId="7A5E287D" w14:textId="77777777" w:rsidR="00D14F76" w:rsidRPr="001C58C6" w:rsidRDefault="00D14F76" w:rsidP="002C1EB5">
            <w:pPr>
              <w:ind w:left="-109" w:right="-11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2030</w:t>
            </w:r>
          </w:p>
        </w:tc>
        <w:tc>
          <w:tcPr>
            <w:tcW w:w="1276" w:type="dxa"/>
            <w:gridSpan w:val="2"/>
            <w:hideMark/>
          </w:tcPr>
          <w:p w14:paraId="0944475D" w14:textId="77777777" w:rsidR="00D14F76" w:rsidRPr="001C58C6" w:rsidRDefault="00D14F76" w:rsidP="002C1EB5">
            <w:pPr>
              <w:ind w:left="-114" w:right="-111"/>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lokalna samouprava, državna elektroenergetska kompanija</w:t>
            </w:r>
          </w:p>
        </w:tc>
        <w:tc>
          <w:tcPr>
            <w:tcW w:w="709" w:type="dxa"/>
            <w:hideMark/>
          </w:tcPr>
          <w:p w14:paraId="1B726951" w14:textId="77777777" w:rsidR="00D14F76" w:rsidRPr="001C58C6" w:rsidRDefault="00D14F76" w:rsidP="002C1EB5">
            <w:pPr>
              <w:ind w:right="-10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Opština Pljevlja, EPCG</w:t>
            </w:r>
          </w:p>
        </w:tc>
        <w:tc>
          <w:tcPr>
            <w:tcW w:w="1701" w:type="dxa"/>
            <w:gridSpan w:val="2"/>
            <w:hideMark/>
          </w:tcPr>
          <w:p w14:paraId="0F3F1A8D"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Feasibility studija projekta, lokalni inventar</w:t>
            </w:r>
          </w:p>
        </w:tc>
        <w:tc>
          <w:tcPr>
            <w:tcW w:w="1559" w:type="dxa"/>
          </w:tcPr>
          <w:p w14:paraId="02EA49B3"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NOx – 0,09 kt, NMVOC – 0,77 kt, SO</w:t>
            </w:r>
            <w:r w:rsidRPr="001C58C6">
              <w:rPr>
                <w:rFonts w:ascii="Calibri" w:hAnsi="Calibri" w:cs="Calibri"/>
                <w:color w:val="000000" w:themeColor="text1"/>
                <w:sz w:val="18"/>
                <w:szCs w:val="18"/>
                <w:vertAlign w:val="subscript"/>
              </w:rPr>
              <w:t>2</w:t>
            </w:r>
            <w:r w:rsidRPr="001C58C6">
              <w:rPr>
                <w:rFonts w:ascii="Calibri" w:hAnsi="Calibri" w:cs="Calibri"/>
                <w:color w:val="000000" w:themeColor="text1"/>
                <w:sz w:val="18"/>
                <w:szCs w:val="18"/>
              </w:rPr>
              <w:t xml:space="preserve"> - 0.3 kt, NH</w:t>
            </w:r>
            <w:r w:rsidRPr="001C58C6">
              <w:rPr>
                <w:rFonts w:ascii="Calibri" w:hAnsi="Calibri" w:cs="Calibri"/>
                <w:color w:val="000000" w:themeColor="text1"/>
                <w:sz w:val="18"/>
                <w:szCs w:val="18"/>
                <w:vertAlign w:val="subscript"/>
              </w:rPr>
              <w:t>3</w:t>
            </w:r>
            <w:r w:rsidRPr="001C58C6">
              <w:rPr>
                <w:rFonts w:ascii="Calibri" w:hAnsi="Calibri" w:cs="Calibri"/>
                <w:color w:val="000000" w:themeColor="text1"/>
                <w:sz w:val="18"/>
                <w:szCs w:val="18"/>
              </w:rPr>
              <w:t xml:space="preserve"> – 0,01 kt, PM</w:t>
            </w:r>
            <w:r w:rsidRPr="001C58C6">
              <w:rPr>
                <w:rFonts w:ascii="Calibri" w:hAnsi="Calibri" w:cs="Calibri"/>
                <w:color w:val="000000" w:themeColor="text1"/>
                <w:sz w:val="18"/>
                <w:szCs w:val="18"/>
                <w:vertAlign w:val="subscript"/>
              </w:rPr>
              <w:t>2.5</w:t>
            </w:r>
            <w:r w:rsidRPr="001C58C6">
              <w:rPr>
                <w:rFonts w:ascii="Calibri" w:hAnsi="Calibri" w:cs="Calibri"/>
                <w:color w:val="000000" w:themeColor="text1"/>
                <w:sz w:val="18"/>
                <w:szCs w:val="18"/>
              </w:rPr>
              <w:t xml:space="preserve"> - 0.73 kt</w:t>
            </w:r>
          </w:p>
          <w:p w14:paraId="711A0D86"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p>
        </w:tc>
        <w:tc>
          <w:tcPr>
            <w:tcW w:w="1276" w:type="dxa"/>
          </w:tcPr>
          <w:p w14:paraId="0F85C20D"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Aptos" w:hAnsi="Calibri" w:cs="Calibri"/>
                <w:color w:val="000000" w:themeColor="text1"/>
                <w:kern w:val="2"/>
                <w:sz w:val="18"/>
                <w:szCs w:val="18"/>
              </w:rPr>
            </w:pPr>
            <w:r w:rsidRPr="001C58C6">
              <w:rPr>
                <w:rFonts w:ascii="Calibri" w:eastAsia="Aptos" w:hAnsi="Calibri" w:cs="Calibri"/>
                <w:color w:val="000000" w:themeColor="text1"/>
                <w:kern w:val="2"/>
                <w:sz w:val="18"/>
                <w:szCs w:val="18"/>
              </w:rPr>
              <w:t>23.000.000</w:t>
            </w:r>
          </w:p>
        </w:tc>
        <w:tc>
          <w:tcPr>
            <w:tcW w:w="1852" w:type="dxa"/>
            <w:hideMark/>
          </w:tcPr>
          <w:p w14:paraId="19721436"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Umjerena – zavisna od broja priključenih korisnika, mora se definisati alternativno rješenje za slučaj prestanka korišćenja uglja u svrhu proizvodnje energije</w:t>
            </w:r>
          </w:p>
        </w:tc>
      </w:tr>
      <w:tr w:rsidR="00D14F76" w:rsidRPr="001C58C6" w14:paraId="6CA6E721" w14:textId="77777777" w:rsidTr="00E40401">
        <w:tc>
          <w:tcPr>
            <w:cnfStyle w:val="001000000000" w:firstRow="0" w:lastRow="0" w:firstColumn="1" w:lastColumn="0" w:oddVBand="0" w:evenVBand="0" w:oddHBand="0" w:evenHBand="0" w:firstRowFirstColumn="0" w:firstRowLastColumn="0" w:lastRowFirstColumn="0" w:lastRowLastColumn="0"/>
            <w:tcW w:w="1560" w:type="dxa"/>
            <w:hideMark/>
          </w:tcPr>
          <w:p w14:paraId="2B404D6A" w14:textId="77777777" w:rsidR="00D14F76" w:rsidRPr="001C58C6" w:rsidRDefault="00D14F76" w:rsidP="002C1EB5">
            <w:pPr>
              <w:contextualSpacing/>
              <w:jc w:val="center"/>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M7. Energetska efikasnost u zgradama</w:t>
            </w:r>
          </w:p>
        </w:tc>
        <w:tc>
          <w:tcPr>
            <w:tcW w:w="1134" w:type="dxa"/>
            <w:hideMark/>
          </w:tcPr>
          <w:p w14:paraId="5CE69427"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PM₂.₅, SO₂, NOₓ, NMVOC, NH</w:t>
            </w:r>
            <w:r w:rsidRPr="001C58C6">
              <w:rPr>
                <w:rFonts w:ascii="Calibri" w:eastAsia="Aptos" w:hAnsi="Calibri" w:cs="Calibri"/>
                <w:color w:val="000000" w:themeColor="text1"/>
                <w:kern w:val="2"/>
                <w:sz w:val="18"/>
                <w:szCs w:val="18"/>
                <w:vertAlign w:val="subscript"/>
              </w:rPr>
              <w:t>3</w:t>
            </w:r>
          </w:p>
        </w:tc>
        <w:tc>
          <w:tcPr>
            <w:tcW w:w="1061" w:type="dxa"/>
            <w:gridSpan w:val="2"/>
            <w:hideMark/>
          </w:tcPr>
          <w:p w14:paraId="14CE824C"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Rekonstrukcija javnih i stambenih zgrada (tehnologije niskih emisija)</w:t>
            </w:r>
          </w:p>
        </w:tc>
        <w:tc>
          <w:tcPr>
            <w:tcW w:w="924" w:type="dxa"/>
            <w:hideMark/>
          </w:tcPr>
          <w:p w14:paraId="51696730" w14:textId="77777777" w:rsidR="00D14F76" w:rsidRPr="001C58C6" w:rsidRDefault="00D14F76" w:rsidP="002C1EB5">
            <w:pPr>
              <w:ind w:left="-35" w:right="-110"/>
              <w:contextualSpacing/>
              <w:jc w:val="center"/>
              <w:cnfStyle w:val="000000000000" w:firstRow="0" w:lastRow="0" w:firstColumn="0" w:lastColumn="0" w:oddVBand="0" w:evenVBand="0" w:oddHBand="0" w:evenHBand="0" w:firstRowFirstColumn="0" w:firstRowLastColumn="0" w:lastRowFirstColumn="0" w:lastRowLastColumn="0"/>
              <w:rPr>
                <w:rFonts w:ascii="Calibri" w:eastAsia="Aptos" w:hAnsi="Calibri" w:cs="Calibri"/>
                <w:color w:val="000000" w:themeColor="text1"/>
                <w:kern w:val="2"/>
                <w:sz w:val="18"/>
                <w:szCs w:val="18"/>
              </w:rPr>
            </w:pPr>
            <w:r w:rsidRPr="001C58C6">
              <w:rPr>
                <w:rFonts w:ascii="Calibri" w:eastAsia="Aptos" w:hAnsi="Calibri" w:cs="Calibri"/>
                <w:color w:val="000000" w:themeColor="text1"/>
                <w:kern w:val="2"/>
                <w:sz w:val="18"/>
                <w:szCs w:val="18"/>
              </w:rPr>
              <w:t>Tehnička, Planiranje, Investicije,</w:t>
            </w:r>
          </w:p>
          <w:p w14:paraId="53A88483" w14:textId="77777777" w:rsidR="00D14F76" w:rsidRPr="001C58C6" w:rsidRDefault="00D14F76" w:rsidP="002C1EB5">
            <w:pPr>
              <w:ind w:left="-35" w:right="-11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Ekonomski instrumenti, Informacije</w:t>
            </w:r>
          </w:p>
        </w:tc>
        <w:tc>
          <w:tcPr>
            <w:tcW w:w="850" w:type="dxa"/>
            <w:hideMark/>
          </w:tcPr>
          <w:p w14:paraId="02F07AE6"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Potrošnja energije</w:t>
            </w:r>
          </w:p>
        </w:tc>
        <w:tc>
          <w:tcPr>
            <w:tcW w:w="709" w:type="dxa"/>
            <w:hideMark/>
          </w:tcPr>
          <w:p w14:paraId="5EA76CD8" w14:textId="77777777" w:rsidR="00D14F76" w:rsidRPr="001C58C6" w:rsidRDefault="00D14F76" w:rsidP="002C1EB5">
            <w:pPr>
              <w:ind w:right="-66"/>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2024</w:t>
            </w:r>
          </w:p>
        </w:tc>
        <w:tc>
          <w:tcPr>
            <w:tcW w:w="567" w:type="dxa"/>
            <w:hideMark/>
          </w:tcPr>
          <w:p w14:paraId="58078984" w14:textId="77777777" w:rsidR="00D14F76" w:rsidRPr="001C58C6" w:rsidRDefault="00D14F76" w:rsidP="002C1EB5">
            <w:pPr>
              <w:ind w:left="-109" w:right="-11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2030</w:t>
            </w:r>
          </w:p>
        </w:tc>
        <w:tc>
          <w:tcPr>
            <w:tcW w:w="1276" w:type="dxa"/>
            <w:gridSpan w:val="2"/>
            <w:hideMark/>
          </w:tcPr>
          <w:p w14:paraId="34335EC7" w14:textId="77777777" w:rsidR="00D14F76" w:rsidRPr="001C58C6" w:rsidRDefault="00D14F76" w:rsidP="002C1EB5">
            <w:pPr>
              <w:ind w:left="-114" w:right="-111"/>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 xml:space="preserve">nadležna ministarstva, lokalne samopuprave, Fond za zaštitu životne sredine, organi nadležni za upravljanja javnim objektima </w:t>
            </w:r>
          </w:p>
        </w:tc>
        <w:tc>
          <w:tcPr>
            <w:tcW w:w="709" w:type="dxa"/>
            <w:hideMark/>
          </w:tcPr>
          <w:p w14:paraId="31C7B942"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Aptos" w:hAnsi="Calibri" w:cs="Calibri"/>
                <w:color w:val="000000" w:themeColor="text1"/>
                <w:kern w:val="2"/>
                <w:sz w:val="18"/>
                <w:szCs w:val="18"/>
              </w:rPr>
            </w:pPr>
            <w:r w:rsidRPr="001C58C6">
              <w:rPr>
                <w:rFonts w:ascii="Calibri" w:eastAsia="Aptos" w:hAnsi="Calibri" w:cs="Calibri"/>
                <w:color w:val="000000" w:themeColor="text1"/>
                <w:kern w:val="2"/>
                <w:sz w:val="18"/>
                <w:szCs w:val="18"/>
              </w:rPr>
              <w:t>MEIR; Eko fond; opštine,</w:t>
            </w:r>
          </w:p>
          <w:p w14:paraId="561ADEF5" w14:textId="77777777" w:rsidR="00D14F76" w:rsidRPr="001C58C6" w:rsidRDefault="002C1EB5"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MPNI</w:t>
            </w:r>
            <w:r w:rsidR="00D14F76" w:rsidRPr="001C58C6">
              <w:rPr>
                <w:rFonts w:ascii="Calibri" w:eastAsia="Aptos" w:hAnsi="Calibri" w:cs="Calibri"/>
                <w:color w:val="000000" w:themeColor="text1"/>
                <w:kern w:val="2"/>
                <w:sz w:val="18"/>
                <w:szCs w:val="18"/>
              </w:rPr>
              <w:t xml:space="preserve">, </w:t>
            </w:r>
            <w:r w:rsidRPr="001C58C6">
              <w:rPr>
                <w:rFonts w:ascii="Calibri" w:eastAsia="Aptos" w:hAnsi="Calibri" w:cs="Calibri"/>
                <w:color w:val="000000" w:themeColor="text1"/>
                <w:kern w:val="2"/>
                <w:sz w:val="18"/>
                <w:szCs w:val="18"/>
              </w:rPr>
              <w:t>MZ</w:t>
            </w:r>
            <w:r w:rsidR="00D14F76" w:rsidRPr="001C58C6">
              <w:rPr>
                <w:rFonts w:ascii="Calibri" w:eastAsia="Aptos" w:hAnsi="Calibri" w:cs="Calibri"/>
                <w:color w:val="000000" w:themeColor="text1"/>
                <w:kern w:val="2"/>
                <w:sz w:val="18"/>
                <w:szCs w:val="18"/>
              </w:rPr>
              <w:t xml:space="preserve">, </w:t>
            </w:r>
            <w:r w:rsidRPr="001C58C6">
              <w:rPr>
                <w:rFonts w:ascii="Calibri" w:eastAsia="Aptos" w:hAnsi="Calibri" w:cs="Calibri"/>
                <w:color w:val="000000" w:themeColor="text1"/>
                <w:kern w:val="2"/>
                <w:sz w:val="18"/>
                <w:szCs w:val="18"/>
              </w:rPr>
              <w:t>UzDI</w:t>
            </w:r>
          </w:p>
        </w:tc>
        <w:tc>
          <w:tcPr>
            <w:tcW w:w="1701" w:type="dxa"/>
            <w:gridSpan w:val="2"/>
            <w:hideMark/>
          </w:tcPr>
          <w:p w14:paraId="5FE84FDE"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1C58C6">
              <w:rPr>
                <w:rFonts w:ascii="Calibri" w:eastAsia="Aptos" w:hAnsi="Calibri" w:cs="Calibri"/>
                <w:color w:val="000000" w:themeColor="text1"/>
                <w:kern w:val="2"/>
                <w:sz w:val="18"/>
                <w:szCs w:val="18"/>
              </w:rPr>
              <w:t xml:space="preserve">NECP EE model, SECAP podaci, podaci međ. finansijera (EBRD, KfW, WB), podaci Eko fonda, lokalni energetski planovi, </w:t>
            </w:r>
            <w:r w:rsidRPr="001C58C6">
              <w:rPr>
                <w:rFonts w:ascii="Calibri" w:hAnsi="Calibri" w:cs="Calibri"/>
                <w:color w:val="000000" w:themeColor="text1"/>
                <w:sz w:val="18"/>
                <w:szCs w:val="18"/>
              </w:rPr>
              <w:t>Reformska agenda 2.2.1: Prelazak</w:t>
            </w:r>
          </w:p>
          <w:p w14:paraId="6E4CE2F1"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90% individualnih sistema za grijanje u javnim zgradama i  70% u privatnim zgradama na čista goriva</w:t>
            </w:r>
          </w:p>
        </w:tc>
        <w:tc>
          <w:tcPr>
            <w:tcW w:w="1559" w:type="dxa"/>
          </w:tcPr>
          <w:p w14:paraId="16AB3BF4"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NOx – 0,05 kt, NMVOC – 0,56 kt, SO</w:t>
            </w:r>
            <w:r w:rsidRPr="001C58C6">
              <w:rPr>
                <w:rFonts w:ascii="Calibri" w:hAnsi="Calibri" w:cs="Calibri"/>
                <w:color w:val="000000" w:themeColor="text1"/>
                <w:sz w:val="18"/>
                <w:szCs w:val="18"/>
                <w:vertAlign w:val="subscript"/>
              </w:rPr>
              <w:t>2</w:t>
            </w:r>
            <w:r w:rsidRPr="001C58C6">
              <w:rPr>
                <w:rFonts w:ascii="Calibri" w:hAnsi="Calibri" w:cs="Calibri"/>
                <w:color w:val="000000" w:themeColor="text1"/>
                <w:sz w:val="18"/>
                <w:szCs w:val="18"/>
              </w:rPr>
              <w:t xml:space="preserve"> – 0,18 kt, NH</w:t>
            </w:r>
            <w:r w:rsidRPr="001C58C6">
              <w:rPr>
                <w:rFonts w:ascii="Calibri" w:hAnsi="Calibri" w:cs="Calibri"/>
                <w:color w:val="000000" w:themeColor="text1"/>
                <w:sz w:val="18"/>
                <w:szCs w:val="18"/>
                <w:vertAlign w:val="subscript"/>
              </w:rPr>
              <w:t>3</w:t>
            </w:r>
            <w:r w:rsidRPr="001C58C6">
              <w:rPr>
                <w:rFonts w:ascii="Calibri" w:hAnsi="Calibri" w:cs="Calibri"/>
                <w:color w:val="000000" w:themeColor="text1"/>
                <w:sz w:val="18"/>
                <w:szCs w:val="18"/>
              </w:rPr>
              <w:t xml:space="preserve"> – 0,01 kt, PM</w:t>
            </w:r>
            <w:r w:rsidRPr="001C58C6">
              <w:rPr>
                <w:rFonts w:ascii="Calibri" w:hAnsi="Calibri" w:cs="Calibri"/>
                <w:color w:val="000000" w:themeColor="text1"/>
                <w:sz w:val="18"/>
                <w:szCs w:val="18"/>
                <w:vertAlign w:val="subscript"/>
              </w:rPr>
              <w:t>2.5</w:t>
            </w:r>
            <w:r w:rsidRPr="001C58C6">
              <w:rPr>
                <w:rFonts w:ascii="Calibri" w:hAnsi="Calibri" w:cs="Calibri"/>
                <w:color w:val="000000" w:themeColor="text1"/>
                <w:sz w:val="18"/>
                <w:szCs w:val="18"/>
              </w:rPr>
              <w:t xml:space="preserve"> – 0,69 kt</w:t>
            </w:r>
          </w:p>
          <w:p w14:paraId="4227B19E"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p>
        </w:tc>
        <w:tc>
          <w:tcPr>
            <w:tcW w:w="1276" w:type="dxa"/>
          </w:tcPr>
          <w:p w14:paraId="07D5DA29"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Aptos" w:hAnsi="Calibri" w:cs="Calibri"/>
                <w:color w:val="000000" w:themeColor="text1"/>
                <w:kern w:val="2"/>
                <w:sz w:val="18"/>
                <w:szCs w:val="18"/>
              </w:rPr>
            </w:pPr>
            <w:r w:rsidRPr="001C58C6">
              <w:rPr>
                <w:rFonts w:ascii="Calibri" w:eastAsia="Aptos" w:hAnsi="Calibri" w:cs="Calibri"/>
                <w:color w:val="000000" w:themeColor="text1"/>
                <w:kern w:val="2"/>
                <w:sz w:val="18"/>
                <w:szCs w:val="18"/>
              </w:rPr>
              <w:t>88.800.000</w:t>
            </w:r>
          </w:p>
        </w:tc>
        <w:tc>
          <w:tcPr>
            <w:tcW w:w="1852" w:type="dxa"/>
            <w:hideMark/>
          </w:tcPr>
          <w:p w14:paraId="321F0F9E"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 xml:space="preserve">Niska – ograničeno finansiranje, veliko interesovanje, dostupne finansije </w:t>
            </w:r>
          </w:p>
        </w:tc>
      </w:tr>
      <w:tr w:rsidR="00D14F76" w:rsidRPr="001C58C6" w14:paraId="510B5B5E" w14:textId="77777777" w:rsidTr="00E40401">
        <w:tc>
          <w:tcPr>
            <w:cnfStyle w:val="001000000000" w:firstRow="0" w:lastRow="0" w:firstColumn="1" w:lastColumn="0" w:oddVBand="0" w:evenVBand="0" w:oddHBand="0" w:evenHBand="0" w:firstRowFirstColumn="0" w:firstRowLastColumn="0" w:lastRowFirstColumn="0" w:lastRowLastColumn="0"/>
            <w:tcW w:w="1560" w:type="dxa"/>
            <w:hideMark/>
          </w:tcPr>
          <w:p w14:paraId="59FDC8CF" w14:textId="77777777" w:rsidR="00D14F76" w:rsidRPr="001C58C6" w:rsidRDefault="00D14F76" w:rsidP="002C1EB5">
            <w:pPr>
              <w:contextualSpacing/>
              <w:jc w:val="center"/>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M8. Promocija e-mobilnosti</w:t>
            </w:r>
          </w:p>
        </w:tc>
        <w:tc>
          <w:tcPr>
            <w:tcW w:w="1134" w:type="dxa"/>
            <w:hideMark/>
          </w:tcPr>
          <w:p w14:paraId="780D95B9"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NOₓ, PM₂.₅, NMVOC, NH</w:t>
            </w:r>
            <w:r w:rsidRPr="001C58C6">
              <w:rPr>
                <w:rFonts w:ascii="Calibri" w:eastAsia="Aptos" w:hAnsi="Calibri" w:cs="Calibri"/>
                <w:color w:val="000000" w:themeColor="text1"/>
                <w:kern w:val="2"/>
                <w:sz w:val="18"/>
                <w:szCs w:val="18"/>
                <w:vertAlign w:val="subscript"/>
              </w:rPr>
              <w:t>3</w:t>
            </w:r>
          </w:p>
        </w:tc>
        <w:tc>
          <w:tcPr>
            <w:tcW w:w="1061" w:type="dxa"/>
            <w:gridSpan w:val="2"/>
            <w:hideMark/>
          </w:tcPr>
          <w:p w14:paraId="3C35C2F5"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Povećanje broja električnih vozila i punjača; modernizacija javnog voznog parka</w:t>
            </w:r>
          </w:p>
        </w:tc>
        <w:tc>
          <w:tcPr>
            <w:tcW w:w="924" w:type="dxa"/>
            <w:hideMark/>
          </w:tcPr>
          <w:p w14:paraId="75850871" w14:textId="77777777" w:rsidR="00D14F76" w:rsidRPr="001C58C6" w:rsidRDefault="00D14F76" w:rsidP="002C1EB5">
            <w:pPr>
              <w:ind w:left="-35" w:right="-11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Ekonomski instrumenti, Investicije, Tehnička, Informacije</w:t>
            </w:r>
          </w:p>
        </w:tc>
        <w:tc>
          <w:tcPr>
            <w:tcW w:w="850" w:type="dxa"/>
            <w:hideMark/>
          </w:tcPr>
          <w:p w14:paraId="0BA1D648"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Saobraćaj</w:t>
            </w:r>
          </w:p>
        </w:tc>
        <w:tc>
          <w:tcPr>
            <w:tcW w:w="709" w:type="dxa"/>
            <w:hideMark/>
          </w:tcPr>
          <w:p w14:paraId="5AA64C1D" w14:textId="77777777" w:rsidR="00D14F76" w:rsidRPr="001C58C6" w:rsidRDefault="00D14F76" w:rsidP="002C1EB5">
            <w:pPr>
              <w:ind w:right="-66"/>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2024</w:t>
            </w:r>
          </w:p>
        </w:tc>
        <w:tc>
          <w:tcPr>
            <w:tcW w:w="567" w:type="dxa"/>
            <w:hideMark/>
          </w:tcPr>
          <w:p w14:paraId="38C2EB13" w14:textId="77777777" w:rsidR="00D14F76" w:rsidRPr="001C58C6" w:rsidRDefault="00D14F76" w:rsidP="002C1EB5">
            <w:pPr>
              <w:ind w:left="-109" w:right="-11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2030</w:t>
            </w:r>
          </w:p>
        </w:tc>
        <w:tc>
          <w:tcPr>
            <w:tcW w:w="1276" w:type="dxa"/>
            <w:gridSpan w:val="2"/>
          </w:tcPr>
          <w:p w14:paraId="28C0F904" w14:textId="77777777" w:rsidR="00D14F76" w:rsidRPr="001C58C6" w:rsidRDefault="00D14F76" w:rsidP="002C1EB5">
            <w:pPr>
              <w:ind w:left="-114" w:right="-111"/>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nadležna ministarstva, Fond za zaštitu životne sredine, državna elektrodistributivna kompanija</w:t>
            </w:r>
          </w:p>
        </w:tc>
        <w:tc>
          <w:tcPr>
            <w:tcW w:w="709" w:type="dxa"/>
            <w:hideMark/>
          </w:tcPr>
          <w:p w14:paraId="0E1DE260" w14:textId="77777777" w:rsidR="00D14F76" w:rsidRPr="001C58C6" w:rsidRDefault="002C1EB5"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MS; MEIR, Eko fond, CEDIS</w:t>
            </w:r>
          </w:p>
        </w:tc>
        <w:tc>
          <w:tcPr>
            <w:tcW w:w="1701" w:type="dxa"/>
            <w:gridSpan w:val="2"/>
            <w:hideMark/>
          </w:tcPr>
          <w:p w14:paraId="2B824123"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NECP saobraćajni model, EV projekcije</w:t>
            </w:r>
          </w:p>
        </w:tc>
        <w:tc>
          <w:tcPr>
            <w:tcW w:w="1559" w:type="dxa"/>
          </w:tcPr>
          <w:p w14:paraId="3F09A166"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NOx – 0,18 kt, NMVOC – 0,03 kt, NH</w:t>
            </w:r>
            <w:r w:rsidRPr="001C58C6">
              <w:rPr>
                <w:rFonts w:ascii="Calibri" w:hAnsi="Calibri" w:cs="Calibri"/>
                <w:color w:val="000000" w:themeColor="text1"/>
                <w:sz w:val="18"/>
                <w:szCs w:val="18"/>
                <w:vertAlign w:val="subscript"/>
              </w:rPr>
              <w:t>3</w:t>
            </w:r>
            <w:r w:rsidRPr="001C58C6">
              <w:rPr>
                <w:rFonts w:ascii="Calibri" w:hAnsi="Calibri" w:cs="Calibri"/>
                <w:color w:val="000000" w:themeColor="text1"/>
                <w:sz w:val="18"/>
                <w:szCs w:val="18"/>
              </w:rPr>
              <w:t xml:space="preserve"> – 0,003 kt, PM</w:t>
            </w:r>
            <w:r w:rsidRPr="001C58C6">
              <w:rPr>
                <w:rFonts w:ascii="Calibri" w:hAnsi="Calibri" w:cs="Calibri"/>
                <w:color w:val="000000" w:themeColor="text1"/>
                <w:sz w:val="18"/>
                <w:szCs w:val="18"/>
                <w:vertAlign w:val="subscript"/>
              </w:rPr>
              <w:t xml:space="preserve">2.5 </w:t>
            </w:r>
            <w:r w:rsidRPr="001C58C6">
              <w:rPr>
                <w:rFonts w:ascii="Calibri" w:hAnsi="Calibri" w:cs="Calibri"/>
                <w:color w:val="000000" w:themeColor="text1"/>
                <w:sz w:val="18"/>
                <w:szCs w:val="18"/>
              </w:rPr>
              <w:t>– 0,01 kt</w:t>
            </w:r>
          </w:p>
          <w:p w14:paraId="6F819D0B"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p>
        </w:tc>
        <w:tc>
          <w:tcPr>
            <w:tcW w:w="1276" w:type="dxa"/>
          </w:tcPr>
          <w:p w14:paraId="5A72AAC7"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Aptos" w:hAnsi="Calibri" w:cs="Calibri"/>
                <w:color w:val="000000" w:themeColor="text1"/>
                <w:kern w:val="2"/>
                <w:sz w:val="18"/>
                <w:szCs w:val="18"/>
              </w:rPr>
            </w:pPr>
            <w:r w:rsidRPr="001C58C6">
              <w:rPr>
                <w:rFonts w:ascii="Calibri" w:eastAsia="Aptos" w:hAnsi="Calibri" w:cs="Calibri"/>
                <w:color w:val="000000" w:themeColor="text1"/>
                <w:kern w:val="2"/>
                <w:sz w:val="18"/>
                <w:szCs w:val="18"/>
              </w:rPr>
              <w:t>353.000.000</w:t>
            </w:r>
          </w:p>
        </w:tc>
        <w:tc>
          <w:tcPr>
            <w:tcW w:w="1852" w:type="dxa"/>
            <w:hideMark/>
          </w:tcPr>
          <w:p w14:paraId="7C0E70D3"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Umjerena – zavisna od tržišta vozila, dostupnosti i cijena e-vozila, dostupnosti i razvijenosti e-infrastrukture</w:t>
            </w:r>
          </w:p>
        </w:tc>
      </w:tr>
      <w:tr w:rsidR="00D14F76" w:rsidRPr="001C58C6" w14:paraId="333ACA8F" w14:textId="77777777" w:rsidTr="00E40401">
        <w:tc>
          <w:tcPr>
            <w:cnfStyle w:val="001000000000" w:firstRow="0" w:lastRow="0" w:firstColumn="1" w:lastColumn="0" w:oddVBand="0" w:evenVBand="0" w:oddHBand="0" w:evenHBand="0" w:firstRowFirstColumn="0" w:firstRowLastColumn="0" w:lastRowFirstColumn="0" w:lastRowLastColumn="0"/>
            <w:tcW w:w="1560" w:type="dxa"/>
            <w:hideMark/>
          </w:tcPr>
          <w:p w14:paraId="3BBD03C9" w14:textId="77777777" w:rsidR="00D14F76" w:rsidRPr="001C58C6" w:rsidRDefault="00D14F76" w:rsidP="002C1EB5">
            <w:pPr>
              <w:contextualSpacing/>
              <w:jc w:val="center"/>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M9. Uvođenje obaveznog udjela biogoriva</w:t>
            </w:r>
          </w:p>
        </w:tc>
        <w:tc>
          <w:tcPr>
            <w:tcW w:w="1134" w:type="dxa"/>
            <w:hideMark/>
          </w:tcPr>
          <w:p w14:paraId="5D46F94E"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NOₓ, PM₂.₅, NMVOC, NH</w:t>
            </w:r>
            <w:r w:rsidRPr="001C58C6">
              <w:rPr>
                <w:rFonts w:ascii="Calibri" w:eastAsia="Aptos" w:hAnsi="Calibri" w:cs="Calibri"/>
                <w:color w:val="000000" w:themeColor="text1"/>
                <w:kern w:val="2"/>
                <w:sz w:val="18"/>
                <w:szCs w:val="18"/>
                <w:vertAlign w:val="subscript"/>
              </w:rPr>
              <w:t>3</w:t>
            </w:r>
          </w:p>
        </w:tc>
        <w:tc>
          <w:tcPr>
            <w:tcW w:w="1061" w:type="dxa"/>
            <w:gridSpan w:val="2"/>
            <w:hideMark/>
          </w:tcPr>
          <w:p w14:paraId="06D70386"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Udio biogoriva od ≥ 10 % u saobraćaju do 2030.</w:t>
            </w:r>
          </w:p>
        </w:tc>
        <w:tc>
          <w:tcPr>
            <w:tcW w:w="924" w:type="dxa"/>
            <w:hideMark/>
          </w:tcPr>
          <w:p w14:paraId="01AEEB86" w14:textId="77777777" w:rsidR="00D14F76" w:rsidRPr="001C58C6" w:rsidRDefault="00D14F76" w:rsidP="002C1EB5">
            <w:pPr>
              <w:ind w:left="-35" w:right="-11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Regulatorna, Fiskalna</w:t>
            </w:r>
          </w:p>
        </w:tc>
        <w:tc>
          <w:tcPr>
            <w:tcW w:w="850" w:type="dxa"/>
            <w:hideMark/>
          </w:tcPr>
          <w:p w14:paraId="2E8E1DDE"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Saobraćaj</w:t>
            </w:r>
          </w:p>
        </w:tc>
        <w:tc>
          <w:tcPr>
            <w:tcW w:w="709" w:type="dxa"/>
            <w:hideMark/>
          </w:tcPr>
          <w:p w14:paraId="1D1C8B3F" w14:textId="77777777" w:rsidR="00D14F76" w:rsidRPr="001C58C6" w:rsidRDefault="00D14F76" w:rsidP="002C1EB5">
            <w:pPr>
              <w:ind w:right="-66"/>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2026</w:t>
            </w:r>
          </w:p>
        </w:tc>
        <w:tc>
          <w:tcPr>
            <w:tcW w:w="567" w:type="dxa"/>
            <w:hideMark/>
          </w:tcPr>
          <w:p w14:paraId="6B169FD7" w14:textId="77777777" w:rsidR="00D14F76" w:rsidRPr="001C58C6" w:rsidRDefault="00D14F76" w:rsidP="002C1EB5">
            <w:pPr>
              <w:ind w:left="-109" w:right="-11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2030</w:t>
            </w:r>
          </w:p>
        </w:tc>
        <w:tc>
          <w:tcPr>
            <w:tcW w:w="1276" w:type="dxa"/>
            <w:gridSpan w:val="2"/>
            <w:hideMark/>
          </w:tcPr>
          <w:p w14:paraId="5DFEDE89" w14:textId="77777777" w:rsidR="00D14F76" w:rsidRPr="001C58C6" w:rsidRDefault="00D14F76" w:rsidP="002C1EB5">
            <w:pPr>
              <w:ind w:left="-114" w:right="-111"/>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nadležna ministarstva</w:t>
            </w:r>
          </w:p>
        </w:tc>
        <w:tc>
          <w:tcPr>
            <w:tcW w:w="709" w:type="dxa"/>
            <w:hideMark/>
          </w:tcPr>
          <w:p w14:paraId="15AC091C"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 xml:space="preserve">MEIR, </w:t>
            </w:r>
            <w:r w:rsidR="002C1EB5" w:rsidRPr="001C58C6">
              <w:rPr>
                <w:rFonts w:ascii="Calibri" w:eastAsia="Aptos" w:hAnsi="Calibri" w:cs="Calibri"/>
                <w:color w:val="000000" w:themeColor="text1"/>
                <w:kern w:val="2"/>
                <w:sz w:val="18"/>
                <w:szCs w:val="18"/>
              </w:rPr>
              <w:t>MS</w:t>
            </w:r>
          </w:p>
        </w:tc>
        <w:tc>
          <w:tcPr>
            <w:tcW w:w="1701" w:type="dxa"/>
            <w:gridSpan w:val="2"/>
            <w:hideMark/>
          </w:tcPr>
          <w:p w14:paraId="03E63AC3"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Zakon o energetici, Uredba o obaveznom udjelu biogoriva i Uredba o kriterijumima održivosti, statistika potrošnje</w:t>
            </w:r>
          </w:p>
        </w:tc>
        <w:tc>
          <w:tcPr>
            <w:tcW w:w="1559" w:type="dxa"/>
          </w:tcPr>
          <w:p w14:paraId="3268F82C"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NOx – 0,42 kt, NMVOC – 0,08 kt, NH</w:t>
            </w:r>
            <w:r w:rsidRPr="001C58C6">
              <w:rPr>
                <w:rFonts w:ascii="Calibri" w:hAnsi="Calibri" w:cs="Calibri"/>
                <w:color w:val="000000" w:themeColor="text1"/>
                <w:sz w:val="18"/>
                <w:szCs w:val="18"/>
                <w:vertAlign w:val="subscript"/>
              </w:rPr>
              <w:t>3</w:t>
            </w:r>
            <w:r w:rsidRPr="001C58C6">
              <w:rPr>
                <w:rFonts w:ascii="Calibri" w:hAnsi="Calibri" w:cs="Calibri"/>
                <w:color w:val="000000" w:themeColor="text1"/>
                <w:sz w:val="18"/>
                <w:szCs w:val="18"/>
              </w:rPr>
              <w:t xml:space="preserve"> – 0,01 kt, PM</w:t>
            </w:r>
            <w:r w:rsidRPr="001C58C6">
              <w:rPr>
                <w:rFonts w:ascii="Calibri" w:hAnsi="Calibri" w:cs="Calibri"/>
                <w:color w:val="000000" w:themeColor="text1"/>
                <w:sz w:val="18"/>
                <w:szCs w:val="18"/>
                <w:vertAlign w:val="subscript"/>
              </w:rPr>
              <w:t>2.5</w:t>
            </w:r>
            <w:r w:rsidRPr="001C58C6">
              <w:rPr>
                <w:rFonts w:ascii="Calibri" w:hAnsi="Calibri" w:cs="Calibri"/>
                <w:color w:val="000000" w:themeColor="text1"/>
                <w:sz w:val="18"/>
                <w:szCs w:val="18"/>
              </w:rPr>
              <w:t xml:space="preserve"> – 0,03 kt</w:t>
            </w:r>
          </w:p>
        </w:tc>
        <w:tc>
          <w:tcPr>
            <w:tcW w:w="1276" w:type="dxa"/>
          </w:tcPr>
          <w:p w14:paraId="000585B5"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Aptos" w:hAnsi="Calibri" w:cs="Calibri"/>
                <w:color w:val="000000" w:themeColor="text1"/>
                <w:kern w:val="2"/>
                <w:sz w:val="18"/>
                <w:szCs w:val="18"/>
              </w:rPr>
            </w:pPr>
            <w:r w:rsidRPr="001C58C6">
              <w:rPr>
                <w:rFonts w:ascii="Calibri" w:eastAsia="Times New Roman" w:hAnsi="Calibri" w:cs="Calibri"/>
                <w:color w:val="000000" w:themeColor="text1"/>
                <w:sz w:val="18"/>
                <w:szCs w:val="18"/>
              </w:rPr>
              <w:t>neznatan</w:t>
            </w:r>
          </w:p>
        </w:tc>
        <w:tc>
          <w:tcPr>
            <w:tcW w:w="1852" w:type="dxa"/>
            <w:hideMark/>
          </w:tcPr>
          <w:p w14:paraId="6EE71C6F"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Niska – zavisna od snabdijevanja</w:t>
            </w:r>
          </w:p>
        </w:tc>
      </w:tr>
      <w:tr w:rsidR="00D14F76" w:rsidRPr="001C58C6" w14:paraId="647AC721" w14:textId="77777777" w:rsidTr="00E40401">
        <w:tc>
          <w:tcPr>
            <w:cnfStyle w:val="001000000000" w:firstRow="0" w:lastRow="0" w:firstColumn="1" w:lastColumn="0" w:oddVBand="0" w:evenVBand="0" w:oddHBand="0" w:evenHBand="0" w:firstRowFirstColumn="0" w:firstRowLastColumn="0" w:lastRowFirstColumn="0" w:lastRowLastColumn="0"/>
            <w:tcW w:w="1560" w:type="dxa"/>
            <w:hideMark/>
          </w:tcPr>
          <w:p w14:paraId="71799781" w14:textId="77777777" w:rsidR="00D14F76" w:rsidRPr="001C58C6" w:rsidRDefault="00D14F76" w:rsidP="002C1EB5">
            <w:pPr>
              <w:contextualSpacing/>
              <w:jc w:val="center"/>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M10. Zabrana uvoza vozila Euro 4 i nižeg standarda</w:t>
            </w:r>
          </w:p>
        </w:tc>
        <w:tc>
          <w:tcPr>
            <w:tcW w:w="1134" w:type="dxa"/>
            <w:hideMark/>
          </w:tcPr>
          <w:p w14:paraId="60B61B9C"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NOₓ, PM₂.₅, NMVOC, NH</w:t>
            </w:r>
            <w:r w:rsidRPr="001C58C6">
              <w:rPr>
                <w:rFonts w:ascii="Calibri" w:eastAsia="Aptos" w:hAnsi="Calibri" w:cs="Calibri"/>
                <w:color w:val="000000" w:themeColor="text1"/>
                <w:kern w:val="2"/>
                <w:sz w:val="18"/>
                <w:szCs w:val="18"/>
                <w:vertAlign w:val="subscript"/>
              </w:rPr>
              <w:t>3</w:t>
            </w:r>
          </w:p>
        </w:tc>
        <w:tc>
          <w:tcPr>
            <w:tcW w:w="1061" w:type="dxa"/>
            <w:gridSpan w:val="2"/>
            <w:hideMark/>
          </w:tcPr>
          <w:p w14:paraId="454E114E"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 xml:space="preserve">Zabrana uvoza vozila niskog standarda </w:t>
            </w:r>
            <w:r w:rsidRPr="001C58C6">
              <w:rPr>
                <w:rFonts w:ascii="Calibri" w:eastAsia="Aptos" w:hAnsi="Calibri" w:cs="Calibri"/>
                <w:color w:val="000000" w:themeColor="text1"/>
                <w:kern w:val="2"/>
                <w:sz w:val="18"/>
                <w:szCs w:val="18"/>
              </w:rPr>
              <w:lastRenderedPageBreak/>
              <w:t>radi modernizacije flote</w:t>
            </w:r>
          </w:p>
        </w:tc>
        <w:tc>
          <w:tcPr>
            <w:tcW w:w="924" w:type="dxa"/>
            <w:hideMark/>
          </w:tcPr>
          <w:p w14:paraId="5EFAAACF" w14:textId="77777777" w:rsidR="00D14F76" w:rsidRPr="001C58C6" w:rsidRDefault="00D14F76" w:rsidP="002C1EB5">
            <w:pPr>
              <w:ind w:left="-35" w:right="-11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lastRenderedPageBreak/>
              <w:t>Regulatorna</w:t>
            </w:r>
          </w:p>
        </w:tc>
        <w:tc>
          <w:tcPr>
            <w:tcW w:w="850" w:type="dxa"/>
            <w:hideMark/>
          </w:tcPr>
          <w:p w14:paraId="5177C05C"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Saobraćaj</w:t>
            </w:r>
          </w:p>
        </w:tc>
        <w:tc>
          <w:tcPr>
            <w:tcW w:w="709" w:type="dxa"/>
            <w:hideMark/>
          </w:tcPr>
          <w:p w14:paraId="7A1B583E" w14:textId="77777777" w:rsidR="00D14F76" w:rsidRPr="001C58C6" w:rsidRDefault="00D14F76" w:rsidP="002C1EB5">
            <w:pPr>
              <w:ind w:right="-66"/>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2025</w:t>
            </w:r>
          </w:p>
        </w:tc>
        <w:tc>
          <w:tcPr>
            <w:tcW w:w="567" w:type="dxa"/>
            <w:hideMark/>
          </w:tcPr>
          <w:p w14:paraId="06154607" w14:textId="77777777" w:rsidR="00D14F76" w:rsidRPr="001C58C6" w:rsidRDefault="00D14F76" w:rsidP="002C1EB5">
            <w:pPr>
              <w:ind w:left="-109" w:right="-11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2030</w:t>
            </w:r>
          </w:p>
        </w:tc>
        <w:tc>
          <w:tcPr>
            <w:tcW w:w="1276" w:type="dxa"/>
            <w:gridSpan w:val="2"/>
            <w:hideMark/>
          </w:tcPr>
          <w:p w14:paraId="792C25A0" w14:textId="77777777" w:rsidR="00D14F76" w:rsidRPr="001C58C6" w:rsidRDefault="00D14F76" w:rsidP="002C1EB5">
            <w:pPr>
              <w:ind w:left="-114" w:right="-111"/>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nadležna ministarstva i uprave</w:t>
            </w:r>
          </w:p>
        </w:tc>
        <w:tc>
          <w:tcPr>
            <w:tcW w:w="709" w:type="dxa"/>
            <w:hideMark/>
          </w:tcPr>
          <w:p w14:paraId="2DAC55F9"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 xml:space="preserve">MEIR, </w:t>
            </w:r>
            <w:r w:rsidR="002C1EB5" w:rsidRPr="001C58C6">
              <w:rPr>
                <w:rFonts w:ascii="Calibri" w:eastAsia="Aptos" w:hAnsi="Calibri" w:cs="Calibri"/>
                <w:color w:val="000000" w:themeColor="text1"/>
                <w:kern w:val="2"/>
                <w:sz w:val="18"/>
                <w:szCs w:val="18"/>
              </w:rPr>
              <w:t>MUP</w:t>
            </w:r>
            <w:r w:rsidRPr="001C58C6">
              <w:rPr>
                <w:rFonts w:ascii="Calibri" w:eastAsia="Aptos" w:hAnsi="Calibri" w:cs="Calibri"/>
                <w:color w:val="000000" w:themeColor="text1"/>
                <w:kern w:val="2"/>
                <w:sz w:val="18"/>
                <w:szCs w:val="18"/>
              </w:rPr>
              <w:t>; Uprava carina</w:t>
            </w:r>
          </w:p>
        </w:tc>
        <w:tc>
          <w:tcPr>
            <w:tcW w:w="1701" w:type="dxa"/>
            <w:gridSpan w:val="2"/>
            <w:hideMark/>
          </w:tcPr>
          <w:p w14:paraId="476B0C32"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 xml:space="preserve">Pravilnik o tehničkim zahtjevima za vozila koja se prvi put stavljaju na tržište u </w:t>
            </w:r>
            <w:r w:rsidRPr="001C58C6">
              <w:rPr>
                <w:rFonts w:ascii="Calibri" w:eastAsia="Aptos" w:hAnsi="Calibri" w:cs="Calibri"/>
                <w:color w:val="000000" w:themeColor="text1"/>
                <w:kern w:val="2"/>
                <w:sz w:val="18"/>
                <w:szCs w:val="18"/>
              </w:rPr>
              <w:lastRenderedPageBreak/>
              <w:t>Crnoj Gori, procjena flote</w:t>
            </w:r>
          </w:p>
        </w:tc>
        <w:tc>
          <w:tcPr>
            <w:tcW w:w="1559" w:type="dxa"/>
          </w:tcPr>
          <w:p w14:paraId="70BFB2BA"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lastRenderedPageBreak/>
              <w:t>NOx – 0,09 kt, NMVOC – 0,02 kt, NH</w:t>
            </w:r>
            <w:r w:rsidRPr="001C58C6">
              <w:rPr>
                <w:rFonts w:ascii="Calibri" w:hAnsi="Calibri" w:cs="Calibri"/>
                <w:color w:val="000000" w:themeColor="text1"/>
                <w:sz w:val="18"/>
                <w:szCs w:val="18"/>
                <w:vertAlign w:val="subscript"/>
              </w:rPr>
              <w:t>3</w:t>
            </w:r>
            <w:r w:rsidRPr="001C58C6">
              <w:rPr>
                <w:rFonts w:ascii="Calibri" w:hAnsi="Calibri" w:cs="Calibri"/>
                <w:color w:val="000000" w:themeColor="text1"/>
                <w:sz w:val="18"/>
                <w:szCs w:val="18"/>
              </w:rPr>
              <w:t xml:space="preserve"> – 0,001 kt, PM</w:t>
            </w:r>
            <w:r w:rsidRPr="001C58C6">
              <w:rPr>
                <w:rFonts w:ascii="Calibri" w:hAnsi="Calibri" w:cs="Calibri"/>
                <w:color w:val="000000" w:themeColor="text1"/>
                <w:sz w:val="18"/>
                <w:szCs w:val="18"/>
                <w:vertAlign w:val="subscript"/>
              </w:rPr>
              <w:t>2.5</w:t>
            </w:r>
            <w:r w:rsidRPr="001C58C6">
              <w:rPr>
                <w:rFonts w:ascii="Calibri" w:hAnsi="Calibri" w:cs="Calibri"/>
                <w:color w:val="000000" w:themeColor="text1"/>
                <w:sz w:val="18"/>
                <w:szCs w:val="18"/>
              </w:rPr>
              <w:t xml:space="preserve"> – 0,01 kt</w:t>
            </w:r>
          </w:p>
          <w:p w14:paraId="05387E3D"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p>
        </w:tc>
        <w:tc>
          <w:tcPr>
            <w:tcW w:w="1276" w:type="dxa"/>
          </w:tcPr>
          <w:p w14:paraId="634F9697"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Aptos" w:hAnsi="Calibri" w:cs="Calibri"/>
                <w:color w:val="000000" w:themeColor="text1"/>
                <w:kern w:val="2"/>
                <w:sz w:val="18"/>
                <w:szCs w:val="18"/>
              </w:rPr>
            </w:pPr>
            <w:r w:rsidRPr="001C58C6">
              <w:rPr>
                <w:rFonts w:ascii="Calibri" w:eastAsia="Times New Roman" w:hAnsi="Calibri" w:cs="Calibri"/>
                <w:color w:val="000000" w:themeColor="text1"/>
                <w:sz w:val="18"/>
                <w:szCs w:val="18"/>
              </w:rPr>
              <w:lastRenderedPageBreak/>
              <w:t>neznatan</w:t>
            </w:r>
          </w:p>
        </w:tc>
        <w:tc>
          <w:tcPr>
            <w:tcW w:w="1852" w:type="dxa"/>
            <w:hideMark/>
          </w:tcPr>
          <w:p w14:paraId="7F51140A"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Niska – potreban nadzor</w:t>
            </w:r>
          </w:p>
        </w:tc>
      </w:tr>
      <w:tr w:rsidR="00D14F76" w:rsidRPr="001C58C6" w14:paraId="4BA171E4" w14:textId="77777777" w:rsidTr="00E40401">
        <w:tc>
          <w:tcPr>
            <w:cnfStyle w:val="001000000000" w:firstRow="0" w:lastRow="0" w:firstColumn="1" w:lastColumn="0" w:oddVBand="0" w:evenVBand="0" w:oddHBand="0" w:evenHBand="0" w:firstRowFirstColumn="0" w:firstRowLastColumn="0" w:lastRowFirstColumn="0" w:lastRowLastColumn="0"/>
            <w:tcW w:w="1560" w:type="dxa"/>
            <w:hideMark/>
          </w:tcPr>
          <w:p w14:paraId="553634CC" w14:textId="77777777" w:rsidR="00D14F76" w:rsidRPr="001C58C6" w:rsidRDefault="00D14F76" w:rsidP="002C1EB5">
            <w:pPr>
              <w:contextualSpacing/>
              <w:jc w:val="center"/>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M11. Upravljanje stajskim đubrivom i organska poljoprivreda</w:t>
            </w:r>
          </w:p>
        </w:tc>
        <w:tc>
          <w:tcPr>
            <w:tcW w:w="1134" w:type="dxa"/>
            <w:hideMark/>
          </w:tcPr>
          <w:p w14:paraId="1B9460F6"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NH₃</w:t>
            </w:r>
          </w:p>
        </w:tc>
        <w:tc>
          <w:tcPr>
            <w:tcW w:w="1061" w:type="dxa"/>
            <w:gridSpan w:val="2"/>
            <w:hideMark/>
          </w:tcPr>
          <w:p w14:paraId="26587198"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Uspostava kodeksa dobre poljoprivredne prakse i tehnika niskih emisija</w:t>
            </w:r>
          </w:p>
        </w:tc>
        <w:tc>
          <w:tcPr>
            <w:tcW w:w="924" w:type="dxa"/>
            <w:hideMark/>
          </w:tcPr>
          <w:p w14:paraId="2A0A9ED9" w14:textId="77777777" w:rsidR="00D14F76" w:rsidRPr="001C58C6" w:rsidRDefault="00D14F76" w:rsidP="002C1EB5">
            <w:pPr>
              <w:ind w:left="-35" w:right="-11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Dobrovoljni sporazumi, Obrazovanje, Tehnička pomoć</w:t>
            </w:r>
          </w:p>
        </w:tc>
        <w:tc>
          <w:tcPr>
            <w:tcW w:w="850" w:type="dxa"/>
            <w:hideMark/>
          </w:tcPr>
          <w:p w14:paraId="747CC15F"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Poljoprivreda</w:t>
            </w:r>
          </w:p>
        </w:tc>
        <w:tc>
          <w:tcPr>
            <w:tcW w:w="709" w:type="dxa"/>
            <w:hideMark/>
          </w:tcPr>
          <w:p w14:paraId="711351D8" w14:textId="77777777" w:rsidR="00D14F76" w:rsidRPr="001C58C6" w:rsidRDefault="00D14F76" w:rsidP="002C1EB5">
            <w:pPr>
              <w:ind w:right="-66"/>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2025</w:t>
            </w:r>
          </w:p>
        </w:tc>
        <w:tc>
          <w:tcPr>
            <w:tcW w:w="567" w:type="dxa"/>
            <w:hideMark/>
          </w:tcPr>
          <w:p w14:paraId="0D37C0E3" w14:textId="77777777" w:rsidR="00D14F76" w:rsidRPr="001C58C6" w:rsidRDefault="00D14F76" w:rsidP="002C1EB5">
            <w:pPr>
              <w:ind w:left="-109" w:right="-11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2030</w:t>
            </w:r>
          </w:p>
        </w:tc>
        <w:tc>
          <w:tcPr>
            <w:tcW w:w="1276" w:type="dxa"/>
            <w:gridSpan w:val="2"/>
          </w:tcPr>
          <w:p w14:paraId="2EEF69DB" w14:textId="77777777" w:rsidR="00D14F76" w:rsidRPr="001C58C6" w:rsidRDefault="00D14F76" w:rsidP="002C1EB5">
            <w:pPr>
              <w:ind w:left="-114" w:right="-111"/>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nadležno ministarstvo i agencija</w:t>
            </w:r>
          </w:p>
        </w:tc>
        <w:tc>
          <w:tcPr>
            <w:tcW w:w="709" w:type="dxa"/>
          </w:tcPr>
          <w:p w14:paraId="31BCC289" w14:textId="77777777" w:rsidR="00D14F76" w:rsidRPr="001C58C6" w:rsidRDefault="002C1EB5"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MPŠiV</w:t>
            </w:r>
            <w:r w:rsidR="00D14F76" w:rsidRPr="001C58C6">
              <w:rPr>
                <w:rFonts w:ascii="Calibri" w:eastAsia="Aptos" w:hAnsi="Calibri" w:cs="Calibri"/>
                <w:color w:val="000000" w:themeColor="text1"/>
                <w:kern w:val="2"/>
                <w:sz w:val="18"/>
                <w:szCs w:val="18"/>
              </w:rPr>
              <w:t>, IPARD agencija</w:t>
            </w:r>
          </w:p>
        </w:tc>
        <w:tc>
          <w:tcPr>
            <w:tcW w:w="1701" w:type="dxa"/>
            <w:gridSpan w:val="2"/>
          </w:tcPr>
          <w:p w14:paraId="317FE2A7"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 xml:space="preserve">UNECE Kodeks NH₃, IPARD III okvir, Strategija razvoja poljoprivrede i ruralnih područja 2023-2028, </w:t>
            </w:r>
          </w:p>
        </w:tc>
        <w:tc>
          <w:tcPr>
            <w:tcW w:w="1559" w:type="dxa"/>
          </w:tcPr>
          <w:p w14:paraId="1226F531"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neznatno</w:t>
            </w:r>
          </w:p>
        </w:tc>
        <w:tc>
          <w:tcPr>
            <w:tcW w:w="1276" w:type="dxa"/>
          </w:tcPr>
          <w:p w14:paraId="7B990814"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Aptos" w:hAnsi="Calibri" w:cs="Calibri"/>
                <w:color w:val="000000" w:themeColor="text1"/>
                <w:kern w:val="2"/>
                <w:sz w:val="18"/>
                <w:szCs w:val="18"/>
              </w:rPr>
            </w:pPr>
            <w:r w:rsidRPr="001C58C6">
              <w:rPr>
                <w:rFonts w:ascii="Calibri" w:eastAsia="Aptos" w:hAnsi="Calibri" w:cs="Calibri"/>
                <w:color w:val="000000" w:themeColor="text1"/>
                <w:kern w:val="2"/>
                <w:sz w:val="18"/>
                <w:szCs w:val="18"/>
              </w:rPr>
              <w:t>990.000</w:t>
            </w:r>
          </w:p>
        </w:tc>
        <w:tc>
          <w:tcPr>
            <w:tcW w:w="1852" w:type="dxa"/>
            <w:hideMark/>
          </w:tcPr>
          <w:p w14:paraId="38D7D8B5"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Umjerena – ograničen kapacitet malih gazdinstava</w:t>
            </w:r>
          </w:p>
        </w:tc>
      </w:tr>
      <w:tr w:rsidR="00D14F76" w:rsidRPr="001C58C6" w14:paraId="5548F5D1" w14:textId="77777777" w:rsidTr="00E40401">
        <w:tc>
          <w:tcPr>
            <w:cnfStyle w:val="001000000000" w:firstRow="0" w:lastRow="0" w:firstColumn="1" w:lastColumn="0" w:oddVBand="0" w:evenVBand="0" w:oddHBand="0" w:evenHBand="0" w:firstRowFirstColumn="0" w:firstRowLastColumn="0" w:lastRowFirstColumn="0" w:lastRowLastColumn="0"/>
            <w:tcW w:w="1560" w:type="dxa"/>
            <w:hideMark/>
          </w:tcPr>
          <w:p w14:paraId="0B9B2560" w14:textId="77777777" w:rsidR="00D14F76" w:rsidRPr="001C58C6" w:rsidRDefault="00D14F76" w:rsidP="002C1EB5">
            <w:pPr>
              <w:contextualSpacing/>
              <w:jc w:val="center"/>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M12. Smanjenje biootpada i povećanje priključenosti na kanalizaciju</w:t>
            </w:r>
          </w:p>
        </w:tc>
        <w:tc>
          <w:tcPr>
            <w:tcW w:w="1134" w:type="dxa"/>
            <w:hideMark/>
          </w:tcPr>
          <w:p w14:paraId="59F59CC7"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NH₃, NMVOC, PM₂.₅</w:t>
            </w:r>
          </w:p>
        </w:tc>
        <w:tc>
          <w:tcPr>
            <w:tcW w:w="1061" w:type="dxa"/>
            <w:gridSpan w:val="2"/>
            <w:hideMark/>
          </w:tcPr>
          <w:p w14:paraId="3E8C7461"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Reciklaža biootpada, korišćenje metana na uređenim deponijama, zatvaranje neuređenih deponija, lokalni kanalizacioni projekti</w:t>
            </w:r>
          </w:p>
        </w:tc>
        <w:tc>
          <w:tcPr>
            <w:tcW w:w="924" w:type="dxa"/>
            <w:hideMark/>
          </w:tcPr>
          <w:p w14:paraId="2D599145" w14:textId="77777777" w:rsidR="00D14F76" w:rsidRPr="001C58C6" w:rsidRDefault="00D14F76" w:rsidP="002C1EB5">
            <w:pPr>
              <w:ind w:left="-35" w:right="-11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Planiranje, Tehnička, Investicije</w:t>
            </w:r>
          </w:p>
        </w:tc>
        <w:tc>
          <w:tcPr>
            <w:tcW w:w="850" w:type="dxa"/>
            <w:hideMark/>
          </w:tcPr>
          <w:p w14:paraId="6026CA59"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Upravljanje otpadom, upravljanje komunalnim otpadnim vodama</w:t>
            </w:r>
          </w:p>
        </w:tc>
        <w:tc>
          <w:tcPr>
            <w:tcW w:w="709" w:type="dxa"/>
            <w:hideMark/>
          </w:tcPr>
          <w:p w14:paraId="4B2DA0B5" w14:textId="77777777" w:rsidR="00D14F76" w:rsidRPr="001C58C6" w:rsidRDefault="00D14F76" w:rsidP="002C1EB5">
            <w:pPr>
              <w:ind w:right="-66"/>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2024</w:t>
            </w:r>
          </w:p>
        </w:tc>
        <w:tc>
          <w:tcPr>
            <w:tcW w:w="567" w:type="dxa"/>
            <w:hideMark/>
          </w:tcPr>
          <w:p w14:paraId="307B1A91" w14:textId="77777777" w:rsidR="00D14F76" w:rsidRPr="001C58C6" w:rsidRDefault="00D14F76" w:rsidP="002C1EB5">
            <w:pPr>
              <w:ind w:left="-109" w:right="-11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2030</w:t>
            </w:r>
          </w:p>
        </w:tc>
        <w:tc>
          <w:tcPr>
            <w:tcW w:w="1276" w:type="dxa"/>
            <w:gridSpan w:val="2"/>
          </w:tcPr>
          <w:p w14:paraId="7DB70C35" w14:textId="77777777" w:rsidR="00D14F76" w:rsidRPr="001C58C6" w:rsidRDefault="00D14F76" w:rsidP="002C1EB5">
            <w:pPr>
              <w:ind w:left="-114" w:right="-111"/>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hAnsi="Calibri" w:cs="Calibri"/>
                <w:color w:val="000000" w:themeColor="text1"/>
                <w:sz w:val="18"/>
                <w:szCs w:val="18"/>
              </w:rPr>
              <w:t>nadležna ministarstva, lokalne samouprave</w:t>
            </w:r>
          </w:p>
        </w:tc>
        <w:tc>
          <w:tcPr>
            <w:tcW w:w="709" w:type="dxa"/>
          </w:tcPr>
          <w:p w14:paraId="725C3DCB"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M</w:t>
            </w:r>
            <w:r w:rsidR="002C1EB5" w:rsidRPr="001C58C6">
              <w:rPr>
                <w:rFonts w:ascii="Calibri" w:eastAsia="Aptos" w:hAnsi="Calibri" w:cs="Calibri"/>
                <w:color w:val="000000" w:themeColor="text1"/>
                <w:kern w:val="2"/>
                <w:sz w:val="18"/>
                <w:szCs w:val="18"/>
              </w:rPr>
              <w:t>ERS</w:t>
            </w:r>
            <w:r w:rsidRPr="001C58C6">
              <w:rPr>
                <w:rFonts w:ascii="Calibri" w:eastAsia="Aptos" w:hAnsi="Calibri" w:cs="Calibri"/>
                <w:color w:val="000000" w:themeColor="text1"/>
                <w:kern w:val="2"/>
                <w:sz w:val="18"/>
                <w:szCs w:val="18"/>
              </w:rPr>
              <w:t>; opštine</w:t>
            </w:r>
          </w:p>
        </w:tc>
        <w:tc>
          <w:tcPr>
            <w:tcW w:w="1701" w:type="dxa"/>
            <w:gridSpan w:val="2"/>
          </w:tcPr>
          <w:p w14:paraId="57BB8E5B"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Državni plan upravljanja otpadom za period 2024-2028, Plan upravljanja komunalnim otpadnim vodama (2020-2035)</w:t>
            </w:r>
          </w:p>
        </w:tc>
        <w:tc>
          <w:tcPr>
            <w:tcW w:w="1559" w:type="dxa"/>
          </w:tcPr>
          <w:p w14:paraId="51510B67"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neznatno</w:t>
            </w:r>
          </w:p>
        </w:tc>
        <w:tc>
          <w:tcPr>
            <w:tcW w:w="1276" w:type="dxa"/>
          </w:tcPr>
          <w:p w14:paraId="2D2F6029"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Aptos" w:hAnsi="Calibri" w:cs="Calibri"/>
                <w:color w:val="000000" w:themeColor="text1"/>
                <w:kern w:val="2"/>
                <w:sz w:val="18"/>
                <w:szCs w:val="18"/>
              </w:rPr>
            </w:pPr>
            <w:r w:rsidRPr="001C58C6">
              <w:rPr>
                <w:rFonts w:ascii="Calibri" w:eastAsia="Aptos" w:hAnsi="Calibri" w:cs="Calibri"/>
                <w:color w:val="000000" w:themeColor="text1"/>
                <w:kern w:val="2"/>
                <w:sz w:val="18"/>
                <w:szCs w:val="18"/>
              </w:rPr>
              <w:t>Ne postoji procjena troškova, ali su znatni</w:t>
            </w:r>
          </w:p>
        </w:tc>
        <w:tc>
          <w:tcPr>
            <w:tcW w:w="1852" w:type="dxa"/>
            <w:hideMark/>
          </w:tcPr>
          <w:p w14:paraId="0D88D466" w14:textId="77777777" w:rsidR="00D14F76" w:rsidRPr="001C58C6" w:rsidRDefault="00D14F76" w:rsidP="002C1EB5">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Aptos" w:hAnsi="Calibri" w:cs="Calibri"/>
                <w:color w:val="000000" w:themeColor="text1"/>
                <w:kern w:val="2"/>
                <w:sz w:val="18"/>
                <w:szCs w:val="18"/>
              </w:rPr>
              <w:t>Umjerena – zavisna od održavanja i troškova, veliki investicioni troškovi i tehnički zahvati</w:t>
            </w:r>
          </w:p>
        </w:tc>
      </w:tr>
      <w:tr w:rsidR="00D14F76" w:rsidRPr="001C58C6" w14:paraId="0151E7B5" w14:textId="77777777" w:rsidTr="00E40401">
        <w:tc>
          <w:tcPr>
            <w:cnfStyle w:val="001000000000" w:firstRow="0" w:lastRow="0" w:firstColumn="1" w:lastColumn="0" w:oddVBand="0" w:evenVBand="0" w:oddHBand="0" w:evenHBand="0" w:firstRowFirstColumn="0" w:firstRowLastColumn="0" w:lastRowFirstColumn="0" w:lastRowLastColumn="0"/>
            <w:tcW w:w="3145" w:type="dxa"/>
            <w:gridSpan w:val="3"/>
          </w:tcPr>
          <w:p w14:paraId="6B0B2592" w14:textId="77777777" w:rsidR="00D14F76" w:rsidRPr="001C58C6" w:rsidRDefault="00D14F76" w:rsidP="002C1EB5">
            <w:pPr>
              <w:contextualSpacing/>
              <w:jc w:val="left"/>
              <w:rPr>
                <w:rFonts w:ascii="Calibri" w:eastAsia="Times New Roman" w:hAnsi="Calibri" w:cs="Calibri"/>
                <w:i/>
                <w:iCs/>
                <w:color w:val="000000" w:themeColor="text1"/>
                <w:sz w:val="18"/>
                <w:szCs w:val="18"/>
              </w:rPr>
            </w:pPr>
          </w:p>
        </w:tc>
        <w:tc>
          <w:tcPr>
            <w:tcW w:w="5930" w:type="dxa"/>
            <w:gridSpan w:val="9"/>
            <w:hideMark/>
          </w:tcPr>
          <w:p w14:paraId="25AD394B" w14:textId="77777777" w:rsidR="00D14F76" w:rsidRPr="001C58C6" w:rsidRDefault="00D14F76" w:rsidP="002C1EB5">
            <w:pPr>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i/>
                <w:iCs/>
                <w:color w:val="000000" w:themeColor="text1"/>
                <w:sz w:val="18"/>
                <w:szCs w:val="18"/>
              </w:rPr>
              <w:t>Po potrebi dodajte nove redove.</w:t>
            </w:r>
          </w:p>
        </w:tc>
        <w:tc>
          <w:tcPr>
            <w:tcW w:w="6103" w:type="dxa"/>
            <w:gridSpan w:val="4"/>
          </w:tcPr>
          <w:p w14:paraId="017BB16A" w14:textId="77777777" w:rsidR="00D14F76" w:rsidRPr="001C58C6" w:rsidRDefault="00D14F76" w:rsidP="002C1EB5">
            <w:pPr>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p>
        </w:tc>
      </w:tr>
      <w:tr w:rsidR="00D14F76" w:rsidRPr="001C58C6" w14:paraId="615E7888" w14:textId="77777777" w:rsidTr="00E40401">
        <w:tc>
          <w:tcPr>
            <w:cnfStyle w:val="001000000000" w:firstRow="0" w:lastRow="0" w:firstColumn="1" w:lastColumn="0" w:oddVBand="0" w:evenVBand="0" w:oddHBand="0" w:evenHBand="0" w:firstRowFirstColumn="0" w:firstRowLastColumn="0" w:lastRowFirstColumn="0" w:lastRowLastColumn="0"/>
            <w:tcW w:w="3145" w:type="dxa"/>
            <w:gridSpan w:val="3"/>
          </w:tcPr>
          <w:p w14:paraId="3E32C713" w14:textId="77777777" w:rsidR="00D14F76" w:rsidRPr="001C58C6" w:rsidRDefault="00D14F76" w:rsidP="002C1EB5">
            <w:pPr>
              <w:contextualSpacing/>
              <w:rPr>
                <w:rFonts w:ascii="Calibri" w:eastAsia="Times New Roman" w:hAnsi="Calibri" w:cs="Calibri"/>
                <w:i/>
                <w:iCs/>
                <w:color w:val="000000" w:themeColor="text1"/>
                <w:sz w:val="18"/>
                <w:szCs w:val="18"/>
              </w:rPr>
            </w:pPr>
          </w:p>
        </w:tc>
        <w:tc>
          <w:tcPr>
            <w:tcW w:w="5930" w:type="dxa"/>
            <w:gridSpan w:val="9"/>
            <w:hideMark/>
          </w:tcPr>
          <w:p w14:paraId="3D0BEB58"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i/>
                <w:iCs/>
                <w:color w:val="000000" w:themeColor="text1"/>
                <w:sz w:val="18"/>
                <w:szCs w:val="18"/>
              </w:rPr>
              <w:t>Odgovori u poljima označenim znakom (*), (^) i (†) popunjavaju se ponuđenim mogućim odgovorima koji su usklađeni sa obavezama izvještavanja u skladu sa Uredbom (EU) br. 525/2013 o mehanizmu za praćenje i izvještavanje o emisijama gasova sa efektom staklene bašte i Sprovedbenom uredbom (EU) br. 749/2014.</w:t>
            </w:r>
          </w:p>
        </w:tc>
        <w:tc>
          <w:tcPr>
            <w:tcW w:w="6103" w:type="dxa"/>
            <w:gridSpan w:val="4"/>
          </w:tcPr>
          <w:p w14:paraId="0D506C7C"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p>
        </w:tc>
      </w:tr>
      <w:tr w:rsidR="00D14F76" w:rsidRPr="001C58C6" w14:paraId="1A381F01" w14:textId="77777777" w:rsidTr="00E40401">
        <w:tc>
          <w:tcPr>
            <w:cnfStyle w:val="001000000000" w:firstRow="0" w:lastRow="0" w:firstColumn="1" w:lastColumn="0" w:oddVBand="0" w:evenVBand="0" w:oddHBand="0" w:evenHBand="0" w:firstRowFirstColumn="0" w:firstRowLastColumn="0" w:lastRowFirstColumn="0" w:lastRowLastColumn="0"/>
            <w:tcW w:w="3145" w:type="dxa"/>
            <w:gridSpan w:val="3"/>
          </w:tcPr>
          <w:p w14:paraId="0042EF0C" w14:textId="77777777" w:rsidR="00D14F76" w:rsidRPr="001C58C6" w:rsidRDefault="00D14F76" w:rsidP="002C1EB5">
            <w:pPr>
              <w:contextualSpacing/>
              <w:rPr>
                <w:rFonts w:ascii="Calibri" w:eastAsia="Times New Roman" w:hAnsi="Calibri" w:cs="Calibri"/>
                <w:color w:val="000000" w:themeColor="text1"/>
                <w:sz w:val="18"/>
                <w:szCs w:val="18"/>
              </w:rPr>
            </w:pPr>
          </w:p>
        </w:tc>
        <w:tc>
          <w:tcPr>
            <w:tcW w:w="5930" w:type="dxa"/>
            <w:gridSpan w:val="9"/>
            <w:hideMark/>
          </w:tcPr>
          <w:p w14:paraId="22D95995"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1.</w:t>
            </w:r>
            <w:r w:rsidRPr="001C58C6">
              <w:rPr>
                <w:rFonts w:ascii="Calibri" w:eastAsia="Times New Roman" w:hAnsi="Calibri" w:cs="Calibri"/>
                <w:color w:val="000000" w:themeColor="text1"/>
                <w:sz w:val="18"/>
                <w:szCs w:val="18"/>
              </w:rPr>
              <w:tab/>
              <w:t xml:space="preserve">Proizvodnja energije: </w:t>
            </w:r>
          </w:p>
          <w:p w14:paraId="074E61C8"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povećanje proizvodnje energije iz obnovljivih izvora; </w:t>
            </w:r>
          </w:p>
          <w:p w14:paraId="6509DD71"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prelazak na goriva sa manjim karbonskim intenzitetom; </w:t>
            </w:r>
          </w:p>
          <w:p w14:paraId="46812333"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povećanje proizvodnje energije iz neobnovljivih niskokarbonskih izvora (nuklearna energija); </w:t>
            </w:r>
          </w:p>
          <w:p w14:paraId="63302BA0"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smanjenje gubitaka; </w:t>
            </w:r>
          </w:p>
          <w:p w14:paraId="4A0679A2"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povećanje efikasnosti u sektoru energetike i transformacije energije; </w:t>
            </w:r>
          </w:p>
          <w:p w14:paraId="757513E4"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ugradnja sistema/primjena tehnologija za smanjenje emisija; </w:t>
            </w:r>
          </w:p>
          <w:p w14:paraId="2788FC14"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proizvodnja energije - drugo. </w:t>
            </w:r>
          </w:p>
          <w:p w14:paraId="4D3B549F"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2.</w:t>
            </w:r>
            <w:r w:rsidRPr="001C58C6">
              <w:rPr>
                <w:rFonts w:ascii="Calibri" w:eastAsia="Times New Roman" w:hAnsi="Calibri" w:cs="Calibri"/>
                <w:color w:val="000000" w:themeColor="text1"/>
                <w:sz w:val="18"/>
                <w:szCs w:val="18"/>
              </w:rPr>
              <w:tab/>
              <w:t xml:space="preserve">Potrošnja energije: </w:t>
            </w:r>
          </w:p>
          <w:p w14:paraId="782A2AEE"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poboljšanje energetske efikasnosti zgrada; </w:t>
            </w:r>
          </w:p>
          <w:p w14:paraId="04BDDE22"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poboljšanje energetske efikasnosti uređaja; </w:t>
            </w:r>
          </w:p>
          <w:p w14:paraId="02FF6099"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poboljšanje energetske efikasnosti u sektoru usluga/tercijarnom sektoru; </w:t>
            </w:r>
          </w:p>
          <w:p w14:paraId="1A29816F"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poboljšanje energetske efikasnosti krajnjih korisnika u industrijskom sektoru; </w:t>
            </w:r>
          </w:p>
          <w:p w14:paraId="45574D7A"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lastRenderedPageBreak/>
              <w:t xml:space="preserve">— upravljanje potrošnjom/smanjenje potrošnje; </w:t>
            </w:r>
          </w:p>
          <w:p w14:paraId="41441D1C"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potrošnja energije – drugo. </w:t>
            </w:r>
          </w:p>
          <w:p w14:paraId="6D1D8234"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3.</w:t>
            </w:r>
            <w:r w:rsidRPr="001C58C6">
              <w:rPr>
                <w:rFonts w:ascii="Calibri" w:eastAsia="Times New Roman" w:hAnsi="Calibri" w:cs="Calibri"/>
                <w:color w:val="000000" w:themeColor="text1"/>
                <w:sz w:val="18"/>
                <w:szCs w:val="18"/>
              </w:rPr>
              <w:tab/>
              <w:t xml:space="preserve">Saobraćaj: </w:t>
            </w:r>
          </w:p>
          <w:p w14:paraId="2018E63A"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ugradnja uređaja za smanjenje emisija u vozila, plovila i vazduhoplove; </w:t>
            </w:r>
          </w:p>
          <w:p w14:paraId="7644F0BF"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poboljšanje energetske efikasnosti, vozila, plovila i vazduhoplova; </w:t>
            </w:r>
          </w:p>
          <w:p w14:paraId="4DD4B9A2"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prelazak na javni prevoz ili nemotorizovani prevoz; </w:t>
            </w:r>
          </w:p>
          <w:p w14:paraId="74E26B91"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alternativna goriva za vozila, plovila i vazduhoplove (uključujući i elektricna vozila); </w:t>
            </w:r>
          </w:p>
          <w:p w14:paraId="2D459336"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upravljanje potražnjom/smanjenje potražnje; </w:t>
            </w:r>
          </w:p>
          <w:p w14:paraId="612D4A11"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poboljšanje modela ponašanja u saobraćaju/saobraćajne kulture; </w:t>
            </w:r>
          </w:p>
          <w:p w14:paraId="217F6B02"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poboljšanje saobraćajne infrastrukture; </w:t>
            </w:r>
          </w:p>
          <w:p w14:paraId="3038F6BB"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saobraćaj - drugo. </w:t>
            </w:r>
          </w:p>
        </w:tc>
        <w:tc>
          <w:tcPr>
            <w:tcW w:w="6103" w:type="dxa"/>
            <w:gridSpan w:val="4"/>
          </w:tcPr>
          <w:p w14:paraId="145E36F5"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lastRenderedPageBreak/>
              <w:t>4.</w:t>
            </w:r>
            <w:r w:rsidRPr="001C58C6">
              <w:rPr>
                <w:rFonts w:ascii="Calibri" w:eastAsia="Times New Roman" w:hAnsi="Calibri" w:cs="Calibri"/>
                <w:color w:val="000000" w:themeColor="text1"/>
                <w:sz w:val="18"/>
                <w:szCs w:val="18"/>
              </w:rPr>
              <w:tab/>
              <w:t xml:space="preserve">Industrijski procesi: </w:t>
            </w:r>
          </w:p>
          <w:p w14:paraId="7D6F125E"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ugradnja sistema/primjena tehnologija za smanjenje emisija; </w:t>
            </w:r>
          </w:p>
          <w:p w14:paraId="29209749"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poboljšana kontrola fugitivnih emisija iz industrijskih procesa; </w:t>
            </w:r>
          </w:p>
          <w:p w14:paraId="62589E2A"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industrijski procesi - drugo. </w:t>
            </w:r>
          </w:p>
          <w:p w14:paraId="7CB89881"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5.</w:t>
            </w:r>
            <w:r w:rsidRPr="001C58C6">
              <w:rPr>
                <w:rFonts w:ascii="Calibri" w:eastAsia="Times New Roman" w:hAnsi="Calibri" w:cs="Calibri"/>
                <w:color w:val="000000" w:themeColor="text1"/>
                <w:sz w:val="18"/>
                <w:szCs w:val="18"/>
              </w:rPr>
              <w:tab/>
              <w:t xml:space="preserve">Upravljanje otpadom/otpad: </w:t>
            </w:r>
          </w:p>
          <w:p w14:paraId="50BF989B"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—upravljanje uslugama upravljanja otpadom/smanjenje potražnje; </w:t>
            </w:r>
          </w:p>
          <w:p w14:paraId="614E4301"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povećanje stope recikliranja; </w:t>
            </w:r>
          </w:p>
          <w:p w14:paraId="126D6F42"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poboljšanje tehnologija obrade otpada; </w:t>
            </w:r>
          </w:p>
          <w:p w14:paraId="0B51EE0D"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poboljšanje upravljanja deponijama; </w:t>
            </w:r>
          </w:p>
          <w:p w14:paraId="61262F9A"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spaljivanje otpada sa upotrebom energije; </w:t>
            </w:r>
          </w:p>
          <w:p w14:paraId="10FD20B5"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poboljšanje sistema za upravljanje otpadnim vodama; </w:t>
            </w:r>
          </w:p>
          <w:p w14:paraId="59DC7999"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smanjenje odlaganja otpada na deponijama; </w:t>
            </w:r>
          </w:p>
          <w:p w14:paraId="7A31C51C"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otpad - drugo. </w:t>
            </w:r>
          </w:p>
          <w:p w14:paraId="6263BDE7"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6.</w:t>
            </w:r>
            <w:r w:rsidRPr="001C58C6">
              <w:rPr>
                <w:rFonts w:ascii="Calibri" w:eastAsia="Times New Roman" w:hAnsi="Calibri" w:cs="Calibri"/>
                <w:color w:val="000000" w:themeColor="text1"/>
                <w:sz w:val="18"/>
                <w:szCs w:val="18"/>
              </w:rPr>
              <w:tab/>
              <w:t xml:space="preserve">Poljoprivreda: </w:t>
            </w:r>
          </w:p>
          <w:p w14:paraId="27793524"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lastRenderedPageBreak/>
              <w:t xml:space="preserve">— primjena sredstava za ishranu bilja (vještačkih đubriva i stajnjaka) sa smanjenim emisijama; </w:t>
            </w:r>
          </w:p>
          <w:p w14:paraId="6FF860F8"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druge aktivnosti kojima se poboljšava upravljanje obradivim zemljistem; </w:t>
            </w:r>
          </w:p>
          <w:p w14:paraId="26AD0175"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poboljšanje upravljanja držanjem stoke i objektima za uzgoj; </w:t>
            </w:r>
          </w:p>
          <w:p w14:paraId="561DA69E"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poboljšanje sistema upravljanja životinjskim otpadom; </w:t>
            </w:r>
          </w:p>
          <w:p w14:paraId="4A8DCF51"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poljoprivreda - drugo. </w:t>
            </w:r>
          </w:p>
          <w:p w14:paraId="3D57410D"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7.</w:t>
            </w:r>
            <w:r w:rsidRPr="001C58C6">
              <w:rPr>
                <w:rFonts w:ascii="Calibri" w:eastAsia="Times New Roman" w:hAnsi="Calibri" w:cs="Calibri"/>
                <w:color w:val="000000" w:themeColor="text1"/>
                <w:sz w:val="18"/>
                <w:szCs w:val="18"/>
              </w:rPr>
              <w:tab/>
              <w:t xml:space="preserve">Intersektorski: </w:t>
            </w:r>
          </w:p>
          <w:p w14:paraId="57675568"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okvirna politika; </w:t>
            </w:r>
          </w:p>
          <w:p w14:paraId="32444DC6"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višesektorska politika; </w:t>
            </w:r>
          </w:p>
          <w:p w14:paraId="01687A5A"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intersektorski - drugo. </w:t>
            </w:r>
          </w:p>
          <w:p w14:paraId="202A84DF" w14:textId="77777777" w:rsidR="00D14F76" w:rsidRPr="001C58C6" w:rsidRDefault="00D14F76" w:rsidP="002C1EB5">
            <w:pPr>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8. Drugo: — Države članice moraju navesti kratak opis cilja</w:t>
            </w:r>
          </w:p>
        </w:tc>
      </w:tr>
      <w:tr w:rsidR="00D14F76" w:rsidRPr="001C58C6" w14:paraId="3D1C4B19" w14:textId="77777777" w:rsidTr="00E40401">
        <w:tc>
          <w:tcPr>
            <w:cnfStyle w:val="001000000000" w:firstRow="0" w:lastRow="0" w:firstColumn="1" w:lastColumn="0" w:oddVBand="0" w:evenVBand="0" w:oddHBand="0" w:evenHBand="0" w:firstRowFirstColumn="0" w:firstRowLastColumn="0" w:lastRowFirstColumn="0" w:lastRowLastColumn="0"/>
            <w:tcW w:w="3145" w:type="dxa"/>
            <w:gridSpan w:val="3"/>
          </w:tcPr>
          <w:p w14:paraId="760A2CFC" w14:textId="77777777" w:rsidR="00D14F76" w:rsidRPr="001C58C6" w:rsidRDefault="00D14F76" w:rsidP="002C1EB5">
            <w:pPr>
              <w:contextualSpacing/>
              <w:rPr>
                <w:rFonts w:ascii="Calibri" w:eastAsia="Times New Roman" w:hAnsi="Calibri" w:cs="Calibri"/>
                <w:color w:val="000000" w:themeColor="text1"/>
                <w:sz w:val="18"/>
                <w:szCs w:val="18"/>
              </w:rPr>
            </w:pPr>
          </w:p>
        </w:tc>
        <w:tc>
          <w:tcPr>
            <w:tcW w:w="5930" w:type="dxa"/>
            <w:gridSpan w:val="9"/>
            <w:hideMark/>
          </w:tcPr>
          <w:p w14:paraId="7F6CA9E7"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Odgovori u polju označenom znakom (^) ispunjavaju se izborom odgovarajuće unaprijed definisane opcije (može se odabrati više politika i mjera, a dodatne politike i mjere mogu se opisati pod tačkom “drugo”) (O):</w:t>
            </w:r>
          </w:p>
          <w:p w14:paraId="06BF1029"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w:t>
            </w:r>
            <w:r w:rsidRPr="001C58C6">
              <w:rPr>
                <w:rFonts w:ascii="Calibri" w:eastAsia="Times New Roman" w:hAnsi="Calibri" w:cs="Calibri"/>
                <w:color w:val="000000" w:themeColor="text1"/>
                <w:sz w:val="18"/>
                <w:szCs w:val="18"/>
              </w:rPr>
              <w:tab/>
              <w:t xml:space="preserve">Kontrola emisija na izvoru; </w:t>
            </w:r>
          </w:p>
          <w:p w14:paraId="6ADBB781"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w:t>
            </w:r>
            <w:r w:rsidRPr="001C58C6">
              <w:rPr>
                <w:rFonts w:ascii="Calibri" w:eastAsia="Times New Roman" w:hAnsi="Calibri" w:cs="Calibri"/>
                <w:color w:val="000000" w:themeColor="text1"/>
                <w:sz w:val="18"/>
                <w:szCs w:val="18"/>
              </w:rPr>
              <w:tab/>
              <w:t xml:space="preserve">Ekonomski instrumenti; </w:t>
            </w:r>
          </w:p>
          <w:p w14:paraId="0A1BBC10"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w:t>
            </w:r>
            <w:r w:rsidRPr="001C58C6">
              <w:rPr>
                <w:rFonts w:ascii="Calibri" w:eastAsia="Times New Roman" w:hAnsi="Calibri" w:cs="Calibri"/>
                <w:color w:val="000000" w:themeColor="text1"/>
                <w:sz w:val="18"/>
                <w:szCs w:val="18"/>
              </w:rPr>
              <w:tab/>
              <w:t>Fiskalni instrumenti;</w:t>
            </w:r>
          </w:p>
          <w:p w14:paraId="650A7060"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w:t>
            </w:r>
            <w:r w:rsidRPr="001C58C6">
              <w:rPr>
                <w:rFonts w:ascii="Calibri" w:eastAsia="Times New Roman" w:hAnsi="Calibri" w:cs="Calibri"/>
                <w:color w:val="000000" w:themeColor="text1"/>
                <w:sz w:val="18"/>
                <w:szCs w:val="18"/>
              </w:rPr>
              <w:tab/>
              <w:t xml:space="preserve">Dobrovoljni ili pregovorima postignuti sporazumi; </w:t>
            </w:r>
          </w:p>
          <w:p w14:paraId="5C86066A"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w:t>
            </w:r>
            <w:r w:rsidRPr="001C58C6">
              <w:rPr>
                <w:rFonts w:ascii="Calibri" w:eastAsia="Times New Roman" w:hAnsi="Calibri" w:cs="Calibri"/>
                <w:color w:val="000000" w:themeColor="text1"/>
                <w:sz w:val="18"/>
                <w:szCs w:val="18"/>
              </w:rPr>
              <w:tab/>
              <w:t xml:space="preserve">Informacije; </w:t>
            </w:r>
          </w:p>
        </w:tc>
        <w:tc>
          <w:tcPr>
            <w:tcW w:w="6103" w:type="dxa"/>
            <w:gridSpan w:val="4"/>
          </w:tcPr>
          <w:p w14:paraId="1CB0EDCC"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w:t>
            </w:r>
            <w:r w:rsidRPr="001C58C6">
              <w:rPr>
                <w:rFonts w:ascii="Calibri" w:eastAsia="Times New Roman" w:hAnsi="Calibri" w:cs="Calibri"/>
                <w:color w:val="000000" w:themeColor="text1"/>
                <w:sz w:val="18"/>
                <w:szCs w:val="18"/>
              </w:rPr>
              <w:tab/>
              <w:t xml:space="preserve">Regulatorno; </w:t>
            </w:r>
          </w:p>
          <w:p w14:paraId="4A9F640E"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w:t>
            </w:r>
            <w:r w:rsidRPr="001C58C6">
              <w:rPr>
                <w:rFonts w:ascii="Calibri" w:eastAsia="Times New Roman" w:hAnsi="Calibri" w:cs="Calibri"/>
                <w:color w:val="000000" w:themeColor="text1"/>
                <w:sz w:val="18"/>
                <w:szCs w:val="18"/>
              </w:rPr>
              <w:tab/>
              <w:t xml:space="preserve">Obrazovanje; </w:t>
            </w:r>
          </w:p>
          <w:p w14:paraId="5FCE48B9"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w:t>
            </w:r>
            <w:r w:rsidRPr="001C58C6">
              <w:rPr>
                <w:rFonts w:ascii="Calibri" w:eastAsia="Times New Roman" w:hAnsi="Calibri" w:cs="Calibri"/>
                <w:color w:val="000000" w:themeColor="text1"/>
                <w:sz w:val="18"/>
                <w:szCs w:val="18"/>
              </w:rPr>
              <w:tab/>
              <w:t xml:space="preserve">Istraživanje; </w:t>
            </w:r>
          </w:p>
          <w:p w14:paraId="07C8C0AB"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w:t>
            </w:r>
            <w:r w:rsidRPr="001C58C6">
              <w:rPr>
                <w:rFonts w:ascii="Calibri" w:eastAsia="Times New Roman" w:hAnsi="Calibri" w:cs="Calibri"/>
                <w:color w:val="000000" w:themeColor="text1"/>
                <w:sz w:val="18"/>
                <w:szCs w:val="18"/>
              </w:rPr>
              <w:tab/>
              <w:t xml:space="preserve">Planiranje; </w:t>
            </w:r>
          </w:p>
          <w:p w14:paraId="3B942355" w14:textId="77777777" w:rsidR="00D14F76" w:rsidRPr="001C58C6" w:rsidRDefault="00D14F76" w:rsidP="002C1EB5">
            <w:pPr>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w:t>
            </w:r>
            <w:r w:rsidRPr="001C58C6">
              <w:rPr>
                <w:rFonts w:ascii="Calibri" w:eastAsia="Times New Roman" w:hAnsi="Calibri" w:cs="Calibri"/>
                <w:color w:val="000000" w:themeColor="text1"/>
                <w:sz w:val="18"/>
                <w:szCs w:val="18"/>
              </w:rPr>
              <w:tab/>
              <w:t xml:space="preserve">Drugo, obavezno opisati. </w:t>
            </w:r>
          </w:p>
        </w:tc>
      </w:tr>
      <w:tr w:rsidR="00D14F76" w:rsidRPr="001C58C6" w14:paraId="708262E2" w14:textId="77777777" w:rsidTr="00E40401">
        <w:tc>
          <w:tcPr>
            <w:cnfStyle w:val="001000000000" w:firstRow="0" w:lastRow="0" w:firstColumn="1" w:lastColumn="0" w:oddVBand="0" w:evenVBand="0" w:oddHBand="0" w:evenHBand="0" w:firstRowFirstColumn="0" w:firstRowLastColumn="0" w:lastRowFirstColumn="0" w:lastRowLastColumn="0"/>
            <w:tcW w:w="3145" w:type="dxa"/>
            <w:gridSpan w:val="3"/>
          </w:tcPr>
          <w:p w14:paraId="0179C20C" w14:textId="77777777" w:rsidR="00D14F76" w:rsidRPr="001C58C6" w:rsidRDefault="00D14F76" w:rsidP="002C1EB5">
            <w:pPr>
              <w:contextualSpacing/>
              <w:rPr>
                <w:rFonts w:ascii="Calibri" w:eastAsia="Times New Roman" w:hAnsi="Calibri" w:cs="Calibri"/>
                <w:color w:val="000000" w:themeColor="text1"/>
                <w:sz w:val="18"/>
                <w:szCs w:val="18"/>
              </w:rPr>
            </w:pPr>
          </w:p>
        </w:tc>
        <w:tc>
          <w:tcPr>
            <w:tcW w:w="5930" w:type="dxa"/>
            <w:gridSpan w:val="9"/>
          </w:tcPr>
          <w:p w14:paraId="3715F02C"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Odgovori u polju označenom znakom (†) ispunjavaju se izborom odgovarajuće unaprijed definisane opcije (može se odabrati više sektora, a dodatni sektori mogu se opisati pod tačkom “drugo”) (O):</w:t>
            </w:r>
          </w:p>
          <w:p w14:paraId="5FAB8919"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w:t>
            </w:r>
            <w:r w:rsidRPr="001C58C6">
              <w:rPr>
                <w:rFonts w:ascii="Calibri" w:eastAsia="Times New Roman" w:hAnsi="Calibri" w:cs="Calibri"/>
                <w:color w:val="000000" w:themeColor="text1"/>
                <w:sz w:val="18"/>
                <w:szCs w:val="18"/>
              </w:rPr>
              <w:tab/>
              <w:t xml:space="preserve">proizvodnja energije (obuhvata vađenje, prenos, distribucija i skladištenje goriva, kao i proizvodnja energije i električne energije); </w:t>
            </w:r>
          </w:p>
          <w:p w14:paraId="52B76377"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w:t>
            </w:r>
            <w:r w:rsidRPr="001C58C6">
              <w:rPr>
                <w:rFonts w:ascii="Calibri" w:eastAsia="Times New Roman" w:hAnsi="Calibri" w:cs="Calibri"/>
                <w:color w:val="000000" w:themeColor="text1"/>
                <w:sz w:val="18"/>
                <w:szCs w:val="18"/>
              </w:rPr>
              <w:tab/>
              <w:t xml:space="preserve">potrošnja energije (obuhvata potrošnju goriva i električne energije od strane krajnjih korisnika kao sto su domaćinstva, sektor usluga, industrije i poljoprivreda); </w:t>
            </w:r>
          </w:p>
          <w:p w14:paraId="606FAED6"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w:t>
            </w:r>
            <w:r w:rsidRPr="001C58C6">
              <w:rPr>
                <w:rFonts w:ascii="Calibri" w:eastAsia="Times New Roman" w:hAnsi="Calibri" w:cs="Calibri"/>
                <w:color w:val="000000" w:themeColor="text1"/>
                <w:sz w:val="18"/>
                <w:szCs w:val="18"/>
              </w:rPr>
              <w:tab/>
              <w:t xml:space="preserve">saobraćaj; </w:t>
            </w:r>
          </w:p>
          <w:p w14:paraId="37932315"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w:t>
            </w:r>
            <w:r w:rsidRPr="001C58C6">
              <w:rPr>
                <w:rFonts w:ascii="Calibri" w:eastAsia="Times New Roman" w:hAnsi="Calibri" w:cs="Calibri"/>
                <w:color w:val="000000" w:themeColor="text1"/>
                <w:sz w:val="18"/>
                <w:szCs w:val="18"/>
              </w:rPr>
              <w:tab/>
              <w:t xml:space="preserve">industrijski procesi (obuhvata industrijske aktivnosti kojima se fizički ili hemijski transformišu materijali sto dovodi do emisija gasova sa efektom staklene bašte, upotrebe gasova sa efektom staklene bašte u proizvodima i neenergetske upotrebe ugljenika iz fosilnih goriva); </w:t>
            </w:r>
          </w:p>
        </w:tc>
        <w:tc>
          <w:tcPr>
            <w:tcW w:w="6103" w:type="dxa"/>
            <w:gridSpan w:val="4"/>
          </w:tcPr>
          <w:p w14:paraId="22B5A037"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w:t>
            </w:r>
            <w:r w:rsidRPr="001C58C6">
              <w:rPr>
                <w:rFonts w:ascii="Calibri" w:eastAsia="Times New Roman" w:hAnsi="Calibri" w:cs="Calibri"/>
                <w:color w:val="000000" w:themeColor="text1"/>
                <w:sz w:val="18"/>
                <w:szCs w:val="18"/>
              </w:rPr>
              <w:tab/>
              <w:t xml:space="preserve">poljoprivreda; </w:t>
            </w:r>
          </w:p>
          <w:p w14:paraId="2CD031AD"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w:t>
            </w:r>
            <w:r w:rsidRPr="001C58C6">
              <w:rPr>
                <w:rFonts w:ascii="Calibri" w:eastAsia="Times New Roman" w:hAnsi="Calibri" w:cs="Calibri"/>
                <w:color w:val="000000" w:themeColor="text1"/>
                <w:sz w:val="18"/>
                <w:szCs w:val="18"/>
              </w:rPr>
              <w:tab/>
              <w:t xml:space="preserve">upravljanje otpadom/otpad; </w:t>
            </w:r>
          </w:p>
          <w:p w14:paraId="4A0E8F91" w14:textId="77777777" w:rsidR="00D14F76" w:rsidRPr="001C58C6" w:rsidRDefault="00D14F76" w:rsidP="002C1EB5">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w:t>
            </w:r>
            <w:r w:rsidRPr="001C58C6">
              <w:rPr>
                <w:rFonts w:ascii="Calibri" w:eastAsia="Times New Roman" w:hAnsi="Calibri" w:cs="Calibri"/>
                <w:color w:val="000000" w:themeColor="text1"/>
                <w:sz w:val="18"/>
                <w:szCs w:val="18"/>
              </w:rPr>
              <w:tab/>
              <w:t xml:space="preserve">intersektorski; </w:t>
            </w:r>
          </w:p>
          <w:p w14:paraId="2BA67FB9" w14:textId="77777777" w:rsidR="00D14F76" w:rsidRPr="001C58C6" w:rsidRDefault="00D14F76" w:rsidP="002C1EB5">
            <w:pPr>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vanish/>
                <w:color w:val="000000" w:themeColor="text1"/>
                <w:sz w:val="18"/>
                <w:szCs w:val="18"/>
              </w:rPr>
            </w:pPr>
            <w:r w:rsidRPr="001C58C6">
              <w:rPr>
                <w:rFonts w:ascii="Calibri" w:eastAsia="Times New Roman" w:hAnsi="Calibri" w:cs="Calibri"/>
                <w:color w:val="000000" w:themeColor="text1"/>
                <w:sz w:val="18"/>
                <w:szCs w:val="18"/>
              </w:rPr>
              <w:t>—</w:t>
            </w:r>
            <w:r w:rsidRPr="001C58C6">
              <w:rPr>
                <w:rFonts w:ascii="Calibri" w:eastAsia="Times New Roman" w:hAnsi="Calibri" w:cs="Calibri"/>
                <w:color w:val="000000" w:themeColor="text1"/>
                <w:sz w:val="18"/>
                <w:szCs w:val="18"/>
              </w:rPr>
              <w:tab/>
              <w:t>drugi sektori; obavezno navesti koji.</w:t>
            </w:r>
          </w:p>
          <w:p w14:paraId="2D7EB214" w14:textId="77777777" w:rsidR="00D14F76" w:rsidRPr="001C58C6" w:rsidRDefault="00D14F76" w:rsidP="002C1EB5">
            <w:pPr>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p>
        </w:tc>
      </w:tr>
    </w:tbl>
    <w:p w14:paraId="55186C17" w14:textId="77777777" w:rsidR="00D14F76" w:rsidRPr="001C58C6" w:rsidRDefault="00D14F76">
      <w:pPr>
        <w:shd w:val="clear" w:color="auto" w:fill="FFFFFF"/>
        <w:spacing w:before="120" w:line="312" w:lineRule="atLeast"/>
        <w:rPr>
          <w:rFonts w:ascii="Calibri" w:eastAsia="Times New Roman" w:hAnsi="Calibri" w:cs="Calibri"/>
          <w:i/>
          <w:iCs/>
          <w:color w:val="000000" w:themeColor="text1"/>
          <w:sz w:val="18"/>
          <w:szCs w:val="18"/>
        </w:rPr>
        <w:sectPr w:rsidR="00D14F76" w:rsidRPr="001C58C6" w:rsidSect="00D14F76">
          <w:pgSz w:w="15840" w:h="12240" w:orient="landscape"/>
          <w:pgMar w:top="1440" w:right="1440" w:bottom="1440" w:left="1440" w:header="720" w:footer="720" w:gutter="0"/>
          <w:cols w:space="720"/>
          <w:docGrid w:linePitch="360"/>
        </w:sectPr>
      </w:pPr>
    </w:p>
    <w:p w14:paraId="24F78F17" w14:textId="77777777" w:rsidR="00675CD2" w:rsidRPr="001C58C6" w:rsidRDefault="00675CD2" w:rsidP="00675CD2">
      <w:pPr>
        <w:rPr>
          <w:rFonts w:ascii="Calibri" w:eastAsia="Times New Roman" w:hAnsi="Calibri" w:cs="Calibri"/>
          <w:color w:val="000000" w:themeColor="text1"/>
          <w:sz w:val="18"/>
          <w:szCs w:val="18"/>
        </w:rPr>
      </w:pPr>
    </w:p>
    <w:p w14:paraId="48392BF0" w14:textId="77777777" w:rsidR="00D14F76" w:rsidRPr="001C58C6" w:rsidRDefault="00D14F76">
      <w:pPr>
        <w:shd w:val="clear" w:color="auto" w:fill="FFFFFF"/>
        <w:spacing w:before="240" w:after="120" w:line="312" w:lineRule="atLeast"/>
        <w:rPr>
          <w:rFonts w:ascii="Calibri" w:eastAsia="Times New Roman" w:hAnsi="Calibri" w:cs="Calibri"/>
          <w:b/>
          <w:bCs/>
          <w:color w:val="000000" w:themeColor="text1"/>
          <w:szCs w:val="24"/>
        </w:rPr>
      </w:pPr>
      <w:r w:rsidRPr="001C58C6">
        <w:rPr>
          <w:rFonts w:ascii="Calibri" w:eastAsia="Times New Roman" w:hAnsi="Calibri" w:cs="Calibri"/>
          <w:b/>
          <w:bCs/>
          <w:color w:val="000000" w:themeColor="text1"/>
          <w:szCs w:val="24"/>
        </w:rPr>
        <w:t>2.6.</w:t>
      </w:r>
      <w:r w:rsidR="00E63EF7" w:rsidRPr="001C58C6">
        <w:rPr>
          <w:rFonts w:ascii="Calibri" w:eastAsia="Times New Roman" w:hAnsi="Calibri" w:cs="Calibri"/>
          <w:b/>
          <w:bCs/>
          <w:color w:val="000000" w:themeColor="text1"/>
          <w:szCs w:val="24"/>
        </w:rPr>
        <w:t>3</w:t>
      </w:r>
      <w:r w:rsidRPr="001C58C6">
        <w:rPr>
          <w:rFonts w:ascii="Calibri" w:eastAsia="Times New Roman" w:hAnsi="Calibri" w:cs="Calibri"/>
          <w:b/>
          <w:bCs/>
          <w:color w:val="000000" w:themeColor="text1"/>
          <w:szCs w:val="24"/>
        </w:rPr>
        <w:t>.   </w:t>
      </w:r>
      <w:r w:rsidRPr="001C58C6">
        <w:rPr>
          <w:rFonts w:ascii="Calibri" w:eastAsia="Times New Roman" w:hAnsi="Calibri" w:cs="Calibri"/>
          <w:b/>
          <w:bCs/>
          <w:i/>
          <w:iCs/>
          <w:color w:val="000000" w:themeColor="text1"/>
          <w:szCs w:val="24"/>
        </w:rPr>
        <w:t>Dodatne pojedinosti koje se odnose na mjere iz dijela 2. Priloga III. Direktivi (EU) 2016/2284 kojima se nastoji ostvariti usklađenost poljoprivrednog sektora sa obavezama smanjenja emisija</w:t>
      </w:r>
    </w:p>
    <w:tbl>
      <w:tblPr>
        <w:tblStyle w:val="GridTable1Light-Accent1"/>
        <w:tblW w:w="5000" w:type="pct"/>
        <w:tblLook w:val="04A0" w:firstRow="1" w:lastRow="0" w:firstColumn="1" w:lastColumn="0" w:noHBand="0" w:noVBand="1"/>
      </w:tblPr>
      <w:tblGrid>
        <w:gridCol w:w="4530"/>
        <w:gridCol w:w="2023"/>
        <w:gridCol w:w="3996"/>
        <w:gridCol w:w="2401"/>
      </w:tblGrid>
      <w:tr w:rsidR="00D14F76" w:rsidRPr="001C58C6" w14:paraId="3DD3A90A" w14:textId="77777777" w:rsidTr="00E404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577412"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w:t>
            </w:r>
          </w:p>
        </w:tc>
        <w:tc>
          <w:tcPr>
            <w:tcW w:w="0" w:type="auto"/>
          </w:tcPr>
          <w:p w14:paraId="3A0CC73B" w14:textId="77777777" w:rsidR="00D14F76" w:rsidRPr="001C58C6" w:rsidRDefault="00D14F76" w:rsidP="002C1EB5">
            <w:pPr>
              <w:spacing w:before="60" w:after="60"/>
              <w:ind w:right="-46" w:firstLine="113"/>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8"/>
                <w:szCs w:val="18"/>
              </w:rPr>
            </w:pPr>
            <w:r w:rsidRPr="001C58C6">
              <w:rPr>
                <w:rFonts w:ascii="Calibri" w:eastAsia="Times New Roman" w:hAnsi="Calibri" w:cs="Calibri"/>
                <w:color w:val="000000" w:themeColor="text1"/>
                <w:sz w:val="18"/>
                <w:szCs w:val="18"/>
              </w:rPr>
              <w:t>Jesu li politika i mjera uključeni u nacionalni program kontrole zagađenja vazduha?</w:t>
            </w:r>
          </w:p>
          <w:p w14:paraId="17440378" w14:textId="77777777" w:rsidR="00D14F76" w:rsidRPr="001C58C6" w:rsidRDefault="00D14F76" w:rsidP="002C1EB5">
            <w:pPr>
              <w:spacing w:before="60" w:after="60"/>
              <w:ind w:right="-46" w:firstLine="113"/>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8"/>
                <w:szCs w:val="18"/>
              </w:rPr>
            </w:pPr>
            <w:r w:rsidRPr="001C58C6">
              <w:rPr>
                <w:rFonts w:ascii="Calibri" w:eastAsia="Times New Roman" w:hAnsi="Calibri" w:cs="Calibri"/>
                <w:color w:val="000000" w:themeColor="text1"/>
                <w:sz w:val="18"/>
                <w:szCs w:val="18"/>
              </w:rPr>
              <w:t>Da/ne (O)</w:t>
            </w:r>
          </w:p>
        </w:tc>
        <w:tc>
          <w:tcPr>
            <w:tcW w:w="1543" w:type="pct"/>
          </w:tcPr>
          <w:p w14:paraId="2745CEB0" w14:textId="77777777" w:rsidR="00D14F76" w:rsidRPr="001C58C6" w:rsidRDefault="00D14F76" w:rsidP="002C1EB5">
            <w:pPr>
              <w:spacing w:before="60" w:after="60"/>
              <w:ind w:right="195" w:firstLine="113"/>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8"/>
                <w:szCs w:val="18"/>
              </w:rPr>
            </w:pPr>
            <w:r w:rsidRPr="001C58C6">
              <w:rPr>
                <w:rFonts w:ascii="Calibri" w:eastAsia="Times New Roman" w:hAnsi="Calibri" w:cs="Calibri"/>
                <w:color w:val="000000" w:themeColor="text1"/>
                <w:sz w:val="18"/>
                <w:szCs w:val="18"/>
              </w:rPr>
              <w:t>Ako jesu,</w:t>
            </w:r>
          </w:p>
          <w:tbl>
            <w:tblPr>
              <w:tblW w:w="5000" w:type="pct"/>
              <w:tblCellMar>
                <w:left w:w="0" w:type="dxa"/>
                <w:right w:w="0" w:type="dxa"/>
              </w:tblCellMar>
              <w:tblLook w:val="04A0" w:firstRow="1" w:lastRow="0" w:firstColumn="1" w:lastColumn="0" w:noHBand="0" w:noVBand="1"/>
            </w:tblPr>
            <w:tblGrid>
              <w:gridCol w:w="318"/>
              <w:gridCol w:w="3462"/>
            </w:tblGrid>
            <w:tr w:rsidR="00D14F76" w:rsidRPr="001C58C6" w14:paraId="31663145" w14:textId="77777777">
              <w:tc>
                <w:tcPr>
                  <w:tcW w:w="0" w:type="auto"/>
                </w:tcPr>
                <w:p w14:paraId="3C170357"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w:t>
                  </w:r>
                </w:p>
              </w:tc>
              <w:tc>
                <w:tcPr>
                  <w:tcW w:w="0" w:type="auto"/>
                </w:tcPr>
                <w:p w14:paraId="59E7EC6F"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navedite poglavlje/stranicu u programu</w:t>
                  </w:r>
                </w:p>
              </w:tc>
            </w:tr>
          </w:tbl>
          <w:p w14:paraId="387D00D4" w14:textId="77777777" w:rsidR="00D14F76" w:rsidRPr="001C58C6" w:rsidRDefault="00D14F76" w:rsidP="002C1EB5">
            <w:pPr>
              <w:spacing w:before="60" w:after="60"/>
              <w:ind w:right="195" w:firstLine="113"/>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8"/>
                <w:szCs w:val="18"/>
              </w:rPr>
            </w:pPr>
            <w:r w:rsidRPr="001C58C6">
              <w:rPr>
                <w:rFonts w:ascii="Calibri" w:eastAsia="Times New Roman" w:hAnsi="Calibri" w:cs="Calibri"/>
                <w:color w:val="000000" w:themeColor="text1"/>
                <w:sz w:val="18"/>
                <w:szCs w:val="18"/>
              </w:rPr>
              <w:t>(O)</w:t>
            </w:r>
          </w:p>
        </w:tc>
        <w:tc>
          <w:tcPr>
            <w:tcW w:w="927" w:type="pct"/>
          </w:tcPr>
          <w:p w14:paraId="2E9599E9" w14:textId="77777777" w:rsidR="00D14F76" w:rsidRPr="001C58C6" w:rsidRDefault="00D14F76" w:rsidP="002C1EB5">
            <w:pPr>
              <w:spacing w:before="60" w:after="60"/>
              <w:ind w:firstLine="113"/>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8"/>
                <w:szCs w:val="18"/>
              </w:rPr>
            </w:pPr>
            <w:r w:rsidRPr="001C58C6">
              <w:rPr>
                <w:rFonts w:ascii="Calibri" w:eastAsia="Times New Roman" w:hAnsi="Calibri" w:cs="Calibri"/>
                <w:color w:val="000000" w:themeColor="text1"/>
                <w:sz w:val="18"/>
                <w:szCs w:val="18"/>
              </w:rPr>
              <w:t>Jesu li politika i mjera tačno primijenjeni? Da/ne (O)</w:t>
            </w:r>
          </w:p>
          <w:p w14:paraId="3C3E51C4" w14:textId="77777777" w:rsidR="00D14F76" w:rsidRPr="001C58C6" w:rsidRDefault="00D14F76" w:rsidP="002C1EB5">
            <w:pPr>
              <w:spacing w:before="60" w:after="60"/>
              <w:ind w:firstLine="113"/>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8"/>
                <w:szCs w:val="18"/>
              </w:rPr>
            </w:pPr>
            <w:r w:rsidRPr="001C58C6">
              <w:rPr>
                <w:rFonts w:ascii="Calibri" w:eastAsia="Times New Roman" w:hAnsi="Calibri" w:cs="Calibri"/>
                <w:color w:val="000000" w:themeColor="text1"/>
                <w:sz w:val="18"/>
                <w:szCs w:val="18"/>
              </w:rPr>
              <w:t>Ako nisu, opišite kako su promijenjeni (O)</w:t>
            </w:r>
          </w:p>
        </w:tc>
      </w:tr>
      <w:tr w:rsidR="00D14F76" w:rsidRPr="001C58C6" w14:paraId="76CD9622" w14:textId="77777777" w:rsidTr="00E40401">
        <w:tc>
          <w:tcPr>
            <w:cnfStyle w:val="001000000000" w:firstRow="0" w:lastRow="0" w:firstColumn="1" w:lastColumn="0" w:oddVBand="0" w:evenVBand="0" w:oddHBand="0" w:evenHBand="0" w:firstRowFirstColumn="0" w:firstRowLastColumn="0" w:lastRowFirstColumn="0" w:lastRowLastColumn="0"/>
            <w:tcW w:w="0" w:type="auto"/>
            <w:gridSpan w:val="4"/>
          </w:tcPr>
          <w:p w14:paraId="7C08C07E" w14:textId="77777777" w:rsidR="00D14F76" w:rsidRPr="001C58C6" w:rsidRDefault="00D14F76" w:rsidP="002C1EB5">
            <w:pPr>
              <w:spacing w:before="60" w:after="60"/>
              <w:ind w:right="195" w:firstLine="113"/>
              <w:contextualSpacing/>
              <w:jc w:val="center"/>
              <w:rPr>
                <w:rFonts w:ascii="Calibri" w:eastAsia="Times New Roman" w:hAnsi="Calibri" w:cs="Calibri"/>
                <w:b w:val="0"/>
                <w:bCs w:val="0"/>
                <w:color w:val="000000" w:themeColor="text1"/>
                <w:sz w:val="18"/>
                <w:szCs w:val="18"/>
              </w:rPr>
            </w:pPr>
            <w:r w:rsidRPr="001C58C6">
              <w:rPr>
                <w:rFonts w:ascii="Calibri" w:eastAsia="Times New Roman" w:hAnsi="Calibri" w:cs="Calibri"/>
                <w:color w:val="000000" w:themeColor="text1"/>
                <w:sz w:val="18"/>
                <w:szCs w:val="18"/>
              </w:rPr>
              <w:t>A   Mjere radi kontrole emisija amonijaka (O)</w:t>
            </w:r>
          </w:p>
        </w:tc>
      </w:tr>
      <w:tr w:rsidR="00D14F76" w:rsidRPr="001C58C6" w14:paraId="496A5DE1" w14:textId="77777777" w:rsidTr="00E40401">
        <w:tc>
          <w:tcPr>
            <w:cnfStyle w:val="001000000000" w:firstRow="0" w:lastRow="0" w:firstColumn="1" w:lastColumn="0" w:oddVBand="0" w:evenVBand="0" w:oddHBand="0" w:evenHBand="0" w:firstRowFirstColumn="0" w:firstRowLastColumn="0" w:lastRowFirstColumn="0" w:lastRowLastColumn="0"/>
            <w:tcW w:w="0" w:type="auto"/>
          </w:tcPr>
          <w:p w14:paraId="48059A00" w14:textId="77777777" w:rsidR="00D14F76" w:rsidRPr="001C58C6" w:rsidRDefault="00D14F76" w:rsidP="002C1EB5">
            <w:pPr>
              <w:ind w:firstLine="113"/>
              <w:contextualSpacing/>
              <w:rPr>
                <w:rFonts w:ascii="Calibri" w:eastAsia="Times New Roman" w:hAnsi="Calibri" w:cs="Calibri"/>
                <w:b w:val="0"/>
                <w:bCs w:val="0"/>
                <w:color w:val="000000" w:themeColor="text1"/>
                <w:sz w:val="18"/>
                <w:szCs w:val="18"/>
              </w:rPr>
            </w:pPr>
          </w:p>
        </w:tc>
        <w:tc>
          <w:tcPr>
            <w:tcW w:w="0" w:type="auto"/>
          </w:tcPr>
          <w:p w14:paraId="19F1D163" w14:textId="77777777" w:rsidR="00D14F76" w:rsidRPr="001C58C6" w:rsidRDefault="00D14F76" w:rsidP="002C1EB5">
            <w:pPr>
              <w:ind w:firstLine="113"/>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p>
        </w:tc>
        <w:tc>
          <w:tcPr>
            <w:tcW w:w="1543" w:type="pct"/>
          </w:tcPr>
          <w:p w14:paraId="6CFA7F34" w14:textId="77777777" w:rsidR="00D14F76" w:rsidRPr="001C58C6" w:rsidRDefault="00D14F76" w:rsidP="002C1EB5">
            <w:pPr>
              <w:ind w:firstLine="113"/>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p>
        </w:tc>
        <w:tc>
          <w:tcPr>
            <w:tcW w:w="927" w:type="pct"/>
          </w:tcPr>
          <w:p w14:paraId="60EEEF97" w14:textId="77777777" w:rsidR="00D14F76" w:rsidRPr="001C58C6" w:rsidRDefault="00D14F76" w:rsidP="002C1EB5">
            <w:pPr>
              <w:ind w:firstLine="113"/>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p>
        </w:tc>
      </w:tr>
      <w:tr w:rsidR="00D14F76" w:rsidRPr="001C58C6" w14:paraId="371C3164" w14:textId="77777777" w:rsidTr="00E40401">
        <w:tc>
          <w:tcPr>
            <w:cnfStyle w:val="001000000000" w:firstRow="0" w:lastRow="0" w:firstColumn="1" w:lastColumn="0" w:oddVBand="0" w:evenVBand="0" w:oddHBand="0" w:evenHBand="0" w:firstRowFirstColumn="0" w:firstRowLastColumn="0" w:lastRowFirstColumn="0" w:lastRowLastColumn="0"/>
            <w:tcW w:w="0" w:type="auto"/>
          </w:tcPr>
          <w:tbl>
            <w:tblPr>
              <w:tblW w:w="5000" w:type="pct"/>
              <w:tblCellMar>
                <w:left w:w="0" w:type="dxa"/>
                <w:right w:w="0" w:type="dxa"/>
              </w:tblCellMar>
              <w:tblLook w:val="04A0" w:firstRow="1" w:lastRow="0" w:firstColumn="1" w:lastColumn="0" w:noHBand="0" w:noVBand="1"/>
            </w:tblPr>
            <w:tblGrid>
              <w:gridCol w:w="250"/>
              <w:gridCol w:w="4064"/>
            </w:tblGrid>
            <w:tr w:rsidR="00D14F76" w:rsidRPr="001C58C6" w14:paraId="0CBC20A8" w14:textId="77777777">
              <w:tc>
                <w:tcPr>
                  <w:tcW w:w="0" w:type="auto"/>
                </w:tcPr>
                <w:p w14:paraId="10A05B68"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1.</w:t>
                  </w:r>
                </w:p>
              </w:tc>
              <w:tc>
                <w:tcPr>
                  <w:tcW w:w="0" w:type="auto"/>
                </w:tcPr>
                <w:p w14:paraId="72DF5003"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Države članice uspostavljaju nacionalni savjetodavni kodeks dobre poljoprivredne prakse za kontrolu emisija amonijaka, uzimajući u obzir Okvirni kodeks UNECE-a dobre poljoprivredne prakse za smanjenje emisija amonijaka iz 2014., kojim je obuhvaćeno barem sljedeće:</w:t>
                  </w:r>
                </w:p>
                <w:tbl>
                  <w:tblPr>
                    <w:tblW w:w="5000" w:type="pct"/>
                    <w:tblCellMar>
                      <w:left w:w="0" w:type="dxa"/>
                      <w:right w:w="0" w:type="dxa"/>
                    </w:tblCellMar>
                    <w:tblLook w:val="04A0" w:firstRow="1" w:lastRow="0" w:firstColumn="1" w:lastColumn="0" w:noHBand="0" w:noVBand="1"/>
                  </w:tblPr>
                  <w:tblGrid>
                    <w:gridCol w:w="309"/>
                    <w:gridCol w:w="3755"/>
                  </w:tblGrid>
                  <w:tr w:rsidR="00D14F76" w:rsidRPr="001C58C6" w14:paraId="7D190EA8" w14:textId="77777777">
                    <w:tc>
                      <w:tcPr>
                        <w:tcW w:w="0" w:type="auto"/>
                      </w:tcPr>
                      <w:p w14:paraId="7C0D7BDF"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(a)</w:t>
                        </w:r>
                      </w:p>
                    </w:tc>
                    <w:tc>
                      <w:tcPr>
                        <w:tcW w:w="0" w:type="auto"/>
                      </w:tcPr>
                      <w:p w14:paraId="2C5612B9"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upravljanje azotom, vodeći računa o čitavom ciklusu azota;</w:t>
                        </w:r>
                      </w:p>
                    </w:tc>
                  </w:tr>
                </w:tbl>
                <w:p w14:paraId="45543FDD" w14:textId="77777777" w:rsidR="00D14F76" w:rsidRPr="001C58C6" w:rsidRDefault="00D14F76" w:rsidP="002C1EB5">
                  <w:pPr>
                    <w:ind w:firstLine="113"/>
                    <w:contextualSpacing/>
                    <w:rPr>
                      <w:rFonts w:ascii="Calibri" w:eastAsia="Times New Roman" w:hAnsi="Calibri" w:cs="Calibri"/>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551"/>
                    <w:gridCol w:w="3513"/>
                  </w:tblGrid>
                  <w:tr w:rsidR="00D14F76" w:rsidRPr="001C58C6" w14:paraId="07F0266F" w14:textId="77777777">
                    <w:tc>
                      <w:tcPr>
                        <w:tcW w:w="0" w:type="auto"/>
                      </w:tcPr>
                      <w:p w14:paraId="4C22CC70"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(b)</w:t>
                        </w:r>
                      </w:p>
                    </w:tc>
                    <w:tc>
                      <w:tcPr>
                        <w:tcW w:w="0" w:type="auto"/>
                      </w:tcPr>
                      <w:p w14:paraId="6E09C5A4"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strategije hranjenja stoke;</w:t>
                        </w:r>
                      </w:p>
                    </w:tc>
                  </w:tr>
                </w:tbl>
                <w:p w14:paraId="22FF1B8F" w14:textId="77777777" w:rsidR="00D14F76" w:rsidRPr="001C58C6" w:rsidRDefault="00D14F76" w:rsidP="002C1EB5">
                  <w:pPr>
                    <w:ind w:firstLine="113"/>
                    <w:contextualSpacing/>
                    <w:rPr>
                      <w:rFonts w:ascii="Calibri" w:eastAsia="Times New Roman" w:hAnsi="Calibri" w:cs="Calibri"/>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336"/>
                    <w:gridCol w:w="3728"/>
                  </w:tblGrid>
                  <w:tr w:rsidR="00D14F76" w:rsidRPr="001C58C6" w14:paraId="0C4DA04E" w14:textId="77777777">
                    <w:tc>
                      <w:tcPr>
                        <w:tcW w:w="0" w:type="auto"/>
                      </w:tcPr>
                      <w:p w14:paraId="2FD10F5F"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(c)</w:t>
                        </w:r>
                      </w:p>
                    </w:tc>
                    <w:tc>
                      <w:tcPr>
                        <w:tcW w:w="0" w:type="auto"/>
                      </w:tcPr>
                      <w:p w14:paraId="024781DD"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tehnike razgrtanja đubriva uz niske emisije;</w:t>
                        </w:r>
                      </w:p>
                    </w:tc>
                  </w:tr>
                </w:tbl>
                <w:p w14:paraId="190B797A" w14:textId="77777777" w:rsidR="00D14F76" w:rsidRPr="001C58C6" w:rsidRDefault="00D14F76" w:rsidP="002C1EB5">
                  <w:pPr>
                    <w:ind w:firstLine="113"/>
                    <w:contextualSpacing/>
                    <w:rPr>
                      <w:rFonts w:ascii="Calibri" w:eastAsia="Times New Roman" w:hAnsi="Calibri" w:cs="Calibri"/>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346"/>
                    <w:gridCol w:w="3718"/>
                  </w:tblGrid>
                  <w:tr w:rsidR="00D14F76" w:rsidRPr="001C58C6" w14:paraId="20569DE7" w14:textId="77777777">
                    <w:tc>
                      <w:tcPr>
                        <w:tcW w:w="0" w:type="auto"/>
                      </w:tcPr>
                      <w:p w14:paraId="683FFD13"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(d)</w:t>
                        </w:r>
                      </w:p>
                    </w:tc>
                    <w:tc>
                      <w:tcPr>
                        <w:tcW w:w="0" w:type="auto"/>
                      </w:tcPr>
                      <w:p w14:paraId="79DCA298"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sistemi skladištenja đubriva uz niske emisije;</w:t>
                        </w:r>
                      </w:p>
                    </w:tc>
                  </w:tr>
                </w:tbl>
                <w:p w14:paraId="35F463FC" w14:textId="77777777" w:rsidR="00D14F76" w:rsidRPr="001C58C6" w:rsidRDefault="00D14F76" w:rsidP="002C1EB5">
                  <w:pPr>
                    <w:ind w:firstLine="113"/>
                    <w:contextualSpacing/>
                    <w:rPr>
                      <w:rFonts w:ascii="Calibri" w:eastAsia="Times New Roman" w:hAnsi="Calibri" w:cs="Calibri"/>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352"/>
                    <w:gridCol w:w="3712"/>
                  </w:tblGrid>
                  <w:tr w:rsidR="00D14F76" w:rsidRPr="001C58C6" w14:paraId="2DF9019A" w14:textId="77777777">
                    <w:tc>
                      <w:tcPr>
                        <w:tcW w:w="0" w:type="auto"/>
                      </w:tcPr>
                      <w:p w14:paraId="7BAC95CE"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(e)</w:t>
                        </w:r>
                      </w:p>
                    </w:tc>
                    <w:tc>
                      <w:tcPr>
                        <w:tcW w:w="0" w:type="auto"/>
                      </w:tcPr>
                      <w:p w14:paraId="26FC092E"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sistemi smještaja životinja uz niske emisije;</w:t>
                        </w:r>
                      </w:p>
                    </w:tc>
                  </w:tr>
                </w:tbl>
                <w:p w14:paraId="44BF4D42" w14:textId="77777777" w:rsidR="00D14F76" w:rsidRPr="001C58C6" w:rsidRDefault="00D14F76" w:rsidP="002C1EB5">
                  <w:pPr>
                    <w:ind w:firstLine="113"/>
                    <w:contextualSpacing/>
                    <w:rPr>
                      <w:rFonts w:ascii="Calibri" w:eastAsia="Times New Roman" w:hAnsi="Calibri" w:cs="Calibri"/>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278"/>
                    <w:gridCol w:w="3786"/>
                  </w:tblGrid>
                  <w:tr w:rsidR="00D14F76" w:rsidRPr="001C58C6" w14:paraId="1CD8105F" w14:textId="77777777">
                    <w:tc>
                      <w:tcPr>
                        <w:tcW w:w="0" w:type="auto"/>
                      </w:tcPr>
                      <w:p w14:paraId="7A03AE6C"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(f)</w:t>
                        </w:r>
                      </w:p>
                    </w:tc>
                    <w:tc>
                      <w:tcPr>
                        <w:tcW w:w="0" w:type="auto"/>
                      </w:tcPr>
                      <w:p w14:paraId="7A475014"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mogućnosti ograničavanja emisija amonijaka iz upotrebe mineralnih đubriva.</w:t>
                        </w:r>
                      </w:p>
                    </w:tc>
                  </w:tr>
                </w:tbl>
                <w:p w14:paraId="27F8BECA" w14:textId="77777777" w:rsidR="00D14F76" w:rsidRPr="001C58C6" w:rsidRDefault="00D14F76" w:rsidP="002C1EB5">
                  <w:pPr>
                    <w:ind w:firstLine="113"/>
                    <w:contextualSpacing/>
                    <w:rPr>
                      <w:rFonts w:ascii="Calibri" w:eastAsia="Times New Roman" w:hAnsi="Calibri" w:cs="Calibri"/>
                      <w:color w:val="000000" w:themeColor="text1"/>
                      <w:sz w:val="18"/>
                      <w:szCs w:val="18"/>
                    </w:rPr>
                  </w:pPr>
                </w:p>
              </w:tc>
            </w:tr>
          </w:tbl>
          <w:p w14:paraId="283D7545" w14:textId="77777777" w:rsidR="00D14F76" w:rsidRPr="001C58C6" w:rsidRDefault="00D14F76" w:rsidP="002C1EB5">
            <w:pPr>
              <w:ind w:firstLine="113"/>
              <w:contextualSpacing/>
              <w:rPr>
                <w:rFonts w:ascii="Calibri" w:eastAsia="Times New Roman" w:hAnsi="Calibri" w:cs="Calibri"/>
                <w:color w:val="000000" w:themeColor="text1"/>
                <w:sz w:val="18"/>
                <w:szCs w:val="18"/>
              </w:rPr>
            </w:pPr>
          </w:p>
        </w:tc>
        <w:tc>
          <w:tcPr>
            <w:tcW w:w="0" w:type="auto"/>
          </w:tcPr>
          <w:p w14:paraId="58C8A04C" w14:textId="77777777" w:rsidR="00D14F76" w:rsidRPr="001C58C6" w:rsidRDefault="00D14F76" w:rsidP="002C1EB5">
            <w:pPr>
              <w:ind w:firstLine="113"/>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Uspostavljanje nacionalnog savjetodavnog kodeksa dobre poljoprivredne prakse za kontrolu emisija amonijaka, u skladu sa Okvirnim kodeksom UNECE (2014)</w:t>
            </w:r>
          </w:p>
          <w:p w14:paraId="23BA6159" w14:textId="77777777" w:rsidR="00D14F76" w:rsidRPr="001C58C6" w:rsidRDefault="00D14F76" w:rsidP="002C1EB5">
            <w:pPr>
              <w:ind w:firstLine="113"/>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p>
        </w:tc>
        <w:tc>
          <w:tcPr>
            <w:tcW w:w="1543" w:type="pct"/>
          </w:tcPr>
          <w:p w14:paraId="40354FB9" w14:textId="77777777" w:rsidR="00D14F76" w:rsidRPr="001C58C6" w:rsidRDefault="00D14F76" w:rsidP="002C1EB5">
            <w:pPr>
              <w:ind w:firstLine="113"/>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Poglavlje 2</w:t>
            </w:r>
          </w:p>
        </w:tc>
        <w:tc>
          <w:tcPr>
            <w:tcW w:w="927" w:type="pct"/>
          </w:tcPr>
          <w:p w14:paraId="5840557B" w14:textId="77777777" w:rsidR="00D14F76" w:rsidRPr="001C58C6" w:rsidRDefault="00D14F76" w:rsidP="002C1EB5">
            <w:pPr>
              <w:ind w:firstLine="113"/>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Da. Kodeks će biti razvijen u okviru IPARD III mjere „Zeleni ruralni razvoj“; uključivaće upravljanje azotom, hranjenje stoke, razgrtanje i skladištenje đubriva uz niske emisije.</w:t>
            </w:r>
          </w:p>
        </w:tc>
      </w:tr>
      <w:tr w:rsidR="00D14F76" w:rsidRPr="001C58C6" w14:paraId="4B618152" w14:textId="77777777" w:rsidTr="00E40401">
        <w:tc>
          <w:tcPr>
            <w:cnfStyle w:val="001000000000" w:firstRow="0" w:lastRow="0" w:firstColumn="1" w:lastColumn="0" w:oddVBand="0" w:evenVBand="0" w:oddHBand="0" w:evenHBand="0" w:firstRowFirstColumn="0" w:firstRowLastColumn="0" w:lastRowFirstColumn="0" w:lastRowLastColumn="0"/>
            <w:tcW w:w="0" w:type="auto"/>
          </w:tcPr>
          <w:tbl>
            <w:tblPr>
              <w:tblW w:w="5000" w:type="pct"/>
              <w:tblCellMar>
                <w:left w:w="0" w:type="dxa"/>
                <w:right w:w="0" w:type="dxa"/>
              </w:tblCellMar>
              <w:tblLook w:val="04A0" w:firstRow="1" w:lastRow="0" w:firstColumn="1" w:lastColumn="0" w:noHBand="0" w:noVBand="1"/>
            </w:tblPr>
            <w:tblGrid>
              <w:gridCol w:w="250"/>
              <w:gridCol w:w="4064"/>
            </w:tblGrid>
            <w:tr w:rsidR="00D14F76" w:rsidRPr="001C58C6" w14:paraId="45E9A082" w14:textId="77777777">
              <w:tc>
                <w:tcPr>
                  <w:tcW w:w="0" w:type="auto"/>
                </w:tcPr>
                <w:p w14:paraId="4F9F9DC6"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2.</w:t>
                  </w:r>
                </w:p>
              </w:tc>
              <w:tc>
                <w:tcPr>
                  <w:tcW w:w="0" w:type="auto"/>
                </w:tcPr>
                <w:p w14:paraId="3974839B"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Države članice mogu utvrditi nacionalnu bilans azota radi praćenja promjena sveukupnih gubitaka reaktivnog azota iz poljoprivrede, uključujući amonijak, azotov oksid, amonijak, nitrate i nitrite, na osnovu načela navedenih u Dokumentu sa smjernicama UNECE-a o bilansu azota</w:t>
                  </w:r>
                </w:p>
              </w:tc>
            </w:tr>
          </w:tbl>
          <w:p w14:paraId="2EBF74D8" w14:textId="77777777" w:rsidR="00D14F76" w:rsidRPr="001C58C6" w:rsidRDefault="00D14F76" w:rsidP="002C1EB5">
            <w:pPr>
              <w:ind w:firstLine="113"/>
              <w:contextualSpacing/>
              <w:rPr>
                <w:rFonts w:ascii="Calibri" w:eastAsia="Times New Roman" w:hAnsi="Calibri" w:cs="Calibri"/>
                <w:color w:val="000000" w:themeColor="text1"/>
                <w:sz w:val="18"/>
                <w:szCs w:val="18"/>
              </w:rPr>
            </w:pPr>
          </w:p>
        </w:tc>
        <w:tc>
          <w:tcPr>
            <w:tcW w:w="0" w:type="auto"/>
          </w:tcPr>
          <w:p w14:paraId="01F23F3D" w14:textId="77777777" w:rsidR="00D14F76" w:rsidRPr="001C58C6" w:rsidRDefault="00D14F76" w:rsidP="002C1EB5">
            <w:pPr>
              <w:ind w:firstLine="113"/>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Uvođenje bilansa azota za praćenje gubitaka reaktivnog azota iz poljoprivrede</w:t>
            </w:r>
          </w:p>
          <w:p w14:paraId="4570C68D" w14:textId="77777777" w:rsidR="00D14F76" w:rsidRPr="001C58C6" w:rsidRDefault="00D14F76" w:rsidP="002C1EB5">
            <w:pPr>
              <w:spacing w:before="120"/>
              <w:ind w:firstLine="113"/>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p>
        </w:tc>
        <w:tc>
          <w:tcPr>
            <w:tcW w:w="1543" w:type="pct"/>
          </w:tcPr>
          <w:p w14:paraId="127DDC54" w14:textId="77777777" w:rsidR="00D14F76" w:rsidRPr="001C58C6" w:rsidRDefault="00D14F76" w:rsidP="002C1EB5">
            <w:pPr>
              <w:ind w:firstLine="113"/>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Poglavlje 2</w:t>
            </w:r>
          </w:p>
        </w:tc>
        <w:tc>
          <w:tcPr>
            <w:tcW w:w="927" w:type="pct"/>
          </w:tcPr>
          <w:p w14:paraId="017A497A" w14:textId="77777777" w:rsidR="00D14F76" w:rsidRPr="001C58C6" w:rsidRDefault="00D14F76" w:rsidP="002C1EB5">
            <w:pPr>
              <w:ind w:firstLine="113"/>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Ne, u pripremi je. Biće uveden kroz Plan održive upotrebe đubriva 2026–2030. u saradnji sa Agencijom za zaštitu životne sredine i Ministarstvom poljoprivrede, šumastva i vodoprivrede.</w:t>
            </w:r>
          </w:p>
        </w:tc>
      </w:tr>
      <w:tr w:rsidR="00D14F76" w:rsidRPr="001C58C6" w14:paraId="2F935C26" w14:textId="77777777" w:rsidTr="00E40401">
        <w:tc>
          <w:tcPr>
            <w:cnfStyle w:val="001000000000" w:firstRow="0" w:lastRow="0" w:firstColumn="1" w:lastColumn="0" w:oddVBand="0" w:evenVBand="0" w:oddHBand="0" w:evenHBand="0" w:firstRowFirstColumn="0" w:firstRowLastColumn="0" w:lastRowFirstColumn="0" w:lastRowLastColumn="0"/>
            <w:tcW w:w="0" w:type="auto"/>
          </w:tcPr>
          <w:tbl>
            <w:tblPr>
              <w:tblW w:w="5000" w:type="pct"/>
              <w:tblCellMar>
                <w:left w:w="0" w:type="dxa"/>
                <w:right w:w="0" w:type="dxa"/>
              </w:tblCellMar>
              <w:tblLook w:val="04A0" w:firstRow="1" w:lastRow="0" w:firstColumn="1" w:lastColumn="0" w:noHBand="0" w:noVBand="1"/>
            </w:tblPr>
            <w:tblGrid>
              <w:gridCol w:w="250"/>
              <w:gridCol w:w="4064"/>
            </w:tblGrid>
            <w:tr w:rsidR="00D14F76" w:rsidRPr="001C58C6" w14:paraId="65A33613" w14:textId="77777777">
              <w:tc>
                <w:tcPr>
                  <w:tcW w:w="0" w:type="auto"/>
                </w:tcPr>
                <w:p w14:paraId="76AB02E0"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3.</w:t>
                  </w:r>
                </w:p>
              </w:tc>
              <w:tc>
                <w:tcPr>
                  <w:tcW w:w="0" w:type="auto"/>
                </w:tcPr>
                <w:p w14:paraId="199A39BF"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 Države članice zabranjuju upotrebu đubriva na bazi amonijevog karbonata i mogu smanjiti emisije amonijaka iz anorganskih đubriva sljedećim pristupima:</w:t>
                  </w:r>
                </w:p>
                <w:tbl>
                  <w:tblPr>
                    <w:tblW w:w="5000" w:type="pct"/>
                    <w:tblCellMar>
                      <w:left w:w="0" w:type="dxa"/>
                      <w:right w:w="0" w:type="dxa"/>
                    </w:tblCellMar>
                    <w:tblLook w:val="04A0" w:firstRow="1" w:lastRow="0" w:firstColumn="1" w:lastColumn="0" w:noHBand="0" w:noVBand="1"/>
                  </w:tblPr>
                  <w:tblGrid>
                    <w:gridCol w:w="309"/>
                    <w:gridCol w:w="3755"/>
                  </w:tblGrid>
                  <w:tr w:rsidR="00D14F76" w:rsidRPr="001C58C6" w14:paraId="798C2F1F" w14:textId="77777777">
                    <w:tc>
                      <w:tcPr>
                        <w:tcW w:w="0" w:type="auto"/>
                      </w:tcPr>
                      <w:p w14:paraId="4CA61D4B"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(a) </w:t>
                        </w:r>
                      </w:p>
                    </w:tc>
                    <w:tc>
                      <w:tcPr>
                        <w:tcW w:w="0" w:type="auto"/>
                      </w:tcPr>
                      <w:p w14:paraId="1BBE95F9"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zamjenom đubriva na bazi uree đubrivima na bazi amonijevog nitrata;</w:t>
                        </w:r>
                      </w:p>
                    </w:tc>
                  </w:tr>
                </w:tbl>
                <w:p w14:paraId="11F8A4E9" w14:textId="77777777" w:rsidR="00D14F76" w:rsidRPr="001C58C6" w:rsidRDefault="00D14F76" w:rsidP="002C1EB5">
                  <w:pPr>
                    <w:ind w:firstLine="113"/>
                    <w:contextualSpacing/>
                    <w:rPr>
                      <w:rFonts w:ascii="Calibri" w:eastAsia="Times New Roman" w:hAnsi="Calibri" w:cs="Calibri"/>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317"/>
                    <w:gridCol w:w="3747"/>
                  </w:tblGrid>
                  <w:tr w:rsidR="00D14F76" w:rsidRPr="001C58C6" w14:paraId="1DF9DCC9" w14:textId="77777777">
                    <w:tc>
                      <w:tcPr>
                        <w:tcW w:w="0" w:type="auto"/>
                      </w:tcPr>
                      <w:p w14:paraId="0ADB40CF"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(b)</w:t>
                        </w:r>
                      </w:p>
                    </w:tc>
                    <w:tc>
                      <w:tcPr>
                        <w:tcW w:w="0" w:type="auto"/>
                      </w:tcPr>
                      <w:p w14:paraId="18520797"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kada se i dalje koriste đubriva na bazi uree, primjenom metoda za koje se pokazalo da smanjuju emisije amonijaka za najmanje 30 % u poređenju s </w:t>
                        </w:r>
                        <w:r w:rsidRPr="001C58C6">
                          <w:rPr>
                            <w:rFonts w:ascii="Calibri" w:eastAsia="Times New Roman" w:hAnsi="Calibri" w:cs="Calibri"/>
                            <w:color w:val="000000" w:themeColor="text1"/>
                            <w:sz w:val="18"/>
                            <w:szCs w:val="18"/>
                          </w:rPr>
                          <w:lastRenderedPageBreak/>
                          <w:t>upotrebom referentne metode, kako je utvrđeno u Dokumentu sa smjernicama o amonijaku;</w:t>
                        </w:r>
                      </w:p>
                    </w:tc>
                  </w:tr>
                </w:tbl>
                <w:p w14:paraId="1597D5F3" w14:textId="77777777" w:rsidR="00D14F76" w:rsidRPr="001C58C6" w:rsidRDefault="00D14F76" w:rsidP="002C1EB5">
                  <w:pPr>
                    <w:ind w:firstLine="113"/>
                    <w:contextualSpacing/>
                    <w:rPr>
                      <w:rFonts w:ascii="Calibri" w:eastAsia="Times New Roman" w:hAnsi="Calibri" w:cs="Calibri"/>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299"/>
                    <w:gridCol w:w="3765"/>
                  </w:tblGrid>
                  <w:tr w:rsidR="00D14F76" w:rsidRPr="001C58C6" w14:paraId="4DF23BB2" w14:textId="77777777">
                    <w:tc>
                      <w:tcPr>
                        <w:tcW w:w="0" w:type="auto"/>
                      </w:tcPr>
                      <w:p w14:paraId="7CF79753"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(c)</w:t>
                        </w:r>
                      </w:p>
                    </w:tc>
                    <w:tc>
                      <w:tcPr>
                        <w:tcW w:w="0" w:type="auto"/>
                      </w:tcPr>
                      <w:p w14:paraId="4175595E"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promovisanjem zamjene nenorganskih đubriva organskim đubrivima te, u slučaju dalje upotrebe neorganskih đubriva, njihovim razgrtanjem u skladu sa predvidivim potrebama predmetnih usjeva ili travnjaka u vezi sa azotom i fosforom, uzimajući u obzir i postojeći hranjivi sadržaj u zemljištu i hranjive materije iz drugih đubriva.</w:t>
                        </w:r>
                      </w:p>
                    </w:tc>
                  </w:tr>
                </w:tbl>
                <w:p w14:paraId="60E8FF9E" w14:textId="77777777" w:rsidR="00D14F76" w:rsidRPr="001C58C6" w:rsidRDefault="00D14F76" w:rsidP="002C1EB5">
                  <w:pPr>
                    <w:ind w:firstLine="113"/>
                    <w:contextualSpacing/>
                    <w:rPr>
                      <w:rFonts w:ascii="Calibri" w:eastAsia="Times New Roman" w:hAnsi="Calibri" w:cs="Calibri"/>
                      <w:color w:val="000000" w:themeColor="text1"/>
                      <w:sz w:val="18"/>
                      <w:szCs w:val="18"/>
                    </w:rPr>
                  </w:pPr>
                </w:p>
              </w:tc>
            </w:tr>
          </w:tbl>
          <w:p w14:paraId="415E6366" w14:textId="77777777" w:rsidR="00D14F76" w:rsidRPr="001C58C6" w:rsidRDefault="00D14F76" w:rsidP="002C1EB5">
            <w:pPr>
              <w:ind w:firstLine="113"/>
              <w:contextualSpacing/>
              <w:rPr>
                <w:rFonts w:ascii="Calibri" w:eastAsia="Times New Roman" w:hAnsi="Calibri" w:cs="Calibri"/>
                <w:color w:val="000000" w:themeColor="text1"/>
                <w:sz w:val="18"/>
                <w:szCs w:val="18"/>
              </w:rPr>
            </w:pPr>
          </w:p>
        </w:tc>
        <w:tc>
          <w:tcPr>
            <w:tcW w:w="0" w:type="auto"/>
          </w:tcPr>
          <w:p w14:paraId="5D181A7E" w14:textId="77777777" w:rsidR="00D14F76" w:rsidRPr="001C58C6" w:rsidRDefault="00D14F76" w:rsidP="002C1EB5">
            <w:pPr>
              <w:ind w:firstLine="113"/>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lastRenderedPageBreak/>
              <w:t>Zabrana upotrebe đubriva na bazi amonijum-karbonata i promocija đubriva na bazi amonijum-nitrata</w:t>
            </w:r>
          </w:p>
          <w:p w14:paraId="00BD36D5" w14:textId="77777777" w:rsidR="00D14F76" w:rsidRPr="001C58C6" w:rsidRDefault="00D14F76" w:rsidP="002C1EB5">
            <w:pPr>
              <w:spacing w:before="120"/>
              <w:ind w:firstLine="113"/>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p>
        </w:tc>
        <w:tc>
          <w:tcPr>
            <w:tcW w:w="1543" w:type="pct"/>
          </w:tcPr>
          <w:p w14:paraId="75ED41CC" w14:textId="77777777" w:rsidR="00D14F76" w:rsidRPr="001C58C6" w:rsidRDefault="00D14F76" w:rsidP="002C1EB5">
            <w:pPr>
              <w:ind w:firstLine="113"/>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Poglavlje 2</w:t>
            </w:r>
          </w:p>
        </w:tc>
        <w:tc>
          <w:tcPr>
            <w:tcW w:w="927" w:type="pct"/>
          </w:tcPr>
          <w:p w14:paraId="2A0226B3" w14:textId="77777777" w:rsidR="00D14F76" w:rsidRPr="001C58C6" w:rsidRDefault="00D14F76" w:rsidP="002C1EB5">
            <w:pPr>
              <w:ind w:firstLine="113"/>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Da. Zabrana uvedena od 2027; subvencije za zamjenu đubriva iz IPARD mjere 7.</w:t>
            </w:r>
          </w:p>
        </w:tc>
      </w:tr>
      <w:tr w:rsidR="00D14F76" w:rsidRPr="001C58C6" w14:paraId="6032E033" w14:textId="77777777" w:rsidTr="00E40401">
        <w:tc>
          <w:tcPr>
            <w:cnfStyle w:val="001000000000" w:firstRow="0" w:lastRow="0" w:firstColumn="1" w:lastColumn="0" w:oddVBand="0" w:evenVBand="0" w:oddHBand="0" w:evenHBand="0" w:firstRowFirstColumn="0" w:firstRowLastColumn="0" w:lastRowFirstColumn="0" w:lastRowLastColumn="0"/>
            <w:tcW w:w="0" w:type="auto"/>
          </w:tcPr>
          <w:tbl>
            <w:tblPr>
              <w:tblW w:w="5000" w:type="pct"/>
              <w:tblCellMar>
                <w:left w:w="0" w:type="dxa"/>
                <w:right w:w="0" w:type="dxa"/>
              </w:tblCellMar>
              <w:tblLook w:val="04A0" w:firstRow="1" w:lastRow="0" w:firstColumn="1" w:lastColumn="0" w:noHBand="0" w:noVBand="1"/>
            </w:tblPr>
            <w:tblGrid>
              <w:gridCol w:w="250"/>
              <w:gridCol w:w="4064"/>
            </w:tblGrid>
            <w:tr w:rsidR="00D14F76" w:rsidRPr="001C58C6" w14:paraId="2375B485" w14:textId="77777777">
              <w:tc>
                <w:tcPr>
                  <w:tcW w:w="0" w:type="auto"/>
                </w:tcPr>
                <w:p w14:paraId="4342DD58"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4.</w:t>
                  </w:r>
                </w:p>
              </w:tc>
              <w:tc>
                <w:tcPr>
                  <w:tcW w:w="0" w:type="auto"/>
                </w:tcPr>
                <w:p w14:paraId="77325401"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Države članice mogu smanjiti emisije amonijaka iz stajskog đubriva sljedećim pristupima:</w:t>
                  </w:r>
                </w:p>
                <w:tbl>
                  <w:tblPr>
                    <w:tblW w:w="5000" w:type="pct"/>
                    <w:tblCellMar>
                      <w:left w:w="0" w:type="dxa"/>
                      <w:right w:w="0" w:type="dxa"/>
                    </w:tblCellMar>
                    <w:tblLook w:val="04A0" w:firstRow="1" w:lastRow="0" w:firstColumn="1" w:lastColumn="0" w:noHBand="0" w:noVBand="1"/>
                  </w:tblPr>
                  <w:tblGrid>
                    <w:gridCol w:w="309"/>
                    <w:gridCol w:w="3755"/>
                  </w:tblGrid>
                  <w:tr w:rsidR="00D14F76" w:rsidRPr="001C58C6" w14:paraId="7EE587E8" w14:textId="77777777">
                    <w:tc>
                      <w:tcPr>
                        <w:tcW w:w="0" w:type="auto"/>
                      </w:tcPr>
                      <w:p w14:paraId="60CD9ECD"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(a)</w:t>
                        </w:r>
                      </w:p>
                    </w:tc>
                    <w:tc>
                      <w:tcPr>
                        <w:tcW w:w="0" w:type="auto"/>
                      </w:tcPr>
                      <w:p w14:paraId="4B5202CD"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smanjenjem emisija koje nastaju uslijed nanošenja tečnog i čvrstog đubriva na obradivu zemlju i travnjake primjenom metoda kojima se emisije smanjuju za najmanje 30 % u poređenju s referentnom metodom opisanom u Dokumentu sa smjernicama o amonijaku te uz sljedeće uslove:</w:t>
                        </w:r>
                      </w:p>
                      <w:tbl>
                        <w:tblPr>
                          <w:tblW w:w="5000" w:type="pct"/>
                          <w:tblCellMar>
                            <w:left w:w="0" w:type="dxa"/>
                            <w:right w:w="0" w:type="dxa"/>
                          </w:tblCellMar>
                          <w:tblLook w:val="04A0" w:firstRow="1" w:lastRow="0" w:firstColumn="1" w:lastColumn="0" w:noHBand="0" w:noVBand="1"/>
                        </w:tblPr>
                        <w:tblGrid>
                          <w:gridCol w:w="200"/>
                          <w:gridCol w:w="3555"/>
                        </w:tblGrid>
                        <w:tr w:rsidR="00D14F76" w:rsidRPr="001C58C6" w14:paraId="1071718E" w14:textId="77777777">
                          <w:tc>
                            <w:tcPr>
                              <w:tcW w:w="0" w:type="auto"/>
                            </w:tcPr>
                            <w:p w14:paraId="244254A1"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i.</w:t>
                              </w:r>
                            </w:p>
                          </w:tc>
                          <w:tc>
                            <w:tcPr>
                              <w:tcW w:w="0" w:type="auto"/>
                            </w:tcPr>
                            <w:p w14:paraId="1FB57C62"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razgrtanjem đubriva i tečnih đubriva samo u skladu s predvidivim potrebama za hranjivim materijama predmetnih usjeva ili travnjaka u vezi sa azotom i fosforom, uzimajući u obzir i postojeći hranjivi sadržaj u zemljištu i hranjive materije iz drugih đubriva;</w:t>
                              </w:r>
                            </w:p>
                          </w:tc>
                        </w:tr>
                      </w:tbl>
                      <w:p w14:paraId="6B1DFFAB" w14:textId="77777777" w:rsidR="00D14F76" w:rsidRPr="001C58C6" w:rsidRDefault="00D14F76" w:rsidP="002C1EB5">
                        <w:pPr>
                          <w:ind w:firstLine="113"/>
                          <w:contextualSpacing/>
                          <w:rPr>
                            <w:rFonts w:ascii="Calibri" w:eastAsia="Times New Roman" w:hAnsi="Calibri" w:cs="Calibri"/>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242"/>
                          <w:gridCol w:w="3513"/>
                        </w:tblGrid>
                        <w:tr w:rsidR="00D14F76" w:rsidRPr="001C58C6" w14:paraId="57E28D05" w14:textId="77777777">
                          <w:tc>
                            <w:tcPr>
                              <w:tcW w:w="0" w:type="auto"/>
                            </w:tcPr>
                            <w:p w14:paraId="78E62DF7"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ii.</w:t>
                              </w:r>
                            </w:p>
                          </w:tc>
                          <w:tc>
                            <w:tcPr>
                              <w:tcW w:w="0" w:type="auto"/>
                            </w:tcPr>
                            <w:p w14:paraId="317E5DD5"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nerazgrtanjem đubriva i tekućih đubriva po zemlji koja je zasićena vodom, poplavljena, smrznuta ili prekrivena snijegom;</w:t>
                              </w:r>
                            </w:p>
                          </w:tc>
                        </w:tr>
                      </w:tbl>
                      <w:p w14:paraId="2948CE16" w14:textId="77777777" w:rsidR="00D14F76" w:rsidRPr="001C58C6" w:rsidRDefault="00D14F76" w:rsidP="002C1EB5">
                        <w:pPr>
                          <w:ind w:firstLine="113"/>
                          <w:contextualSpacing/>
                          <w:rPr>
                            <w:rFonts w:ascii="Calibri" w:eastAsia="Times New Roman" w:hAnsi="Calibri" w:cs="Calibri"/>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283"/>
                          <w:gridCol w:w="3472"/>
                        </w:tblGrid>
                        <w:tr w:rsidR="00D14F76" w:rsidRPr="001C58C6" w14:paraId="40757C83" w14:textId="77777777">
                          <w:tc>
                            <w:tcPr>
                              <w:tcW w:w="0" w:type="auto"/>
                            </w:tcPr>
                            <w:p w14:paraId="6916F097"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iii.</w:t>
                              </w:r>
                            </w:p>
                          </w:tc>
                          <w:tc>
                            <w:tcPr>
                              <w:tcW w:w="0" w:type="auto"/>
                            </w:tcPr>
                            <w:p w14:paraId="3018BF73"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nanošenjem tečnih đubriva koja se razgrću po travnjaku povlačnom cijevi, povlačnim letvama ili plitkim ili dubokim ubrizgavanjem;</w:t>
                              </w:r>
                            </w:p>
                          </w:tc>
                        </w:tr>
                      </w:tbl>
                      <w:p w14:paraId="76369058" w14:textId="77777777" w:rsidR="00D14F76" w:rsidRPr="001C58C6" w:rsidRDefault="00D14F76" w:rsidP="002C1EB5">
                        <w:pPr>
                          <w:ind w:firstLine="113"/>
                          <w:contextualSpacing/>
                          <w:rPr>
                            <w:rFonts w:ascii="Calibri" w:eastAsia="Times New Roman" w:hAnsi="Calibri" w:cs="Calibri"/>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282"/>
                          <w:gridCol w:w="3473"/>
                        </w:tblGrid>
                        <w:tr w:rsidR="00D14F76" w:rsidRPr="001C58C6" w14:paraId="0F31F8C0" w14:textId="77777777">
                          <w:tc>
                            <w:tcPr>
                              <w:tcW w:w="0" w:type="auto"/>
                            </w:tcPr>
                            <w:p w14:paraId="264C693F"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iv.</w:t>
                              </w:r>
                            </w:p>
                          </w:tc>
                          <w:tc>
                            <w:tcPr>
                              <w:tcW w:w="0" w:type="auto"/>
                            </w:tcPr>
                            <w:p w14:paraId="5C6E514E"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unošenjem đubriva i tečnih đubriva koja se razgrću po obradivoj zemlji u zemljište u roku od četiri sata od razgrtanja;</w:t>
                              </w:r>
                            </w:p>
                          </w:tc>
                        </w:tr>
                      </w:tbl>
                      <w:p w14:paraId="0B20A84F" w14:textId="77777777" w:rsidR="00D14F76" w:rsidRPr="001C58C6" w:rsidRDefault="00D14F76" w:rsidP="002C1EB5">
                        <w:pPr>
                          <w:ind w:firstLine="113"/>
                          <w:contextualSpacing/>
                          <w:rPr>
                            <w:rFonts w:ascii="Calibri" w:eastAsia="Times New Roman" w:hAnsi="Calibri" w:cs="Calibri"/>
                            <w:color w:val="000000" w:themeColor="text1"/>
                            <w:sz w:val="18"/>
                            <w:szCs w:val="18"/>
                          </w:rPr>
                        </w:pPr>
                      </w:p>
                    </w:tc>
                  </w:tr>
                </w:tbl>
                <w:p w14:paraId="469BCBBD" w14:textId="77777777" w:rsidR="00D14F76" w:rsidRPr="001C58C6" w:rsidRDefault="00D14F76" w:rsidP="002C1EB5">
                  <w:pPr>
                    <w:ind w:firstLine="113"/>
                    <w:contextualSpacing/>
                    <w:rPr>
                      <w:rFonts w:ascii="Calibri" w:eastAsia="Times New Roman" w:hAnsi="Calibri" w:cs="Calibri"/>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317"/>
                    <w:gridCol w:w="3747"/>
                  </w:tblGrid>
                  <w:tr w:rsidR="00D14F76" w:rsidRPr="001C58C6" w14:paraId="7D47F0B0" w14:textId="77777777">
                    <w:tc>
                      <w:tcPr>
                        <w:tcW w:w="0" w:type="auto"/>
                      </w:tcPr>
                      <w:p w14:paraId="61E3E042"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(b)</w:t>
                        </w:r>
                      </w:p>
                    </w:tc>
                    <w:tc>
                      <w:tcPr>
                        <w:tcW w:w="0" w:type="auto"/>
                      </w:tcPr>
                      <w:p w14:paraId="7E1F3291"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smanjenjem emisija koje nastaju usljed skladištenja đubriva izvan skrovišta za životinje sljedećim pristupima:</w:t>
                        </w:r>
                      </w:p>
                      <w:tbl>
                        <w:tblPr>
                          <w:tblW w:w="5000" w:type="pct"/>
                          <w:tblCellMar>
                            <w:left w:w="0" w:type="dxa"/>
                            <w:right w:w="0" w:type="dxa"/>
                          </w:tblCellMar>
                          <w:tblLook w:val="04A0" w:firstRow="1" w:lastRow="0" w:firstColumn="1" w:lastColumn="0" w:noHBand="0" w:noVBand="1"/>
                        </w:tblPr>
                        <w:tblGrid>
                          <w:gridCol w:w="200"/>
                          <w:gridCol w:w="3547"/>
                        </w:tblGrid>
                        <w:tr w:rsidR="00D14F76" w:rsidRPr="001C58C6" w14:paraId="0CECC0B9" w14:textId="77777777">
                          <w:tc>
                            <w:tcPr>
                              <w:tcW w:w="0" w:type="auto"/>
                            </w:tcPr>
                            <w:p w14:paraId="0DE3E8C7"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i.</w:t>
                              </w:r>
                            </w:p>
                          </w:tc>
                          <w:tc>
                            <w:tcPr>
                              <w:tcW w:w="0" w:type="auto"/>
                            </w:tcPr>
                            <w:p w14:paraId="7B65D6C2"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za skladišta tečnog đubriva izgrađena nakon 1. januara 2022., upotrebom sistema ili tehnika skladištenja uz niske emisije za koje se pokazalo da smanjuju emisije amonijaka za najmanje 60 % u poređenju sa referentnom metodom opisanom u Dokumentu sa smjernicama o amonijaku, a za </w:t>
                              </w:r>
                              <w:r w:rsidRPr="001C58C6">
                                <w:rPr>
                                  <w:rFonts w:ascii="Calibri" w:eastAsia="Times New Roman" w:hAnsi="Calibri" w:cs="Calibri"/>
                                  <w:color w:val="000000" w:themeColor="text1"/>
                                  <w:sz w:val="18"/>
                                  <w:szCs w:val="18"/>
                                </w:rPr>
                                <w:lastRenderedPageBreak/>
                                <w:t>postojeća skladišta tečnog đubriva za najmanje 40 %;</w:t>
                              </w:r>
                            </w:p>
                          </w:tc>
                        </w:tr>
                      </w:tbl>
                      <w:p w14:paraId="71AA3094" w14:textId="77777777" w:rsidR="00D14F76" w:rsidRPr="001C58C6" w:rsidRDefault="00D14F76" w:rsidP="002C1EB5">
                        <w:pPr>
                          <w:ind w:firstLine="113"/>
                          <w:contextualSpacing/>
                          <w:rPr>
                            <w:rFonts w:ascii="Calibri" w:eastAsia="Times New Roman" w:hAnsi="Calibri" w:cs="Calibri"/>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271"/>
                          <w:gridCol w:w="3476"/>
                        </w:tblGrid>
                        <w:tr w:rsidR="00D14F76" w:rsidRPr="001C58C6" w14:paraId="352BDD4E" w14:textId="77777777">
                          <w:tc>
                            <w:tcPr>
                              <w:tcW w:w="0" w:type="auto"/>
                            </w:tcPr>
                            <w:p w14:paraId="29168086"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ii.</w:t>
                              </w:r>
                            </w:p>
                          </w:tc>
                          <w:tc>
                            <w:tcPr>
                              <w:tcW w:w="0" w:type="auto"/>
                            </w:tcPr>
                            <w:p w14:paraId="5F4D57BD"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prekrivanjem skladišta za čvrsto đubrivo;</w:t>
                              </w:r>
                            </w:p>
                          </w:tc>
                        </w:tr>
                      </w:tbl>
                      <w:p w14:paraId="6ED5C589" w14:textId="77777777" w:rsidR="00D14F76" w:rsidRPr="001C58C6" w:rsidRDefault="00D14F76" w:rsidP="002C1EB5">
                        <w:pPr>
                          <w:ind w:firstLine="113"/>
                          <w:contextualSpacing/>
                          <w:rPr>
                            <w:rFonts w:ascii="Calibri" w:eastAsia="Times New Roman" w:hAnsi="Calibri" w:cs="Calibri"/>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283"/>
                          <w:gridCol w:w="3464"/>
                        </w:tblGrid>
                        <w:tr w:rsidR="00D14F76" w:rsidRPr="001C58C6" w14:paraId="5F2B7E93" w14:textId="77777777">
                          <w:tc>
                            <w:tcPr>
                              <w:tcW w:w="0" w:type="auto"/>
                            </w:tcPr>
                            <w:p w14:paraId="1A080E8F"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iii.</w:t>
                              </w:r>
                            </w:p>
                          </w:tc>
                          <w:tc>
                            <w:tcPr>
                              <w:tcW w:w="0" w:type="auto"/>
                            </w:tcPr>
                            <w:p w14:paraId="42234C1B"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osiguravanjem dovoljnog kapaciteta skladištenja đubriva za poljoprivredna domaćinstva kako bi se đubrivo moglo razgrtati samo u periodima koja su pogodna za rast usjeva;</w:t>
                              </w:r>
                            </w:p>
                          </w:tc>
                        </w:tr>
                      </w:tbl>
                      <w:p w14:paraId="22A3B448" w14:textId="77777777" w:rsidR="00D14F76" w:rsidRPr="001C58C6" w:rsidRDefault="00D14F76" w:rsidP="002C1EB5">
                        <w:pPr>
                          <w:ind w:firstLine="113"/>
                          <w:contextualSpacing/>
                          <w:rPr>
                            <w:rFonts w:ascii="Calibri" w:eastAsia="Times New Roman" w:hAnsi="Calibri" w:cs="Calibri"/>
                            <w:color w:val="000000" w:themeColor="text1"/>
                            <w:sz w:val="18"/>
                            <w:szCs w:val="18"/>
                          </w:rPr>
                        </w:pPr>
                      </w:p>
                    </w:tc>
                  </w:tr>
                </w:tbl>
                <w:p w14:paraId="4BE99B87" w14:textId="77777777" w:rsidR="00D14F76" w:rsidRPr="001C58C6" w:rsidRDefault="00D14F76" w:rsidP="002C1EB5">
                  <w:pPr>
                    <w:ind w:firstLine="113"/>
                    <w:contextualSpacing/>
                    <w:rPr>
                      <w:rFonts w:ascii="Calibri" w:eastAsia="Times New Roman" w:hAnsi="Calibri" w:cs="Calibri"/>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299"/>
                    <w:gridCol w:w="3765"/>
                  </w:tblGrid>
                  <w:tr w:rsidR="00D14F76" w:rsidRPr="001C58C6" w14:paraId="2B9B3504" w14:textId="77777777">
                    <w:tc>
                      <w:tcPr>
                        <w:tcW w:w="0" w:type="auto"/>
                      </w:tcPr>
                      <w:p w14:paraId="5C00732A"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(c)</w:t>
                        </w:r>
                      </w:p>
                    </w:tc>
                    <w:tc>
                      <w:tcPr>
                        <w:tcW w:w="0" w:type="auto"/>
                      </w:tcPr>
                      <w:p w14:paraId="184F0C65"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smanjenjem emisija iz skrovišta životinja upotrebom sistema za koje se pokazalo da smanjuju emisije amonijaka za najmanje 20 % u poređenju s referentnom metodom opisanom u Dokumentu sa smjernicama o amonijaku;</w:t>
                        </w:r>
                      </w:p>
                    </w:tc>
                  </w:tr>
                </w:tbl>
                <w:p w14:paraId="7C4DA860" w14:textId="77777777" w:rsidR="00D14F76" w:rsidRPr="001C58C6" w:rsidRDefault="00D14F76" w:rsidP="002C1EB5">
                  <w:pPr>
                    <w:ind w:firstLine="113"/>
                    <w:contextualSpacing/>
                    <w:rPr>
                      <w:rFonts w:ascii="Calibri" w:eastAsia="Times New Roman" w:hAnsi="Calibri" w:cs="Calibri"/>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317"/>
                    <w:gridCol w:w="3747"/>
                  </w:tblGrid>
                  <w:tr w:rsidR="00D14F76" w:rsidRPr="001C58C6" w14:paraId="09FA68B3" w14:textId="77777777">
                    <w:tc>
                      <w:tcPr>
                        <w:tcW w:w="0" w:type="auto"/>
                      </w:tcPr>
                      <w:p w14:paraId="4A41677B"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(d)</w:t>
                        </w:r>
                      </w:p>
                    </w:tc>
                    <w:tc>
                      <w:tcPr>
                        <w:tcW w:w="0" w:type="auto"/>
                      </w:tcPr>
                      <w:p w14:paraId="4A2BB638"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smanjenjem emisija iz đubriva upotrebom strategija hranjenja životinja hranom s niskim sadržajem bjelančevina za koju se pokazalo da smanjuje emisije amonijaka za najmanje 10 % u poređenju sa referentnom metodom opisanom u Dokumentu sa smjernicama o amonijaku.</w:t>
                        </w:r>
                      </w:p>
                    </w:tc>
                  </w:tr>
                </w:tbl>
                <w:p w14:paraId="668F5326" w14:textId="77777777" w:rsidR="00D14F76" w:rsidRPr="001C58C6" w:rsidRDefault="00D14F76" w:rsidP="002C1EB5">
                  <w:pPr>
                    <w:ind w:firstLine="113"/>
                    <w:contextualSpacing/>
                    <w:rPr>
                      <w:rFonts w:ascii="Calibri" w:eastAsia="Times New Roman" w:hAnsi="Calibri" w:cs="Calibri"/>
                      <w:color w:val="000000" w:themeColor="text1"/>
                      <w:sz w:val="18"/>
                      <w:szCs w:val="18"/>
                    </w:rPr>
                  </w:pPr>
                </w:p>
              </w:tc>
            </w:tr>
          </w:tbl>
          <w:p w14:paraId="759B1261" w14:textId="77777777" w:rsidR="00D14F76" w:rsidRPr="001C58C6" w:rsidRDefault="00D14F76" w:rsidP="002C1EB5">
            <w:pPr>
              <w:ind w:firstLine="113"/>
              <w:contextualSpacing/>
              <w:rPr>
                <w:rFonts w:ascii="Calibri" w:eastAsia="Times New Roman" w:hAnsi="Calibri" w:cs="Calibri"/>
                <w:color w:val="000000" w:themeColor="text1"/>
                <w:sz w:val="18"/>
                <w:szCs w:val="18"/>
              </w:rPr>
            </w:pPr>
          </w:p>
        </w:tc>
        <w:tc>
          <w:tcPr>
            <w:tcW w:w="0" w:type="auto"/>
          </w:tcPr>
          <w:p w14:paraId="591CF8B1" w14:textId="77777777" w:rsidR="00D14F76" w:rsidRPr="001C58C6" w:rsidRDefault="00D14F76" w:rsidP="002C1EB5">
            <w:pPr>
              <w:ind w:firstLine="113"/>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lastRenderedPageBreak/>
              <w:t>Smanjenje emisija iz stajskog đubriva kroz kontrolu nanošenja, skladištenja i hranjenja životinja</w:t>
            </w:r>
          </w:p>
        </w:tc>
        <w:tc>
          <w:tcPr>
            <w:tcW w:w="1543" w:type="pct"/>
          </w:tcPr>
          <w:p w14:paraId="477D760B" w14:textId="77777777" w:rsidR="00D14F76" w:rsidRPr="001C58C6" w:rsidRDefault="00D14F76" w:rsidP="002C1EB5">
            <w:pPr>
              <w:ind w:firstLine="113"/>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Poglavlje 2</w:t>
            </w:r>
          </w:p>
        </w:tc>
        <w:tc>
          <w:tcPr>
            <w:tcW w:w="927" w:type="pct"/>
          </w:tcPr>
          <w:p w14:paraId="3326525F" w14:textId="77777777" w:rsidR="00D14F76" w:rsidRPr="001C58C6" w:rsidRDefault="00D14F76" w:rsidP="002C1EB5">
            <w:pPr>
              <w:ind w:firstLine="113"/>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xml:space="preserve">Da, djelimično. Mjere se uvode postepeno: prekrivanje skladišta i unošenje u tlo u roku od 4 h nakon razgrtanja biće obavezno od 2028. </w:t>
            </w:r>
          </w:p>
        </w:tc>
      </w:tr>
      <w:tr w:rsidR="00D14F76" w:rsidRPr="001C58C6" w14:paraId="360251C2" w14:textId="77777777" w:rsidTr="00E40401">
        <w:tc>
          <w:tcPr>
            <w:cnfStyle w:val="001000000000" w:firstRow="0" w:lastRow="0" w:firstColumn="1" w:lastColumn="0" w:oddVBand="0" w:evenVBand="0" w:oddHBand="0" w:evenHBand="0" w:firstRowFirstColumn="0" w:firstRowLastColumn="0" w:lastRowFirstColumn="0" w:lastRowLastColumn="0"/>
            <w:tcW w:w="0" w:type="auto"/>
            <w:gridSpan w:val="4"/>
          </w:tcPr>
          <w:p w14:paraId="1ACFEEA1" w14:textId="77777777" w:rsidR="00D14F76" w:rsidRPr="001C58C6" w:rsidRDefault="00D14F76" w:rsidP="002C1EB5">
            <w:pPr>
              <w:spacing w:before="60" w:after="60"/>
              <w:ind w:right="195" w:firstLine="113"/>
              <w:contextualSpacing/>
              <w:jc w:val="center"/>
              <w:rPr>
                <w:rFonts w:ascii="Calibri" w:eastAsia="Times New Roman" w:hAnsi="Calibri" w:cs="Calibri"/>
                <w:b w:val="0"/>
                <w:bCs w:val="0"/>
                <w:color w:val="000000" w:themeColor="text1"/>
                <w:sz w:val="18"/>
                <w:szCs w:val="18"/>
              </w:rPr>
            </w:pPr>
            <w:r w:rsidRPr="001C58C6">
              <w:rPr>
                <w:rFonts w:ascii="Calibri" w:eastAsia="Times New Roman" w:hAnsi="Calibri" w:cs="Calibri"/>
                <w:color w:val="000000" w:themeColor="text1"/>
                <w:sz w:val="18"/>
                <w:szCs w:val="18"/>
              </w:rPr>
              <w:t>B   Mjere smanjenja emisija radi kontrole emisija sitnih lebdećih čestica (PM</w:t>
            </w:r>
            <w:r w:rsidRPr="001C58C6">
              <w:rPr>
                <w:rFonts w:ascii="Calibri" w:eastAsia="Times New Roman" w:hAnsi="Calibri" w:cs="Calibri"/>
                <w:color w:val="000000" w:themeColor="text1"/>
                <w:sz w:val="18"/>
                <w:szCs w:val="18"/>
                <w:vertAlign w:val="subscript"/>
              </w:rPr>
              <w:t>2,5</w:t>
            </w:r>
            <w:r w:rsidRPr="001C58C6">
              <w:rPr>
                <w:rFonts w:ascii="Calibri" w:eastAsia="Times New Roman" w:hAnsi="Calibri" w:cs="Calibri"/>
                <w:color w:val="000000" w:themeColor="text1"/>
                <w:sz w:val="18"/>
                <w:szCs w:val="18"/>
              </w:rPr>
              <w:t>) i crnog ugljenika (BC) (O)</w:t>
            </w:r>
          </w:p>
        </w:tc>
      </w:tr>
      <w:tr w:rsidR="00D14F76" w:rsidRPr="001C58C6" w14:paraId="723900F1" w14:textId="77777777" w:rsidTr="00E40401">
        <w:tc>
          <w:tcPr>
            <w:cnfStyle w:val="001000000000" w:firstRow="0" w:lastRow="0" w:firstColumn="1" w:lastColumn="0" w:oddVBand="0" w:evenVBand="0" w:oddHBand="0" w:evenHBand="0" w:firstRowFirstColumn="0" w:firstRowLastColumn="0" w:lastRowFirstColumn="0" w:lastRowLastColumn="0"/>
            <w:tcW w:w="0" w:type="auto"/>
          </w:tcPr>
          <w:p w14:paraId="12074CF5" w14:textId="77777777" w:rsidR="00D14F76" w:rsidRPr="001C58C6" w:rsidRDefault="00D14F76" w:rsidP="002C1EB5">
            <w:pPr>
              <w:ind w:firstLine="113"/>
              <w:contextualSpacing/>
              <w:rPr>
                <w:rFonts w:ascii="Calibri" w:eastAsia="Times New Roman" w:hAnsi="Calibri" w:cs="Calibri"/>
                <w:b w:val="0"/>
                <w:bCs w:val="0"/>
                <w:color w:val="000000" w:themeColor="text1"/>
                <w:sz w:val="18"/>
                <w:szCs w:val="18"/>
              </w:rPr>
            </w:pPr>
          </w:p>
        </w:tc>
        <w:tc>
          <w:tcPr>
            <w:tcW w:w="0" w:type="auto"/>
          </w:tcPr>
          <w:p w14:paraId="3D1FFF70" w14:textId="77777777" w:rsidR="00D14F76" w:rsidRPr="001C58C6" w:rsidRDefault="00D14F76" w:rsidP="002C1EB5">
            <w:pPr>
              <w:ind w:firstLine="113"/>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p>
        </w:tc>
        <w:tc>
          <w:tcPr>
            <w:tcW w:w="1543" w:type="pct"/>
          </w:tcPr>
          <w:p w14:paraId="0F973A84" w14:textId="77777777" w:rsidR="00D14F76" w:rsidRPr="001C58C6" w:rsidRDefault="00D14F76" w:rsidP="002C1EB5">
            <w:pPr>
              <w:ind w:firstLine="113"/>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p>
        </w:tc>
        <w:tc>
          <w:tcPr>
            <w:tcW w:w="927" w:type="pct"/>
          </w:tcPr>
          <w:p w14:paraId="37AC90BA" w14:textId="77777777" w:rsidR="00D14F76" w:rsidRPr="001C58C6" w:rsidRDefault="00D14F76" w:rsidP="002C1EB5">
            <w:pPr>
              <w:ind w:firstLine="113"/>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p>
        </w:tc>
      </w:tr>
      <w:tr w:rsidR="00D14F76" w:rsidRPr="001C58C6" w14:paraId="1FDBB039" w14:textId="77777777" w:rsidTr="00E40401">
        <w:tc>
          <w:tcPr>
            <w:cnfStyle w:val="001000000000" w:firstRow="0" w:lastRow="0" w:firstColumn="1" w:lastColumn="0" w:oddVBand="0" w:evenVBand="0" w:oddHBand="0" w:evenHBand="0" w:firstRowFirstColumn="0" w:firstRowLastColumn="0" w:lastRowFirstColumn="0" w:lastRowLastColumn="0"/>
            <w:tcW w:w="0" w:type="auto"/>
          </w:tcPr>
          <w:tbl>
            <w:tblPr>
              <w:tblW w:w="5000" w:type="pct"/>
              <w:tblCellMar>
                <w:left w:w="0" w:type="dxa"/>
                <w:right w:w="0" w:type="dxa"/>
              </w:tblCellMar>
              <w:tblLook w:val="04A0" w:firstRow="1" w:lastRow="0" w:firstColumn="1" w:lastColumn="0" w:noHBand="0" w:noVBand="1"/>
            </w:tblPr>
            <w:tblGrid>
              <w:gridCol w:w="250"/>
              <w:gridCol w:w="4064"/>
            </w:tblGrid>
            <w:tr w:rsidR="00D14F76" w:rsidRPr="001C58C6" w14:paraId="5982EB9C" w14:textId="77777777">
              <w:tc>
                <w:tcPr>
                  <w:tcW w:w="0" w:type="auto"/>
                </w:tcPr>
                <w:p w14:paraId="0FE6016F"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1.</w:t>
                  </w:r>
                </w:p>
              </w:tc>
              <w:tc>
                <w:tcPr>
                  <w:tcW w:w="0" w:type="auto"/>
                </w:tcPr>
                <w:p w14:paraId="05D1B7C0"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Ne dovodeći u pitanje Prilog II. o višestrukoj usklađenosti Uredbi (EU) br. 1306/2013 Europskog parlamenta i Vijeća</w:t>
                  </w:r>
                  <w:hyperlink r:id="rId43" w:anchor="ntr1-L_2018256HR.01008901-E0001" w:history="1">
                    <w:r w:rsidRPr="001C58C6">
                      <w:rPr>
                        <w:rFonts w:ascii="Calibri" w:eastAsia="Times New Roman" w:hAnsi="Calibri" w:cs="Calibri"/>
                        <w:color w:val="000000" w:themeColor="text1"/>
                        <w:sz w:val="18"/>
                        <w:szCs w:val="18"/>
                      </w:rPr>
                      <w:t> (</w:t>
                    </w:r>
                    <w:r w:rsidRPr="001C58C6">
                      <w:rPr>
                        <w:rFonts w:ascii="Calibri" w:eastAsia="Times New Roman" w:hAnsi="Calibri" w:cs="Calibri"/>
                        <w:color w:val="000000" w:themeColor="text1"/>
                        <w:sz w:val="18"/>
                        <w:szCs w:val="18"/>
                        <w:vertAlign w:val="superscript"/>
                      </w:rPr>
                      <w:t>1</w:t>
                    </w:r>
                    <w:r w:rsidRPr="001C58C6">
                      <w:rPr>
                        <w:rFonts w:ascii="Calibri" w:eastAsia="Times New Roman" w:hAnsi="Calibri" w:cs="Calibri"/>
                        <w:color w:val="000000" w:themeColor="text1"/>
                        <w:sz w:val="18"/>
                        <w:szCs w:val="18"/>
                      </w:rPr>
                      <w:t>)</w:t>
                    </w:r>
                  </w:hyperlink>
                  <w:r w:rsidRPr="001C58C6">
                    <w:rPr>
                      <w:rFonts w:ascii="Calibri" w:eastAsia="Times New Roman" w:hAnsi="Calibri" w:cs="Calibri"/>
                      <w:color w:val="000000" w:themeColor="text1"/>
                      <w:sz w:val="18"/>
                      <w:szCs w:val="18"/>
                    </w:rPr>
                    <w:t>, države članice mogu zabraniti spaljivanje ostataka i otpada od žetve i šumskih ostataka na otvorenom području. Države članice nadziru i izvršavaju sprovođenje bilo koje zabrane sprovedene u skladu sa prvom stavkom. Svako izuzeće od takve zabrane ograničeno je na preventivne programe kojima je cilj izbjegavanje jakih požara koji se nekontrolisano šire, suzbijanje štetnih organizama ili očuvanje bioraznovrsnosti.</w:t>
                  </w:r>
                </w:p>
              </w:tc>
            </w:tr>
          </w:tbl>
          <w:p w14:paraId="0E95959E" w14:textId="77777777" w:rsidR="00D14F76" w:rsidRPr="001C58C6" w:rsidRDefault="00D14F76" w:rsidP="002C1EB5">
            <w:pPr>
              <w:ind w:firstLine="113"/>
              <w:contextualSpacing/>
              <w:rPr>
                <w:rFonts w:ascii="Calibri" w:eastAsia="Times New Roman" w:hAnsi="Calibri" w:cs="Calibri"/>
                <w:color w:val="000000" w:themeColor="text1"/>
                <w:sz w:val="18"/>
                <w:szCs w:val="18"/>
              </w:rPr>
            </w:pPr>
          </w:p>
        </w:tc>
        <w:tc>
          <w:tcPr>
            <w:tcW w:w="0" w:type="auto"/>
          </w:tcPr>
          <w:p w14:paraId="1B998EFD" w14:textId="77777777" w:rsidR="00D14F76" w:rsidRPr="001C58C6" w:rsidRDefault="00D14F76" w:rsidP="002C1EB5">
            <w:pPr>
              <w:ind w:firstLine="113"/>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Zabrana spaljivanja ostataka i otpada od žetve i šumskih ostataka na otvorenom</w:t>
            </w:r>
          </w:p>
          <w:p w14:paraId="6D0F496A" w14:textId="77777777" w:rsidR="00D14F76" w:rsidRPr="001C58C6" w:rsidRDefault="00D14F76" w:rsidP="002C1EB5">
            <w:pPr>
              <w:ind w:firstLine="113"/>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p>
        </w:tc>
        <w:tc>
          <w:tcPr>
            <w:tcW w:w="1543" w:type="pct"/>
          </w:tcPr>
          <w:p w14:paraId="7E80489D" w14:textId="77777777" w:rsidR="00D14F76" w:rsidRPr="001C58C6" w:rsidRDefault="00D14F76" w:rsidP="002C1EB5">
            <w:pPr>
              <w:ind w:firstLine="113"/>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Poglavlje 2</w:t>
            </w:r>
          </w:p>
        </w:tc>
        <w:tc>
          <w:tcPr>
            <w:tcW w:w="927" w:type="pct"/>
          </w:tcPr>
          <w:p w14:paraId="1A6E9876" w14:textId="77777777" w:rsidR="00D14F76" w:rsidRPr="001C58C6" w:rsidRDefault="00D14F76" w:rsidP="002C1EB5">
            <w:pPr>
              <w:ind w:firstLine="113"/>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Da. Zabrana uvedena Zakonom o poljoprivrednom zemljištu (2021); kontrole sprovodi Uprava za inspekcijske poslove.</w:t>
            </w:r>
          </w:p>
        </w:tc>
      </w:tr>
      <w:tr w:rsidR="00D14F76" w:rsidRPr="001C58C6" w14:paraId="47F5237D" w14:textId="77777777" w:rsidTr="00E40401">
        <w:tc>
          <w:tcPr>
            <w:cnfStyle w:val="001000000000" w:firstRow="0" w:lastRow="0" w:firstColumn="1" w:lastColumn="0" w:oddVBand="0" w:evenVBand="0" w:oddHBand="0" w:evenHBand="0" w:firstRowFirstColumn="0" w:firstRowLastColumn="0" w:lastRowFirstColumn="0" w:lastRowLastColumn="0"/>
            <w:tcW w:w="0" w:type="auto"/>
          </w:tcPr>
          <w:tbl>
            <w:tblPr>
              <w:tblW w:w="5000" w:type="pct"/>
              <w:tblCellMar>
                <w:left w:w="0" w:type="dxa"/>
                <w:right w:w="0" w:type="dxa"/>
              </w:tblCellMar>
              <w:tblLook w:val="04A0" w:firstRow="1" w:lastRow="0" w:firstColumn="1" w:lastColumn="0" w:noHBand="0" w:noVBand="1"/>
            </w:tblPr>
            <w:tblGrid>
              <w:gridCol w:w="250"/>
              <w:gridCol w:w="4064"/>
            </w:tblGrid>
            <w:tr w:rsidR="00D14F76" w:rsidRPr="001C58C6" w14:paraId="0B4DDA25" w14:textId="77777777">
              <w:tc>
                <w:tcPr>
                  <w:tcW w:w="0" w:type="auto"/>
                </w:tcPr>
                <w:p w14:paraId="4A044DE1"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2.</w:t>
                  </w:r>
                </w:p>
              </w:tc>
              <w:tc>
                <w:tcPr>
                  <w:tcW w:w="0" w:type="auto"/>
                </w:tcPr>
                <w:p w14:paraId="222C7C0B"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Države članice mogu uspostaviti nacionalni savjetodavni kodeks dobre poljoprivredne prakse za pravilno upravljanje ostacima od žetve na osnovu sljedećih pristupa:</w:t>
                  </w:r>
                </w:p>
                <w:tbl>
                  <w:tblPr>
                    <w:tblW w:w="5000" w:type="pct"/>
                    <w:tblCellMar>
                      <w:left w:w="0" w:type="dxa"/>
                      <w:right w:w="0" w:type="dxa"/>
                    </w:tblCellMar>
                    <w:tblLook w:val="04A0" w:firstRow="1" w:lastRow="0" w:firstColumn="1" w:lastColumn="0" w:noHBand="0" w:noVBand="1"/>
                  </w:tblPr>
                  <w:tblGrid>
                    <w:gridCol w:w="309"/>
                    <w:gridCol w:w="3755"/>
                  </w:tblGrid>
                  <w:tr w:rsidR="00D14F76" w:rsidRPr="001C58C6" w14:paraId="7576C927" w14:textId="77777777">
                    <w:tc>
                      <w:tcPr>
                        <w:tcW w:w="0" w:type="auto"/>
                      </w:tcPr>
                      <w:p w14:paraId="1F9F7A87"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(a)</w:t>
                        </w:r>
                      </w:p>
                    </w:tc>
                    <w:tc>
                      <w:tcPr>
                        <w:tcW w:w="0" w:type="auto"/>
                      </w:tcPr>
                      <w:p w14:paraId="442C604A"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poboljšanje strukture tla inkorporacijom ostataka od žetve;</w:t>
                        </w:r>
                      </w:p>
                    </w:tc>
                  </w:tr>
                </w:tbl>
                <w:p w14:paraId="690FC7F0" w14:textId="77777777" w:rsidR="00D14F76" w:rsidRPr="001C58C6" w:rsidRDefault="00D14F76" w:rsidP="002C1EB5">
                  <w:pPr>
                    <w:ind w:firstLine="113"/>
                    <w:contextualSpacing/>
                    <w:rPr>
                      <w:rFonts w:ascii="Calibri" w:eastAsia="Times New Roman" w:hAnsi="Calibri" w:cs="Calibri"/>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317"/>
                    <w:gridCol w:w="3747"/>
                  </w:tblGrid>
                  <w:tr w:rsidR="00D14F76" w:rsidRPr="001C58C6" w14:paraId="70C0965A" w14:textId="77777777">
                    <w:tc>
                      <w:tcPr>
                        <w:tcW w:w="0" w:type="auto"/>
                      </w:tcPr>
                      <w:p w14:paraId="1D763C40"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(b)</w:t>
                        </w:r>
                      </w:p>
                    </w:tc>
                    <w:tc>
                      <w:tcPr>
                        <w:tcW w:w="0" w:type="auto"/>
                      </w:tcPr>
                      <w:p w14:paraId="5BF2129A"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poboljšanje tehnike inkorporacije ostataka od žetve;</w:t>
                        </w:r>
                      </w:p>
                    </w:tc>
                  </w:tr>
                </w:tbl>
                <w:p w14:paraId="2754F6EE" w14:textId="77777777" w:rsidR="00D14F76" w:rsidRPr="001C58C6" w:rsidRDefault="00D14F76" w:rsidP="002C1EB5">
                  <w:pPr>
                    <w:ind w:firstLine="113"/>
                    <w:contextualSpacing/>
                    <w:rPr>
                      <w:rFonts w:ascii="Calibri" w:eastAsia="Times New Roman" w:hAnsi="Calibri" w:cs="Calibri"/>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358"/>
                    <w:gridCol w:w="3706"/>
                  </w:tblGrid>
                  <w:tr w:rsidR="00D14F76" w:rsidRPr="001C58C6" w14:paraId="402C0B21" w14:textId="77777777">
                    <w:tc>
                      <w:tcPr>
                        <w:tcW w:w="0" w:type="auto"/>
                      </w:tcPr>
                      <w:p w14:paraId="0191C23C"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(c)</w:t>
                        </w:r>
                      </w:p>
                    </w:tc>
                    <w:tc>
                      <w:tcPr>
                        <w:tcW w:w="0" w:type="auto"/>
                      </w:tcPr>
                      <w:p w14:paraId="4FD52CFF"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alternativna upotreba ostataka od žetve;</w:t>
                        </w:r>
                      </w:p>
                    </w:tc>
                  </w:tr>
                </w:tbl>
                <w:p w14:paraId="74B3C3C8" w14:textId="77777777" w:rsidR="00D14F76" w:rsidRPr="001C58C6" w:rsidRDefault="00D14F76" w:rsidP="002C1EB5">
                  <w:pPr>
                    <w:ind w:firstLine="113"/>
                    <w:contextualSpacing/>
                    <w:rPr>
                      <w:rFonts w:ascii="Calibri" w:eastAsia="Times New Roman" w:hAnsi="Calibri" w:cs="Calibri"/>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317"/>
                    <w:gridCol w:w="3747"/>
                  </w:tblGrid>
                  <w:tr w:rsidR="00D14F76" w:rsidRPr="001C58C6" w14:paraId="7ADC5EAD" w14:textId="77777777">
                    <w:tc>
                      <w:tcPr>
                        <w:tcW w:w="0" w:type="auto"/>
                      </w:tcPr>
                      <w:p w14:paraId="2F6AC4D8"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lastRenderedPageBreak/>
                          <w:t>(d)</w:t>
                        </w:r>
                      </w:p>
                    </w:tc>
                    <w:tc>
                      <w:tcPr>
                        <w:tcW w:w="0" w:type="auto"/>
                      </w:tcPr>
                      <w:p w14:paraId="2E0E6F9B" w14:textId="77777777" w:rsidR="00D14F76" w:rsidRPr="001C58C6" w:rsidRDefault="00D14F76" w:rsidP="002C1EB5">
                        <w:pPr>
                          <w:spacing w:before="12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poboljšanje stanja hranjivih tvari i strukture tla inkorporacijom đubriva Po potrebi kako bi se postigao optimalan rast biljaka i time izbjeglo spaljivanje đubriva (stajsko đubrivo, slamnata stelja).</w:t>
                        </w:r>
                      </w:p>
                    </w:tc>
                  </w:tr>
                </w:tbl>
                <w:p w14:paraId="73291D16" w14:textId="77777777" w:rsidR="00D14F76" w:rsidRPr="001C58C6" w:rsidRDefault="00D14F76" w:rsidP="002C1EB5">
                  <w:pPr>
                    <w:ind w:firstLine="113"/>
                    <w:contextualSpacing/>
                    <w:rPr>
                      <w:rFonts w:ascii="Calibri" w:eastAsia="Times New Roman" w:hAnsi="Calibri" w:cs="Calibri"/>
                      <w:color w:val="000000" w:themeColor="text1"/>
                      <w:sz w:val="18"/>
                      <w:szCs w:val="18"/>
                    </w:rPr>
                  </w:pPr>
                </w:p>
              </w:tc>
            </w:tr>
          </w:tbl>
          <w:p w14:paraId="44B66860" w14:textId="77777777" w:rsidR="00D14F76" w:rsidRPr="001C58C6" w:rsidRDefault="00D14F76" w:rsidP="002C1EB5">
            <w:pPr>
              <w:ind w:firstLine="113"/>
              <w:contextualSpacing/>
              <w:rPr>
                <w:rFonts w:ascii="Calibri" w:eastAsia="Times New Roman" w:hAnsi="Calibri" w:cs="Calibri"/>
                <w:color w:val="000000" w:themeColor="text1"/>
                <w:sz w:val="18"/>
                <w:szCs w:val="18"/>
              </w:rPr>
            </w:pPr>
          </w:p>
        </w:tc>
        <w:tc>
          <w:tcPr>
            <w:tcW w:w="0" w:type="auto"/>
          </w:tcPr>
          <w:p w14:paraId="24CF07CA" w14:textId="77777777" w:rsidR="00D14F76" w:rsidRPr="001C58C6" w:rsidRDefault="00D14F76" w:rsidP="002C1EB5">
            <w:pPr>
              <w:ind w:firstLine="113"/>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lastRenderedPageBreak/>
              <w:t>Uspostavljanje savjetodavnog kodeksa dobre prakse za upravljanje ostacima od žetve</w:t>
            </w:r>
          </w:p>
        </w:tc>
        <w:tc>
          <w:tcPr>
            <w:tcW w:w="1543" w:type="pct"/>
          </w:tcPr>
          <w:p w14:paraId="356A8CDA" w14:textId="77777777" w:rsidR="00D14F76" w:rsidRPr="001C58C6" w:rsidRDefault="00D14F76" w:rsidP="002C1EB5">
            <w:pPr>
              <w:ind w:firstLine="113"/>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Poglavlje 2</w:t>
            </w:r>
          </w:p>
        </w:tc>
        <w:tc>
          <w:tcPr>
            <w:tcW w:w="927" w:type="pct"/>
          </w:tcPr>
          <w:p w14:paraId="53AA5113" w14:textId="77777777" w:rsidR="00D14F76" w:rsidRPr="001C58C6" w:rsidRDefault="00D14F76" w:rsidP="002C1EB5">
            <w:pPr>
              <w:ind w:firstLine="113"/>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Ne, planirano u 2026. Biće razvijen u okviru IPARD mjere 5.2. i Programa ruralnog savjetovanja; fokus na inkorporaciji i alternativnoj upotrebi žetvenih ostataka.</w:t>
            </w:r>
          </w:p>
        </w:tc>
      </w:tr>
      <w:tr w:rsidR="00D14F76" w:rsidRPr="001C58C6" w14:paraId="3C3C6D96" w14:textId="77777777" w:rsidTr="00E40401">
        <w:tc>
          <w:tcPr>
            <w:cnfStyle w:val="001000000000" w:firstRow="0" w:lastRow="0" w:firstColumn="1" w:lastColumn="0" w:oddVBand="0" w:evenVBand="0" w:oddHBand="0" w:evenHBand="0" w:firstRowFirstColumn="0" w:firstRowLastColumn="0" w:lastRowFirstColumn="0" w:lastRowLastColumn="0"/>
            <w:tcW w:w="0" w:type="auto"/>
            <w:gridSpan w:val="4"/>
          </w:tcPr>
          <w:p w14:paraId="225F473B" w14:textId="77777777" w:rsidR="00D14F76" w:rsidRPr="001C58C6" w:rsidRDefault="00D14F76" w:rsidP="002C1EB5">
            <w:pPr>
              <w:spacing w:before="60" w:after="60"/>
              <w:ind w:right="195" w:firstLine="113"/>
              <w:contextualSpacing/>
              <w:jc w:val="center"/>
              <w:rPr>
                <w:rFonts w:ascii="Calibri" w:eastAsia="Times New Roman" w:hAnsi="Calibri" w:cs="Calibri"/>
                <w:b w:val="0"/>
                <w:bCs w:val="0"/>
                <w:color w:val="000000" w:themeColor="text1"/>
                <w:sz w:val="18"/>
                <w:szCs w:val="18"/>
              </w:rPr>
            </w:pPr>
            <w:r w:rsidRPr="001C58C6">
              <w:rPr>
                <w:rFonts w:ascii="Calibri" w:eastAsia="Times New Roman" w:hAnsi="Calibri" w:cs="Calibri"/>
                <w:color w:val="000000" w:themeColor="text1"/>
                <w:sz w:val="18"/>
                <w:szCs w:val="18"/>
              </w:rPr>
              <w:t>C   Sprečavanje uticaja na mala poljoprivredna domaćinstva (O)</w:t>
            </w:r>
          </w:p>
        </w:tc>
      </w:tr>
      <w:tr w:rsidR="00D14F76" w:rsidRPr="001C58C6" w14:paraId="4A3079FC" w14:textId="77777777" w:rsidTr="00E40401">
        <w:tc>
          <w:tcPr>
            <w:cnfStyle w:val="001000000000" w:firstRow="0" w:lastRow="0" w:firstColumn="1" w:lastColumn="0" w:oddVBand="0" w:evenVBand="0" w:oddHBand="0" w:evenHBand="0" w:firstRowFirstColumn="0" w:firstRowLastColumn="0" w:lastRowFirstColumn="0" w:lastRowLastColumn="0"/>
            <w:tcW w:w="0" w:type="auto"/>
          </w:tcPr>
          <w:p w14:paraId="7544F472" w14:textId="77777777" w:rsidR="00D14F76" w:rsidRPr="001C58C6" w:rsidRDefault="00D14F76" w:rsidP="002C1EB5">
            <w:pPr>
              <w:ind w:firstLine="113"/>
              <w:contextualSpacing/>
              <w:rPr>
                <w:rFonts w:ascii="Calibri" w:eastAsia="Times New Roman" w:hAnsi="Calibri" w:cs="Calibri"/>
                <w:b w:val="0"/>
                <w:bCs w:val="0"/>
                <w:color w:val="000000" w:themeColor="text1"/>
                <w:sz w:val="18"/>
                <w:szCs w:val="18"/>
              </w:rPr>
            </w:pPr>
          </w:p>
        </w:tc>
        <w:tc>
          <w:tcPr>
            <w:tcW w:w="0" w:type="auto"/>
          </w:tcPr>
          <w:p w14:paraId="7162BB43" w14:textId="77777777" w:rsidR="00D14F76" w:rsidRPr="001C58C6" w:rsidRDefault="00D14F76" w:rsidP="002C1EB5">
            <w:pPr>
              <w:ind w:firstLine="113"/>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p>
        </w:tc>
        <w:tc>
          <w:tcPr>
            <w:tcW w:w="1543" w:type="pct"/>
          </w:tcPr>
          <w:p w14:paraId="73B6F14C" w14:textId="77777777" w:rsidR="00D14F76" w:rsidRPr="001C58C6" w:rsidRDefault="00D14F76" w:rsidP="002C1EB5">
            <w:pPr>
              <w:ind w:firstLine="113"/>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p>
        </w:tc>
        <w:tc>
          <w:tcPr>
            <w:tcW w:w="927" w:type="pct"/>
          </w:tcPr>
          <w:p w14:paraId="4C53E978" w14:textId="77777777" w:rsidR="00D14F76" w:rsidRPr="001C58C6" w:rsidRDefault="00D14F76" w:rsidP="002C1EB5">
            <w:pPr>
              <w:ind w:firstLine="113"/>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p>
        </w:tc>
      </w:tr>
      <w:tr w:rsidR="00D14F76" w:rsidRPr="001C58C6" w14:paraId="5A334054" w14:textId="77777777" w:rsidTr="00E40401">
        <w:tc>
          <w:tcPr>
            <w:cnfStyle w:val="001000000000" w:firstRow="0" w:lastRow="0" w:firstColumn="1" w:lastColumn="0" w:oddVBand="0" w:evenVBand="0" w:oddHBand="0" w:evenHBand="0" w:firstRowFirstColumn="0" w:firstRowLastColumn="0" w:lastRowFirstColumn="0" w:lastRowLastColumn="0"/>
            <w:tcW w:w="0" w:type="auto"/>
          </w:tcPr>
          <w:p w14:paraId="40C486C6" w14:textId="77777777" w:rsidR="00D14F76" w:rsidRPr="001C58C6" w:rsidRDefault="00D14F76" w:rsidP="002C1EB5">
            <w:pPr>
              <w:spacing w:before="60" w:after="60"/>
              <w:ind w:firstLine="113"/>
              <w:contextualSpacing/>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Pri preduzimanju mjera opisanih poglavljima A. i B., države članice osiguravaju da se uticaji na mala i mikro poljoprivredna domaćinstva u potpunosti uzimaju u obzir. Države članice mogu, na primjer, izuzeti mala i mikro poljoprivredna domaćinstva iz tih mjera kada je to moguće i primjereno sa obzirom na primjenjive obaveze smanjenja (O)</w:t>
            </w:r>
          </w:p>
        </w:tc>
        <w:tc>
          <w:tcPr>
            <w:tcW w:w="0" w:type="auto"/>
          </w:tcPr>
          <w:p w14:paraId="4E7325AE" w14:textId="77777777" w:rsidR="00D14F76" w:rsidRPr="001C58C6" w:rsidRDefault="00D14F76" w:rsidP="002C1EB5">
            <w:pPr>
              <w:ind w:firstLine="113"/>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Uvažavanje socio-ekonomskih ograničenja malih i mikro gazdinstava u sprovođenju mjera</w:t>
            </w:r>
          </w:p>
        </w:tc>
        <w:tc>
          <w:tcPr>
            <w:tcW w:w="1543" w:type="pct"/>
          </w:tcPr>
          <w:p w14:paraId="3279768D" w14:textId="77777777" w:rsidR="00D14F76" w:rsidRPr="001C58C6" w:rsidRDefault="00D14F76" w:rsidP="002C1EB5">
            <w:pPr>
              <w:ind w:firstLine="113"/>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 Poglavlje 2</w:t>
            </w:r>
          </w:p>
        </w:tc>
        <w:tc>
          <w:tcPr>
            <w:tcW w:w="927" w:type="pct"/>
          </w:tcPr>
          <w:p w14:paraId="78C5E01A" w14:textId="77777777" w:rsidR="00D14F76" w:rsidRPr="001C58C6" w:rsidRDefault="00D14F76" w:rsidP="002C1EB5">
            <w:pPr>
              <w:ind w:firstLine="113"/>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rPr>
            </w:pPr>
            <w:r w:rsidRPr="001C58C6">
              <w:rPr>
                <w:rFonts w:ascii="Calibri" w:eastAsia="Times New Roman" w:hAnsi="Calibri" w:cs="Calibri"/>
                <w:color w:val="000000" w:themeColor="text1"/>
                <w:sz w:val="18"/>
                <w:szCs w:val="18"/>
              </w:rPr>
              <w:t>Da. Mali proizvođači (do 10 grla) biće izuzeti iz obaveze prekrivanja skladišta đubriva, uz prioritetne subvencije i tehničku pomoć kroz IPARD III.</w:t>
            </w:r>
          </w:p>
        </w:tc>
      </w:tr>
    </w:tbl>
    <w:p w14:paraId="144C9752" w14:textId="77777777" w:rsidR="00E95417" w:rsidRDefault="00E95417">
      <w:pPr>
        <w:shd w:val="clear" w:color="auto" w:fill="FFFFFF"/>
        <w:spacing w:before="240" w:after="120" w:line="312" w:lineRule="atLeast"/>
        <w:rPr>
          <w:rFonts w:ascii="Calibri" w:eastAsia="Times New Roman" w:hAnsi="Calibri" w:cs="Calibri"/>
          <w:b/>
          <w:bCs/>
          <w:color w:val="000000" w:themeColor="text1"/>
          <w:sz w:val="18"/>
          <w:szCs w:val="18"/>
        </w:rPr>
      </w:pPr>
    </w:p>
    <w:p w14:paraId="5030B087" w14:textId="77777777" w:rsidR="006F52AD" w:rsidRPr="00C62EC0" w:rsidRDefault="006F52AD" w:rsidP="00C62EC0">
      <w:pPr>
        <w:rPr>
          <w:rFonts w:ascii="Calibri" w:eastAsia="Times New Roman" w:hAnsi="Calibri" w:cs="Calibri"/>
          <w:sz w:val="18"/>
          <w:szCs w:val="18"/>
        </w:rPr>
      </w:pPr>
    </w:p>
    <w:p w14:paraId="1A0424DE" w14:textId="77777777" w:rsidR="006F52AD" w:rsidRPr="00C62EC0" w:rsidRDefault="006F52AD" w:rsidP="00C62EC0">
      <w:pPr>
        <w:rPr>
          <w:rFonts w:ascii="Calibri" w:eastAsia="Times New Roman" w:hAnsi="Calibri" w:cs="Calibri"/>
          <w:sz w:val="18"/>
          <w:szCs w:val="18"/>
        </w:rPr>
      </w:pPr>
    </w:p>
    <w:p w14:paraId="273AA459" w14:textId="77777777" w:rsidR="006F52AD" w:rsidRPr="00C62EC0" w:rsidRDefault="006F52AD" w:rsidP="00C62EC0">
      <w:pPr>
        <w:rPr>
          <w:rFonts w:ascii="Calibri" w:eastAsia="Times New Roman" w:hAnsi="Calibri" w:cs="Calibri"/>
          <w:sz w:val="18"/>
          <w:szCs w:val="18"/>
        </w:rPr>
      </w:pPr>
    </w:p>
    <w:p w14:paraId="48743913" w14:textId="77777777" w:rsidR="006F52AD" w:rsidRDefault="006F52AD" w:rsidP="006F52AD">
      <w:pPr>
        <w:rPr>
          <w:rFonts w:ascii="Calibri" w:eastAsia="Times New Roman" w:hAnsi="Calibri" w:cs="Calibri"/>
          <w:b/>
          <w:bCs/>
          <w:color w:val="000000" w:themeColor="text1"/>
          <w:sz w:val="18"/>
          <w:szCs w:val="18"/>
        </w:rPr>
      </w:pPr>
    </w:p>
    <w:p w14:paraId="7B400578" w14:textId="532D79A6" w:rsidR="006F52AD" w:rsidRDefault="006F52AD" w:rsidP="00C62EC0">
      <w:pPr>
        <w:tabs>
          <w:tab w:val="left" w:pos="4524"/>
        </w:tabs>
        <w:rPr>
          <w:rFonts w:ascii="Calibri" w:eastAsia="Times New Roman" w:hAnsi="Calibri" w:cs="Calibri"/>
          <w:b/>
          <w:bCs/>
          <w:color w:val="000000" w:themeColor="text1"/>
          <w:sz w:val="18"/>
          <w:szCs w:val="18"/>
        </w:rPr>
      </w:pPr>
      <w:r>
        <w:rPr>
          <w:rFonts w:ascii="Calibri" w:eastAsia="Times New Roman" w:hAnsi="Calibri" w:cs="Calibri"/>
          <w:b/>
          <w:bCs/>
          <w:color w:val="000000" w:themeColor="text1"/>
          <w:sz w:val="18"/>
          <w:szCs w:val="18"/>
        </w:rPr>
        <w:tab/>
      </w:r>
    </w:p>
    <w:p w14:paraId="7B37AC28" w14:textId="621ED064" w:rsidR="00A462B0" w:rsidRPr="00A221DB" w:rsidRDefault="006F52AD" w:rsidP="00C62EC0">
      <w:pPr>
        <w:tabs>
          <w:tab w:val="left" w:pos="4524"/>
        </w:tabs>
        <w:rPr>
          <w:rFonts w:ascii="Calibri" w:eastAsia="Times New Roman" w:hAnsi="Calibri" w:cs="Calibri"/>
          <w:sz w:val="18"/>
          <w:szCs w:val="18"/>
        </w:rPr>
        <w:sectPr w:rsidR="00A462B0" w:rsidRPr="00A221DB" w:rsidSect="00E95417">
          <w:pgSz w:w="15840" w:h="12240" w:orient="landscape"/>
          <w:pgMar w:top="1440" w:right="1440" w:bottom="1440" w:left="1440" w:header="720" w:footer="720" w:gutter="0"/>
          <w:cols w:space="720"/>
          <w:docGrid w:linePitch="360"/>
        </w:sectPr>
      </w:pPr>
      <w:r>
        <w:rPr>
          <w:rFonts w:ascii="Calibri" w:eastAsia="Times New Roman" w:hAnsi="Calibri" w:cs="Calibri"/>
          <w:sz w:val="18"/>
          <w:szCs w:val="18"/>
        </w:rPr>
        <w:tab/>
      </w:r>
    </w:p>
    <w:p w14:paraId="21D46BFA" w14:textId="77777777" w:rsidR="00D14F76" w:rsidRPr="001C58C6" w:rsidRDefault="00D14F76">
      <w:pPr>
        <w:shd w:val="clear" w:color="auto" w:fill="FFFFFF"/>
        <w:spacing w:before="240" w:after="120" w:line="312" w:lineRule="atLeast"/>
        <w:rPr>
          <w:rFonts w:ascii="Calibri" w:eastAsia="Times New Roman" w:hAnsi="Calibri" w:cs="Calibri"/>
          <w:b/>
          <w:bCs/>
          <w:color w:val="000000" w:themeColor="text1"/>
          <w:szCs w:val="24"/>
        </w:rPr>
      </w:pPr>
      <w:r w:rsidRPr="001C58C6">
        <w:rPr>
          <w:rFonts w:ascii="Calibri" w:eastAsia="Times New Roman" w:hAnsi="Calibri" w:cs="Calibri"/>
          <w:b/>
          <w:bCs/>
          <w:color w:val="000000" w:themeColor="text1"/>
          <w:szCs w:val="24"/>
        </w:rPr>
        <w:lastRenderedPageBreak/>
        <w:t>2.7.   Politike koje su odabrane za donošenje po sektoru, uključujući raspored za njihovo donošenje, sprovođenje i preispitivanje te odgovorna nadležna tijela</w:t>
      </w:r>
    </w:p>
    <w:p w14:paraId="6D3F0998" w14:textId="77777777" w:rsidR="00D14F76" w:rsidRPr="001C58C6" w:rsidRDefault="00D14F76">
      <w:pPr>
        <w:shd w:val="clear" w:color="auto" w:fill="FFFFFF"/>
        <w:spacing w:before="240" w:after="120" w:line="312" w:lineRule="atLeast"/>
        <w:rPr>
          <w:rFonts w:ascii="Calibri" w:eastAsia="Times New Roman" w:hAnsi="Calibri" w:cs="Calibri"/>
          <w:b/>
          <w:bCs/>
          <w:color w:val="000000" w:themeColor="text1"/>
          <w:szCs w:val="24"/>
        </w:rPr>
      </w:pPr>
      <w:r w:rsidRPr="001C58C6">
        <w:rPr>
          <w:rFonts w:ascii="Calibri" w:eastAsia="Times New Roman" w:hAnsi="Calibri" w:cs="Calibri"/>
          <w:b/>
          <w:bCs/>
          <w:color w:val="000000" w:themeColor="text1"/>
          <w:szCs w:val="24"/>
        </w:rPr>
        <w:t>2.7.1.   </w:t>
      </w:r>
      <w:r w:rsidRPr="001C58C6">
        <w:rPr>
          <w:rFonts w:ascii="Calibri" w:eastAsia="Times New Roman" w:hAnsi="Calibri" w:cs="Calibri"/>
          <w:b/>
          <w:bCs/>
          <w:i/>
          <w:iCs/>
          <w:color w:val="000000" w:themeColor="text1"/>
          <w:szCs w:val="24"/>
        </w:rPr>
        <w:t>Pojedinačne politike i mjere ili paket pojedinačnih politika i mjera koje su odabrane za donošenje i odgovorna nadležna tijela</w:t>
      </w:r>
    </w:p>
    <w:tbl>
      <w:tblPr>
        <w:tblStyle w:val="GridTable1Light-Accent1"/>
        <w:tblW w:w="5419" w:type="pct"/>
        <w:tblInd w:w="-431" w:type="dxa"/>
        <w:tblLayout w:type="fixed"/>
        <w:tblLook w:val="04A0" w:firstRow="1" w:lastRow="0" w:firstColumn="1" w:lastColumn="0" w:noHBand="0" w:noVBand="1"/>
      </w:tblPr>
      <w:tblGrid>
        <w:gridCol w:w="1702"/>
        <w:gridCol w:w="1134"/>
        <w:gridCol w:w="2411"/>
        <w:gridCol w:w="1134"/>
        <w:gridCol w:w="856"/>
        <w:gridCol w:w="1709"/>
        <w:gridCol w:w="1844"/>
        <w:gridCol w:w="1418"/>
        <w:gridCol w:w="1827"/>
      </w:tblGrid>
      <w:tr w:rsidR="00D14F76" w:rsidRPr="001C58C6" w14:paraId="5EA51B6D" w14:textId="77777777" w:rsidTr="002C1E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 w:type="pct"/>
            <w:vMerge w:val="restart"/>
          </w:tcPr>
          <w:p w14:paraId="265FF9C4" w14:textId="77777777" w:rsidR="00D14F76" w:rsidRPr="001C58C6" w:rsidRDefault="00D14F76" w:rsidP="002C1EB5">
            <w:pPr>
              <w:spacing w:before="60" w:after="100" w:afterAutospacing="1"/>
              <w:contextualSpacing/>
              <w:jc w:val="center"/>
              <w:rPr>
                <w:rFonts w:ascii="Calibri" w:eastAsia="Times New Roman" w:hAnsi="Calibri" w:cs="Calibri"/>
                <w:b w:val="0"/>
                <w:bCs w:val="0"/>
                <w:color w:val="000000" w:themeColor="text1"/>
                <w:sz w:val="18"/>
                <w:szCs w:val="18"/>
              </w:rPr>
            </w:pPr>
            <w:r w:rsidRPr="001C58C6">
              <w:rPr>
                <w:rFonts w:ascii="Calibri" w:eastAsia="Times New Roman" w:hAnsi="Calibri" w:cs="Calibri"/>
                <w:color w:val="000000" w:themeColor="text1"/>
                <w:sz w:val="18"/>
                <w:szCs w:val="18"/>
              </w:rPr>
              <w:t>Naziv i kratak opis pojedinačnih politika i mjera ili paketa politika i mjera (O)</w:t>
            </w:r>
          </w:p>
          <w:p w14:paraId="4AFD9D42" w14:textId="77777777" w:rsidR="00D14F76" w:rsidRPr="001C58C6" w:rsidRDefault="00D14F76" w:rsidP="002C1EB5">
            <w:pPr>
              <w:spacing w:before="60" w:after="100" w:afterAutospacing="1"/>
              <w:contextualSpacing/>
              <w:jc w:val="center"/>
              <w:rPr>
                <w:rFonts w:ascii="Calibri" w:eastAsia="Times New Roman" w:hAnsi="Calibri" w:cs="Calibri"/>
                <w:b w:val="0"/>
                <w:bCs w:val="0"/>
                <w:color w:val="000000" w:themeColor="text1"/>
                <w:sz w:val="18"/>
                <w:szCs w:val="18"/>
              </w:rPr>
            </w:pPr>
            <w:r w:rsidRPr="001C58C6">
              <w:rPr>
                <w:rFonts w:ascii="Calibri" w:eastAsia="Times New Roman" w:hAnsi="Calibri" w:cs="Calibri"/>
                <w:i/>
                <w:iCs/>
                <w:color w:val="000000" w:themeColor="text1"/>
                <w:sz w:val="18"/>
                <w:szCs w:val="18"/>
              </w:rPr>
              <w:t>Ako je primjenjivo, navedite one sa spiska u tabeli 2.6.1.</w:t>
            </w:r>
          </w:p>
        </w:tc>
        <w:tc>
          <w:tcPr>
            <w:tcW w:w="404" w:type="pct"/>
            <w:vMerge w:val="restart"/>
          </w:tcPr>
          <w:p w14:paraId="7E86CAA2" w14:textId="77777777" w:rsidR="00D14F76" w:rsidRPr="001C58C6" w:rsidRDefault="00D14F76" w:rsidP="002C1EB5">
            <w:pPr>
              <w:spacing w:before="60" w:after="100" w:afterAutospacing="1"/>
              <w:ind w:right="52"/>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8"/>
                <w:szCs w:val="18"/>
              </w:rPr>
            </w:pPr>
            <w:r w:rsidRPr="001C58C6">
              <w:rPr>
                <w:rFonts w:ascii="Calibri" w:eastAsia="Times New Roman" w:hAnsi="Calibri" w:cs="Calibri"/>
                <w:color w:val="000000" w:themeColor="text1"/>
                <w:sz w:val="18"/>
                <w:szCs w:val="18"/>
              </w:rPr>
              <w:t>Trenutno predviđena godina donošenja (O)</w:t>
            </w:r>
          </w:p>
        </w:tc>
        <w:tc>
          <w:tcPr>
            <w:tcW w:w="859" w:type="pct"/>
            <w:vMerge w:val="restart"/>
          </w:tcPr>
          <w:p w14:paraId="1418AB01" w14:textId="77777777" w:rsidR="00D14F76" w:rsidRPr="001C58C6" w:rsidRDefault="00D14F76" w:rsidP="002C1EB5">
            <w:pPr>
              <w:spacing w:before="60" w:after="100" w:afterAutospacing="1"/>
              <w:ind w:right="-79"/>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8"/>
                <w:szCs w:val="18"/>
              </w:rPr>
            </w:pPr>
            <w:r w:rsidRPr="001C58C6">
              <w:rPr>
                <w:rFonts w:ascii="Calibri" w:eastAsia="Times New Roman" w:hAnsi="Calibri" w:cs="Calibri"/>
                <w:color w:val="000000" w:themeColor="text1"/>
                <w:sz w:val="18"/>
                <w:szCs w:val="18"/>
              </w:rPr>
              <w:t>Relevantne primjedbe na osnovu savjetovanja povezanih s pojedinačnim politikama i mjerama ili paketima politika i mjera (N)</w:t>
            </w:r>
          </w:p>
        </w:tc>
        <w:tc>
          <w:tcPr>
            <w:tcW w:w="709" w:type="pct"/>
            <w:gridSpan w:val="2"/>
          </w:tcPr>
          <w:p w14:paraId="11650C79" w14:textId="77777777" w:rsidR="00D14F76" w:rsidRPr="001C58C6" w:rsidRDefault="00D14F76" w:rsidP="002C1EB5">
            <w:pPr>
              <w:spacing w:before="60" w:after="100" w:afterAutospacing="1"/>
              <w:ind w:right="195"/>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8"/>
                <w:szCs w:val="18"/>
              </w:rPr>
            </w:pPr>
            <w:r w:rsidRPr="001C58C6">
              <w:rPr>
                <w:rFonts w:ascii="Calibri" w:eastAsia="Times New Roman" w:hAnsi="Calibri" w:cs="Calibri"/>
                <w:color w:val="000000" w:themeColor="text1"/>
                <w:sz w:val="18"/>
                <w:szCs w:val="18"/>
              </w:rPr>
              <w:t>Dosadašnji predviđen raspored sprovođenja (O)</w:t>
            </w:r>
          </w:p>
        </w:tc>
        <w:tc>
          <w:tcPr>
            <w:tcW w:w="1266" w:type="pct"/>
            <w:gridSpan w:val="2"/>
          </w:tcPr>
          <w:p w14:paraId="6C9C3FE4" w14:textId="77777777" w:rsidR="00D14F76" w:rsidRPr="001C58C6" w:rsidRDefault="00D14F76" w:rsidP="002C1EB5">
            <w:pPr>
              <w:spacing w:before="60" w:after="100" w:afterAutospacing="1"/>
              <w:ind w:right="195"/>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8"/>
                <w:szCs w:val="18"/>
              </w:rPr>
            </w:pPr>
            <w:r w:rsidRPr="001C58C6">
              <w:rPr>
                <w:rFonts w:ascii="Calibri" w:eastAsia="Times New Roman" w:hAnsi="Calibri" w:cs="Calibri"/>
                <w:color w:val="000000" w:themeColor="text1"/>
                <w:sz w:val="18"/>
                <w:szCs w:val="18"/>
              </w:rPr>
              <w:t>Privremene ciljne vrijednosti i pokazatelji odabrani za praćenje napretka sprovođenja odabranih politika i mjera (N)</w:t>
            </w:r>
          </w:p>
        </w:tc>
        <w:tc>
          <w:tcPr>
            <w:tcW w:w="505" w:type="pct"/>
            <w:vMerge w:val="restart"/>
          </w:tcPr>
          <w:p w14:paraId="414C0809" w14:textId="77777777" w:rsidR="00D14F76" w:rsidRPr="001C58C6" w:rsidRDefault="00D14F76" w:rsidP="002C1EB5">
            <w:pPr>
              <w:spacing w:before="60" w:after="100" w:afterAutospacing="1"/>
              <w:ind w:right="195"/>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8"/>
                <w:szCs w:val="18"/>
              </w:rPr>
            </w:pPr>
            <w:r w:rsidRPr="001C58C6">
              <w:rPr>
                <w:rFonts w:ascii="Calibri" w:eastAsia="Times New Roman" w:hAnsi="Calibri" w:cs="Calibri"/>
                <w:color w:val="000000" w:themeColor="text1"/>
                <w:sz w:val="18"/>
                <w:szCs w:val="18"/>
              </w:rPr>
              <w:t>Trenutno projektovani raspored preispitivanja (ako je drugačiji od opšteg ažuriranja nacionalnog programa kontrole zagađenja vazduha svake četiri godine) (O)</w:t>
            </w:r>
          </w:p>
        </w:tc>
        <w:tc>
          <w:tcPr>
            <w:tcW w:w="651" w:type="pct"/>
            <w:vMerge w:val="restart"/>
          </w:tcPr>
          <w:p w14:paraId="1CDD2500" w14:textId="77777777" w:rsidR="00D14F76" w:rsidRPr="001C58C6" w:rsidRDefault="00D14F76" w:rsidP="002C1EB5">
            <w:pPr>
              <w:spacing w:before="60" w:after="100" w:afterAutospacing="1"/>
              <w:ind w:right="195"/>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8"/>
                <w:szCs w:val="18"/>
              </w:rPr>
            </w:pPr>
            <w:r w:rsidRPr="001C58C6">
              <w:rPr>
                <w:rFonts w:ascii="Calibri" w:eastAsia="Times New Roman" w:hAnsi="Calibri" w:cs="Calibri"/>
                <w:color w:val="000000" w:themeColor="text1"/>
                <w:sz w:val="18"/>
                <w:szCs w:val="18"/>
              </w:rPr>
              <w:t>Nadležna tijela odgovorna za pojedinačne politike i mjere ili paket politika i mjera (O)</w:t>
            </w:r>
          </w:p>
          <w:p w14:paraId="6AE141C5" w14:textId="77777777" w:rsidR="00D14F76" w:rsidRPr="001C58C6" w:rsidRDefault="00D14F76" w:rsidP="002C1EB5">
            <w:pPr>
              <w:spacing w:before="60" w:after="100" w:afterAutospacing="1"/>
              <w:ind w:right="195"/>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8"/>
                <w:szCs w:val="18"/>
              </w:rPr>
            </w:pPr>
            <w:r w:rsidRPr="001C58C6">
              <w:rPr>
                <w:rFonts w:ascii="Calibri" w:eastAsia="Times New Roman" w:hAnsi="Calibri" w:cs="Calibri"/>
                <w:i/>
                <w:iCs/>
                <w:color w:val="000000" w:themeColor="text1"/>
                <w:sz w:val="18"/>
                <w:szCs w:val="18"/>
              </w:rPr>
              <w:t>Ako je primjenjivo, navedite one sa spiska u tabeli 2.3.2.</w:t>
            </w:r>
          </w:p>
        </w:tc>
      </w:tr>
      <w:tr w:rsidR="00D14F76" w:rsidRPr="001C58C6" w14:paraId="7D0F74C2" w14:textId="77777777" w:rsidTr="002C1EB5">
        <w:tc>
          <w:tcPr>
            <w:cnfStyle w:val="001000000000" w:firstRow="0" w:lastRow="0" w:firstColumn="1" w:lastColumn="0" w:oddVBand="0" w:evenVBand="0" w:oddHBand="0" w:evenHBand="0" w:firstRowFirstColumn="0" w:firstRowLastColumn="0" w:lastRowFirstColumn="0" w:lastRowLastColumn="0"/>
            <w:tcW w:w="606" w:type="pct"/>
            <w:vMerge/>
          </w:tcPr>
          <w:p w14:paraId="7F19FDFC" w14:textId="77777777" w:rsidR="00D14F76" w:rsidRPr="001C58C6" w:rsidRDefault="00D14F76" w:rsidP="002C1EB5">
            <w:pPr>
              <w:spacing w:after="100" w:afterAutospacing="1"/>
              <w:contextualSpacing/>
              <w:rPr>
                <w:rFonts w:ascii="Calibri" w:eastAsia="Times New Roman" w:hAnsi="Calibri" w:cs="Calibri"/>
                <w:b w:val="0"/>
                <w:bCs w:val="0"/>
                <w:color w:val="000000" w:themeColor="text1"/>
                <w:sz w:val="18"/>
                <w:szCs w:val="18"/>
              </w:rPr>
            </w:pPr>
          </w:p>
        </w:tc>
        <w:tc>
          <w:tcPr>
            <w:tcW w:w="404" w:type="pct"/>
            <w:vMerge/>
          </w:tcPr>
          <w:p w14:paraId="2331A123"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p>
        </w:tc>
        <w:tc>
          <w:tcPr>
            <w:tcW w:w="859" w:type="pct"/>
            <w:vMerge/>
          </w:tcPr>
          <w:p w14:paraId="41FF8778"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p>
        </w:tc>
        <w:tc>
          <w:tcPr>
            <w:tcW w:w="404" w:type="pct"/>
          </w:tcPr>
          <w:p w14:paraId="02FCD293" w14:textId="77777777" w:rsidR="00D14F76" w:rsidRPr="001C58C6" w:rsidRDefault="00D14F76" w:rsidP="002C1EB5">
            <w:pPr>
              <w:spacing w:before="60"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eastAsia="Times New Roman" w:hAnsi="Calibri" w:cs="Calibri"/>
                <w:b/>
                <w:bCs/>
                <w:color w:val="000000" w:themeColor="text1"/>
                <w:sz w:val="18"/>
                <w:szCs w:val="18"/>
              </w:rPr>
              <w:t>početna godina</w:t>
            </w:r>
          </w:p>
        </w:tc>
        <w:tc>
          <w:tcPr>
            <w:tcW w:w="305" w:type="pct"/>
          </w:tcPr>
          <w:p w14:paraId="38270BEC" w14:textId="77777777" w:rsidR="00D14F76" w:rsidRPr="001C58C6" w:rsidRDefault="00D14F76" w:rsidP="002C1EB5">
            <w:pPr>
              <w:spacing w:before="60"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eastAsia="Times New Roman" w:hAnsi="Calibri" w:cs="Calibri"/>
                <w:b/>
                <w:bCs/>
                <w:color w:val="000000" w:themeColor="text1"/>
                <w:sz w:val="18"/>
                <w:szCs w:val="18"/>
              </w:rPr>
              <w:t>završna godina</w:t>
            </w:r>
          </w:p>
        </w:tc>
        <w:tc>
          <w:tcPr>
            <w:tcW w:w="609" w:type="pct"/>
          </w:tcPr>
          <w:p w14:paraId="4D013141" w14:textId="77777777" w:rsidR="00D14F76" w:rsidRPr="001C58C6" w:rsidRDefault="00D14F76" w:rsidP="002C1EB5">
            <w:pPr>
              <w:spacing w:before="60"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eastAsia="Times New Roman" w:hAnsi="Calibri" w:cs="Calibri"/>
                <w:b/>
                <w:bCs/>
                <w:color w:val="000000" w:themeColor="text1"/>
                <w:sz w:val="18"/>
                <w:szCs w:val="18"/>
              </w:rPr>
              <w:t>privremene ciljane vrijednosti</w:t>
            </w:r>
          </w:p>
        </w:tc>
        <w:tc>
          <w:tcPr>
            <w:tcW w:w="657" w:type="pct"/>
          </w:tcPr>
          <w:p w14:paraId="41CB7742" w14:textId="77777777" w:rsidR="00D14F76" w:rsidRPr="001C58C6" w:rsidRDefault="00D14F76" w:rsidP="002C1EB5">
            <w:pPr>
              <w:spacing w:before="60"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eastAsia="Times New Roman" w:hAnsi="Calibri" w:cs="Calibri"/>
                <w:b/>
                <w:bCs/>
                <w:color w:val="000000" w:themeColor="text1"/>
                <w:sz w:val="18"/>
                <w:szCs w:val="18"/>
              </w:rPr>
              <w:t>pokazatelji</w:t>
            </w:r>
          </w:p>
        </w:tc>
        <w:tc>
          <w:tcPr>
            <w:tcW w:w="505" w:type="pct"/>
            <w:vMerge/>
          </w:tcPr>
          <w:p w14:paraId="35AB075A"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p>
        </w:tc>
        <w:tc>
          <w:tcPr>
            <w:tcW w:w="651" w:type="pct"/>
            <w:vMerge/>
          </w:tcPr>
          <w:p w14:paraId="7D45E281"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p>
        </w:tc>
      </w:tr>
      <w:tr w:rsidR="00D14F76" w:rsidRPr="001C58C6" w14:paraId="46F41A8D" w14:textId="77777777" w:rsidTr="002C1EB5">
        <w:tc>
          <w:tcPr>
            <w:cnfStyle w:val="001000000000" w:firstRow="0" w:lastRow="0" w:firstColumn="1" w:lastColumn="0" w:oddVBand="0" w:evenVBand="0" w:oddHBand="0" w:evenHBand="0" w:firstRowFirstColumn="0" w:firstRowLastColumn="0" w:lastRowFirstColumn="0" w:lastRowLastColumn="0"/>
            <w:tcW w:w="606" w:type="pct"/>
          </w:tcPr>
          <w:p w14:paraId="54FF2718" w14:textId="77777777" w:rsidR="00D14F76" w:rsidRPr="001C58C6" w:rsidRDefault="00D14F76" w:rsidP="002C1EB5">
            <w:pPr>
              <w:spacing w:after="100" w:afterAutospacing="1"/>
              <w:contextualSpacing/>
              <w:rPr>
                <w:rFonts w:ascii="Calibri" w:eastAsia="Times New Roman" w:hAnsi="Calibri" w:cs="Calibri"/>
                <w:b w:val="0"/>
                <w:bCs w:val="0"/>
                <w:color w:val="000000" w:themeColor="text1"/>
                <w:sz w:val="18"/>
                <w:szCs w:val="18"/>
              </w:rPr>
            </w:pPr>
            <w:r w:rsidRPr="001C58C6">
              <w:rPr>
                <w:rFonts w:ascii="Calibri" w:hAnsi="Calibri" w:cs="Calibri"/>
                <w:color w:val="000000" w:themeColor="text1"/>
                <w:sz w:val="18"/>
                <w:szCs w:val="18"/>
              </w:rPr>
              <w:t>M1 – Rekonstrukcija TE Pljevlja i plan budućeg angažovanja – ekološka rekonstrukcija, FGD i DeNOx, ograničeni rad nakon 2026.</w:t>
            </w:r>
          </w:p>
        </w:tc>
        <w:tc>
          <w:tcPr>
            <w:tcW w:w="404" w:type="pct"/>
          </w:tcPr>
          <w:p w14:paraId="5B8B9DDB"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2025</w:t>
            </w:r>
          </w:p>
        </w:tc>
        <w:tc>
          <w:tcPr>
            <w:tcW w:w="859" w:type="pct"/>
          </w:tcPr>
          <w:p w14:paraId="1633C81B"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Primjedbe se odnose na ekonomske troškove i sigurnost snabdijevanja; prihvaćen je fazni pristup.</w:t>
            </w:r>
          </w:p>
        </w:tc>
        <w:tc>
          <w:tcPr>
            <w:tcW w:w="404" w:type="pct"/>
          </w:tcPr>
          <w:p w14:paraId="5B907CB6"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2024</w:t>
            </w:r>
          </w:p>
        </w:tc>
        <w:tc>
          <w:tcPr>
            <w:tcW w:w="305" w:type="pct"/>
          </w:tcPr>
          <w:p w14:paraId="510D4834"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2026</w:t>
            </w:r>
          </w:p>
        </w:tc>
        <w:tc>
          <w:tcPr>
            <w:tcW w:w="609" w:type="pct"/>
          </w:tcPr>
          <w:p w14:paraId="0597D6EC"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Do kraja 2026. smanjenje emisija SO₂ ≥ 80 % u odnosu na 2023.</w:t>
            </w:r>
          </w:p>
        </w:tc>
        <w:tc>
          <w:tcPr>
            <w:tcW w:w="657" w:type="pct"/>
          </w:tcPr>
          <w:p w14:paraId="2D1CE205"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Godišnje emisije SO₂, NOₓ i PM₂.₅ iz TE Pljevlja; broj dana prekoračenja PM u Pljevljima.</w:t>
            </w:r>
          </w:p>
        </w:tc>
        <w:tc>
          <w:tcPr>
            <w:tcW w:w="505" w:type="pct"/>
          </w:tcPr>
          <w:p w14:paraId="48179BD4"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2028. i dalje svake 4 godine</w:t>
            </w:r>
          </w:p>
        </w:tc>
        <w:tc>
          <w:tcPr>
            <w:tcW w:w="651" w:type="pct"/>
          </w:tcPr>
          <w:p w14:paraId="4CC1EED4"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EPCG; MEIR (MEIR); EPA</w:t>
            </w:r>
          </w:p>
        </w:tc>
      </w:tr>
      <w:tr w:rsidR="00D14F76" w:rsidRPr="001C58C6" w14:paraId="38D22647" w14:textId="77777777" w:rsidTr="002C1EB5">
        <w:tc>
          <w:tcPr>
            <w:cnfStyle w:val="001000000000" w:firstRow="0" w:lastRow="0" w:firstColumn="1" w:lastColumn="0" w:oddVBand="0" w:evenVBand="0" w:oddHBand="0" w:evenHBand="0" w:firstRowFirstColumn="0" w:firstRowLastColumn="0" w:lastRowFirstColumn="0" w:lastRowLastColumn="0"/>
            <w:tcW w:w="606" w:type="pct"/>
          </w:tcPr>
          <w:p w14:paraId="1DAB5D67" w14:textId="77777777" w:rsidR="00D14F76" w:rsidRPr="001C58C6" w:rsidRDefault="00D14F76" w:rsidP="002C1EB5">
            <w:pPr>
              <w:spacing w:after="100" w:afterAutospacing="1"/>
              <w:contextualSpacing/>
              <w:rPr>
                <w:rFonts w:ascii="Calibri" w:eastAsia="Times New Roman" w:hAnsi="Calibri" w:cs="Calibri"/>
                <w:b w:val="0"/>
                <w:bCs w:val="0"/>
                <w:color w:val="000000" w:themeColor="text1"/>
                <w:sz w:val="18"/>
                <w:szCs w:val="18"/>
              </w:rPr>
            </w:pPr>
            <w:r w:rsidRPr="001C58C6">
              <w:rPr>
                <w:rFonts w:ascii="Calibri" w:hAnsi="Calibri" w:cs="Calibri"/>
                <w:color w:val="000000" w:themeColor="text1"/>
                <w:sz w:val="18"/>
                <w:szCs w:val="18"/>
              </w:rPr>
              <w:t>M2 – Nove OIE elektrane – izgradnja novih vjetro i solarnih elektrana (≥ 600 MW do 2030).</w:t>
            </w:r>
          </w:p>
        </w:tc>
        <w:tc>
          <w:tcPr>
            <w:tcW w:w="404" w:type="pct"/>
          </w:tcPr>
          <w:p w14:paraId="522B0B83"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2025</w:t>
            </w:r>
          </w:p>
        </w:tc>
        <w:tc>
          <w:tcPr>
            <w:tcW w:w="859" w:type="pct"/>
          </w:tcPr>
          <w:p w14:paraId="58658B49"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Podrška javnosti i investitora; primjedbe na lokacije i uticaj na biodiverzitet.</w:t>
            </w:r>
          </w:p>
        </w:tc>
        <w:tc>
          <w:tcPr>
            <w:tcW w:w="404" w:type="pct"/>
          </w:tcPr>
          <w:p w14:paraId="4A9D6289"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2025</w:t>
            </w:r>
          </w:p>
        </w:tc>
        <w:tc>
          <w:tcPr>
            <w:tcW w:w="305" w:type="pct"/>
          </w:tcPr>
          <w:p w14:paraId="12D9F4A5"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2030</w:t>
            </w:r>
          </w:p>
        </w:tc>
        <w:tc>
          <w:tcPr>
            <w:tcW w:w="609" w:type="pct"/>
          </w:tcPr>
          <w:p w14:paraId="4E8B0D5F"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Do 2029. najmanje 400 MW novih OIE u pogonu.</w:t>
            </w:r>
          </w:p>
        </w:tc>
        <w:tc>
          <w:tcPr>
            <w:tcW w:w="657" w:type="pct"/>
          </w:tcPr>
          <w:p w14:paraId="478CCE87"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Instalisani MW OIE; proizvodnja iz OIE (GWh/god).</w:t>
            </w:r>
          </w:p>
        </w:tc>
        <w:tc>
          <w:tcPr>
            <w:tcW w:w="505" w:type="pct"/>
          </w:tcPr>
          <w:p w14:paraId="7FDBE2C9"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2029.</w:t>
            </w:r>
          </w:p>
        </w:tc>
        <w:tc>
          <w:tcPr>
            <w:tcW w:w="651" w:type="pct"/>
          </w:tcPr>
          <w:p w14:paraId="31983FBE"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MEIR; EPCG; privatni investitori; Regulatorna agencija za energetiku</w:t>
            </w:r>
          </w:p>
        </w:tc>
      </w:tr>
      <w:tr w:rsidR="00D14F76" w:rsidRPr="001C58C6" w14:paraId="1B8B8521" w14:textId="77777777" w:rsidTr="002C1EB5">
        <w:tc>
          <w:tcPr>
            <w:cnfStyle w:val="001000000000" w:firstRow="0" w:lastRow="0" w:firstColumn="1" w:lastColumn="0" w:oddVBand="0" w:evenVBand="0" w:oddHBand="0" w:evenHBand="0" w:firstRowFirstColumn="0" w:firstRowLastColumn="0" w:lastRowFirstColumn="0" w:lastRowLastColumn="0"/>
            <w:tcW w:w="606" w:type="pct"/>
          </w:tcPr>
          <w:p w14:paraId="71134BDB" w14:textId="77777777" w:rsidR="00D14F76" w:rsidRPr="001C58C6" w:rsidRDefault="00D14F76" w:rsidP="002C1EB5">
            <w:pPr>
              <w:spacing w:after="100" w:afterAutospacing="1"/>
              <w:contextualSpacing/>
              <w:rPr>
                <w:rFonts w:ascii="Calibri" w:eastAsia="Times New Roman" w:hAnsi="Calibri" w:cs="Calibri"/>
                <w:b w:val="0"/>
                <w:bCs w:val="0"/>
                <w:color w:val="000000" w:themeColor="text1"/>
                <w:sz w:val="18"/>
                <w:szCs w:val="18"/>
              </w:rPr>
            </w:pPr>
            <w:r w:rsidRPr="001C58C6">
              <w:rPr>
                <w:rFonts w:ascii="Calibri" w:hAnsi="Calibri" w:cs="Calibri"/>
                <w:color w:val="000000" w:themeColor="text1"/>
                <w:sz w:val="18"/>
                <w:szCs w:val="18"/>
              </w:rPr>
              <w:t>M3 – Dodatne OIE elektrane i aukcije – uvođenje aukcijskog sistema i dodatnih 200 MW OIE.</w:t>
            </w:r>
          </w:p>
        </w:tc>
        <w:tc>
          <w:tcPr>
            <w:tcW w:w="404" w:type="pct"/>
          </w:tcPr>
          <w:p w14:paraId="0C51F724"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2026</w:t>
            </w:r>
          </w:p>
        </w:tc>
        <w:tc>
          <w:tcPr>
            <w:tcW w:w="859" w:type="pct"/>
          </w:tcPr>
          <w:p w14:paraId="3F82C6D1"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Primjedbe se odnose na dizajn aukcija i podjelu rizika; biće razmotrene u pravilnicima.</w:t>
            </w:r>
          </w:p>
        </w:tc>
        <w:tc>
          <w:tcPr>
            <w:tcW w:w="404" w:type="pct"/>
          </w:tcPr>
          <w:p w14:paraId="1712163F"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2026</w:t>
            </w:r>
          </w:p>
        </w:tc>
        <w:tc>
          <w:tcPr>
            <w:tcW w:w="305" w:type="pct"/>
          </w:tcPr>
          <w:p w14:paraId="2BEC2BF4"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2030</w:t>
            </w:r>
          </w:p>
        </w:tc>
        <w:tc>
          <w:tcPr>
            <w:tcW w:w="609" w:type="pct"/>
          </w:tcPr>
          <w:p w14:paraId="1E5F0AE8"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Do 2029. najmanje 2 uspješno sprovedene aukcije i ≥ 200 MW ugovorenih OIE projekata.</w:t>
            </w:r>
          </w:p>
        </w:tc>
        <w:tc>
          <w:tcPr>
            <w:tcW w:w="657" w:type="pct"/>
          </w:tcPr>
          <w:p w14:paraId="3F3222E6"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Broj aukcija; ugovoreni MW; potpisani PPA.</w:t>
            </w:r>
          </w:p>
        </w:tc>
        <w:tc>
          <w:tcPr>
            <w:tcW w:w="505" w:type="pct"/>
          </w:tcPr>
          <w:p w14:paraId="0171A960"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2028.</w:t>
            </w:r>
          </w:p>
        </w:tc>
        <w:tc>
          <w:tcPr>
            <w:tcW w:w="651" w:type="pct"/>
          </w:tcPr>
          <w:p w14:paraId="007B76DC"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MEIR; Eko-fond; Regulatorna agencija za energetiku</w:t>
            </w:r>
          </w:p>
        </w:tc>
      </w:tr>
      <w:tr w:rsidR="00D14F76" w:rsidRPr="001C58C6" w14:paraId="45009B21" w14:textId="77777777" w:rsidTr="002C1EB5">
        <w:tc>
          <w:tcPr>
            <w:cnfStyle w:val="001000000000" w:firstRow="0" w:lastRow="0" w:firstColumn="1" w:lastColumn="0" w:oddVBand="0" w:evenVBand="0" w:oddHBand="0" w:evenHBand="0" w:firstRowFirstColumn="0" w:firstRowLastColumn="0" w:lastRowFirstColumn="0" w:lastRowLastColumn="0"/>
            <w:tcW w:w="606" w:type="pct"/>
          </w:tcPr>
          <w:p w14:paraId="527F1299" w14:textId="77777777" w:rsidR="00D14F76" w:rsidRPr="001C58C6" w:rsidRDefault="00D14F76" w:rsidP="002C1EB5">
            <w:pPr>
              <w:spacing w:after="100" w:afterAutospacing="1"/>
              <w:contextualSpacing/>
              <w:rPr>
                <w:rFonts w:ascii="Calibri" w:eastAsia="Times New Roman" w:hAnsi="Calibri" w:cs="Calibri"/>
                <w:b w:val="0"/>
                <w:bCs w:val="0"/>
                <w:color w:val="000000" w:themeColor="text1"/>
                <w:sz w:val="18"/>
                <w:szCs w:val="18"/>
              </w:rPr>
            </w:pPr>
            <w:r w:rsidRPr="001C58C6">
              <w:rPr>
                <w:rFonts w:ascii="Calibri" w:hAnsi="Calibri" w:cs="Calibri"/>
                <w:color w:val="000000" w:themeColor="text1"/>
                <w:sz w:val="18"/>
                <w:szCs w:val="18"/>
              </w:rPr>
              <w:lastRenderedPageBreak/>
              <w:t>M4 – Razvoj CP/ETS mehanizama – uvođenje nacionalnog sistema trgovine emisijama usklađenog sa EU ETS/CBAM.</w:t>
            </w:r>
          </w:p>
        </w:tc>
        <w:tc>
          <w:tcPr>
            <w:tcW w:w="404" w:type="pct"/>
          </w:tcPr>
          <w:p w14:paraId="6FF94D56"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2026</w:t>
            </w:r>
          </w:p>
        </w:tc>
        <w:tc>
          <w:tcPr>
            <w:tcW w:w="859" w:type="pct"/>
          </w:tcPr>
          <w:p w14:paraId="4A18C4FE"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Privredni subjekti traže faznu primjenu i mehanizme zaštite konkurentnosti.</w:t>
            </w:r>
          </w:p>
        </w:tc>
        <w:tc>
          <w:tcPr>
            <w:tcW w:w="404" w:type="pct"/>
          </w:tcPr>
          <w:p w14:paraId="334A1BB7"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2026</w:t>
            </w:r>
          </w:p>
        </w:tc>
        <w:tc>
          <w:tcPr>
            <w:tcW w:w="305" w:type="pct"/>
          </w:tcPr>
          <w:p w14:paraId="3D161459"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2028</w:t>
            </w:r>
          </w:p>
        </w:tc>
        <w:tc>
          <w:tcPr>
            <w:tcW w:w="609" w:type="pct"/>
          </w:tcPr>
          <w:p w14:paraId="13175E25"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Uspostavljen ETS do 2028; obuhvata najmanje energetiku i velike emitere u industriji.</w:t>
            </w:r>
          </w:p>
        </w:tc>
        <w:tc>
          <w:tcPr>
            <w:tcW w:w="657" w:type="pct"/>
          </w:tcPr>
          <w:p w14:paraId="028373AF"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Postojanje ETS zakona; broj obuhvaćenih postrojenja; prihod od aukcija.</w:t>
            </w:r>
          </w:p>
        </w:tc>
        <w:tc>
          <w:tcPr>
            <w:tcW w:w="505" w:type="pct"/>
          </w:tcPr>
          <w:p w14:paraId="07F9A392"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2029.</w:t>
            </w:r>
          </w:p>
        </w:tc>
        <w:tc>
          <w:tcPr>
            <w:tcW w:w="651" w:type="pct"/>
          </w:tcPr>
          <w:p w14:paraId="0F04C4DA"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MEORRS;MEIR; Ministarstvo finansija; EPA</w:t>
            </w:r>
          </w:p>
        </w:tc>
      </w:tr>
      <w:tr w:rsidR="00D14F76" w:rsidRPr="001C58C6" w14:paraId="50499CB0" w14:textId="77777777" w:rsidTr="002C1EB5">
        <w:tc>
          <w:tcPr>
            <w:cnfStyle w:val="001000000000" w:firstRow="0" w:lastRow="0" w:firstColumn="1" w:lastColumn="0" w:oddVBand="0" w:evenVBand="0" w:oddHBand="0" w:evenHBand="0" w:firstRowFirstColumn="0" w:firstRowLastColumn="0" w:lastRowFirstColumn="0" w:lastRowLastColumn="0"/>
            <w:tcW w:w="606" w:type="pct"/>
          </w:tcPr>
          <w:p w14:paraId="434C1791" w14:textId="77777777" w:rsidR="00D14F76" w:rsidRPr="001C58C6" w:rsidRDefault="00D14F76" w:rsidP="002C1EB5">
            <w:pPr>
              <w:spacing w:after="100" w:afterAutospacing="1"/>
              <w:contextualSpacing/>
              <w:rPr>
                <w:rFonts w:ascii="Calibri" w:eastAsia="Times New Roman" w:hAnsi="Calibri" w:cs="Calibri"/>
                <w:b w:val="0"/>
                <w:bCs w:val="0"/>
                <w:color w:val="000000" w:themeColor="text1"/>
                <w:sz w:val="18"/>
                <w:szCs w:val="18"/>
              </w:rPr>
            </w:pPr>
            <w:r w:rsidRPr="001C58C6">
              <w:rPr>
                <w:rFonts w:ascii="Calibri" w:hAnsi="Calibri" w:cs="Calibri"/>
                <w:color w:val="000000" w:themeColor="text1"/>
                <w:sz w:val="18"/>
                <w:szCs w:val="18"/>
              </w:rPr>
              <w:t>M5 – Obnova malih hidroelektrana (povećana EE) – rekonstrukcija i modernizacija postojećih MHE.</w:t>
            </w:r>
          </w:p>
        </w:tc>
        <w:tc>
          <w:tcPr>
            <w:tcW w:w="404" w:type="pct"/>
          </w:tcPr>
          <w:p w14:paraId="5930FE46"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2025</w:t>
            </w:r>
          </w:p>
        </w:tc>
        <w:tc>
          <w:tcPr>
            <w:tcW w:w="859" w:type="pct"/>
          </w:tcPr>
          <w:p w14:paraId="4797B326"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Lokalne zajednice traže strogu procjenu uticaja na vodotokove.</w:t>
            </w:r>
          </w:p>
        </w:tc>
        <w:tc>
          <w:tcPr>
            <w:tcW w:w="404" w:type="pct"/>
          </w:tcPr>
          <w:p w14:paraId="21C08BFA"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2025</w:t>
            </w:r>
          </w:p>
        </w:tc>
        <w:tc>
          <w:tcPr>
            <w:tcW w:w="305" w:type="pct"/>
          </w:tcPr>
          <w:p w14:paraId="72C6C11F"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2029</w:t>
            </w:r>
          </w:p>
        </w:tc>
        <w:tc>
          <w:tcPr>
            <w:tcW w:w="609" w:type="pct"/>
          </w:tcPr>
          <w:p w14:paraId="4DEBB128"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Rekonstruisano ≥ 70 % postojećih MHE do 2029.</w:t>
            </w:r>
          </w:p>
        </w:tc>
        <w:tc>
          <w:tcPr>
            <w:tcW w:w="657" w:type="pct"/>
          </w:tcPr>
          <w:p w14:paraId="65F81EC6"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Broj obnovljenih MHE; proizvedena energija (GWh) prije/poslije.</w:t>
            </w:r>
          </w:p>
        </w:tc>
        <w:tc>
          <w:tcPr>
            <w:tcW w:w="505" w:type="pct"/>
          </w:tcPr>
          <w:p w14:paraId="7AC18A90"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2029.</w:t>
            </w:r>
          </w:p>
        </w:tc>
        <w:tc>
          <w:tcPr>
            <w:tcW w:w="651" w:type="pct"/>
          </w:tcPr>
          <w:p w14:paraId="6DEDA115"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EPCG; MEIR; opštine</w:t>
            </w:r>
          </w:p>
        </w:tc>
      </w:tr>
      <w:tr w:rsidR="00D14F76" w:rsidRPr="001C58C6" w14:paraId="368AEB64" w14:textId="77777777" w:rsidTr="002C1EB5">
        <w:tc>
          <w:tcPr>
            <w:cnfStyle w:val="001000000000" w:firstRow="0" w:lastRow="0" w:firstColumn="1" w:lastColumn="0" w:oddVBand="0" w:evenVBand="0" w:oddHBand="0" w:evenHBand="0" w:firstRowFirstColumn="0" w:firstRowLastColumn="0" w:lastRowFirstColumn="0" w:lastRowLastColumn="0"/>
            <w:tcW w:w="606" w:type="pct"/>
          </w:tcPr>
          <w:p w14:paraId="330CE1BB" w14:textId="77777777" w:rsidR="00D14F76" w:rsidRPr="001C58C6" w:rsidRDefault="00D14F76" w:rsidP="002C1EB5">
            <w:pPr>
              <w:spacing w:after="100" w:afterAutospacing="1"/>
              <w:contextualSpacing/>
              <w:rPr>
                <w:rFonts w:ascii="Calibri" w:eastAsia="Times New Roman" w:hAnsi="Calibri" w:cs="Calibri"/>
                <w:b w:val="0"/>
                <w:bCs w:val="0"/>
                <w:color w:val="000000" w:themeColor="text1"/>
                <w:sz w:val="18"/>
                <w:szCs w:val="18"/>
              </w:rPr>
            </w:pPr>
            <w:r w:rsidRPr="001C58C6">
              <w:rPr>
                <w:rFonts w:ascii="Calibri" w:hAnsi="Calibri" w:cs="Calibri"/>
                <w:color w:val="000000" w:themeColor="text1"/>
                <w:sz w:val="18"/>
                <w:szCs w:val="18"/>
              </w:rPr>
              <w:t>M6 – Daljinsko grijanje u Pljevljima – izgradnja sistema daljinskog grijanja i priključenje domaćinstava.</w:t>
            </w:r>
          </w:p>
        </w:tc>
        <w:tc>
          <w:tcPr>
            <w:tcW w:w="404" w:type="pct"/>
          </w:tcPr>
          <w:p w14:paraId="103C9BF4"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2025</w:t>
            </w:r>
          </w:p>
        </w:tc>
        <w:tc>
          <w:tcPr>
            <w:tcW w:w="859" w:type="pct"/>
          </w:tcPr>
          <w:p w14:paraId="00378B07"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Građani traže prihvatljive cijene i subvencije za priključenje.</w:t>
            </w:r>
          </w:p>
        </w:tc>
        <w:tc>
          <w:tcPr>
            <w:tcW w:w="404" w:type="pct"/>
          </w:tcPr>
          <w:p w14:paraId="6DDD4589"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2025</w:t>
            </w:r>
          </w:p>
        </w:tc>
        <w:tc>
          <w:tcPr>
            <w:tcW w:w="305" w:type="pct"/>
          </w:tcPr>
          <w:p w14:paraId="5CC1893D"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2029</w:t>
            </w:r>
          </w:p>
        </w:tc>
        <w:tc>
          <w:tcPr>
            <w:tcW w:w="609" w:type="pct"/>
          </w:tcPr>
          <w:p w14:paraId="07BAC3C1"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Do sezone grijanja 2029/30 priključeno ≥ 60 % domaćinstava u zoni sistema.</w:t>
            </w:r>
          </w:p>
        </w:tc>
        <w:tc>
          <w:tcPr>
            <w:tcW w:w="657" w:type="pct"/>
          </w:tcPr>
          <w:p w14:paraId="22F46761"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Broj priključenih korisnika; potrošnja uglja/drva u domaćinstvima; koncentracije PM₂.₅ u Pljevljima.</w:t>
            </w:r>
          </w:p>
        </w:tc>
        <w:tc>
          <w:tcPr>
            <w:tcW w:w="505" w:type="pct"/>
          </w:tcPr>
          <w:p w14:paraId="152ECAC9"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2028.</w:t>
            </w:r>
          </w:p>
        </w:tc>
        <w:tc>
          <w:tcPr>
            <w:tcW w:w="651" w:type="pct"/>
          </w:tcPr>
          <w:p w14:paraId="3F262CA1"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Opština Pljevlja; Eko-fond; MEIR; javno komunalno preduzeće/toplana</w:t>
            </w:r>
          </w:p>
        </w:tc>
      </w:tr>
      <w:tr w:rsidR="00D14F76" w:rsidRPr="001C58C6" w14:paraId="160B4C65" w14:textId="77777777" w:rsidTr="002C1EB5">
        <w:tc>
          <w:tcPr>
            <w:cnfStyle w:val="001000000000" w:firstRow="0" w:lastRow="0" w:firstColumn="1" w:lastColumn="0" w:oddVBand="0" w:evenVBand="0" w:oddHBand="0" w:evenHBand="0" w:firstRowFirstColumn="0" w:firstRowLastColumn="0" w:lastRowFirstColumn="0" w:lastRowLastColumn="0"/>
            <w:tcW w:w="606" w:type="pct"/>
          </w:tcPr>
          <w:p w14:paraId="0A751913" w14:textId="77777777" w:rsidR="00D14F76" w:rsidRPr="001C58C6" w:rsidRDefault="00D14F76" w:rsidP="002C1EB5">
            <w:pPr>
              <w:spacing w:after="100" w:afterAutospacing="1"/>
              <w:contextualSpacing/>
              <w:rPr>
                <w:rFonts w:ascii="Calibri" w:eastAsia="Times New Roman" w:hAnsi="Calibri" w:cs="Calibri"/>
                <w:b w:val="0"/>
                <w:bCs w:val="0"/>
                <w:color w:val="000000" w:themeColor="text1"/>
                <w:sz w:val="18"/>
                <w:szCs w:val="18"/>
              </w:rPr>
            </w:pPr>
            <w:r w:rsidRPr="001C58C6">
              <w:rPr>
                <w:rFonts w:ascii="Calibri" w:hAnsi="Calibri" w:cs="Calibri"/>
                <w:color w:val="000000" w:themeColor="text1"/>
                <w:sz w:val="18"/>
                <w:szCs w:val="18"/>
              </w:rPr>
              <w:t>M7 – Energetska efikasnost u zgradama i javnoj infrastrukturi – dubinska sanacija javnih i stambenih zgrada, EE javne rasvjete i infrastrukture.</w:t>
            </w:r>
          </w:p>
        </w:tc>
        <w:tc>
          <w:tcPr>
            <w:tcW w:w="404" w:type="pct"/>
          </w:tcPr>
          <w:p w14:paraId="494F94CA"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2024</w:t>
            </w:r>
          </w:p>
        </w:tc>
        <w:tc>
          <w:tcPr>
            <w:tcW w:w="859" w:type="pct"/>
          </w:tcPr>
          <w:p w14:paraId="0D0BEDA4"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Pozitivne primjedbe, očekuje se veći obim sredstava za stambeni sektor.</w:t>
            </w:r>
          </w:p>
        </w:tc>
        <w:tc>
          <w:tcPr>
            <w:tcW w:w="404" w:type="pct"/>
          </w:tcPr>
          <w:p w14:paraId="1DA86168"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2024</w:t>
            </w:r>
          </w:p>
        </w:tc>
        <w:tc>
          <w:tcPr>
            <w:tcW w:w="305" w:type="pct"/>
          </w:tcPr>
          <w:p w14:paraId="5FAD886E"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2029</w:t>
            </w:r>
          </w:p>
        </w:tc>
        <w:tc>
          <w:tcPr>
            <w:tcW w:w="609" w:type="pct"/>
          </w:tcPr>
          <w:p w14:paraId="1F57BFE6"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Do 2029. sanirano ≥ 30 % javnih zgrada i ≥ 10 % stambenog fonda.</w:t>
            </w:r>
          </w:p>
        </w:tc>
        <w:tc>
          <w:tcPr>
            <w:tcW w:w="657" w:type="pct"/>
          </w:tcPr>
          <w:p w14:paraId="0469AF87"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Broj i površina saniranih zgrada (m²); ušteda energije (MWh/god).</w:t>
            </w:r>
          </w:p>
        </w:tc>
        <w:tc>
          <w:tcPr>
            <w:tcW w:w="505" w:type="pct"/>
          </w:tcPr>
          <w:p w14:paraId="657F80C4"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2027.</w:t>
            </w:r>
          </w:p>
        </w:tc>
        <w:tc>
          <w:tcPr>
            <w:tcW w:w="651" w:type="pct"/>
          </w:tcPr>
          <w:p w14:paraId="677BDE48"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MEIR; Eko-fond; opštine; Ministarstvo prostornog planiranja, urbanizma i državne imovine</w:t>
            </w:r>
          </w:p>
        </w:tc>
      </w:tr>
      <w:tr w:rsidR="00D14F76" w:rsidRPr="001C58C6" w14:paraId="05BB149C" w14:textId="77777777" w:rsidTr="002C1EB5">
        <w:tc>
          <w:tcPr>
            <w:cnfStyle w:val="001000000000" w:firstRow="0" w:lastRow="0" w:firstColumn="1" w:lastColumn="0" w:oddVBand="0" w:evenVBand="0" w:oddHBand="0" w:evenHBand="0" w:firstRowFirstColumn="0" w:firstRowLastColumn="0" w:lastRowFirstColumn="0" w:lastRowLastColumn="0"/>
            <w:tcW w:w="606" w:type="pct"/>
          </w:tcPr>
          <w:p w14:paraId="4A7E892B" w14:textId="77777777" w:rsidR="00D14F76" w:rsidRPr="001C58C6" w:rsidRDefault="00D14F76" w:rsidP="002C1EB5">
            <w:pPr>
              <w:spacing w:after="100" w:afterAutospacing="1"/>
              <w:contextualSpacing/>
              <w:rPr>
                <w:rFonts w:ascii="Calibri" w:eastAsia="Times New Roman" w:hAnsi="Calibri" w:cs="Calibri"/>
                <w:b w:val="0"/>
                <w:bCs w:val="0"/>
                <w:color w:val="000000" w:themeColor="text1"/>
                <w:sz w:val="18"/>
                <w:szCs w:val="18"/>
              </w:rPr>
            </w:pPr>
            <w:r w:rsidRPr="001C58C6">
              <w:rPr>
                <w:rFonts w:ascii="Calibri" w:hAnsi="Calibri" w:cs="Calibri"/>
                <w:color w:val="000000" w:themeColor="text1"/>
                <w:sz w:val="18"/>
                <w:szCs w:val="18"/>
              </w:rPr>
              <w:t>M8 – Promocija e-mobilnosti – subvencije za EV, razvoj infrastrukture za punjenje, zamjena voznog parka javnog sektora.</w:t>
            </w:r>
          </w:p>
        </w:tc>
        <w:tc>
          <w:tcPr>
            <w:tcW w:w="404" w:type="pct"/>
          </w:tcPr>
          <w:p w14:paraId="73612596"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2024</w:t>
            </w:r>
          </w:p>
        </w:tc>
        <w:tc>
          <w:tcPr>
            <w:tcW w:w="859" w:type="pct"/>
          </w:tcPr>
          <w:p w14:paraId="70EBEC11"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Auto-industrija traži predvidiv program podsticaja; građani traže širu geografsku pokrivenost punjačima.</w:t>
            </w:r>
          </w:p>
        </w:tc>
        <w:tc>
          <w:tcPr>
            <w:tcW w:w="404" w:type="pct"/>
          </w:tcPr>
          <w:p w14:paraId="25CC3CB1"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2024</w:t>
            </w:r>
          </w:p>
        </w:tc>
        <w:tc>
          <w:tcPr>
            <w:tcW w:w="305" w:type="pct"/>
          </w:tcPr>
          <w:p w14:paraId="27411729"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2029</w:t>
            </w:r>
          </w:p>
        </w:tc>
        <w:tc>
          <w:tcPr>
            <w:tcW w:w="609" w:type="pct"/>
          </w:tcPr>
          <w:p w14:paraId="072256F7"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Udio EV u novoregistrovanim vozilima ≥ 15 % do 2029; najmanje 200 javnih punjača.</w:t>
            </w:r>
          </w:p>
        </w:tc>
        <w:tc>
          <w:tcPr>
            <w:tcW w:w="657" w:type="pct"/>
          </w:tcPr>
          <w:p w14:paraId="4B6EF7C1"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Broj EV; broj punjača; emisije NOₓ i PM₂.₅ iz saobraćaja.</w:t>
            </w:r>
          </w:p>
        </w:tc>
        <w:tc>
          <w:tcPr>
            <w:tcW w:w="505" w:type="pct"/>
          </w:tcPr>
          <w:p w14:paraId="7B237F86"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2027.</w:t>
            </w:r>
          </w:p>
        </w:tc>
        <w:tc>
          <w:tcPr>
            <w:tcW w:w="651" w:type="pct"/>
          </w:tcPr>
          <w:p w14:paraId="1BE044C6"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MEIR; MS; Eko-fond; opštine</w:t>
            </w:r>
          </w:p>
        </w:tc>
      </w:tr>
      <w:tr w:rsidR="00D14F76" w:rsidRPr="001C58C6" w14:paraId="65CF3583" w14:textId="77777777" w:rsidTr="002C1EB5">
        <w:tc>
          <w:tcPr>
            <w:cnfStyle w:val="001000000000" w:firstRow="0" w:lastRow="0" w:firstColumn="1" w:lastColumn="0" w:oddVBand="0" w:evenVBand="0" w:oddHBand="0" w:evenHBand="0" w:firstRowFirstColumn="0" w:firstRowLastColumn="0" w:lastRowFirstColumn="0" w:lastRowLastColumn="0"/>
            <w:tcW w:w="606" w:type="pct"/>
          </w:tcPr>
          <w:p w14:paraId="75124C62" w14:textId="77777777" w:rsidR="00D14F76" w:rsidRPr="001C58C6" w:rsidRDefault="00D14F76" w:rsidP="002C1EB5">
            <w:pPr>
              <w:spacing w:after="100" w:afterAutospacing="1"/>
              <w:contextualSpacing/>
              <w:rPr>
                <w:rFonts w:ascii="Calibri" w:eastAsia="Times New Roman" w:hAnsi="Calibri" w:cs="Calibri"/>
                <w:b w:val="0"/>
                <w:bCs w:val="0"/>
                <w:color w:val="000000" w:themeColor="text1"/>
                <w:sz w:val="18"/>
                <w:szCs w:val="18"/>
              </w:rPr>
            </w:pPr>
            <w:r w:rsidRPr="001C58C6">
              <w:rPr>
                <w:rFonts w:ascii="Calibri" w:hAnsi="Calibri" w:cs="Calibri"/>
                <w:color w:val="000000" w:themeColor="text1"/>
                <w:sz w:val="18"/>
                <w:szCs w:val="18"/>
              </w:rPr>
              <w:t>M9 – Uvođenje obaveznog udjela biogoriva u snabdijevanju gorivom – minimalni udio 10 % biogoriva do 2030.</w:t>
            </w:r>
          </w:p>
        </w:tc>
        <w:tc>
          <w:tcPr>
            <w:tcW w:w="404" w:type="pct"/>
          </w:tcPr>
          <w:p w14:paraId="5A092FC8"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2026</w:t>
            </w:r>
          </w:p>
        </w:tc>
        <w:tc>
          <w:tcPr>
            <w:tcW w:w="859" w:type="pct"/>
          </w:tcPr>
          <w:p w14:paraId="2D7ADFF4"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Neke primjedbe distributera goriva na troškove i logistiku; predviđeni prelazni period.</w:t>
            </w:r>
          </w:p>
        </w:tc>
        <w:tc>
          <w:tcPr>
            <w:tcW w:w="404" w:type="pct"/>
          </w:tcPr>
          <w:p w14:paraId="5DEE5461"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2026</w:t>
            </w:r>
          </w:p>
        </w:tc>
        <w:tc>
          <w:tcPr>
            <w:tcW w:w="305" w:type="pct"/>
          </w:tcPr>
          <w:p w14:paraId="1B27E4AF"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2030</w:t>
            </w:r>
          </w:p>
        </w:tc>
        <w:tc>
          <w:tcPr>
            <w:tcW w:w="609" w:type="pct"/>
          </w:tcPr>
          <w:p w14:paraId="647CC013"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Udio biogoriva u prometu goriva ≥ 5 % do 2029.</w:t>
            </w:r>
          </w:p>
        </w:tc>
        <w:tc>
          <w:tcPr>
            <w:tcW w:w="657" w:type="pct"/>
          </w:tcPr>
          <w:p w14:paraId="20E18314"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Udio biogoriva (%) u ukupnoj potrošnji; emisije NMVOC i NOₓ iz saobraćaja.</w:t>
            </w:r>
          </w:p>
        </w:tc>
        <w:tc>
          <w:tcPr>
            <w:tcW w:w="505" w:type="pct"/>
          </w:tcPr>
          <w:p w14:paraId="066E5882"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2029.</w:t>
            </w:r>
          </w:p>
        </w:tc>
        <w:tc>
          <w:tcPr>
            <w:tcW w:w="651" w:type="pct"/>
          </w:tcPr>
          <w:p w14:paraId="52461638"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MS; MEIR; distributeri goriva</w:t>
            </w:r>
          </w:p>
        </w:tc>
      </w:tr>
      <w:tr w:rsidR="00D14F76" w:rsidRPr="001C58C6" w14:paraId="77180F9B" w14:textId="77777777" w:rsidTr="002C1EB5">
        <w:tc>
          <w:tcPr>
            <w:cnfStyle w:val="001000000000" w:firstRow="0" w:lastRow="0" w:firstColumn="1" w:lastColumn="0" w:oddVBand="0" w:evenVBand="0" w:oddHBand="0" w:evenHBand="0" w:firstRowFirstColumn="0" w:firstRowLastColumn="0" w:lastRowFirstColumn="0" w:lastRowLastColumn="0"/>
            <w:tcW w:w="606" w:type="pct"/>
          </w:tcPr>
          <w:p w14:paraId="5944D441" w14:textId="77777777" w:rsidR="00D14F76" w:rsidRPr="001C58C6" w:rsidRDefault="00D14F76" w:rsidP="002C1EB5">
            <w:pPr>
              <w:spacing w:after="100" w:afterAutospacing="1"/>
              <w:contextualSpacing/>
              <w:rPr>
                <w:rFonts w:ascii="Calibri" w:eastAsia="Times New Roman" w:hAnsi="Calibri" w:cs="Calibri"/>
                <w:b w:val="0"/>
                <w:bCs w:val="0"/>
                <w:color w:val="000000" w:themeColor="text1"/>
                <w:sz w:val="18"/>
                <w:szCs w:val="18"/>
              </w:rPr>
            </w:pPr>
            <w:r w:rsidRPr="001C58C6">
              <w:rPr>
                <w:rFonts w:ascii="Calibri" w:hAnsi="Calibri" w:cs="Calibri"/>
                <w:color w:val="000000" w:themeColor="text1"/>
                <w:sz w:val="18"/>
                <w:szCs w:val="18"/>
              </w:rPr>
              <w:lastRenderedPageBreak/>
              <w:t>M10 – Zabrana uvoza starih vozila (Euro 4 i niži standard)</w:t>
            </w:r>
          </w:p>
        </w:tc>
        <w:tc>
          <w:tcPr>
            <w:tcW w:w="404" w:type="pct"/>
          </w:tcPr>
          <w:p w14:paraId="408FB082"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2025</w:t>
            </w:r>
          </w:p>
        </w:tc>
        <w:tc>
          <w:tcPr>
            <w:tcW w:w="859" w:type="pct"/>
          </w:tcPr>
          <w:p w14:paraId="63733E78"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Primjedbe uvoznika polovnih vozila; mjera zadržana zbog značajnih koristi za kvalitet vazduha.</w:t>
            </w:r>
          </w:p>
        </w:tc>
        <w:tc>
          <w:tcPr>
            <w:tcW w:w="404" w:type="pct"/>
          </w:tcPr>
          <w:p w14:paraId="57307A3A"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2025</w:t>
            </w:r>
          </w:p>
        </w:tc>
        <w:tc>
          <w:tcPr>
            <w:tcW w:w="305" w:type="pct"/>
          </w:tcPr>
          <w:p w14:paraId="79CDEDD7"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2029 (stalna primjena)</w:t>
            </w:r>
          </w:p>
        </w:tc>
        <w:tc>
          <w:tcPr>
            <w:tcW w:w="609" w:type="pct"/>
          </w:tcPr>
          <w:p w14:paraId="6C2A4B16"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Od 2026. sva uvezena vozila minimalno Euro 5; od 2028. cilj Euro 6.</w:t>
            </w:r>
          </w:p>
        </w:tc>
        <w:tc>
          <w:tcPr>
            <w:tcW w:w="657" w:type="pct"/>
          </w:tcPr>
          <w:p w14:paraId="2D8F801B"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Struktura voznog parka po standardima; prosječna starost vozila.</w:t>
            </w:r>
          </w:p>
        </w:tc>
        <w:tc>
          <w:tcPr>
            <w:tcW w:w="505" w:type="pct"/>
          </w:tcPr>
          <w:p w14:paraId="7532620C"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2028.</w:t>
            </w:r>
          </w:p>
        </w:tc>
        <w:tc>
          <w:tcPr>
            <w:tcW w:w="651" w:type="pct"/>
          </w:tcPr>
          <w:p w14:paraId="28E86930"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MS; Uprava carina; Uprava policije</w:t>
            </w:r>
          </w:p>
        </w:tc>
      </w:tr>
      <w:tr w:rsidR="00D14F76" w:rsidRPr="001C58C6" w14:paraId="5581362B" w14:textId="77777777" w:rsidTr="002C1EB5">
        <w:tc>
          <w:tcPr>
            <w:cnfStyle w:val="001000000000" w:firstRow="0" w:lastRow="0" w:firstColumn="1" w:lastColumn="0" w:oddVBand="0" w:evenVBand="0" w:oddHBand="0" w:evenHBand="0" w:firstRowFirstColumn="0" w:firstRowLastColumn="0" w:lastRowFirstColumn="0" w:lastRowLastColumn="0"/>
            <w:tcW w:w="606" w:type="pct"/>
          </w:tcPr>
          <w:p w14:paraId="711B9DD9" w14:textId="77777777" w:rsidR="00D14F76" w:rsidRPr="001C58C6" w:rsidRDefault="00D14F76" w:rsidP="002C1EB5">
            <w:pPr>
              <w:spacing w:after="100" w:afterAutospacing="1"/>
              <w:contextualSpacing/>
              <w:rPr>
                <w:rFonts w:ascii="Calibri" w:eastAsia="Times New Roman" w:hAnsi="Calibri" w:cs="Calibri"/>
                <w:b w:val="0"/>
                <w:bCs w:val="0"/>
                <w:color w:val="000000" w:themeColor="text1"/>
                <w:sz w:val="18"/>
                <w:szCs w:val="18"/>
              </w:rPr>
            </w:pPr>
            <w:r w:rsidRPr="001C58C6">
              <w:rPr>
                <w:rFonts w:ascii="Calibri" w:hAnsi="Calibri" w:cs="Calibri"/>
                <w:color w:val="000000" w:themeColor="text1"/>
                <w:sz w:val="18"/>
                <w:szCs w:val="18"/>
              </w:rPr>
              <w:t>M11 – Podrška upravljanju stajskim đubrivom i organskoj poljoprivredi – mjere za smanjenje NH₃ u skladu sa UNECE kodeksom.</w:t>
            </w:r>
          </w:p>
        </w:tc>
        <w:tc>
          <w:tcPr>
            <w:tcW w:w="404" w:type="pct"/>
          </w:tcPr>
          <w:p w14:paraId="4B838771"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2026</w:t>
            </w:r>
          </w:p>
        </w:tc>
        <w:tc>
          <w:tcPr>
            <w:tcW w:w="859" w:type="pct"/>
          </w:tcPr>
          <w:p w14:paraId="0FEFCC66"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Poljoprivrednici traže veće subvencije i duže prelazne rokove; ugrađeno u IPARD III.</w:t>
            </w:r>
          </w:p>
        </w:tc>
        <w:tc>
          <w:tcPr>
            <w:tcW w:w="404" w:type="pct"/>
          </w:tcPr>
          <w:p w14:paraId="7D81306E"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2026</w:t>
            </w:r>
          </w:p>
        </w:tc>
        <w:tc>
          <w:tcPr>
            <w:tcW w:w="305" w:type="pct"/>
          </w:tcPr>
          <w:p w14:paraId="602BE1D2"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2029</w:t>
            </w:r>
          </w:p>
        </w:tc>
        <w:tc>
          <w:tcPr>
            <w:tcW w:w="609" w:type="pct"/>
          </w:tcPr>
          <w:p w14:paraId="0E832ADB"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Do 2029. ≥ 40 % komercijalnih gazdinstava primjenjuje tehnike sa smanjenim emisijama; povećanje površina pod organskom proizvodnjom na ≥ 5 %.</w:t>
            </w:r>
          </w:p>
        </w:tc>
        <w:tc>
          <w:tcPr>
            <w:tcW w:w="657" w:type="pct"/>
          </w:tcPr>
          <w:p w14:paraId="590FC6CF"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Broj gazdinstava koja primjenjuju kodeks; površina organske poljoprivrede (ha); emisije NH₃ iz poljoprivrede.</w:t>
            </w:r>
          </w:p>
        </w:tc>
        <w:tc>
          <w:tcPr>
            <w:tcW w:w="505" w:type="pct"/>
          </w:tcPr>
          <w:p w14:paraId="4D4AD654"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2029.</w:t>
            </w:r>
          </w:p>
        </w:tc>
        <w:tc>
          <w:tcPr>
            <w:tcW w:w="651" w:type="pct"/>
          </w:tcPr>
          <w:p w14:paraId="4B0D3A45"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Ministarstvo poljoprivrede, šumatstva i vodoprivrede; IPARD agencija; EPA</w:t>
            </w:r>
          </w:p>
        </w:tc>
      </w:tr>
      <w:tr w:rsidR="00D14F76" w:rsidRPr="001C58C6" w14:paraId="075DACE2" w14:textId="77777777" w:rsidTr="002C1EB5">
        <w:tc>
          <w:tcPr>
            <w:cnfStyle w:val="001000000000" w:firstRow="0" w:lastRow="0" w:firstColumn="1" w:lastColumn="0" w:oddVBand="0" w:evenVBand="0" w:oddHBand="0" w:evenHBand="0" w:firstRowFirstColumn="0" w:firstRowLastColumn="0" w:lastRowFirstColumn="0" w:lastRowLastColumn="0"/>
            <w:tcW w:w="606" w:type="pct"/>
          </w:tcPr>
          <w:p w14:paraId="5907E5F0" w14:textId="77777777" w:rsidR="00D14F76" w:rsidRPr="001C58C6" w:rsidRDefault="00D14F76" w:rsidP="002C1EB5">
            <w:pPr>
              <w:spacing w:after="100" w:afterAutospacing="1"/>
              <w:contextualSpacing/>
              <w:rPr>
                <w:rFonts w:ascii="Calibri" w:eastAsia="Times New Roman" w:hAnsi="Calibri" w:cs="Calibri"/>
                <w:b w:val="0"/>
                <w:bCs w:val="0"/>
                <w:color w:val="000000" w:themeColor="text1"/>
                <w:sz w:val="18"/>
                <w:szCs w:val="18"/>
              </w:rPr>
            </w:pPr>
            <w:r w:rsidRPr="001C58C6">
              <w:rPr>
                <w:rFonts w:ascii="Calibri" w:hAnsi="Calibri" w:cs="Calibri"/>
                <w:color w:val="000000" w:themeColor="text1"/>
                <w:sz w:val="18"/>
                <w:szCs w:val="18"/>
              </w:rPr>
              <w:t>M12 – Smanjenje biootpada i povećanje priključenosti na kanalizacioni sistem – reciklaža biootpada, zatvaranje neuređenih deponija, širenje kanalizacije.</w:t>
            </w:r>
          </w:p>
        </w:tc>
        <w:tc>
          <w:tcPr>
            <w:tcW w:w="404" w:type="pct"/>
          </w:tcPr>
          <w:p w14:paraId="1F0D0B9F"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2025</w:t>
            </w:r>
          </w:p>
        </w:tc>
        <w:tc>
          <w:tcPr>
            <w:tcW w:w="859" w:type="pct"/>
          </w:tcPr>
          <w:p w14:paraId="528387A9"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Lokalna samouprava i NVO traže brže zatvaranje starih deponija i razvoj reciklažnih centara.</w:t>
            </w:r>
          </w:p>
        </w:tc>
        <w:tc>
          <w:tcPr>
            <w:tcW w:w="404" w:type="pct"/>
          </w:tcPr>
          <w:p w14:paraId="1AF84161"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2025</w:t>
            </w:r>
          </w:p>
        </w:tc>
        <w:tc>
          <w:tcPr>
            <w:tcW w:w="305" w:type="pct"/>
          </w:tcPr>
          <w:p w14:paraId="40F0D7B1"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2029</w:t>
            </w:r>
          </w:p>
        </w:tc>
        <w:tc>
          <w:tcPr>
            <w:tcW w:w="609" w:type="pct"/>
          </w:tcPr>
          <w:p w14:paraId="728F76A4"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Do 2029. smanjenje udjela biootpada na deponijama na ≤ 30 %; priključenost na kanalizacionu mrežu ≥ 85 %.</w:t>
            </w:r>
          </w:p>
        </w:tc>
        <w:tc>
          <w:tcPr>
            <w:tcW w:w="657" w:type="pct"/>
          </w:tcPr>
          <w:p w14:paraId="04C76D83" w14:textId="77777777" w:rsidR="00D14F76" w:rsidRPr="001C58C6" w:rsidRDefault="00D14F76" w:rsidP="002C1EB5">
            <w:pPr>
              <w:spacing w:after="100" w:afterAutospacing="1"/>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Udio biootpada u komunalnom otpadu; broj saniranih/zatvorenih deponija; stopa priključenosti na kanalizaciju.</w:t>
            </w:r>
          </w:p>
        </w:tc>
        <w:tc>
          <w:tcPr>
            <w:tcW w:w="505" w:type="pct"/>
          </w:tcPr>
          <w:p w14:paraId="71C0FED9"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2028.</w:t>
            </w:r>
          </w:p>
        </w:tc>
        <w:tc>
          <w:tcPr>
            <w:tcW w:w="651" w:type="pct"/>
          </w:tcPr>
          <w:p w14:paraId="13FDB6E2" w14:textId="77777777" w:rsidR="00D14F76" w:rsidRPr="001C58C6" w:rsidRDefault="00D14F76" w:rsidP="002C1EB5">
            <w:pPr>
              <w:spacing w:after="100" w:afterAutospacing="1"/>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8"/>
                <w:szCs w:val="18"/>
              </w:rPr>
            </w:pPr>
            <w:r w:rsidRPr="001C58C6">
              <w:rPr>
                <w:rFonts w:ascii="Calibri" w:hAnsi="Calibri" w:cs="Calibri"/>
                <w:color w:val="000000" w:themeColor="text1"/>
                <w:sz w:val="18"/>
                <w:szCs w:val="18"/>
              </w:rPr>
              <w:t>MEORRS; opštine; javna komunalna preduzeća; Eko-fond</w:t>
            </w:r>
          </w:p>
        </w:tc>
      </w:tr>
      <w:tr w:rsidR="00D14F76" w:rsidRPr="001C58C6" w14:paraId="2A88C804" w14:textId="77777777" w:rsidTr="002C1EB5">
        <w:tc>
          <w:tcPr>
            <w:cnfStyle w:val="001000000000" w:firstRow="0" w:lastRow="0" w:firstColumn="1" w:lastColumn="0" w:oddVBand="0" w:evenVBand="0" w:oddHBand="0" w:evenHBand="0" w:firstRowFirstColumn="0" w:firstRowLastColumn="0" w:lastRowFirstColumn="0" w:lastRowLastColumn="0"/>
            <w:tcW w:w="5000" w:type="pct"/>
            <w:gridSpan w:val="9"/>
          </w:tcPr>
          <w:p w14:paraId="2FBE1718" w14:textId="77777777" w:rsidR="00D14F76" w:rsidRPr="001C58C6" w:rsidRDefault="00D14F76" w:rsidP="002C1EB5">
            <w:pPr>
              <w:spacing w:before="60" w:after="100" w:afterAutospacing="1"/>
              <w:contextualSpacing/>
              <w:rPr>
                <w:rFonts w:ascii="Calibri" w:eastAsia="Times New Roman" w:hAnsi="Calibri" w:cs="Calibri"/>
                <w:color w:val="000000" w:themeColor="text1"/>
                <w:sz w:val="18"/>
                <w:szCs w:val="18"/>
              </w:rPr>
            </w:pPr>
            <w:r w:rsidRPr="001C58C6">
              <w:rPr>
                <w:rFonts w:ascii="Calibri" w:eastAsia="Times New Roman" w:hAnsi="Calibri" w:cs="Calibri"/>
                <w:i/>
                <w:iCs/>
                <w:color w:val="000000" w:themeColor="text1"/>
                <w:sz w:val="18"/>
                <w:szCs w:val="18"/>
              </w:rPr>
              <w:t>Po potrebi dodajte nove redove.</w:t>
            </w:r>
          </w:p>
        </w:tc>
      </w:tr>
    </w:tbl>
    <w:p w14:paraId="5C6E0231" w14:textId="77777777" w:rsidR="00D14F76" w:rsidRPr="001C58C6" w:rsidRDefault="00D14F76">
      <w:pPr>
        <w:shd w:val="clear" w:color="auto" w:fill="FFFFFF"/>
        <w:spacing w:line="312" w:lineRule="atLeast"/>
        <w:rPr>
          <w:rFonts w:ascii="Calibri" w:eastAsia="Times New Roman" w:hAnsi="Calibri" w:cs="Calibri"/>
          <w:color w:val="000000" w:themeColor="text1"/>
          <w:sz w:val="18"/>
          <w:szCs w:val="18"/>
        </w:rPr>
      </w:pPr>
    </w:p>
    <w:p w14:paraId="0356E93F" w14:textId="77777777" w:rsidR="00D14F76" w:rsidRPr="001C58C6" w:rsidRDefault="00D14F76">
      <w:pPr>
        <w:shd w:val="clear" w:color="auto" w:fill="FFFFFF"/>
        <w:spacing w:line="312" w:lineRule="atLeast"/>
        <w:rPr>
          <w:rFonts w:ascii="Calibri" w:eastAsia="Times New Roman" w:hAnsi="Calibri" w:cs="Calibri"/>
          <w:color w:val="000000" w:themeColor="text1"/>
          <w:sz w:val="18"/>
          <w:szCs w:val="18"/>
        </w:rPr>
        <w:sectPr w:rsidR="00D14F76" w:rsidRPr="001C58C6" w:rsidSect="00D14F76">
          <w:pgSz w:w="15840" w:h="12240" w:orient="landscape"/>
          <w:pgMar w:top="1440" w:right="1440" w:bottom="1440" w:left="1440" w:header="720" w:footer="720" w:gutter="0"/>
          <w:cols w:space="720"/>
          <w:docGrid w:linePitch="360"/>
        </w:sectPr>
      </w:pPr>
    </w:p>
    <w:p w14:paraId="383EC864" w14:textId="77777777" w:rsidR="00D14F76" w:rsidRPr="001C58C6" w:rsidRDefault="00D14F76">
      <w:pPr>
        <w:shd w:val="clear" w:color="auto" w:fill="FFFFFF"/>
        <w:spacing w:before="240" w:after="120" w:line="312" w:lineRule="atLeast"/>
        <w:rPr>
          <w:rFonts w:ascii="Calibri" w:eastAsia="Times New Roman" w:hAnsi="Calibri" w:cs="Calibri"/>
          <w:b/>
          <w:bCs/>
          <w:color w:val="000000" w:themeColor="text1"/>
          <w:szCs w:val="24"/>
        </w:rPr>
      </w:pPr>
      <w:r w:rsidRPr="001C58C6">
        <w:rPr>
          <w:rFonts w:ascii="Calibri" w:eastAsia="Times New Roman" w:hAnsi="Calibri" w:cs="Calibri"/>
          <w:b/>
          <w:bCs/>
          <w:color w:val="000000" w:themeColor="text1"/>
          <w:szCs w:val="24"/>
        </w:rPr>
        <w:lastRenderedPageBreak/>
        <w:t>2.7.2.   </w:t>
      </w:r>
      <w:r w:rsidRPr="001C58C6">
        <w:rPr>
          <w:rFonts w:ascii="Calibri" w:eastAsia="Times New Roman" w:hAnsi="Calibri" w:cs="Calibri"/>
          <w:b/>
          <w:bCs/>
          <w:i/>
          <w:iCs/>
          <w:color w:val="000000" w:themeColor="text1"/>
          <w:szCs w:val="24"/>
        </w:rPr>
        <w:t>Razlozi za izbor mjera i procjena u vezi s tim kako se odabranim politikama i mjerama osigurava koherentnost sa planovima i programima uspostavljenima u drugim relevantnim područjima politike</w:t>
      </w:r>
    </w:p>
    <w:tbl>
      <w:tblPr>
        <w:tblStyle w:val="GridTable1Light-Accent1"/>
        <w:tblW w:w="5000" w:type="pct"/>
        <w:tblLook w:val="04A0" w:firstRow="1" w:lastRow="0" w:firstColumn="1" w:lastColumn="0" w:noHBand="0" w:noVBand="1"/>
      </w:tblPr>
      <w:tblGrid>
        <w:gridCol w:w="3206"/>
        <w:gridCol w:w="5810"/>
      </w:tblGrid>
      <w:tr w:rsidR="00D14F76" w:rsidRPr="001C58C6" w14:paraId="7BEB7CE7" w14:textId="77777777" w:rsidTr="00E404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8" w:type="pct"/>
          </w:tcPr>
          <w:p w14:paraId="5B9A6823" w14:textId="77777777" w:rsidR="00D14F76" w:rsidRPr="001C58C6" w:rsidRDefault="00D14F76">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Razlozi za odabir mjera razmatranih u rubrici 2.6.1. kako bi se odredio konačni skup odabranih mjera (N)</w:t>
            </w:r>
          </w:p>
        </w:tc>
        <w:tc>
          <w:tcPr>
            <w:tcW w:w="3222" w:type="pct"/>
          </w:tcPr>
          <w:p w14:paraId="4D99EF50"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Odabrane politike i mjere (M1–M12) predstavljaju rezultat integrisanog pristupa koji kombinuje ciljeve iz Nacionalnog energetskog i klimatskog plana (NECP).</w:t>
            </w:r>
          </w:p>
          <w:p w14:paraId="257EBFC8"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Razlozi za izbor su sljedeći:</w:t>
            </w:r>
          </w:p>
          <w:p w14:paraId="0A902ED5" w14:textId="77777777" w:rsidR="00D14F76" w:rsidRPr="001C58C6" w:rsidRDefault="00D14F76" w:rsidP="00E53052">
            <w:pPr>
              <w:pStyle w:val="ListParagraph"/>
              <w:numPr>
                <w:ilvl w:val="0"/>
                <w:numId w:val="91"/>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Emisiona efikasnost i usklađenost sa NEC ciljevima – odabrane mjere direktno doprinose smanjenju emisija SO₂, NOₓ, PM₂.₅, NMVOC i NH₃ u skladu sa nacionalnim obavezama za period 2026–2029 i 2030+.</w:t>
            </w:r>
          </w:p>
          <w:p w14:paraId="58614651" w14:textId="77777777" w:rsidR="00D14F76" w:rsidRPr="001C58C6" w:rsidRDefault="00D14F76" w:rsidP="00E53052">
            <w:pPr>
              <w:pStyle w:val="ListParagraph"/>
              <w:numPr>
                <w:ilvl w:val="0"/>
                <w:numId w:val="91"/>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Tehnička i ekonomska izvodljivost – mjere su odabrane na osnovu postojećih kapaciteta (EPCG, Eko-fond, opštine) i dostupnosti finansijskih instrumenata (IPA III, WBIF, EBRD, GCF, IPARD).</w:t>
            </w:r>
          </w:p>
          <w:p w14:paraId="26D38052" w14:textId="77777777" w:rsidR="00D14F76" w:rsidRPr="001C58C6" w:rsidRDefault="00D14F76" w:rsidP="00E53052">
            <w:pPr>
              <w:pStyle w:val="ListParagraph"/>
              <w:numPr>
                <w:ilvl w:val="0"/>
                <w:numId w:val="91"/>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Fokus na sektore sa najvećim doprinosom emisijama – energetika, saobraćaj, grijanje u domaćinstvima i poljoprivreda pokrivaju više od 80 % ukupnih emisija PM₂.₅, SO₂ i NH₃.</w:t>
            </w:r>
          </w:p>
          <w:p w14:paraId="1AEE9D09" w14:textId="77777777" w:rsidR="00D14F76" w:rsidRPr="001C58C6" w:rsidRDefault="00D14F76" w:rsidP="00E53052">
            <w:pPr>
              <w:pStyle w:val="ListParagraph"/>
              <w:numPr>
                <w:ilvl w:val="0"/>
                <w:numId w:val="91"/>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Socioekonomski balans – mjere uzimaju u obzir uticaj na zapošljavanje i prihode, naročito u Pljevljima i sjevernom regionu, kroz programe pravedne tranzicije.</w:t>
            </w:r>
          </w:p>
          <w:p w14:paraId="4F0B348A" w14:textId="77777777" w:rsidR="00D14F76" w:rsidRPr="001C58C6" w:rsidRDefault="00D14F76" w:rsidP="00E53052">
            <w:pPr>
              <w:pStyle w:val="ListParagraph"/>
              <w:numPr>
                <w:ilvl w:val="0"/>
                <w:numId w:val="91"/>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b w:val="0"/>
                <w:bCs w:val="0"/>
                <w:color w:val="000000" w:themeColor="text1"/>
                <w:sz w:val="20"/>
                <w:szCs w:val="20"/>
              </w:rPr>
              <w:t>Usklađenost sa tranzicionim obavezama prema EU – odabrani set mjera podržava proces pristupanja Poglavlju 27 i usklađivanje sa Direktive 2016/2284, 2008/50/EC i 2010/75/EU</w:t>
            </w:r>
            <w:r w:rsidRPr="001C58C6">
              <w:rPr>
                <w:rFonts w:ascii="Calibri" w:eastAsia="Times New Roman" w:hAnsi="Calibri" w:cs="Calibri"/>
                <w:color w:val="000000" w:themeColor="text1"/>
                <w:sz w:val="20"/>
                <w:szCs w:val="20"/>
              </w:rPr>
              <w:t>.</w:t>
            </w:r>
          </w:p>
        </w:tc>
      </w:tr>
      <w:tr w:rsidR="00D14F76" w:rsidRPr="001C58C6" w14:paraId="68BDC9F8" w14:textId="77777777" w:rsidTr="00E40401">
        <w:tc>
          <w:tcPr>
            <w:cnfStyle w:val="001000000000" w:firstRow="0" w:lastRow="0" w:firstColumn="1" w:lastColumn="0" w:oddVBand="0" w:evenVBand="0" w:oddHBand="0" w:evenHBand="0" w:firstRowFirstColumn="0" w:firstRowLastColumn="0" w:lastRowFirstColumn="0" w:lastRowLastColumn="0"/>
            <w:tcW w:w="1778" w:type="pct"/>
          </w:tcPr>
          <w:p w14:paraId="1423A3E7" w14:textId="77777777" w:rsidR="00D14F76" w:rsidRPr="001C58C6" w:rsidRDefault="00D14F76">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Koherentnost odabranih politika i mjera s ciljevima kvalitete vazduha na nacionalnom nivou i, ako je primjereno, u susjednim državama članicama (O)</w:t>
            </w:r>
          </w:p>
        </w:tc>
        <w:tc>
          <w:tcPr>
            <w:tcW w:w="3222" w:type="pct"/>
          </w:tcPr>
          <w:p w14:paraId="3653A3AB"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Mjere su u potpunosti usklađene sa nacionalnim ciljevima kvaliteta vazduha definisanim u:</w:t>
            </w:r>
          </w:p>
          <w:p w14:paraId="41BAAD4A" w14:textId="77777777" w:rsidR="00D14F76" w:rsidRPr="001C58C6" w:rsidRDefault="00D14F76" w:rsidP="00E53052">
            <w:pPr>
              <w:pStyle w:val="ListParagraph"/>
              <w:numPr>
                <w:ilvl w:val="0"/>
                <w:numId w:val="92"/>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Zakonu o zaštiti vazduha („Službeni list CG“, br. 25/10, 40/11, 43/15),</w:t>
            </w:r>
          </w:p>
          <w:p w14:paraId="3196C561" w14:textId="77777777" w:rsidR="00D14F76" w:rsidRPr="001C58C6" w:rsidRDefault="00D14F76" w:rsidP="00E53052">
            <w:pPr>
              <w:pStyle w:val="ListParagraph"/>
              <w:numPr>
                <w:ilvl w:val="0"/>
                <w:numId w:val="92"/>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Programu za poboljšanje kvaliteta vazduha (Pljevlja, Nikšić, Podgorica).</w:t>
            </w:r>
          </w:p>
          <w:p w14:paraId="001ED762"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Konkretnim mjerama postiže se:</w:t>
            </w:r>
          </w:p>
          <w:p w14:paraId="3A398678" w14:textId="77777777" w:rsidR="00D14F76" w:rsidRPr="001C58C6" w:rsidRDefault="00D14F76" w:rsidP="00E53052">
            <w:pPr>
              <w:pStyle w:val="ListParagraph"/>
              <w:numPr>
                <w:ilvl w:val="0"/>
                <w:numId w:val="93"/>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Smanjenje koncentracija PM₂.₅ i PM₁₀ u Pljevljima i Podgorici do 2029,</w:t>
            </w:r>
          </w:p>
          <w:p w14:paraId="4BE88874" w14:textId="77777777" w:rsidR="00D14F76" w:rsidRPr="001C58C6" w:rsidRDefault="00D14F76" w:rsidP="00E53052">
            <w:pPr>
              <w:pStyle w:val="ListParagraph"/>
              <w:numPr>
                <w:ilvl w:val="0"/>
                <w:numId w:val="93"/>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Smanjenje emisija NOₓ iz saobraćaja (M8, M10) i SO₂ iz energetike (M1),</w:t>
            </w:r>
          </w:p>
          <w:p w14:paraId="32C7B0B8" w14:textId="77777777" w:rsidR="00D14F76" w:rsidRPr="001C58C6" w:rsidRDefault="00D14F76" w:rsidP="00E53052">
            <w:pPr>
              <w:pStyle w:val="ListParagraph"/>
              <w:numPr>
                <w:ilvl w:val="0"/>
                <w:numId w:val="93"/>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Ograničavanje emisija NH₃ i PM₂.₅ iz poljoprivrede (M11, M12),</w:t>
            </w:r>
          </w:p>
          <w:p w14:paraId="31D34FDF" w14:textId="77777777" w:rsidR="00D14F76" w:rsidRPr="001C58C6" w:rsidRDefault="00D14F76" w:rsidP="00E53052">
            <w:pPr>
              <w:pStyle w:val="ListParagraph"/>
              <w:numPr>
                <w:ilvl w:val="0"/>
                <w:numId w:val="93"/>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Regionalna koherentnost: mjere su usklađene sa inicijativama Zajednice za energiju i Regionalnog akcionog plana za kvalitet vazduha Zapadnog Balkana (2023–2030).</w:t>
            </w:r>
          </w:p>
          <w:p w14:paraId="12ABED5D"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Kroz prekogranične procjene (EMEP model) potvrđeno je da implementacija M1–M12 doprinosi smanjenju transporta polutanata ka susjednim državama (BiH, Srbija, Albanija), čime se jača regionalna saradnja i smanjuje prekogranično zagađenje.</w:t>
            </w:r>
          </w:p>
        </w:tc>
      </w:tr>
      <w:tr w:rsidR="00D14F76" w:rsidRPr="001C58C6" w14:paraId="1EA5D272" w14:textId="77777777" w:rsidTr="00E40401">
        <w:tc>
          <w:tcPr>
            <w:cnfStyle w:val="001000000000" w:firstRow="0" w:lastRow="0" w:firstColumn="1" w:lastColumn="0" w:oddVBand="0" w:evenVBand="0" w:oddHBand="0" w:evenHBand="0" w:firstRowFirstColumn="0" w:firstRowLastColumn="0" w:lastRowFirstColumn="0" w:lastRowLastColumn="0"/>
            <w:tcW w:w="1778" w:type="pct"/>
          </w:tcPr>
          <w:p w14:paraId="53FA3058" w14:textId="77777777" w:rsidR="00D14F76" w:rsidRPr="001C58C6" w:rsidRDefault="00D14F76">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Koherentnost odabranih politika i mjera s drugim relevantnim planovima i programima uspostavljenima na osnovu zahtjeva iz nacionalnog zakonodavstva ili zakonodavstva Unije (npr. nacionalni energetski i klimatski planovi) (O)</w:t>
            </w:r>
          </w:p>
        </w:tc>
        <w:tc>
          <w:tcPr>
            <w:tcW w:w="3222" w:type="pct"/>
          </w:tcPr>
          <w:p w14:paraId="401D8679"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Odabrane mjere su usklađene sa sljedećim planskim i strateškim dokumentima:</w:t>
            </w:r>
          </w:p>
          <w:p w14:paraId="47BC9604" w14:textId="77777777" w:rsidR="00D14F76" w:rsidRPr="001C58C6" w:rsidRDefault="00D14F76" w:rsidP="00E53052">
            <w:pPr>
              <w:pStyle w:val="ListParagraph"/>
              <w:numPr>
                <w:ilvl w:val="0"/>
                <w:numId w:val="94"/>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Nacionalni energetski i klimatski plan Crne Gore (NECP 2030) – mjere M1–M12 direktno preuzete iz poglavlja „Politike i mjere“ (PaM).</w:t>
            </w:r>
          </w:p>
          <w:p w14:paraId="28D3EAED" w14:textId="77777777" w:rsidR="00D14F76" w:rsidRPr="001C58C6" w:rsidRDefault="00D14F76" w:rsidP="00E53052">
            <w:pPr>
              <w:pStyle w:val="ListParagraph"/>
              <w:numPr>
                <w:ilvl w:val="0"/>
                <w:numId w:val="94"/>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Zakon o klimatskim promjenama (2025) – definiše pravni okvir za ETS, MRV i niskougljenični razvoj.</w:t>
            </w:r>
          </w:p>
          <w:p w14:paraId="64E846E9" w14:textId="77777777" w:rsidR="00D14F76" w:rsidRPr="001C58C6" w:rsidRDefault="00D14F76" w:rsidP="00E53052">
            <w:pPr>
              <w:pStyle w:val="ListParagraph"/>
              <w:numPr>
                <w:ilvl w:val="0"/>
                <w:numId w:val="94"/>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Strategija razvoja saobraćaja 2019–2035 – mjere M8, M9, M10.</w:t>
            </w:r>
          </w:p>
          <w:p w14:paraId="3DF5370E" w14:textId="77777777" w:rsidR="00D14F76" w:rsidRPr="001C58C6" w:rsidRDefault="00D14F76" w:rsidP="00E53052">
            <w:pPr>
              <w:pStyle w:val="ListParagraph"/>
              <w:numPr>
                <w:ilvl w:val="0"/>
                <w:numId w:val="94"/>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IPARD III program 2021–2027 – mjera M11 (upravljanje đubrivom i organska proizvodnja).</w:t>
            </w:r>
          </w:p>
          <w:p w14:paraId="034DE8D5" w14:textId="77777777" w:rsidR="00D14F76" w:rsidRPr="001C58C6" w:rsidRDefault="00D14F76" w:rsidP="00E53052">
            <w:pPr>
              <w:pStyle w:val="ListParagraph"/>
              <w:numPr>
                <w:ilvl w:val="0"/>
                <w:numId w:val="94"/>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Plan upravljanja otpadom 2023–2028 – mjera M12.</w:t>
            </w:r>
          </w:p>
          <w:p w14:paraId="5EE9F790" w14:textId="77777777" w:rsidR="00D14F76" w:rsidRPr="001C58C6" w:rsidRDefault="00D14F76" w:rsidP="00E53052">
            <w:pPr>
              <w:pStyle w:val="ListParagraph"/>
              <w:numPr>
                <w:ilvl w:val="0"/>
                <w:numId w:val="94"/>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lastRenderedPageBreak/>
              <w:t>Lokalni planovi kvaliteta vazduha (Pljevlja, Nikšić, Podgorica) – sinhronizovani su sa nacionalnim mjerama M1, M6 i M7.</w:t>
            </w:r>
          </w:p>
          <w:p w14:paraId="50CB3464" w14:textId="77777777" w:rsidR="00D14F76" w:rsidRPr="001C58C6" w:rsidRDefault="00D14F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Ovim je obezbijeđena horizontalna i vertikalna koherentnost između politika kvaliteta vazduha, klimatskih mjera, energetske tranzicije i socioekonomskih razvojnih planova.</w:t>
            </w:r>
          </w:p>
        </w:tc>
      </w:tr>
    </w:tbl>
    <w:p w14:paraId="5A872B64" w14:textId="77777777" w:rsidR="00D14F76" w:rsidRPr="001C58C6" w:rsidRDefault="00D14F76">
      <w:pPr>
        <w:shd w:val="clear" w:color="auto" w:fill="FFFFFF"/>
        <w:spacing w:before="240" w:after="120" w:line="312" w:lineRule="atLeast"/>
        <w:rPr>
          <w:rFonts w:ascii="Calibri" w:eastAsia="Times New Roman" w:hAnsi="Calibri" w:cs="Calibri"/>
          <w:b/>
          <w:bCs/>
          <w:color w:val="000000" w:themeColor="text1"/>
          <w:szCs w:val="24"/>
        </w:rPr>
      </w:pPr>
      <w:r w:rsidRPr="001C58C6">
        <w:rPr>
          <w:rFonts w:ascii="Calibri" w:eastAsia="Times New Roman" w:hAnsi="Calibri" w:cs="Calibri"/>
          <w:b/>
          <w:bCs/>
          <w:color w:val="000000" w:themeColor="text1"/>
          <w:szCs w:val="24"/>
        </w:rPr>
        <w:lastRenderedPageBreak/>
        <w:t>2.8.   Projektovani kombinovani uticaj politika i mjera („sa dodatnim mjerama”) na smanjenje emisija, kvalitet vazduha i životnu sredinu i s tim povezane nepouzdanosti (ako je primjenjivo)</w:t>
      </w:r>
    </w:p>
    <w:p w14:paraId="0E987C37" w14:textId="77777777" w:rsidR="00D14F76" w:rsidRPr="001C58C6" w:rsidRDefault="00D14F76">
      <w:pPr>
        <w:shd w:val="clear" w:color="auto" w:fill="FFFFFF"/>
        <w:spacing w:before="240" w:after="120" w:line="312" w:lineRule="atLeast"/>
        <w:rPr>
          <w:rFonts w:ascii="Calibri" w:eastAsia="Times New Roman" w:hAnsi="Calibri" w:cs="Calibri"/>
          <w:b/>
          <w:bCs/>
          <w:color w:val="000000" w:themeColor="text1"/>
          <w:szCs w:val="24"/>
        </w:rPr>
      </w:pPr>
      <w:r w:rsidRPr="001C58C6">
        <w:rPr>
          <w:rFonts w:ascii="Calibri" w:eastAsia="Times New Roman" w:hAnsi="Calibri" w:cs="Calibri"/>
          <w:b/>
          <w:bCs/>
          <w:color w:val="000000" w:themeColor="text1"/>
          <w:szCs w:val="24"/>
        </w:rPr>
        <w:t>2.8.1.   </w:t>
      </w:r>
      <w:r w:rsidRPr="001C58C6">
        <w:rPr>
          <w:rFonts w:ascii="Calibri" w:eastAsia="Times New Roman" w:hAnsi="Calibri" w:cs="Calibri"/>
          <w:b/>
          <w:bCs/>
          <w:i/>
          <w:iCs/>
          <w:color w:val="000000" w:themeColor="text1"/>
          <w:szCs w:val="24"/>
        </w:rPr>
        <w:t>Predviđeno ispunjavanje obaveza smanjenja emisija („sa dodatnim mjerama”)</w:t>
      </w:r>
    </w:p>
    <w:tbl>
      <w:tblPr>
        <w:tblStyle w:val="GridTable1Light-Accent1"/>
        <w:tblW w:w="5000" w:type="pct"/>
        <w:tblLook w:val="04A0" w:firstRow="1" w:lastRow="0" w:firstColumn="1" w:lastColumn="0" w:noHBand="0" w:noVBand="1"/>
      </w:tblPr>
      <w:tblGrid>
        <w:gridCol w:w="1276"/>
        <w:gridCol w:w="1015"/>
        <w:gridCol w:w="629"/>
        <w:gridCol w:w="629"/>
        <w:gridCol w:w="629"/>
        <w:gridCol w:w="629"/>
        <w:gridCol w:w="824"/>
        <w:gridCol w:w="824"/>
        <w:gridCol w:w="1360"/>
        <w:gridCol w:w="1201"/>
      </w:tblGrid>
      <w:tr w:rsidR="001C58C6" w:rsidRPr="001C58C6" w14:paraId="4CDEF7F7" w14:textId="77777777" w:rsidTr="00E404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AE1F824" w14:textId="77777777" w:rsidR="00D14F76" w:rsidRPr="001C58C6" w:rsidRDefault="00D14F76" w:rsidP="005F52EF">
            <w:pPr>
              <w:spacing w:before="60"/>
              <w:ind w:right="195"/>
              <w:contextualSpacing/>
              <w:jc w:val="center"/>
              <w:rPr>
                <w:rFonts w:ascii="Calibri" w:eastAsia="Times New Roman" w:hAnsi="Calibri" w:cs="Calibri"/>
                <w:b w:val="0"/>
                <w:bCs w:val="0"/>
                <w:color w:val="000000" w:themeColor="text1"/>
                <w:sz w:val="20"/>
                <w:szCs w:val="20"/>
              </w:rPr>
            </w:pPr>
            <w:bookmarkStart w:id="235" w:name="_Hlk220433183"/>
            <w:r w:rsidRPr="001C58C6">
              <w:rPr>
                <w:rFonts w:ascii="Calibri" w:eastAsia="Times New Roman" w:hAnsi="Calibri" w:cs="Calibri"/>
                <w:color w:val="000000" w:themeColor="text1"/>
                <w:sz w:val="20"/>
                <w:szCs w:val="20"/>
              </w:rPr>
              <w:t>Zagađujuća materija a (O)</w:t>
            </w:r>
          </w:p>
        </w:tc>
        <w:tc>
          <w:tcPr>
            <w:tcW w:w="0" w:type="auto"/>
            <w:gridSpan w:val="4"/>
          </w:tcPr>
          <w:p w14:paraId="19F92C5C" w14:textId="77777777" w:rsidR="00D14F76" w:rsidRPr="001C58C6" w:rsidRDefault="00D14F76" w:rsidP="005F52EF">
            <w:pPr>
              <w:spacing w:before="60"/>
              <w:ind w:right="9"/>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color w:val="000000" w:themeColor="text1"/>
                <w:sz w:val="20"/>
                <w:szCs w:val="20"/>
              </w:rPr>
              <w:t>Ukupne emisije (kt), u skladu sa inventarima za godinu x – 2 ili x – 3; navedite godinu (O)</w:t>
            </w:r>
          </w:p>
        </w:tc>
        <w:tc>
          <w:tcPr>
            <w:tcW w:w="1044" w:type="pct"/>
            <w:gridSpan w:val="3"/>
          </w:tcPr>
          <w:p w14:paraId="07279081" w14:textId="77777777" w:rsidR="00D14F76" w:rsidRPr="001C58C6" w:rsidRDefault="00D14F76" w:rsidP="005F52EF">
            <w:pPr>
              <w:spacing w:before="6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color w:val="000000" w:themeColor="text1"/>
                <w:sz w:val="20"/>
                <w:szCs w:val="20"/>
              </w:rPr>
              <w:t>Ostvaren procenat (%) smanjenja emisija u poređenju sa 2005. (O)</w:t>
            </w:r>
          </w:p>
        </w:tc>
        <w:tc>
          <w:tcPr>
            <w:tcW w:w="832" w:type="pct"/>
          </w:tcPr>
          <w:p w14:paraId="13DF587E" w14:textId="77777777" w:rsidR="00D14F76" w:rsidRPr="001C58C6" w:rsidRDefault="00D14F76" w:rsidP="005F52EF">
            <w:pPr>
              <w:tabs>
                <w:tab w:val="left" w:pos="744"/>
              </w:tabs>
              <w:spacing w:before="60"/>
              <w:ind w:right="-112"/>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color w:val="000000" w:themeColor="text1"/>
                <w:sz w:val="20"/>
                <w:szCs w:val="20"/>
              </w:rPr>
              <w:t>Nacionalna obaveza smanjenja emisija za period 2020.–2029. (%) (O)</w:t>
            </w:r>
          </w:p>
        </w:tc>
        <w:tc>
          <w:tcPr>
            <w:tcW w:w="0" w:type="auto"/>
          </w:tcPr>
          <w:p w14:paraId="7A529304" w14:textId="77777777" w:rsidR="00D14F76" w:rsidRPr="001C58C6" w:rsidRDefault="00D14F76" w:rsidP="005F52EF">
            <w:pPr>
              <w:spacing w:before="6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color w:val="000000" w:themeColor="text1"/>
                <w:sz w:val="20"/>
                <w:szCs w:val="20"/>
              </w:rPr>
              <w:t>Nacionalna obaveza smanjenja emisija od 2030. (%) (O)</w:t>
            </w:r>
          </w:p>
        </w:tc>
      </w:tr>
      <w:tr w:rsidR="001C58C6" w:rsidRPr="001C58C6" w14:paraId="305563D6" w14:textId="77777777" w:rsidTr="00E40401">
        <w:tc>
          <w:tcPr>
            <w:cnfStyle w:val="001000000000" w:firstRow="0" w:lastRow="0" w:firstColumn="1" w:lastColumn="0" w:oddVBand="0" w:evenVBand="0" w:oddHBand="0" w:evenHBand="0" w:firstRowFirstColumn="0" w:firstRowLastColumn="0" w:lastRowFirstColumn="0" w:lastRowLastColumn="0"/>
            <w:tcW w:w="0" w:type="auto"/>
            <w:vMerge/>
          </w:tcPr>
          <w:p w14:paraId="20DB8DC8" w14:textId="77777777" w:rsidR="00D14F76" w:rsidRPr="001C58C6" w:rsidRDefault="00D14F76" w:rsidP="005F52EF">
            <w:pPr>
              <w:contextualSpacing/>
              <w:rPr>
                <w:rFonts w:ascii="Calibri" w:eastAsia="Times New Roman" w:hAnsi="Calibri" w:cs="Calibri"/>
                <w:b w:val="0"/>
                <w:bCs w:val="0"/>
                <w:color w:val="000000" w:themeColor="text1"/>
                <w:sz w:val="20"/>
                <w:szCs w:val="20"/>
              </w:rPr>
            </w:pPr>
          </w:p>
        </w:tc>
        <w:tc>
          <w:tcPr>
            <w:tcW w:w="0" w:type="auto"/>
          </w:tcPr>
          <w:p w14:paraId="21DAFD56" w14:textId="77777777" w:rsidR="00D14F76" w:rsidRPr="001C58C6" w:rsidRDefault="00D14F76" w:rsidP="005F52EF">
            <w:pPr>
              <w:spacing w:before="60"/>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20"/>
                <w:szCs w:val="20"/>
              </w:rPr>
            </w:pPr>
            <w:r w:rsidRPr="001C58C6">
              <w:rPr>
                <w:rFonts w:ascii="Calibri" w:eastAsia="Times New Roman" w:hAnsi="Calibri" w:cs="Calibri"/>
                <w:b/>
                <w:bCs/>
                <w:color w:val="000000" w:themeColor="text1"/>
                <w:sz w:val="20"/>
                <w:szCs w:val="20"/>
              </w:rPr>
              <w:t>Bazna godina 2005.</w:t>
            </w:r>
          </w:p>
        </w:tc>
        <w:tc>
          <w:tcPr>
            <w:tcW w:w="0" w:type="auto"/>
          </w:tcPr>
          <w:p w14:paraId="69359140" w14:textId="77777777" w:rsidR="00D14F76" w:rsidRPr="001C58C6" w:rsidRDefault="00D14F76" w:rsidP="005F52EF">
            <w:pPr>
              <w:spacing w:before="60"/>
              <w:ind w:right="-123"/>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20"/>
                <w:szCs w:val="20"/>
              </w:rPr>
            </w:pPr>
            <w:r w:rsidRPr="001C58C6">
              <w:rPr>
                <w:rFonts w:ascii="Calibri" w:eastAsia="Times New Roman" w:hAnsi="Calibri" w:cs="Calibri"/>
                <w:b/>
                <w:bCs/>
                <w:color w:val="000000" w:themeColor="text1"/>
                <w:sz w:val="20"/>
                <w:szCs w:val="20"/>
              </w:rPr>
              <w:t>2020.</w:t>
            </w:r>
          </w:p>
        </w:tc>
        <w:tc>
          <w:tcPr>
            <w:tcW w:w="0" w:type="auto"/>
          </w:tcPr>
          <w:p w14:paraId="47122941" w14:textId="77777777" w:rsidR="00D14F76" w:rsidRPr="001C58C6" w:rsidRDefault="00D14F76" w:rsidP="005F52EF">
            <w:pPr>
              <w:spacing w:before="60"/>
              <w:ind w:right="-17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20"/>
                <w:szCs w:val="20"/>
              </w:rPr>
            </w:pPr>
            <w:r w:rsidRPr="001C58C6">
              <w:rPr>
                <w:rFonts w:ascii="Calibri" w:eastAsia="Times New Roman" w:hAnsi="Calibri" w:cs="Calibri"/>
                <w:b/>
                <w:bCs/>
                <w:color w:val="000000" w:themeColor="text1"/>
                <w:sz w:val="20"/>
                <w:szCs w:val="20"/>
              </w:rPr>
              <w:t>2025.</w:t>
            </w:r>
          </w:p>
        </w:tc>
        <w:tc>
          <w:tcPr>
            <w:tcW w:w="0" w:type="auto"/>
          </w:tcPr>
          <w:p w14:paraId="1EC576C3" w14:textId="77777777" w:rsidR="00D14F76" w:rsidRPr="001C58C6" w:rsidRDefault="00D14F76" w:rsidP="005F52EF">
            <w:pPr>
              <w:spacing w:before="60"/>
              <w:ind w:right="-29"/>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20"/>
                <w:szCs w:val="20"/>
              </w:rPr>
            </w:pPr>
            <w:r w:rsidRPr="001C58C6">
              <w:rPr>
                <w:rFonts w:ascii="Calibri" w:eastAsia="Times New Roman" w:hAnsi="Calibri" w:cs="Calibri"/>
                <w:b/>
                <w:bCs/>
                <w:color w:val="000000" w:themeColor="text1"/>
                <w:sz w:val="20"/>
                <w:szCs w:val="20"/>
              </w:rPr>
              <w:t>2030.</w:t>
            </w:r>
          </w:p>
        </w:tc>
        <w:tc>
          <w:tcPr>
            <w:tcW w:w="0" w:type="auto"/>
          </w:tcPr>
          <w:p w14:paraId="1869C9A5" w14:textId="77777777" w:rsidR="00D14F76" w:rsidRPr="001C58C6" w:rsidRDefault="00D14F76" w:rsidP="005F52EF">
            <w:pPr>
              <w:spacing w:before="60"/>
              <w:ind w:right="-6"/>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20"/>
                <w:szCs w:val="20"/>
              </w:rPr>
            </w:pPr>
            <w:r w:rsidRPr="001C58C6">
              <w:rPr>
                <w:rFonts w:ascii="Calibri" w:eastAsia="Times New Roman" w:hAnsi="Calibri" w:cs="Calibri"/>
                <w:b/>
                <w:bCs/>
                <w:color w:val="000000" w:themeColor="text1"/>
                <w:sz w:val="20"/>
                <w:szCs w:val="20"/>
              </w:rPr>
              <w:t>2020.</w:t>
            </w:r>
          </w:p>
        </w:tc>
        <w:tc>
          <w:tcPr>
            <w:tcW w:w="0" w:type="auto"/>
          </w:tcPr>
          <w:p w14:paraId="2D697843" w14:textId="77777777" w:rsidR="00D14F76" w:rsidRPr="001C58C6" w:rsidRDefault="00D14F76" w:rsidP="005F52EF">
            <w:pPr>
              <w:spacing w:before="60"/>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20"/>
                <w:szCs w:val="20"/>
              </w:rPr>
            </w:pPr>
            <w:r w:rsidRPr="001C58C6">
              <w:rPr>
                <w:rFonts w:ascii="Calibri" w:eastAsia="Times New Roman" w:hAnsi="Calibri" w:cs="Calibri"/>
                <w:b/>
                <w:bCs/>
                <w:color w:val="000000" w:themeColor="text1"/>
                <w:sz w:val="20"/>
                <w:szCs w:val="20"/>
              </w:rPr>
              <w:t>2025.</w:t>
            </w:r>
          </w:p>
        </w:tc>
        <w:tc>
          <w:tcPr>
            <w:tcW w:w="189" w:type="pct"/>
          </w:tcPr>
          <w:p w14:paraId="42377A75" w14:textId="77777777" w:rsidR="00D14F76" w:rsidRPr="001C58C6" w:rsidRDefault="00D14F76" w:rsidP="005F52EF">
            <w:pPr>
              <w:spacing w:before="60"/>
              <w:ind w:right="195"/>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20"/>
                <w:szCs w:val="20"/>
              </w:rPr>
            </w:pPr>
            <w:r w:rsidRPr="001C58C6">
              <w:rPr>
                <w:rFonts w:ascii="Calibri" w:eastAsia="Times New Roman" w:hAnsi="Calibri" w:cs="Calibri"/>
                <w:b/>
                <w:bCs/>
                <w:color w:val="000000" w:themeColor="text1"/>
                <w:sz w:val="20"/>
                <w:szCs w:val="20"/>
              </w:rPr>
              <w:t>2030.</w:t>
            </w:r>
          </w:p>
        </w:tc>
        <w:tc>
          <w:tcPr>
            <w:tcW w:w="832" w:type="pct"/>
          </w:tcPr>
          <w:p w14:paraId="6561A55B"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 </w:t>
            </w:r>
          </w:p>
        </w:tc>
        <w:tc>
          <w:tcPr>
            <w:tcW w:w="0" w:type="auto"/>
          </w:tcPr>
          <w:p w14:paraId="6E117F81"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 </w:t>
            </w:r>
          </w:p>
        </w:tc>
      </w:tr>
      <w:tr w:rsidR="001C58C6" w:rsidRPr="001C58C6" w14:paraId="4543FA72" w14:textId="77777777" w:rsidTr="00E40401">
        <w:tc>
          <w:tcPr>
            <w:cnfStyle w:val="001000000000" w:firstRow="0" w:lastRow="0" w:firstColumn="1" w:lastColumn="0" w:oddVBand="0" w:evenVBand="0" w:oddHBand="0" w:evenHBand="0" w:firstRowFirstColumn="0" w:firstRowLastColumn="0" w:lastRowFirstColumn="0" w:lastRowLastColumn="0"/>
            <w:tcW w:w="0" w:type="auto"/>
          </w:tcPr>
          <w:p w14:paraId="56E3D8D7" w14:textId="77777777" w:rsidR="00D14F76" w:rsidRPr="001C58C6" w:rsidRDefault="00D14F76" w:rsidP="005F52EF">
            <w:pPr>
              <w:spacing w:before="60"/>
              <w:contextualSpacing/>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SO</w:t>
            </w:r>
            <w:r w:rsidRPr="001C58C6">
              <w:rPr>
                <w:rFonts w:ascii="Calibri" w:eastAsia="Times New Roman" w:hAnsi="Calibri" w:cs="Calibri"/>
                <w:color w:val="000000" w:themeColor="text1"/>
                <w:sz w:val="20"/>
                <w:szCs w:val="20"/>
                <w:vertAlign w:val="subscript"/>
              </w:rPr>
              <w:t>2</w:t>
            </w:r>
          </w:p>
        </w:tc>
        <w:tc>
          <w:tcPr>
            <w:tcW w:w="0" w:type="auto"/>
          </w:tcPr>
          <w:p w14:paraId="7E02909C"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45,19</w:t>
            </w:r>
          </w:p>
        </w:tc>
        <w:tc>
          <w:tcPr>
            <w:tcW w:w="0" w:type="auto"/>
          </w:tcPr>
          <w:p w14:paraId="4372AF13"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66,16</w:t>
            </w:r>
          </w:p>
        </w:tc>
        <w:tc>
          <w:tcPr>
            <w:tcW w:w="0" w:type="auto"/>
          </w:tcPr>
          <w:p w14:paraId="21B3563A"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19,57</w:t>
            </w:r>
          </w:p>
        </w:tc>
        <w:tc>
          <w:tcPr>
            <w:tcW w:w="0" w:type="auto"/>
          </w:tcPr>
          <w:p w14:paraId="77FFBF3E"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4,68</w:t>
            </w:r>
          </w:p>
        </w:tc>
        <w:tc>
          <w:tcPr>
            <w:tcW w:w="0" w:type="auto"/>
          </w:tcPr>
          <w:p w14:paraId="29589500"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+47</w:t>
            </w:r>
          </w:p>
        </w:tc>
        <w:tc>
          <w:tcPr>
            <w:tcW w:w="0" w:type="auto"/>
          </w:tcPr>
          <w:p w14:paraId="4658F4FF"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−57</w:t>
            </w:r>
          </w:p>
        </w:tc>
        <w:tc>
          <w:tcPr>
            <w:tcW w:w="189" w:type="pct"/>
          </w:tcPr>
          <w:p w14:paraId="5DBBA5DD"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−90</w:t>
            </w:r>
          </w:p>
        </w:tc>
        <w:tc>
          <w:tcPr>
            <w:tcW w:w="832" w:type="pct"/>
          </w:tcPr>
          <w:p w14:paraId="02D6F737"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−60</w:t>
            </w:r>
          </w:p>
        </w:tc>
        <w:tc>
          <w:tcPr>
            <w:tcW w:w="0" w:type="auto"/>
          </w:tcPr>
          <w:p w14:paraId="0BD6A9FD"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−70</w:t>
            </w:r>
          </w:p>
        </w:tc>
      </w:tr>
      <w:tr w:rsidR="001C58C6" w:rsidRPr="001C58C6" w14:paraId="40B8BB09" w14:textId="77777777" w:rsidTr="00E40401">
        <w:tc>
          <w:tcPr>
            <w:cnfStyle w:val="001000000000" w:firstRow="0" w:lastRow="0" w:firstColumn="1" w:lastColumn="0" w:oddVBand="0" w:evenVBand="0" w:oddHBand="0" w:evenHBand="0" w:firstRowFirstColumn="0" w:firstRowLastColumn="0" w:lastRowFirstColumn="0" w:lastRowLastColumn="0"/>
            <w:tcW w:w="0" w:type="auto"/>
          </w:tcPr>
          <w:p w14:paraId="5BEBC656" w14:textId="77777777" w:rsidR="00D14F76" w:rsidRPr="001C58C6" w:rsidRDefault="00D14F76" w:rsidP="005F52EF">
            <w:pPr>
              <w:spacing w:before="60"/>
              <w:contextualSpacing/>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NO</w:t>
            </w:r>
            <w:r w:rsidRPr="001C58C6">
              <w:rPr>
                <w:rFonts w:ascii="Calibri" w:eastAsia="Times New Roman" w:hAnsi="Calibri" w:cs="Calibri"/>
                <w:color w:val="000000" w:themeColor="text1"/>
                <w:sz w:val="20"/>
                <w:szCs w:val="20"/>
                <w:vertAlign w:val="subscript"/>
              </w:rPr>
              <w:t>x</w:t>
            </w:r>
          </w:p>
        </w:tc>
        <w:tc>
          <w:tcPr>
            <w:tcW w:w="0" w:type="auto"/>
          </w:tcPr>
          <w:p w14:paraId="7F24C77A"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11,36</w:t>
            </w:r>
          </w:p>
        </w:tc>
        <w:tc>
          <w:tcPr>
            <w:tcW w:w="0" w:type="auto"/>
          </w:tcPr>
          <w:p w14:paraId="41058549"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15,52</w:t>
            </w:r>
          </w:p>
        </w:tc>
        <w:tc>
          <w:tcPr>
            <w:tcW w:w="0" w:type="auto"/>
          </w:tcPr>
          <w:p w14:paraId="0BD72600"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8,49</w:t>
            </w:r>
          </w:p>
        </w:tc>
        <w:tc>
          <w:tcPr>
            <w:tcW w:w="0" w:type="auto"/>
          </w:tcPr>
          <w:p w14:paraId="57D997BA"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7,59</w:t>
            </w:r>
          </w:p>
        </w:tc>
        <w:tc>
          <w:tcPr>
            <w:tcW w:w="0" w:type="auto"/>
          </w:tcPr>
          <w:p w14:paraId="519EB095"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+37</w:t>
            </w:r>
          </w:p>
        </w:tc>
        <w:tc>
          <w:tcPr>
            <w:tcW w:w="0" w:type="auto"/>
          </w:tcPr>
          <w:p w14:paraId="4FE92130"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−25</w:t>
            </w:r>
          </w:p>
        </w:tc>
        <w:tc>
          <w:tcPr>
            <w:tcW w:w="189" w:type="pct"/>
          </w:tcPr>
          <w:p w14:paraId="3DAB1F34"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−33</w:t>
            </w:r>
          </w:p>
        </w:tc>
        <w:tc>
          <w:tcPr>
            <w:tcW w:w="832" w:type="pct"/>
          </w:tcPr>
          <w:p w14:paraId="68D8F5E4"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−25</w:t>
            </w:r>
          </w:p>
        </w:tc>
        <w:tc>
          <w:tcPr>
            <w:tcW w:w="0" w:type="auto"/>
          </w:tcPr>
          <w:p w14:paraId="665E0A29"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−55</w:t>
            </w:r>
          </w:p>
        </w:tc>
      </w:tr>
      <w:tr w:rsidR="001C58C6" w:rsidRPr="001C58C6" w14:paraId="4AF4C3CA" w14:textId="77777777" w:rsidTr="00E40401">
        <w:tc>
          <w:tcPr>
            <w:cnfStyle w:val="001000000000" w:firstRow="0" w:lastRow="0" w:firstColumn="1" w:lastColumn="0" w:oddVBand="0" w:evenVBand="0" w:oddHBand="0" w:evenHBand="0" w:firstRowFirstColumn="0" w:firstRowLastColumn="0" w:lastRowFirstColumn="0" w:lastRowLastColumn="0"/>
            <w:tcW w:w="0" w:type="auto"/>
          </w:tcPr>
          <w:p w14:paraId="09EC1094" w14:textId="77777777" w:rsidR="00D14F76" w:rsidRPr="001C58C6" w:rsidRDefault="00D14F76" w:rsidP="005F52EF">
            <w:pPr>
              <w:spacing w:before="60"/>
              <w:contextualSpacing/>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NMVOC</w:t>
            </w:r>
          </w:p>
        </w:tc>
        <w:tc>
          <w:tcPr>
            <w:tcW w:w="0" w:type="auto"/>
          </w:tcPr>
          <w:p w14:paraId="4044BC1B"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9,59</w:t>
            </w:r>
          </w:p>
        </w:tc>
        <w:tc>
          <w:tcPr>
            <w:tcW w:w="0" w:type="auto"/>
          </w:tcPr>
          <w:p w14:paraId="27F13672"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10,01</w:t>
            </w:r>
          </w:p>
        </w:tc>
        <w:tc>
          <w:tcPr>
            <w:tcW w:w="0" w:type="auto"/>
          </w:tcPr>
          <w:p w14:paraId="6BC276B3"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9,38</w:t>
            </w:r>
          </w:p>
        </w:tc>
        <w:tc>
          <w:tcPr>
            <w:tcW w:w="0" w:type="auto"/>
          </w:tcPr>
          <w:p w14:paraId="1E508F37"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8,38</w:t>
            </w:r>
          </w:p>
        </w:tc>
        <w:tc>
          <w:tcPr>
            <w:tcW w:w="0" w:type="auto"/>
          </w:tcPr>
          <w:p w14:paraId="1392F0E6"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+ 4</w:t>
            </w:r>
          </w:p>
        </w:tc>
        <w:tc>
          <w:tcPr>
            <w:tcW w:w="0" w:type="auto"/>
          </w:tcPr>
          <w:p w14:paraId="073058B6"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−2</w:t>
            </w:r>
          </w:p>
        </w:tc>
        <w:tc>
          <w:tcPr>
            <w:tcW w:w="189" w:type="pct"/>
          </w:tcPr>
          <w:p w14:paraId="64C7F796"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−13</w:t>
            </w:r>
          </w:p>
        </w:tc>
        <w:tc>
          <w:tcPr>
            <w:tcW w:w="832" w:type="pct"/>
          </w:tcPr>
          <w:p w14:paraId="66721B8B"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−10</w:t>
            </w:r>
          </w:p>
        </w:tc>
        <w:tc>
          <w:tcPr>
            <w:tcW w:w="0" w:type="auto"/>
          </w:tcPr>
          <w:p w14:paraId="42978C79"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−20</w:t>
            </w:r>
          </w:p>
        </w:tc>
      </w:tr>
      <w:tr w:rsidR="001C58C6" w:rsidRPr="001C58C6" w14:paraId="7736850B" w14:textId="77777777" w:rsidTr="00E40401">
        <w:tc>
          <w:tcPr>
            <w:cnfStyle w:val="001000000000" w:firstRow="0" w:lastRow="0" w:firstColumn="1" w:lastColumn="0" w:oddVBand="0" w:evenVBand="0" w:oddHBand="0" w:evenHBand="0" w:firstRowFirstColumn="0" w:firstRowLastColumn="0" w:lastRowFirstColumn="0" w:lastRowLastColumn="0"/>
            <w:tcW w:w="0" w:type="auto"/>
          </w:tcPr>
          <w:p w14:paraId="2B080150" w14:textId="77777777" w:rsidR="00D14F76" w:rsidRPr="001C58C6" w:rsidRDefault="00D14F76" w:rsidP="005F52EF">
            <w:pPr>
              <w:spacing w:before="60"/>
              <w:contextualSpacing/>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NH</w:t>
            </w:r>
            <w:r w:rsidRPr="001C58C6">
              <w:rPr>
                <w:rFonts w:ascii="Calibri" w:eastAsia="Times New Roman" w:hAnsi="Calibri" w:cs="Calibri"/>
                <w:color w:val="000000" w:themeColor="text1"/>
                <w:sz w:val="20"/>
                <w:szCs w:val="20"/>
                <w:vertAlign w:val="subscript"/>
              </w:rPr>
              <w:t>3</w:t>
            </w:r>
          </w:p>
        </w:tc>
        <w:tc>
          <w:tcPr>
            <w:tcW w:w="0" w:type="auto"/>
          </w:tcPr>
          <w:p w14:paraId="6D27273C"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4,22</w:t>
            </w:r>
          </w:p>
        </w:tc>
        <w:tc>
          <w:tcPr>
            <w:tcW w:w="0" w:type="auto"/>
          </w:tcPr>
          <w:p w14:paraId="12192C73"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3,15</w:t>
            </w:r>
          </w:p>
        </w:tc>
        <w:tc>
          <w:tcPr>
            <w:tcW w:w="0" w:type="auto"/>
          </w:tcPr>
          <w:p w14:paraId="6ACAF0CC"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2,98</w:t>
            </w:r>
          </w:p>
        </w:tc>
        <w:tc>
          <w:tcPr>
            <w:tcW w:w="0" w:type="auto"/>
          </w:tcPr>
          <w:p w14:paraId="0684A4B8"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2,88</w:t>
            </w:r>
          </w:p>
        </w:tc>
        <w:tc>
          <w:tcPr>
            <w:tcW w:w="0" w:type="auto"/>
          </w:tcPr>
          <w:p w14:paraId="29AFDBD2"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 xml:space="preserve">− </w:t>
            </w:r>
            <w:r w:rsidRPr="001C58C6">
              <w:rPr>
                <w:rFonts w:ascii="Calibri" w:eastAsia="Times New Roman" w:hAnsi="Calibri" w:cs="Calibri"/>
                <w:color w:val="000000" w:themeColor="text1"/>
                <w:sz w:val="20"/>
                <w:szCs w:val="20"/>
              </w:rPr>
              <w:t>25</w:t>
            </w:r>
          </w:p>
        </w:tc>
        <w:tc>
          <w:tcPr>
            <w:tcW w:w="0" w:type="auto"/>
          </w:tcPr>
          <w:p w14:paraId="5A90CAE0"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−29</w:t>
            </w:r>
          </w:p>
        </w:tc>
        <w:tc>
          <w:tcPr>
            <w:tcW w:w="189" w:type="pct"/>
          </w:tcPr>
          <w:p w14:paraId="7FC3C711"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−32</w:t>
            </w:r>
          </w:p>
        </w:tc>
        <w:tc>
          <w:tcPr>
            <w:tcW w:w="832" w:type="pct"/>
          </w:tcPr>
          <w:p w14:paraId="14B8D343"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−25</w:t>
            </w:r>
          </w:p>
        </w:tc>
        <w:tc>
          <w:tcPr>
            <w:tcW w:w="0" w:type="auto"/>
          </w:tcPr>
          <w:p w14:paraId="118D5D07"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−30</w:t>
            </w:r>
          </w:p>
        </w:tc>
      </w:tr>
      <w:tr w:rsidR="001C58C6" w:rsidRPr="001C58C6" w14:paraId="79256065" w14:textId="77777777" w:rsidTr="00E40401">
        <w:tc>
          <w:tcPr>
            <w:cnfStyle w:val="001000000000" w:firstRow="0" w:lastRow="0" w:firstColumn="1" w:lastColumn="0" w:oddVBand="0" w:evenVBand="0" w:oddHBand="0" w:evenHBand="0" w:firstRowFirstColumn="0" w:firstRowLastColumn="0" w:lastRowFirstColumn="0" w:lastRowLastColumn="0"/>
            <w:tcW w:w="0" w:type="auto"/>
          </w:tcPr>
          <w:p w14:paraId="019AFD59" w14:textId="77777777" w:rsidR="00D14F76" w:rsidRPr="001C58C6" w:rsidRDefault="00D14F76" w:rsidP="005F52EF">
            <w:pPr>
              <w:spacing w:before="60"/>
              <w:contextualSpacing/>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PM</w:t>
            </w:r>
            <w:r w:rsidRPr="001C58C6">
              <w:rPr>
                <w:rFonts w:ascii="Calibri" w:eastAsia="Times New Roman" w:hAnsi="Calibri" w:cs="Calibri"/>
                <w:color w:val="000000" w:themeColor="text1"/>
                <w:sz w:val="20"/>
                <w:szCs w:val="20"/>
                <w:vertAlign w:val="subscript"/>
              </w:rPr>
              <w:t>2,5</w:t>
            </w:r>
          </w:p>
        </w:tc>
        <w:tc>
          <w:tcPr>
            <w:tcW w:w="0" w:type="auto"/>
          </w:tcPr>
          <w:p w14:paraId="31F5E6AC"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4,97</w:t>
            </w:r>
          </w:p>
        </w:tc>
        <w:tc>
          <w:tcPr>
            <w:tcW w:w="0" w:type="auto"/>
          </w:tcPr>
          <w:p w14:paraId="419F15D3"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6,06</w:t>
            </w:r>
          </w:p>
        </w:tc>
        <w:tc>
          <w:tcPr>
            <w:tcW w:w="0" w:type="auto"/>
          </w:tcPr>
          <w:p w14:paraId="0F150D9E"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5,24</w:t>
            </w:r>
          </w:p>
        </w:tc>
        <w:tc>
          <w:tcPr>
            <w:tcW w:w="0" w:type="auto"/>
          </w:tcPr>
          <w:p w14:paraId="35B82CFB"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4,55</w:t>
            </w:r>
          </w:p>
        </w:tc>
        <w:tc>
          <w:tcPr>
            <w:tcW w:w="0" w:type="auto"/>
          </w:tcPr>
          <w:p w14:paraId="75A27711"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+ 22</w:t>
            </w:r>
          </w:p>
        </w:tc>
        <w:tc>
          <w:tcPr>
            <w:tcW w:w="0" w:type="auto"/>
          </w:tcPr>
          <w:p w14:paraId="74BEB7DD"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+5</w:t>
            </w:r>
          </w:p>
        </w:tc>
        <w:tc>
          <w:tcPr>
            <w:tcW w:w="189" w:type="pct"/>
          </w:tcPr>
          <w:p w14:paraId="53A0A0AE"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-8</w:t>
            </w:r>
          </w:p>
        </w:tc>
        <w:tc>
          <w:tcPr>
            <w:tcW w:w="832" w:type="pct"/>
          </w:tcPr>
          <w:p w14:paraId="544115BE"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−5</w:t>
            </w:r>
          </w:p>
        </w:tc>
        <w:tc>
          <w:tcPr>
            <w:tcW w:w="0" w:type="auto"/>
          </w:tcPr>
          <w:p w14:paraId="5FEBEE64"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hAnsi="Calibri" w:cs="Calibri"/>
                <w:color w:val="000000" w:themeColor="text1"/>
                <w:sz w:val="20"/>
                <w:szCs w:val="20"/>
              </w:rPr>
              <w:t>−20</w:t>
            </w:r>
          </w:p>
        </w:tc>
      </w:tr>
      <w:tr w:rsidR="001C58C6" w:rsidRPr="001C58C6" w14:paraId="1D56E730" w14:textId="77777777" w:rsidTr="00E40401">
        <w:tc>
          <w:tcPr>
            <w:cnfStyle w:val="001000000000" w:firstRow="0" w:lastRow="0" w:firstColumn="1" w:lastColumn="0" w:oddVBand="0" w:evenVBand="0" w:oddHBand="0" w:evenHBand="0" w:firstRowFirstColumn="0" w:firstRowLastColumn="0" w:lastRowFirstColumn="0" w:lastRowLastColumn="0"/>
            <w:tcW w:w="0" w:type="auto"/>
            <w:gridSpan w:val="4"/>
          </w:tcPr>
          <w:p w14:paraId="29EFFC60" w14:textId="77777777" w:rsidR="00D14F76" w:rsidRPr="001C58C6" w:rsidRDefault="00D14F76" w:rsidP="005F52EF">
            <w:pPr>
              <w:spacing w:before="60"/>
              <w:contextualSpacing/>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Datum projekcija emisija (O)</w:t>
            </w:r>
          </w:p>
        </w:tc>
        <w:tc>
          <w:tcPr>
            <w:tcW w:w="0" w:type="auto"/>
            <w:gridSpan w:val="6"/>
          </w:tcPr>
          <w:p w14:paraId="76B1C81D" w14:textId="77777777" w:rsidR="00D14F76" w:rsidRPr="001C58C6" w:rsidRDefault="00D14F76" w:rsidP="005F52EF">
            <w:pPr>
              <w:spacing w:before="12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 Decembar 2026.</w:t>
            </w:r>
          </w:p>
        </w:tc>
      </w:tr>
      <w:bookmarkEnd w:id="235"/>
    </w:tbl>
    <w:p w14:paraId="29EFF095" w14:textId="77777777" w:rsidR="00D14F76" w:rsidRPr="001C58C6" w:rsidRDefault="00D14F76">
      <w:pPr>
        <w:shd w:val="clear" w:color="auto" w:fill="FFFFFF"/>
        <w:spacing w:line="312" w:lineRule="atLeast"/>
        <w:rPr>
          <w:rFonts w:ascii="Calibri" w:eastAsia="Times New Roman" w:hAnsi="Calibri" w:cs="Calibri"/>
          <w:color w:val="000000" w:themeColor="text1"/>
          <w:sz w:val="18"/>
          <w:szCs w:val="18"/>
        </w:rPr>
      </w:pPr>
    </w:p>
    <w:p w14:paraId="74ED5D4A" w14:textId="77777777" w:rsidR="00D14F76" w:rsidRPr="001C58C6" w:rsidRDefault="00D14F76">
      <w:pPr>
        <w:shd w:val="clear" w:color="auto" w:fill="FFFFFF"/>
        <w:spacing w:before="240" w:after="120" w:line="312" w:lineRule="atLeast"/>
        <w:rPr>
          <w:rFonts w:ascii="Calibri" w:eastAsia="Times New Roman" w:hAnsi="Calibri" w:cs="Calibri"/>
          <w:b/>
          <w:bCs/>
          <w:color w:val="000000" w:themeColor="text1"/>
          <w:szCs w:val="24"/>
        </w:rPr>
      </w:pPr>
      <w:r w:rsidRPr="001C58C6">
        <w:rPr>
          <w:rFonts w:ascii="Calibri" w:eastAsia="Times New Roman" w:hAnsi="Calibri" w:cs="Calibri"/>
          <w:b/>
          <w:bCs/>
          <w:color w:val="000000" w:themeColor="text1"/>
          <w:szCs w:val="24"/>
        </w:rPr>
        <w:t>2.8.2.   </w:t>
      </w:r>
      <w:r w:rsidRPr="001C58C6">
        <w:rPr>
          <w:rFonts w:ascii="Calibri" w:eastAsia="Times New Roman" w:hAnsi="Calibri" w:cs="Calibri"/>
          <w:b/>
          <w:bCs/>
          <w:i/>
          <w:iCs/>
          <w:color w:val="000000" w:themeColor="text1"/>
          <w:szCs w:val="24"/>
        </w:rPr>
        <w:t>Nelinearna putanja smanjenja emisija</w:t>
      </w:r>
    </w:p>
    <w:tbl>
      <w:tblPr>
        <w:tblStyle w:val="GridTable1Light-Accent1"/>
        <w:tblW w:w="5000" w:type="pct"/>
        <w:tblLook w:val="04A0" w:firstRow="1" w:lastRow="0" w:firstColumn="1" w:lastColumn="0" w:noHBand="0" w:noVBand="1"/>
      </w:tblPr>
      <w:tblGrid>
        <w:gridCol w:w="2250"/>
        <w:gridCol w:w="6766"/>
      </w:tblGrid>
      <w:tr w:rsidR="00D14F76" w:rsidRPr="001C58C6" w14:paraId="2316CC4A" w14:textId="77777777" w:rsidTr="00E404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tcPr>
          <w:p w14:paraId="5120E5EE" w14:textId="77777777" w:rsidR="00D14F76" w:rsidRPr="001C58C6" w:rsidRDefault="00D14F76" w:rsidP="005F52EF">
            <w:pPr>
              <w:spacing w:before="60" w:after="60"/>
              <w:contextualSpacing/>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Ako se slijedi nelinearna putanja smanjenja emisija, dokažite da je ona tehnički ili ekonomski efikasnija (alternativne bi mjere podrazumijevale nesrazmjerne troškove), da neće ugroziti ispunjavanje obaveze smanjenja za 2030. i da će se putanja od 2025. približavati linearnoj putanji smanjenja (O, ako je primjereno)</w:t>
            </w:r>
          </w:p>
          <w:p w14:paraId="7621B3A6" w14:textId="77777777" w:rsidR="00D14F76" w:rsidRPr="001C58C6" w:rsidRDefault="00D14F76" w:rsidP="005F52EF">
            <w:pPr>
              <w:spacing w:before="60" w:after="60"/>
              <w:contextualSpacing/>
              <w:rPr>
                <w:rFonts w:ascii="Calibri" w:eastAsia="Times New Roman" w:hAnsi="Calibri" w:cs="Calibri"/>
                <w:color w:val="000000" w:themeColor="text1"/>
                <w:sz w:val="20"/>
                <w:szCs w:val="20"/>
              </w:rPr>
            </w:pPr>
            <w:r w:rsidRPr="001C58C6">
              <w:rPr>
                <w:rFonts w:ascii="Calibri" w:eastAsia="Times New Roman" w:hAnsi="Calibri" w:cs="Calibri"/>
                <w:i/>
                <w:iCs/>
                <w:color w:val="000000" w:themeColor="text1"/>
                <w:sz w:val="20"/>
                <w:szCs w:val="20"/>
              </w:rPr>
              <w:t>Ako je primjenjivo, navedite troškove sa spiska u tabeli 2.6.3.</w:t>
            </w:r>
          </w:p>
        </w:tc>
        <w:tc>
          <w:tcPr>
            <w:tcW w:w="3752" w:type="pct"/>
          </w:tcPr>
          <w:p w14:paraId="05F5DF7E" w14:textId="77777777" w:rsidR="00D14F76" w:rsidRPr="001C58C6" w:rsidRDefault="00D14F76" w:rsidP="005F52EF">
            <w:pPr>
              <w:contextualSpacing/>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Crna Gora primjenjuje nelinearnu putanju smanjenja emisija za pojedine zagađujuće materije, posebno SO₂ i PM₂</w:t>
            </w:r>
            <w:r w:rsidRPr="001C58C6">
              <w:rPr>
                <w:rFonts w:ascii="Calibri" w:eastAsia="MS Gothic" w:hAnsi="Calibri" w:cs="Calibri"/>
                <w:b w:val="0"/>
                <w:bCs w:val="0"/>
                <w:color w:val="000000" w:themeColor="text1"/>
                <w:sz w:val="20"/>
                <w:szCs w:val="20"/>
              </w:rPr>
              <w:t>․</w:t>
            </w:r>
            <w:r w:rsidRPr="001C58C6">
              <w:rPr>
                <w:rFonts w:ascii="Calibri" w:eastAsia="Times New Roman" w:hAnsi="Calibri" w:cs="Calibri"/>
                <w:b w:val="0"/>
                <w:bCs w:val="0"/>
                <w:color w:val="000000" w:themeColor="text1"/>
                <w:sz w:val="20"/>
                <w:szCs w:val="20"/>
              </w:rPr>
              <w:t>₅, usljed fazne implementacije ključnih mjera u periodu 2026–2029.</w:t>
            </w:r>
          </w:p>
          <w:p w14:paraId="448BA5BC" w14:textId="77777777" w:rsidR="00D14F76" w:rsidRPr="001C58C6" w:rsidRDefault="00D14F76" w:rsidP="005F52EF">
            <w:pPr>
              <w:contextualSpacing/>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Ova nelinearnost je tehnički i ekonomski opravdana, jer:</w:t>
            </w:r>
          </w:p>
          <w:p w14:paraId="3C6209A5" w14:textId="77777777" w:rsidR="00D14F76" w:rsidRPr="001C58C6" w:rsidRDefault="00D14F76" w:rsidP="00E53052">
            <w:pPr>
              <w:pStyle w:val="ListParagraph"/>
              <w:numPr>
                <w:ilvl w:val="0"/>
                <w:numId w:val="95"/>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najveće smanjenje SO₂ predviđeno je nakon 2025. godine, kada će biti završena rekonstrukcija Termoelektrane Pljevlja i sistem odsumporavanja u potpunosti operativan;</w:t>
            </w:r>
          </w:p>
          <w:p w14:paraId="1818CB72" w14:textId="77777777" w:rsidR="00D14F76" w:rsidRPr="001C58C6" w:rsidRDefault="00D14F76" w:rsidP="00E53052">
            <w:pPr>
              <w:pStyle w:val="ListParagraph"/>
              <w:numPr>
                <w:ilvl w:val="0"/>
                <w:numId w:val="95"/>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smanjenje PM₂</w:t>
            </w:r>
            <w:r w:rsidRPr="001C58C6">
              <w:rPr>
                <w:rFonts w:ascii="Calibri" w:eastAsia="MS Gothic" w:hAnsi="Calibri" w:cs="Calibri"/>
                <w:b w:val="0"/>
                <w:bCs w:val="0"/>
                <w:color w:val="000000" w:themeColor="text1"/>
                <w:sz w:val="20"/>
                <w:szCs w:val="20"/>
              </w:rPr>
              <w:t>․</w:t>
            </w:r>
            <w:r w:rsidRPr="001C58C6">
              <w:rPr>
                <w:rFonts w:ascii="Calibri" w:eastAsia="Times New Roman" w:hAnsi="Calibri" w:cs="Calibri"/>
                <w:b w:val="0"/>
                <w:bCs w:val="0"/>
                <w:color w:val="000000" w:themeColor="text1"/>
                <w:sz w:val="20"/>
                <w:szCs w:val="20"/>
              </w:rPr>
              <w:t>₅ emisija postepeno se ostvaruje kroz uvođenje daljinskog grijanja u Pljevljima (2025–2028) i smanjenje loženja uglja u domaćinstvima od 2027.;</w:t>
            </w:r>
          </w:p>
          <w:p w14:paraId="0A41995A" w14:textId="77777777" w:rsidR="00D14F76" w:rsidRPr="001C58C6" w:rsidRDefault="00D14F76" w:rsidP="00E53052">
            <w:pPr>
              <w:pStyle w:val="ListParagraph"/>
              <w:numPr>
                <w:ilvl w:val="0"/>
                <w:numId w:val="95"/>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u sektoru saobraćaja, smanjenje NOₓ ima blago linearni trend, ali uz ubrzanje nakon 2028. zahvaljujući uvođenju Euro 6/VI standarda i rastu udjela električnih vozila;</w:t>
            </w:r>
          </w:p>
          <w:p w14:paraId="11A4C95F" w14:textId="77777777" w:rsidR="00D14F76" w:rsidRPr="001C58C6" w:rsidRDefault="00D14F76" w:rsidP="00E53052">
            <w:pPr>
              <w:pStyle w:val="ListParagraph"/>
              <w:numPr>
                <w:ilvl w:val="0"/>
                <w:numId w:val="95"/>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kod NMVOC i NH₃, promjene su kvazilinearne, jer se mjere u poljoprivredi i industriji uvode postepeno kroz IPARD III i nove propise o VOC sadržaju.</w:t>
            </w:r>
          </w:p>
          <w:p w14:paraId="79CDF369" w14:textId="77777777" w:rsidR="00D14F76" w:rsidRPr="001C58C6" w:rsidRDefault="00D14F76" w:rsidP="005F52EF">
            <w:pPr>
              <w:contextualSpacing/>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Procjene troškova sprovođenja mjera (iz tabele 2.6.3) pokazuju da bi linearna putanja do 2030. zahtijevala nesrazmjerno veće investicione troškove u 2025–2029, posebno u sektoru energetike i komunalnog grijanja. Primijenjena nelinearna putanja omogućava:</w:t>
            </w:r>
          </w:p>
          <w:p w14:paraId="6D00024C" w14:textId="77777777" w:rsidR="00D14F76" w:rsidRPr="001C58C6" w:rsidRDefault="00D14F76" w:rsidP="00E53052">
            <w:pPr>
              <w:pStyle w:val="ListParagraph"/>
              <w:numPr>
                <w:ilvl w:val="0"/>
                <w:numId w:val="91"/>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optimizovano ulaganje po fazama,</w:t>
            </w:r>
          </w:p>
          <w:p w14:paraId="346500E4" w14:textId="77777777" w:rsidR="00D14F76" w:rsidRPr="001C58C6" w:rsidRDefault="00D14F76" w:rsidP="00E53052">
            <w:pPr>
              <w:pStyle w:val="ListParagraph"/>
              <w:numPr>
                <w:ilvl w:val="0"/>
                <w:numId w:val="91"/>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izbjegavanje ekonomskih šokova u sektorima sa visokim kapitalnim zahtjevima,</w:t>
            </w:r>
          </w:p>
          <w:p w14:paraId="21DFF83B" w14:textId="77777777" w:rsidR="00D14F76" w:rsidRPr="001C58C6" w:rsidRDefault="00D14F76" w:rsidP="00E53052">
            <w:pPr>
              <w:pStyle w:val="ListParagraph"/>
              <w:numPr>
                <w:ilvl w:val="0"/>
                <w:numId w:val="91"/>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djelimično postizanje cilja smanjenja do 2030. bez rizika od neusklađenosti.</w:t>
            </w:r>
          </w:p>
          <w:p w14:paraId="2842BB43" w14:textId="77777777" w:rsidR="00D14F76" w:rsidRPr="001C58C6" w:rsidRDefault="00D14F76" w:rsidP="005F52EF">
            <w:pPr>
              <w:contextualSpacing/>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Putanja smanjenja emisija nije linearna u 2020–2025, ali se od 2025. nadalje približava linearnom trendu ka ciljevima 2030, čime se osigurava djelimično ispunjenje obaveza smanjenja emisija predviđenih za Crnu Goru.</w:t>
            </w:r>
          </w:p>
        </w:tc>
      </w:tr>
    </w:tbl>
    <w:p w14:paraId="5FE0D34E" w14:textId="77777777" w:rsidR="00D14F76" w:rsidRPr="001C58C6" w:rsidRDefault="00D14F76">
      <w:pPr>
        <w:shd w:val="clear" w:color="auto" w:fill="FFFFFF"/>
        <w:spacing w:before="240" w:after="120" w:line="312" w:lineRule="atLeast"/>
        <w:rPr>
          <w:rFonts w:ascii="Calibri" w:eastAsia="Times New Roman" w:hAnsi="Calibri" w:cs="Calibri"/>
          <w:b/>
          <w:bCs/>
          <w:color w:val="000000" w:themeColor="text1"/>
          <w:szCs w:val="24"/>
        </w:rPr>
      </w:pPr>
      <w:r w:rsidRPr="001C58C6">
        <w:rPr>
          <w:rFonts w:ascii="Calibri" w:eastAsia="Times New Roman" w:hAnsi="Calibri" w:cs="Calibri"/>
          <w:b/>
          <w:bCs/>
          <w:color w:val="000000" w:themeColor="text1"/>
          <w:szCs w:val="24"/>
        </w:rPr>
        <w:lastRenderedPageBreak/>
        <w:t>2.8.3.   </w:t>
      </w:r>
      <w:r w:rsidRPr="001C58C6">
        <w:rPr>
          <w:rFonts w:ascii="Calibri" w:eastAsia="Times New Roman" w:hAnsi="Calibri" w:cs="Calibri"/>
          <w:b/>
          <w:bCs/>
          <w:i/>
          <w:iCs/>
          <w:color w:val="000000" w:themeColor="text1"/>
          <w:szCs w:val="24"/>
        </w:rPr>
        <w:t>Fleksibilnosti</w:t>
      </w:r>
    </w:p>
    <w:tbl>
      <w:tblPr>
        <w:tblStyle w:val="GridTable1Light-Accent1"/>
        <w:tblW w:w="5000" w:type="pct"/>
        <w:tblLook w:val="04A0" w:firstRow="1" w:lastRow="0" w:firstColumn="1" w:lastColumn="0" w:noHBand="0" w:noVBand="1"/>
      </w:tblPr>
      <w:tblGrid>
        <w:gridCol w:w="2077"/>
        <w:gridCol w:w="6939"/>
      </w:tblGrid>
      <w:tr w:rsidR="00D14F76" w:rsidRPr="001C58C6" w14:paraId="11B829CE" w14:textId="77777777" w:rsidTr="00E404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4F173333" w14:textId="77777777" w:rsidR="00D14F76" w:rsidRPr="001C58C6" w:rsidRDefault="00D14F76">
            <w:pPr>
              <w:spacing w:before="60" w:after="60" w:line="312" w:lineRule="atLeast"/>
              <w:rPr>
                <w:rFonts w:ascii="Calibri" w:eastAsia="Times New Roman" w:hAnsi="Calibri" w:cs="Calibri"/>
                <w:color w:val="000000" w:themeColor="text1"/>
                <w:sz w:val="20"/>
                <w:szCs w:val="20"/>
              </w:rPr>
            </w:pPr>
            <w:r w:rsidRPr="001C58C6">
              <w:rPr>
                <w:rFonts w:ascii="Calibri" w:eastAsia="Times New Roman" w:hAnsi="Calibri" w:cs="Calibri"/>
                <w:color w:val="000000" w:themeColor="text1"/>
                <w:sz w:val="20"/>
                <w:szCs w:val="20"/>
              </w:rPr>
              <w:t>Ako se upotrebljavaju fleksibilnosti, navedite kako se one koriste (O)</w:t>
            </w:r>
          </w:p>
        </w:tc>
        <w:tc>
          <w:tcPr>
            <w:tcW w:w="3848" w:type="pct"/>
          </w:tcPr>
          <w:p w14:paraId="4813F987"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Crna Gora trenutno ne koristi formalne mehanizme fleksibilnosti predviđene članom 5. Direktive (EU) 2016/2284, budući da nacionalne projekcije do 2030. pokazuju djelimično ispunjenje obaveza smanjenja emisija za sve zagađujuće materije u okviru nacionalnih mjera.</w:t>
            </w:r>
          </w:p>
          <w:p w14:paraId="41588D41"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Međutim, Vlada zadržava mogućnost primjene bilateralnih ili regionalnih mehanizama fleksibilnosti u skladu sa članom 5(2) Direktive, naročito u okviru saradnje sa državama članicama Energetske zajednice (Srbija, Sjeverna Makedonija, Albanija, Bosna i Hercegovina) u dijelu:</w:t>
            </w:r>
          </w:p>
          <w:p w14:paraId="7D2FCEF3" w14:textId="77777777" w:rsidR="00D14F76" w:rsidRPr="001C58C6" w:rsidRDefault="00D14F76" w:rsidP="00E53052">
            <w:pPr>
              <w:pStyle w:val="ListParagraph"/>
              <w:numPr>
                <w:ilvl w:val="0"/>
                <w:numId w:val="96"/>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zajedničkih projekata smanjenja emisija u sektoru energetike i saobraćaja,</w:t>
            </w:r>
          </w:p>
          <w:p w14:paraId="2E234667" w14:textId="77777777" w:rsidR="00D14F76" w:rsidRPr="001C58C6" w:rsidRDefault="00D14F76" w:rsidP="00E53052">
            <w:pPr>
              <w:pStyle w:val="ListParagraph"/>
              <w:numPr>
                <w:ilvl w:val="0"/>
                <w:numId w:val="96"/>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razmjene podataka o emisijama i prekograničnim transportima zagađenja (EMEP model),</w:t>
            </w:r>
          </w:p>
          <w:p w14:paraId="1A50964B" w14:textId="77777777" w:rsidR="00D14F76" w:rsidRPr="001C58C6" w:rsidRDefault="00D14F76" w:rsidP="00E53052">
            <w:pPr>
              <w:pStyle w:val="ListParagraph"/>
              <w:numPr>
                <w:ilvl w:val="0"/>
                <w:numId w:val="96"/>
              </w:num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0"/>
                <w:szCs w:val="20"/>
              </w:rPr>
            </w:pPr>
            <w:r w:rsidRPr="001C58C6">
              <w:rPr>
                <w:rFonts w:ascii="Calibri" w:eastAsia="Times New Roman" w:hAnsi="Calibri" w:cs="Calibri"/>
                <w:b w:val="0"/>
                <w:bCs w:val="0"/>
                <w:color w:val="000000" w:themeColor="text1"/>
                <w:sz w:val="20"/>
                <w:szCs w:val="20"/>
              </w:rPr>
              <w:t>eventualne kompenzacije emisija SO₂ i PM₂</w:t>
            </w:r>
            <w:r w:rsidRPr="001C58C6">
              <w:rPr>
                <w:rFonts w:ascii="Calibri" w:eastAsia="MS Gothic" w:hAnsi="Calibri" w:cs="Calibri"/>
                <w:b w:val="0"/>
                <w:bCs w:val="0"/>
                <w:color w:val="000000" w:themeColor="text1"/>
                <w:sz w:val="20"/>
                <w:szCs w:val="20"/>
              </w:rPr>
              <w:t>․</w:t>
            </w:r>
            <w:r w:rsidRPr="001C58C6">
              <w:rPr>
                <w:rFonts w:ascii="Calibri" w:eastAsia="Times New Roman" w:hAnsi="Calibri" w:cs="Calibri"/>
                <w:b w:val="0"/>
                <w:bCs w:val="0"/>
                <w:color w:val="000000" w:themeColor="text1"/>
                <w:sz w:val="20"/>
                <w:szCs w:val="20"/>
              </w:rPr>
              <w:t>₅ kroz regionalne programe modernizacije termoenergetskih kapaciteta.</w:t>
            </w:r>
          </w:p>
          <w:p w14:paraId="20A2698E" w14:textId="77777777" w:rsidR="00D14F76" w:rsidRPr="001C58C6" w:rsidRDefault="00D14F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rPr>
            </w:pPr>
            <w:r w:rsidRPr="001C58C6">
              <w:rPr>
                <w:rFonts w:ascii="Calibri" w:eastAsia="Times New Roman" w:hAnsi="Calibri" w:cs="Calibri"/>
                <w:b w:val="0"/>
                <w:bCs w:val="0"/>
                <w:color w:val="000000" w:themeColor="text1"/>
                <w:sz w:val="20"/>
                <w:szCs w:val="20"/>
              </w:rPr>
              <w:t>Crna Gora će svaku upotrebu fleksibilnosti prijaviti Evropskoj komisiji i Sekretarijatu Energetske zajednice u skladu sa standardnim formatom iz Odluke (EU) 2018/1522.</w:t>
            </w:r>
          </w:p>
        </w:tc>
      </w:tr>
    </w:tbl>
    <w:p w14:paraId="612886AC" w14:textId="77777777" w:rsidR="00ED5DB4" w:rsidRPr="001C58C6" w:rsidRDefault="00ED5DB4" w:rsidP="001E4F5C">
      <w:pPr>
        <w:shd w:val="clear" w:color="auto" w:fill="FFFFFF"/>
        <w:spacing w:before="120" w:line="312" w:lineRule="atLeast"/>
        <w:rPr>
          <w:rFonts w:ascii="Calibri" w:eastAsia="Times New Roman" w:hAnsi="Calibri" w:cs="Calibri"/>
          <w:color w:val="000000" w:themeColor="text1"/>
          <w:szCs w:val="24"/>
          <w:lang w:eastAsia="en-GB"/>
        </w:rPr>
      </w:pPr>
    </w:p>
    <w:p w14:paraId="6AC34F38" w14:textId="77777777" w:rsidR="0010691C" w:rsidRPr="001C58C6" w:rsidRDefault="0010691C" w:rsidP="001E4F5C">
      <w:pPr>
        <w:shd w:val="clear" w:color="auto" w:fill="FFFFFF"/>
        <w:spacing w:before="120" w:line="312" w:lineRule="atLeast"/>
        <w:rPr>
          <w:rFonts w:ascii="Calibri" w:eastAsia="Times New Roman" w:hAnsi="Calibri" w:cs="Calibri"/>
          <w:color w:val="000000" w:themeColor="text1"/>
          <w:szCs w:val="24"/>
          <w:lang w:eastAsia="en-GB"/>
        </w:rPr>
      </w:pPr>
    </w:p>
    <w:p w14:paraId="61C31645" w14:textId="77777777" w:rsidR="0010691C" w:rsidRPr="001C58C6" w:rsidRDefault="0010691C" w:rsidP="001E4F5C">
      <w:pPr>
        <w:shd w:val="clear" w:color="auto" w:fill="FFFFFF"/>
        <w:spacing w:before="120" w:line="312" w:lineRule="atLeast"/>
        <w:rPr>
          <w:rFonts w:ascii="Calibri" w:eastAsia="Times New Roman" w:hAnsi="Calibri" w:cs="Calibri"/>
          <w:color w:val="000000" w:themeColor="text1"/>
          <w:szCs w:val="24"/>
          <w:lang w:eastAsia="en-GB"/>
        </w:rPr>
      </w:pPr>
    </w:p>
    <w:p w14:paraId="143A49BC" w14:textId="77777777" w:rsidR="0010691C" w:rsidRPr="001C58C6" w:rsidRDefault="0010691C" w:rsidP="001E4F5C">
      <w:pPr>
        <w:shd w:val="clear" w:color="auto" w:fill="FFFFFF"/>
        <w:spacing w:before="120" w:line="312" w:lineRule="atLeast"/>
        <w:rPr>
          <w:rFonts w:ascii="Calibri" w:eastAsia="Times New Roman" w:hAnsi="Calibri" w:cs="Calibri"/>
          <w:color w:val="000000" w:themeColor="text1"/>
          <w:szCs w:val="24"/>
          <w:lang w:eastAsia="en-GB"/>
        </w:rPr>
      </w:pPr>
    </w:p>
    <w:p w14:paraId="1B2B5DA8" w14:textId="77777777" w:rsidR="0010691C" w:rsidRPr="001C58C6" w:rsidRDefault="0010691C" w:rsidP="001E4F5C">
      <w:pPr>
        <w:shd w:val="clear" w:color="auto" w:fill="FFFFFF"/>
        <w:spacing w:before="120" w:line="312" w:lineRule="atLeast"/>
        <w:rPr>
          <w:rFonts w:ascii="Calibri" w:eastAsia="Times New Roman" w:hAnsi="Calibri" w:cs="Calibri"/>
          <w:color w:val="000000" w:themeColor="text1"/>
          <w:szCs w:val="24"/>
          <w:lang w:eastAsia="en-GB"/>
        </w:rPr>
      </w:pPr>
    </w:p>
    <w:p w14:paraId="69B4BDE3" w14:textId="77777777" w:rsidR="0010691C" w:rsidRPr="001C58C6" w:rsidRDefault="0010691C" w:rsidP="001E4F5C">
      <w:pPr>
        <w:shd w:val="clear" w:color="auto" w:fill="FFFFFF"/>
        <w:spacing w:before="120" w:line="312" w:lineRule="atLeast"/>
        <w:rPr>
          <w:rFonts w:ascii="Calibri" w:eastAsia="Times New Roman" w:hAnsi="Calibri" w:cs="Calibri"/>
          <w:color w:val="000000" w:themeColor="text1"/>
          <w:szCs w:val="24"/>
          <w:lang w:eastAsia="en-GB"/>
        </w:rPr>
      </w:pPr>
    </w:p>
    <w:p w14:paraId="55E58EB9" w14:textId="77777777" w:rsidR="00ED5DB4" w:rsidRPr="001C58C6" w:rsidRDefault="00ED5DB4" w:rsidP="001E4F5C">
      <w:pPr>
        <w:shd w:val="clear" w:color="auto" w:fill="FFFFFF"/>
        <w:spacing w:before="120" w:line="312" w:lineRule="atLeast"/>
        <w:rPr>
          <w:rFonts w:ascii="Calibri" w:eastAsia="Times New Roman" w:hAnsi="Calibri" w:cs="Calibri"/>
          <w:color w:val="000000" w:themeColor="text1"/>
          <w:szCs w:val="24"/>
          <w:lang w:eastAsia="en-GB"/>
        </w:rPr>
      </w:pPr>
    </w:p>
    <w:p w14:paraId="62A12034" w14:textId="77777777" w:rsidR="00ED5DB4" w:rsidRPr="001C58C6" w:rsidRDefault="00ED5DB4" w:rsidP="001E4F5C">
      <w:pPr>
        <w:shd w:val="clear" w:color="auto" w:fill="FFFFFF"/>
        <w:spacing w:before="120" w:line="312" w:lineRule="atLeast"/>
        <w:rPr>
          <w:rFonts w:ascii="Calibri" w:eastAsia="Times New Roman" w:hAnsi="Calibri" w:cs="Calibri"/>
          <w:color w:val="000000" w:themeColor="text1"/>
          <w:szCs w:val="24"/>
          <w:lang w:eastAsia="en-GB"/>
        </w:rPr>
      </w:pPr>
    </w:p>
    <w:p w14:paraId="5A5D524A" w14:textId="77777777" w:rsidR="00ED5DB4" w:rsidRPr="001C58C6" w:rsidRDefault="00ED5DB4" w:rsidP="001E4F5C">
      <w:pPr>
        <w:shd w:val="clear" w:color="auto" w:fill="FFFFFF"/>
        <w:spacing w:before="120" w:line="312" w:lineRule="atLeast"/>
        <w:rPr>
          <w:rFonts w:ascii="Calibri" w:eastAsia="Times New Roman" w:hAnsi="Calibri" w:cs="Calibri"/>
          <w:color w:val="000000" w:themeColor="text1"/>
          <w:szCs w:val="24"/>
          <w:lang w:eastAsia="en-GB"/>
        </w:rPr>
      </w:pPr>
    </w:p>
    <w:p w14:paraId="492AD432" w14:textId="77777777" w:rsidR="00ED5DB4" w:rsidRPr="001C58C6" w:rsidRDefault="00ED5DB4" w:rsidP="001E4F5C">
      <w:pPr>
        <w:shd w:val="clear" w:color="auto" w:fill="FFFFFF"/>
        <w:spacing w:before="120" w:line="312" w:lineRule="atLeast"/>
        <w:rPr>
          <w:rFonts w:ascii="Calibri" w:eastAsia="Times New Roman" w:hAnsi="Calibri" w:cs="Calibri"/>
          <w:color w:val="000000" w:themeColor="text1"/>
          <w:szCs w:val="24"/>
          <w:lang w:eastAsia="en-GB"/>
        </w:rPr>
      </w:pPr>
    </w:p>
    <w:p w14:paraId="0B1B70E9" w14:textId="77777777" w:rsidR="00ED5DB4" w:rsidRPr="001C58C6" w:rsidRDefault="00ED5DB4" w:rsidP="001E4F5C">
      <w:pPr>
        <w:shd w:val="clear" w:color="auto" w:fill="FFFFFF"/>
        <w:spacing w:before="120" w:line="312" w:lineRule="atLeast"/>
        <w:rPr>
          <w:rFonts w:ascii="Calibri" w:eastAsia="Times New Roman" w:hAnsi="Calibri" w:cs="Calibri"/>
          <w:color w:val="000000" w:themeColor="text1"/>
          <w:szCs w:val="24"/>
          <w:lang w:eastAsia="en-GB"/>
        </w:rPr>
      </w:pPr>
    </w:p>
    <w:p w14:paraId="36C75FF4" w14:textId="77777777" w:rsidR="00BE32E2" w:rsidRPr="001C58C6" w:rsidRDefault="00BE32E2" w:rsidP="001E4F5C">
      <w:pPr>
        <w:shd w:val="clear" w:color="auto" w:fill="FFFFFF"/>
        <w:spacing w:before="120" w:line="312" w:lineRule="atLeast"/>
        <w:rPr>
          <w:rFonts w:ascii="Calibri" w:eastAsia="Times New Roman" w:hAnsi="Calibri" w:cs="Calibri"/>
          <w:color w:val="000000" w:themeColor="text1"/>
          <w:szCs w:val="24"/>
          <w:lang w:eastAsia="en-GB"/>
        </w:rPr>
      </w:pPr>
    </w:p>
    <w:p w14:paraId="19B8EE28" w14:textId="77777777" w:rsidR="00BE32E2" w:rsidRPr="001C58C6" w:rsidRDefault="00BE32E2" w:rsidP="001E4F5C">
      <w:pPr>
        <w:shd w:val="clear" w:color="auto" w:fill="FFFFFF"/>
        <w:spacing w:before="120" w:line="312" w:lineRule="atLeast"/>
        <w:rPr>
          <w:rFonts w:ascii="Calibri" w:eastAsia="Times New Roman" w:hAnsi="Calibri" w:cs="Calibri"/>
          <w:color w:val="000000" w:themeColor="text1"/>
          <w:szCs w:val="24"/>
          <w:lang w:eastAsia="en-GB"/>
        </w:rPr>
      </w:pPr>
    </w:p>
    <w:p w14:paraId="66953831" w14:textId="77777777" w:rsidR="00ED5DB4" w:rsidRPr="001C58C6" w:rsidRDefault="00ED5DB4" w:rsidP="001E4F5C">
      <w:pPr>
        <w:shd w:val="clear" w:color="auto" w:fill="FFFFFF"/>
        <w:spacing w:before="120" w:line="312" w:lineRule="atLeast"/>
        <w:rPr>
          <w:rFonts w:ascii="Calibri" w:eastAsia="Times New Roman" w:hAnsi="Calibri" w:cs="Calibri"/>
          <w:color w:val="000000" w:themeColor="text1"/>
          <w:szCs w:val="24"/>
          <w:lang w:eastAsia="en-GB"/>
        </w:rPr>
      </w:pPr>
    </w:p>
    <w:p w14:paraId="05998A78" w14:textId="77777777" w:rsidR="00ED5DB4" w:rsidRDefault="00ED5DB4" w:rsidP="001E4F5C">
      <w:pPr>
        <w:shd w:val="clear" w:color="auto" w:fill="FFFFFF"/>
        <w:spacing w:before="120" w:line="312" w:lineRule="atLeast"/>
        <w:rPr>
          <w:rFonts w:ascii="Calibri" w:eastAsia="Times New Roman" w:hAnsi="Calibri" w:cs="Calibri"/>
          <w:color w:val="000000" w:themeColor="text1"/>
          <w:szCs w:val="24"/>
          <w:lang w:eastAsia="en-GB"/>
        </w:rPr>
      </w:pPr>
    </w:p>
    <w:p w14:paraId="6F0312D6" w14:textId="77777777" w:rsidR="006F52AD" w:rsidRDefault="006F52AD" w:rsidP="001E4F5C">
      <w:pPr>
        <w:shd w:val="clear" w:color="auto" w:fill="FFFFFF"/>
        <w:spacing w:before="120" w:line="312" w:lineRule="atLeast"/>
        <w:rPr>
          <w:rFonts w:ascii="Calibri" w:eastAsia="Times New Roman" w:hAnsi="Calibri" w:cs="Calibri"/>
          <w:color w:val="000000" w:themeColor="text1"/>
          <w:szCs w:val="24"/>
          <w:lang w:eastAsia="en-GB"/>
        </w:rPr>
      </w:pPr>
    </w:p>
    <w:p w14:paraId="59F43E0D" w14:textId="77777777" w:rsidR="006F52AD" w:rsidRDefault="006F52AD" w:rsidP="001E4F5C">
      <w:pPr>
        <w:shd w:val="clear" w:color="auto" w:fill="FFFFFF"/>
        <w:spacing w:before="120" w:line="312" w:lineRule="atLeast"/>
        <w:rPr>
          <w:rFonts w:ascii="Calibri" w:eastAsia="Times New Roman" w:hAnsi="Calibri" w:cs="Calibri"/>
          <w:color w:val="000000" w:themeColor="text1"/>
          <w:szCs w:val="24"/>
          <w:lang w:eastAsia="en-GB"/>
        </w:rPr>
      </w:pPr>
    </w:p>
    <w:p w14:paraId="10C4950B" w14:textId="77777777" w:rsidR="006F52AD" w:rsidRPr="001C58C6" w:rsidRDefault="006F52AD" w:rsidP="001E4F5C">
      <w:pPr>
        <w:shd w:val="clear" w:color="auto" w:fill="FFFFFF"/>
        <w:spacing w:before="120" w:line="312" w:lineRule="atLeast"/>
        <w:rPr>
          <w:rFonts w:ascii="Calibri" w:eastAsia="Times New Roman" w:hAnsi="Calibri" w:cs="Calibri"/>
          <w:color w:val="000000" w:themeColor="text1"/>
          <w:szCs w:val="24"/>
          <w:lang w:eastAsia="en-GB"/>
        </w:rPr>
      </w:pPr>
    </w:p>
    <w:p w14:paraId="6E61C8D3" w14:textId="77777777" w:rsidR="00A0374C" w:rsidRPr="001C58C6" w:rsidRDefault="00A0374C" w:rsidP="001E4F5C">
      <w:pPr>
        <w:shd w:val="clear" w:color="auto" w:fill="FFFFFF"/>
        <w:spacing w:before="120" w:line="312" w:lineRule="atLeast"/>
        <w:rPr>
          <w:rFonts w:ascii="Calibri" w:eastAsia="Times New Roman" w:hAnsi="Calibri" w:cs="Calibri"/>
          <w:color w:val="000000" w:themeColor="text1"/>
          <w:szCs w:val="24"/>
          <w:lang w:eastAsia="en-GB"/>
        </w:rPr>
      </w:pPr>
    </w:p>
    <w:p w14:paraId="38623F70" w14:textId="77777777" w:rsidR="00A0374C" w:rsidRPr="001C58C6" w:rsidRDefault="00A0374C" w:rsidP="001E4F5C">
      <w:pPr>
        <w:shd w:val="clear" w:color="auto" w:fill="FFFFFF"/>
        <w:spacing w:before="120" w:line="312" w:lineRule="atLeast"/>
        <w:rPr>
          <w:rFonts w:ascii="Calibri" w:eastAsia="Times New Roman" w:hAnsi="Calibri" w:cs="Calibri"/>
          <w:color w:val="000000" w:themeColor="text1"/>
          <w:szCs w:val="24"/>
          <w:lang w:eastAsia="en-GB"/>
        </w:rPr>
      </w:pPr>
    </w:p>
    <w:p w14:paraId="2C287E09" w14:textId="77777777" w:rsidR="00A0374C" w:rsidRPr="001C58C6" w:rsidRDefault="00A0374C" w:rsidP="001E4F5C">
      <w:pPr>
        <w:shd w:val="clear" w:color="auto" w:fill="FFFFFF"/>
        <w:spacing w:before="120" w:line="312" w:lineRule="atLeast"/>
        <w:rPr>
          <w:rFonts w:ascii="Calibri" w:eastAsia="Times New Roman" w:hAnsi="Calibri" w:cs="Calibri"/>
          <w:color w:val="000000" w:themeColor="text1"/>
          <w:szCs w:val="24"/>
          <w:lang w:eastAsia="en-GB"/>
        </w:rPr>
      </w:pPr>
    </w:p>
    <w:p w14:paraId="2877EAA6" w14:textId="77777777" w:rsidR="00BD3268" w:rsidRPr="001C58C6" w:rsidRDefault="00BD3268" w:rsidP="00E82FA7">
      <w:pPr>
        <w:pStyle w:val="Heading1"/>
        <w:rPr>
          <w:rStyle w:val="Heading1Char"/>
          <w:rFonts w:ascii="Calibri" w:hAnsi="Calibri" w:cs="Calibri"/>
          <w:b/>
          <w:caps/>
          <w:color w:val="000000" w:themeColor="text1"/>
        </w:rPr>
      </w:pPr>
      <w:bookmarkStart w:id="236" w:name="_Toc220070460"/>
      <w:bookmarkStart w:id="237" w:name="_Toc233711779"/>
      <w:r w:rsidRPr="001C58C6">
        <w:rPr>
          <w:rStyle w:val="Heading1Char"/>
          <w:rFonts w:ascii="Calibri" w:hAnsi="Calibri" w:cs="Calibri"/>
          <w:b/>
          <w:caps/>
          <w:color w:val="000000" w:themeColor="text1"/>
        </w:rPr>
        <w:lastRenderedPageBreak/>
        <w:t>9</w:t>
      </w:r>
      <w:r w:rsidR="00A86D79" w:rsidRPr="001C58C6">
        <w:rPr>
          <w:rStyle w:val="Heading1Char"/>
          <w:rFonts w:ascii="Calibri" w:hAnsi="Calibri" w:cs="Calibri"/>
          <w:b/>
          <w:caps/>
          <w:color w:val="000000" w:themeColor="text1"/>
        </w:rPr>
        <w:t xml:space="preserve">. </w:t>
      </w:r>
      <w:r w:rsidRPr="001C58C6">
        <w:rPr>
          <w:rStyle w:val="Heading1Char"/>
          <w:rFonts w:ascii="Calibri" w:hAnsi="Calibri" w:cs="Calibri"/>
          <w:b/>
          <w:caps/>
          <w:color w:val="000000" w:themeColor="text1"/>
        </w:rPr>
        <w:t>INFORMACIJA ZA JAVNOST O CILJEVIMA I OČEKIVANIM UČINCIMA STRATEGIJE</w:t>
      </w:r>
      <w:bookmarkEnd w:id="236"/>
      <w:bookmarkEnd w:id="237"/>
    </w:p>
    <w:p w14:paraId="1B71B1CE" w14:textId="77777777" w:rsidR="00BD3268" w:rsidRPr="001C58C6" w:rsidRDefault="00BD3268" w:rsidP="000C2FDE">
      <w:pPr>
        <w:rPr>
          <w:rStyle w:val="Heading1Char"/>
          <w:rFonts w:ascii="Calibri" w:hAnsi="Calibri" w:cs="Calibri"/>
          <w:color w:val="000000" w:themeColor="text1"/>
        </w:rPr>
      </w:pPr>
    </w:p>
    <w:p w14:paraId="73BEFAF5" w14:textId="77777777" w:rsidR="00E630B7" w:rsidRPr="001C58C6" w:rsidRDefault="00E630B7" w:rsidP="00ED5DB4">
      <w:pPr>
        <w:spacing w:line="259" w:lineRule="auto"/>
        <w:contextualSpacing/>
        <w:rPr>
          <w:rFonts w:ascii="Calibri" w:hAnsi="Calibri" w:cs="Calibri"/>
          <w:bCs/>
          <w:color w:val="000000" w:themeColor="text1"/>
        </w:rPr>
      </w:pPr>
      <w:r w:rsidRPr="001C58C6">
        <w:rPr>
          <w:rFonts w:ascii="Calibri" w:hAnsi="Calibri" w:cs="Calibri"/>
          <w:bCs/>
          <w:color w:val="000000" w:themeColor="text1"/>
        </w:rPr>
        <w:t>Strategija upravljanja kvalitetom vazduha sa Akcionim planom za period 2026–2029. godina ima za cilj unapređenje kvaliteta vazduha u Crnoj Gori, zaštitu zdravlja stanovništva i ispunjavanje obaveza koje proističu iz procesa pristupanja Evropskoj uniji. Imajući u vidu da zagađenje vazduha direktno utiče na kvalitet života građana, jedno od ključnih opredjeljenja ove Strategije jeste transparentno informisanje javnosti o njenim ciljevima, planiranim mjerama i očekivanim učincima.</w:t>
      </w:r>
    </w:p>
    <w:p w14:paraId="00AE8204" w14:textId="77777777" w:rsidR="00ED5DB4" w:rsidRPr="001C58C6" w:rsidRDefault="00ED5DB4" w:rsidP="00ED5DB4">
      <w:pPr>
        <w:spacing w:line="259" w:lineRule="auto"/>
        <w:contextualSpacing/>
        <w:rPr>
          <w:rFonts w:ascii="Calibri" w:hAnsi="Calibri" w:cs="Calibri"/>
          <w:bCs/>
          <w:color w:val="000000" w:themeColor="text1"/>
        </w:rPr>
      </w:pPr>
    </w:p>
    <w:p w14:paraId="41BE946B" w14:textId="77777777" w:rsidR="00E630B7" w:rsidRPr="002B4576" w:rsidRDefault="00E630B7" w:rsidP="00ED5DB4">
      <w:pPr>
        <w:spacing w:line="259" w:lineRule="auto"/>
        <w:contextualSpacing/>
        <w:rPr>
          <w:rFonts w:ascii="Calibri" w:hAnsi="Calibri" w:cs="Calibri"/>
          <w:bCs/>
          <w:color w:val="000000" w:themeColor="text1"/>
        </w:rPr>
      </w:pPr>
      <w:r w:rsidRPr="002B4576">
        <w:rPr>
          <w:rFonts w:ascii="Calibri" w:hAnsi="Calibri" w:cs="Calibri"/>
          <w:color w:val="000000" w:themeColor="text1"/>
        </w:rPr>
        <w:t>Ovim poglavljem se, na jasan i razumljiv način, građanima i građankama, privredi i drugim zainteresovanim stranama predstavljaju razlozi donošenja Strategije, njeni ključni ciljevi, kao i koristi koje se očekuju njenim sprovođenjem.</w:t>
      </w:r>
    </w:p>
    <w:p w14:paraId="475092DB" w14:textId="77777777" w:rsidR="00ED5DB4" w:rsidRPr="001C58C6" w:rsidRDefault="00ED5DB4" w:rsidP="00ED5DB4">
      <w:pPr>
        <w:spacing w:line="259" w:lineRule="auto"/>
        <w:contextualSpacing/>
        <w:rPr>
          <w:rFonts w:ascii="Calibri" w:hAnsi="Calibri" w:cs="Calibri"/>
          <w:bCs/>
          <w:color w:val="000000" w:themeColor="text1"/>
        </w:rPr>
      </w:pPr>
    </w:p>
    <w:p w14:paraId="791EB385" w14:textId="77777777" w:rsidR="00E630B7" w:rsidRPr="001C58C6" w:rsidRDefault="00E630B7" w:rsidP="00ED5DB4">
      <w:pPr>
        <w:spacing w:line="259" w:lineRule="auto"/>
        <w:contextualSpacing/>
        <w:rPr>
          <w:rFonts w:ascii="Calibri" w:hAnsi="Calibri" w:cs="Calibri"/>
          <w:bCs/>
          <w:i/>
          <w:iCs/>
          <w:color w:val="000000" w:themeColor="text1"/>
        </w:rPr>
      </w:pPr>
      <w:r w:rsidRPr="001C58C6">
        <w:rPr>
          <w:rFonts w:ascii="Calibri" w:hAnsi="Calibri" w:cs="Calibri"/>
          <w:bCs/>
          <w:i/>
          <w:iCs/>
          <w:color w:val="000000" w:themeColor="text1"/>
        </w:rPr>
        <w:t>Značaj Strategije za građane</w:t>
      </w:r>
    </w:p>
    <w:p w14:paraId="29D9FEF6" w14:textId="77777777" w:rsidR="00ED5DB4" w:rsidRPr="001C58C6" w:rsidRDefault="00ED5DB4" w:rsidP="00ED5DB4">
      <w:pPr>
        <w:spacing w:line="259" w:lineRule="auto"/>
        <w:contextualSpacing/>
        <w:rPr>
          <w:rFonts w:ascii="Calibri" w:hAnsi="Calibri" w:cs="Calibri"/>
          <w:bCs/>
          <w:i/>
          <w:iCs/>
          <w:color w:val="000000" w:themeColor="text1"/>
        </w:rPr>
      </w:pPr>
    </w:p>
    <w:p w14:paraId="2B16F0C5" w14:textId="77777777" w:rsidR="00E630B7" w:rsidRPr="001C58C6" w:rsidRDefault="00E630B7" w:rsidP="00ED5DB4">
      <w:pPr>
        <w:spacing w:line="259" w:lineRule="auto"/>
        <w:contextualSpacing/>
        <w:rPr>
          <w:rFonts w:ascii="Calibri" w:hAnsi="Calibri" w:cs="Calibri"/>
          <w:bCs/>
          <w:color w:val="000000" w:themeColor="text1"/>
        </w:rPr>
      </w:pPr>
      <w:r w:rsidRPr="001C58C6">
        <w:rPr>
          <w:rFonts w:ascii="Calibri" w:hAnsi="Calibri" w:cs="Calibri"/>
          <w:bCs/>
          <w:color w:val="000000" w:themeColor="text1"/>
        </w:rPr>
        <w:t>Kvalitet vazduha predstavlja jedan od najvažnijih faktora koji utiču na zdravlje ljudi, posebno djece, starijih osoba i hroničnih bolesnika. Dugotrajna izloženost povišenim koncentracijama suspendovanih čestica, benzo(a)pirena i drugih zagađujućih materija povezuje se sa povećanim rizikom od respiratornih i kardiovaskularnih oboljenja, kao i sa povećanom stopom preuranjenih smrti.</w:t>
      </w:r>
    </w:p>
    <w:p w14:paraId="2A1F8165" w14:textId="77777777" w:rsidR="00ED5DB4" w:rsidRPr="001C58C6" w:rsidRDefault="00ED5DB4" w:rsidP="00ED5DB4">
      <w:pPr>
        <w:spacing w:line="259" w:lineRule="auto"/>
        <w:contextualSpacing/>
        <w:rPr>
          <w:rFonts w:ascii="Calibri" w:hAnsi="Calibri" w:cs="Calibri"/>
          <w:bCs/>
          <w:color w:val="000000" w:themeColor="text1"/>
        </w:rPr>
      </w:pPr>
    </w:p>
    <w:p w14:paraId="15B3D2A4" w14:textId="77777777" w:rsidR="00E630B7" w:rsidRPr="001C58C6" w:rsidRDefault="00E630B7" w:rsidP="00ED5DB4">
      <w:pPr>
        <w:spacing w:line="259" w:lineRule="auto"/>
        <w:contextualSpacing/>
        <w:rPr>
          <w:rFonts w:ascii="Calibri" w:hAnsi="Calibri" w:cs="Calibri"/>
          <w:bCs/>
          <w:color w:val="000000" w:themeColor="text1"/>
        </w:rPr>
      </w:pPr>
      <w:r w:rsidRPr="001C58C6">
        <w:rPr>
          <w:rFonts w:ascii="Calibri" w:hAnsi="Calibri" w:cs="Calibri"/>
          <w:bCs/>
          <w:color w:val="000000" w:themeColor="text1"/>
        </w:rPr>
        <w:t>Strategija upravljanja kvalitetom vazduha 2026–2029 donosi sistemski odgovor na ove izazove kroz jasno definisane ciljeve, mjere i odgovornosti institucija, sa posebnim fokusom na zone u kojima su zabilježena prekoračenja graničnih i ciljnih vrijednosti kvaliteta vazduha.</w:t>
      </w:r>
    </w:p>
    <w:p w14:paraId="2EA493FA" w14:textId="77777777" w:rsidR="00ED5DB4" w:rsidRPr="001C58C6" w:rsidRDefault="00ED5DB4" w:rsidP="00ED5DB4">
      <w:pPr>
        <w:spacing w:line="259" w:lineRule="auto"/>
        <w:contextualSpacing/>
        <w:rPr>
          <w:rFonts w:ascii="Calibri" w:hAnsi="Calibri" w:cs="Calibri"/>
          <w:bCs/>
          <w:color w:val="000000" w:themeColor="text1"/>
        </w:rPr>
      </w:pPr>
    </w:p>
    <w:p w14:paraId="7ACDB2B6" w14:textId="77777777" w:rsidR="00E630B7" w:rsidRPr="001C58C6" w:rsidRDefault="00E630B7" w:rsidP="00ED5DB4">
      <w:pPr>
        <w:spacing w:line="259" w:lineRule="auto"/>
        <w:contextualSpacing/>
        <w:rPr>
          <w:rFonts w:ascii="Calibri" w:hAnsi="Calibri" w:cs="Calibri"/>
          <w:bCs/>
          <w:i/>
          <w:iCs/>
          <w:color w:val="000000" w:themeColor="text1"/>
        </w:rPr>
      </w:pPr>
      <w:r w:rsidRPr="001C58C6">
        <w:rPr>
          <w:rFonts w:ascii="Calibri" w:hAnsi="Calibri" w:cs="Calibri"/>
          <w:bCs/>
          <w:i/>
          <w:iCs/>
          <w:color w:val="000000" w:themeColor="text1"/>
        </w:rPr>
        <w:t>Ciljevi Strategije</w:t>
      </w:r>
    </w:p>
    <w:p w14:paraId="404DE89A" w14:textId="77777777" w:rsidR="00ED5DB4" w:rsidRPr="001C58C6" w:rsidRDefault="00ED5DB4" w:rsidP="00ED5DB4">
      <w:pPr>
        <w:spacing w:line="259" w:lineRule="auto"/>
        <w:contextualSpacing/>
        <w:rPr>
          <w:rFonts w:ascii="Calibri" w:hAnsi="Calibri" w:cs="Calibri"/>
          <w:bCs/>
          <w:i/>
          <w:iCs/>
          <w:color w:val="000000" w:themeColor="text1"/>
        </w:rPr>
      </w:pPr>
    </w:p>
    <w:p w14:paraId="07E138C9" w14:textId="77777777" w:rsidR="00E630B7" w:rsidRPr="001C58C6" w:rsidRDefault="00E630B7" w:rsidP="00ED5DB4">
      <w:pPr>
        <w:spacing w:line="259" w:lineRule="auto"/>
        <w:contextualSpacing/>
        <w:rPr>
          <w:rFonts w:ascii="Calibri" w:hAnsi="Calibri" w:cs="Calibri"/>
          <w:bCs/>
          <w:color w:val="000000" w:themeColor="text1"/>
        </w:rPr>
      </w:pPr>
      <w:r w:rsidRPr="001C58C6">
        <w:rPr>
          <w:rFonts w:ascii="Calibri" w:hAnsi="Calibri" w:cs="Calibri"/>
          <w:bCs/>
          <w:color w:val="000000" w:themeColor="text1"/>
        </w:rPr>
        <w:t>Glavni cilj Strategije jeste poboljšanje kvaliteta vazduha u svim zonama kvaliteta vazduha u Crnoj Gori, uz istovremeno jačanje sistema praćenja, upravljanja i informisanja javnosti. Ovaj cilj se ostvaruje kroz:</w:t>
      </w:r>
    </w:p>
    <w:p w14:paraId="664C2C84" w14:textId="77777777" w:rsidR="00E630B7" w:rsidRPr="001C58C6" w:rsidRDefault="00E630B7" w:rsidP="00E53052">
      <w:pPr>
        <w:numPr>
          <w:ilvl w:val="0"/>
          <w:numId w:val="51"/>
        </w:numPr>
        <w:spacing w:line="259" w:lineRule="auto"/>
        <w:contextualSpacing/>
        <w:rPr>
          <w:rFonts w:ascii="Calibri" w:hAnsi="Calibri" w:cs="Calibri"/>
          <w:bCs/>
          <w:color w:val="000000" w:themeColor="text1"/>
        </w:rPr>
      </w:pPr>
      <w:r w:rsidRPr="001C58C6">
        <w:rPr>
          <w:rFonts w:ascii="Calibri" w:hAnsi="Calibri" w:cs="Calibri"/>
          <w:bCs/>
          <w:color w:val="000000" w:themeColor="text1"/>
        </w:rPr>
        <w:t>smanjenje koncentracija suspendovanih čestica PM10 i PM2.5 i sadržaja benzo(a)pirena u zonama sa prekoračenjima;</w:t>
      </w:r>
    </w:p>
    <w:p w14:paraId="1354B852" w14:textId="77777777" w:rsidR="00E630B7" w:rsidRPr="001C58C6" w:rsidRDefault="00E630B7" w:rsidP="00E53052">
      <w:pPr>
        <w:numPr>
          <w:ilvl w:val="0"/>
          <w:numId w:val="51"/>
        </w:numPr>
        <w:spacing w:line="259" w:lineRule="auto"/>
        <w:contextualSpacing/>
        <w:rPr>
          <w:rFonts w:ascii="Calibri" w:hAnsi="Calibri" w:cs="Calibri"/>
          <w:bCs/>
          <w:color w:val="000000" w:themeColor="text1"/>
        </w:rPr>
      </w:pPr>
      <w:r w:rsidRPr="001C58C6">
        <w:rPr>
          <w:rFonts w:ascii="Calibri" w:hAnsi="Calibri" w:cs="Calibri"/>
          <w:bCs/>
          <w:color w:val="000000" w:themeColor="text1"/>
        </w:rPr>
        <w:t>smanjenje emisija zagađujućih materija iz ključnih sektora, naročito grijanja domaćinstava, energetike i saobraćaja;</w:t>
      </w:r>
    </w:p>
    <w:p w14:paraId="342FD8A3" w14:textId="77777777" w:rsidR="00E630B7" w:rsidRPr="001C58C6" w:rsidRDefault="00E630B7" w:rsidP="00E53052">
      <w:pPr>
        <w:numPr>
          <w:ilvl w:val="0"/>
          <w:numId w:val="51"/>
        </w:numPr>
        <w:spacing w:line="259" w:lineRule="auto"/>
        <w:contextualSpacing/>
        <w:rPr>
          <w:rFonts w:ascii="Calibri" w:hAnsi="Calibri" w:cs="Calibri"/>
          <w:bCs/>
          <w:color w:val="000000" w:themeColor="text1"/>
        </w:rPr>
      </w:pPr>
      <w:r w:rsidRPr="001C58C6">
        <w:rPr>
          <w:rFonts w:ascii="Calibri" w:hAnsi="Calibri" w:cs="Calibri"/>
          <w:bCs/>
          <w:color w:val="000000" w:themeColor="text1"/>
        </w:rPr>
        <w:t>unapređenje sistema monitoringa kvaliteta vazduha i inventara emisija;</w:t>
      </w:r>
    </w:p>
    <w:p w14:paraId="2A96BD8F" w14:textId="77777777" w:rsidR="00E630B7" w:rsidRPr="001C58C6" w:rsidRDefault="00E630B7" w:rsidP="00E53052">
      <w:pPr>
        <w:numPr>
          <w:ilvl w:val="0"/>
          <w:numId w:val="51"/>
        </w:numPr>
        <w:spacing w:line="259" w:lineRule="auto"/>
        <w:contextualSpacing/>
        <w:rPr>
          <w:rFonts w:ascii="Calibri" w:hAnsi="Calibri" w:cs="Calibri"/>
          <w:bCs/>
          <w:color w:val="000000" w:themeColor="text1"/>
        </w:rPr>
      </w:pPr>
      <w:r w:rsidRPr="001C58C6">
        <w:rPr>
          <w:rFonts w:ascii="Calibri" w:hAnsi="Calibri" w:cs="Calibri"/>
          <w:bCs/>
          <w:color w:val="000000" w:themeColor="text1"/>
        </w:rPr>
        <w:t>postepeno usklađivanje sa novim, strožim standardima kvaliteta vazduha Evropske unije koji stupaju na snagu od 2030. godine.</w:t>
      </w:r>
    </w:p>
    <w:p w14:paraId="73F2D057" w14:textId="77777777" w:rsidR="00ED5DB4" w:rsidRPr="001C58C6" w:rsidRDefault="00ED5DB4" w:rsidP="00ED5DB4">
      <w:pPr>
        <w:spacing w:line="259" w:lineRule="auto"/>
        <w:contextualSpacing/>
        <w:rPr>
          <w:rFonts w:ascii="Calibri" w:hAnsi="Calibri" w:cs="Calibri"/>
          <w:bCs/>
          <w:color w:val="000000" w:themeColor="text1"/>
        </w:rPr>
      </w:pPr>
    </w:p>
    <w:p w14:paraId="452F9F0E" w14:textId="77777777" w:rsidR="00ED5DB4" w:rsidRPr="001C58C6" w:rsidRDefault="00ED5DB4" w:rsidP="00ED5DB4">
      <w:pPr>
        <w:spacing w:line="259" w:lineRule="auto"/>
        <w:contextualSpacing/>
        <w:rPr>
          <w:rFonts w:ascii="Calibri" w:hAnsi="Calibri" w:cs="Calibri"/>
          <w:bCs/>
          <w:color w:val="000000" w:themeColor="text1"/>
        </w:rPr>
      </w:pPr>
    </w:p>
    <w:p w14:paraId="4EF5A2E5" w14:textId="77777777" w:rsidR="00E630B7" w:rsidRPr="001C58C6" w:rsidRDefault="00E630B7" w:rsidP="00ED5DB4">
      <w:pPr>
        <w:spacing w:line="259" w:lineRule="auto"/>
        <w:contextualSpacing/>
        <w:rPr>
          <w:rFonts w:ascii="Calibri" w:hAnsi="Calibri" w:cs="Calibri"/>
          <w:bCs/>
          <w:color w:val="000000" w:themeColor="text1"/>
        </w:rPr>
      </w:pPr>
    </w:p>
    <w:p w14:paraId="4076F79E" w14:textId="77777777" w:rsidR="00342FEE" w:rsidRPr="001C58C6" w:rsidRDefault="00342FEE" w:rsidP="00ED5DB4">
      <w:pPr>
        <w:spacing w:line="259" w:lineRule="auto"/>
        <w:contextualSpacing/>
        <w:rPr>
          <w:rFonts w:ascii="Calibri" w:hAnsi="Calibri" w:cs="Calibri"/>
          <w:bCs/>
          <w:i/>
          <w:iCs/>
          <w:color w:val="000000" w:themeColor="text1"/>
        </w:rPr>
      </w:pPr>
    </w:p>
    <w:p w14:paraId="2F064CBB" w14:textId="77777777" w:rsidR="00E630B7" w:rsidRPr="001C58C6" w:rsidRDefault="00E630B7" w:rsidP="00ED5DB4">
      <w:pPr>
        <w:spacing w:line="259" w:lineRule="auto"/>
        <w:contextualSpacing/>
        <w:rPr>
          <w:rFonts w:ascii="Calibri" w:hAnsi="Calibri" w:cs="Calibri"/>
          <w:bCs/>
          <w:i/>
          <w:iCs/>
          <w:color w:val="000000" w:themeColor="text1"/>
        </w:rPr>
      </w:pPr>
      <w:r w:rsidRPr="001C58C6">
        <w:rPr>
          <w:rFonts w:ascii="Calibri" w:hAnsi="Calibri" w:cs="Calibri"/>
          <w:bCs/>
          <w:i/>
          <w:iCs/>
          <w:color w:val="000000" w:themeColor="text1"/>
        </w:rPr>
        <w:lastRenderedPageBreak/>
        <w:t>Očekivane koristi za građane</w:t>
      </w:r>
    </w:p>
    <w:p w14:paraId="1FBA5DBB" w14:textId="77777777" w:rsidR="00ED5DB4" w:rsidRPr="001C58C6" w:rsidRDefault="00ED5DB4" w:rsidP="00ED5DB4">
      <w:pPr>
        <w:spacing w:line="259" w:lineRule="auto"/>
        <w:contextualSpacing/>
        <w:rPr>
          <w:rFonts w:ascii="Calibri" w:hAnsi="Calibri" w:cs="Calibri"/>
          <w:bCs/>
          <w:i/>
          <w:iCs/>
          <w:color w:val="000000" w:themeColor="text1"/>
        </w:rPr>
      </w:pPr>
    </w:p>
    <w:p w14:paraId="4BAA8076" w14:textId="77777777" w:rsidR="00E630B7" w:rsidRPr="001C58C6" w:rsidRDefault="00E630B7" w:rsidP="00ED5DB4">
      <w:pPr>
        <w:spacing w:line="259" w:lineRule="auto"/>
        <w:contextualSpacing/>
        <w:rPr>
          <w:rFonts w:ascii="Calibri" w:hAnsi="Calibri" w:cs="Calibri"/>
          <w:bCs/>
          <w:color w:val="000000" w:themeColor="text1"/>
        </w:rPr>
      </w:pPr>
      <w:r w:rsidRPr="001C58C6">
        <w:rPr>
          <w:rFonts w:ascii="Calibri" w:hAnsi="Calibri" w:cs="Calibri"/>
          <w:bCs/>
          <w:color w:val="000000" w:themeColor="text1"/>
        </w:rPr>
        <w:t>Sprovođenjem Strategije očekuju se višestruke koristi za građane i društvo u cjelini, među kojima se izdvajaju:</w:t>
      </w:r>
    </w:p>
    <w:p w14:paraId="670F0B2D" w14:textId="77777777" w:rsidR="00E630B7" w:rsidRPr="001C58C6" w:rsidRDefault="00E630B7" w:rsidP="00E53052">
      <w:pPr>
        <w:pStyle w:val="ListParagraph"/>
        <w:numPr>
          <w:ilvl w:val="0"/>
          <w:numId w:val="52"/>
        </w:numPr>
        <w:rPr>
          <w:rFonts w:ascii="Calibri" w:hAnsi="Calibri" w:cs="Calibri"/>
          <w:bCs/>
          <w:color w:val="000000" w:themeColor="text1"/>
        </w:rPr>
      </w:pPr>
      <w:r w:rsidRPr="001C58C6">
        <w:rPr>
          <w:rFonts w:ascii="Calibri" w:hAnsi="Calibri" w:cs="Calibri"/>
          <w:bCs/>
          <w:color w:val="000000" w:themeColor="text1"/>
        </w:rPr>
        <w:t>smanjenje broja dana sa prekomjerno zagađenim vazduhom, posebno tokom zimskog perioda;</w:t>
      </w:r>
    </w:p>
    <w:p w14:paraId="472CB528" w14:textId="77777777" w:rsidR="00E630B7" w:rsidRPr="001C58C6" w:rsidRDefault="00E630B7" w:rsidP="00E53052">
      <w:pPr>
        <w:pStyle w:val="ListParagraph"/>
        <w:numPr>
          <w:ilvl w:val="0"/>
          <w:numId w:val="52"/>
        </w:numPr>
        <w:rPr>
          <w:rFonts w:ascii="Calibri" w:hAnsi="Calibri" w:cs="Calibri"/>
          <w:bCs/>
          <w:color w:val="000000" w:themeColor="text1"/>
        </w:rPr>
      </w:pPr>
      <w:r w:rsidRPr="001C58C6">
        <w:rPr>
          <w:rFonts w:ascii="Calibri" w:hAnsi="Calibri" w:cs="Calibri"/>
          <w:bCs/>
          <w:color w:val="000000" w:themeColor="text1"/>
        </w:rPr>
        <w:t>poboljšanje zdravstvenog stanja stanovništva i smanjenje rizika od bolesti povezanih sa zagađenjem vazduha;</w:t>
      </w:r>
    </w:p>
    <w:p w14:paraId="192EAA62" w14:textId="77777777" w:rsidR="00E630B7" w:rsidRPr="001C58C6" w:rsidRDefault="00E630B7" w:rsidP="00E53052">
      <w:pPr>
        <w:pStyle w:val="ListParagraph"/>
        <w:numPr>
          <w:ilvl w:val="0"/>
          <w:numId w:val="52"/>
        </w:numPr>
        <w:rPr>
          <w:rFonts w:ascii="Calibri" w:hAnsi="Calibri" w:cs="Calibri"/>
          <w:bCs/>
          <w:color w:val="000000" w:themeColor="text1"/>
        </w:rPr>
      </w:pPr>
      <w:r w:rsidRPr="001C58C6">
        <w:rPr>
          <w:rFonts w:ascii="Calibri" w:hAnsi="Calibri" w:cs="Calibri"/>
          <w:bCs/>
          <w:color w:val="000000" w:themeColor="text1"/>
        </w:rPr>
        <w:t>dugoročno smanjenje troškova zdravstvenog sistema;</w:t>
      </w:r>
    </w:p>
    <w:p w14:paraId="2E4B25D4" w14:textId="77777777" w:rsidR="00E630B7" w:rsidRPr="001C58C6" w:rsidRDefault="00E630B7" w:rsidP="00E53052">
      <w:pPr>
        <w:pStyle w:val="ListParagraph"/>
        <w:numPr>
          <w:ilvl w:val="0"/>
          <w:numId w:val="52"/>
        </w:numPr>
        <w:rPr>
          <w:rFonts w:ascii="Calibri" w:hAnsi="Calibri" w:cs="Calibri"/>
          <w:bCs/>
          <w:color w:val="000000" w:themeColor="text1"/>
        </w:rPr>
      </w:pPr>
      <w:r w:rsidRPr="001C58C6">
        <w:rPr>
          <w:rFonts w:ascii="Calibri" w:hAnsi="Calibri" w:cs="Calibri"/>
          <w:bCs/>
          <w:color w:val="000000" w:themeColor="text1"/>
        </w:rPr>
        <w:t>unapređenje kvaliteta života i atraktivnosti urbanih sredina;</w:t>
      </w:r>
    </w:p>
    <w:p w14:paraId="13F700A6" w14:textId="77777777" w:rsidR="00E630B7" w:rsidRPr="001C58C6" w:rsidRDefault="00E630B7" w:rsidP="00E53052">
      <w:pPr>
        <w:pStyle w:val="ListParagraph"/>
        <w:numPr>
          <w:ilvl w:val="0"/>
          <w:numId w:val="52"/>
        </w:numPr>
        <w:rPr>
          <w:rFonts w:ascii="Calibri" w:hAnsi="Calibri" w:cs="Calibri"/>
          <w:bCs/>
          <w:color w:val="000000" w:themeColor="text1"/>
        </w:rPr>
      </w:pPr>
      <w:r w:rsidRPr="001C58C6">
        <w:rPr>
          <w:rFonts w:ascii="Calibri" w:hAnsi="Calibri" w:cs="Calibri"/>
          <w:bCs/>
          <w:color w:val="000000" w:themeColor="text1"/>
        </w:rPr>
        <w:t>bolja informisanost građana i pravovremena upozorenja u slučajevima povećanog zagađenja;</w:t>
      </w:r>
    </w:p>
    <w:p w14:paraId="05E0907D" w14:textId="77777777" w:rsidR="00E630B7" w:rsidRPr="001C58C6" w:rsidRDefault="00E630B7" w:rsidP="00E53052">
      <w:pPr>
        <w:pStyle w:val="ListParagraph"/>
        <w:numPr>
          <w:ilvl w:val="0"/>
          <w:numId w:val="52"/>
        </w:numPr>
        <w:rPr>
          <w:rFonts w:ascii="Calibri" w:hAnsi="Calibri" w:cs="Calibri"/>
          <w:bCs/>
          <w:color w:val="000000" w:themeColor="text1"/>
        </w:rPr>
      </w:pPr>
      <w:r w:rsidRPr="001C58C6">
        <w:rPr>
          <w:rFonts w:ascii="Calibri" w:hAnsi="Calibri" w:cs="Calibri"/>
          <w:bCs/>
          <w:color w:val="000000" w:themeColor="text1"/>
        </w:rPr>
        <w:t>jačanje povjerenja javnosti u rad institucija i sprovođenje politika zaštite životne sredine.</w:t>
      </w:r>
    </w:p>
    <w:p w14:paraId="1313B706" w14:textId="77777777" w:rsidR="006D28F2" w:rsidRDefault="006D28F2" w:rsidP="006D28F2">
      <w:pPr>
        <w:pStyle w:val="ListParagraph"/>
        <w:ind w:left="0"/>
        <w:rPr>
          <w:rFonts w:ascii="Calibri" w:hAnsi="Calibri" w:cs="Calibri"/>
          <w:bCs/>
          <w:color w:val="000000" w:themeColor="text1"/>
        </w:rPr>
      </w:pPr>
    </w:p>
    <w:p w14:paraId="766109B7" w14:textId="77777777" w:rsidR="006D28F2" w:rsidRPr="006D28F2" w:rsidRDefault="006D28F2" w:rsidP="006D28F2">
      <w:pPr>
        <w:pStyle w:val="ListParagraph"/>
        <w:ind w:left="0"/>
        <w:rPr>
          <w:rFonts w:ascii="Calibri" w:hAnsi="Calibri" w:cs="Calibri"/>
          <w:bCs/>
          <w:color w:val="000000" w:themeColor="text1"/>
        </w:rPr>
      </w:pPr>
      <w:r w:rsidRPr="006D28F2">
        <w:rPr>
          <w:rFonts w:ascii="Calibri" w:hAnsi="Calibri" w:cs="Calibri"/>
          <w:bCs/>
          <w:color w:val="000000" w:themeColor="text1"/>
        </w:rPr>
        <w:t>Mjere iz Akcionog plana imaju direktan uticaj na energetski sektor, građevinarstvo, transport, poljoprivredu i lokalne usluge. U energetici se očekuju značajne investicije i modernizacija, naročito kroz rekonstrukciju TE Pljevlja, razvoj daljinskog grijanja, obnovljive izvore energije i projekte malih hidroelektrana. U građevinarstvu i industriji mjere energetske efikasnosti otvaraju tržište za izvođače radova, instalatere i proizvođače opreme. U transportu se očekuje potreba ulaganja u e-mobilnost i prilagođavanje logističkih modela, dok će poljoprivredni sektor imati dodatne zahtjeve u vezi sa upravljanjem emisijama amonijaka. Pozitivni efekti ogledaju se u modernizaciji, uštedama energije, novim zelenim tržišnim prilikama i zapošljavanju, dok se negativni efekti mogu ogledati u troškovima prilagođavanja za pojedine privredne subjekte.</w:t>
      </w:r>
    </w:p>
    <w:p w14:paraId="03BE9597" w14:textId="77777777" w:rsidR="00ED5DB4" w:rsidRDefault="006D28F2" w:rsidP="006D28F2">
      <w:pPr>
        <w:pStyle w:val="ListParagraph"/>
        <w:ind w:left="0"/>
        <w:rPr>
          <w:rFonts w:ascii="Calibri" w:hAnsi="Calibri" w:cs="Calibri"/>
          <w:bCs/>
          <w:color w:val="000000" w:themeColor="text1"/>
        </w:rPr>
      </w:pPr>
      <w:r w:rsidRPr="006D28F2">
        <w:rPr>
          <w:rFonts w:ascii="Calibri" w:hAnsi="Calibri" w:cs="Calibri"/>
          <w:bCs/>
          <w:color w:val="000000" w:themeColor="text1"/>
        </w:rPr>
        <w:t>Strategija ne stvara nove biznis barijere, ali može predstavljati određeno administrativno opterećenje, naročito za jedinice lokalne samouprave u dijelu koordinacije primjene i izvještavanja o sprovedenim mjerama. Pozitivne posljedice poboljšanja kvaliteta vazduha, uključujući koristi za zdravlje ljudi, životnu sredinu, produktivnost i energetsku efikasnost, opravdavaju troškove sprovođenja mjera.</w:t>
      </w:r>
    </w:p>
    <w:p w14:paraId="417D68BE" w14:textId="77777777" w:rsidR="006D28F2" w:rsidRPr="001C58C6" w:rsidRDefault="006D28F2" w:rsidP="006D28F2">
      <w:pPr>
        <w:pStyle w:val="ListParagraph"/>
        <w:ind w:left="0"/>
        <w:rPr>
          <w:rFonts w:ascii="Calibri" w:hAnsi="Calibri" w:cs="Calibri"/>
          <w:bCs/>
          <w:color w:val="000000" w:themeColor="text1"/>
        </w:rPr>
      </w:pPr>
    </w:p>
    <w:p w14:paraId="03282548" w14:textId="77777777" w:rsidR="00E630B7" w:rsidRPr="001C58C6" w:rsidRDefault="00E630B7" w:rsidP="00ED5DB4">
      <w:pPr>
        <w:spacing w:line="259" w:lineRule="auto"/>
        <w:contextualSpacing/>
        <w:rPr>
          <w:rFonts w:ascii="Calibri" w:hAnsi="Calibri" w:cs="Calibri"/>
          <w:bCs/>
          <w:i/>
          <w:iCs/>
          <w:color w:val="000000" w:themeColor="text1"/>
        </w:rPr>
      </w:pPr>
      <w:r w:rsidRPr="001C58C6">
        <w:rPr>
          <w:rFonts w:ascii="Calibri" w:hAnsi="Calibri" w:cs="Calibri"/>
          <w:bCs/>
          <w:i/>
          <w:iCs/>
          <w:color w:val="000000" w:themeColor="text1"/>
        </w:rPr>
        <w:t>Očekivani učinci u periodu važenja Strategije</w:t>
      </w:r>
    </w:p>
    <w:p w14:paraId="362AEFFB" w14:textId="77777777" w:rsidR="00ED5DB4" w:rsidRPr="001C58C6" w:rsidRDefault="00ED5DB4" w:rsidP="00ED5DB4">
      <w:pPr>
        <w:spacing w:line="259" w:lineRule="auto"/>
        <w:contextualSpacing/>
        <w:rPr>
          <w:rFonts w:ascii="Calibri" w:hAnsi="Calibri" w:cs="Calibri"/>
          <w:bCs/>
          <w:i/>
          <w:iCs/>
          <w:color w:val="000000" w:themeColor="text1"/>
        </w:rPr>
      </w:pPr>
    </w:p>
    <w:p w14:paraId="28454C33" w14:textId="77777777" w:rsidR="00E630B7" w:rsidRPr="001C58C6" w:rsidRDefault="00E630B7" w:rsidP="00ED5DB4">
      <w:pPr>
        <w:spacing w:line="259" w:lineRule="auto"/>
        <w:contextualSpacing/>
        <w:rPr>
          <w:rFonts w:ascii="Calibri" w:hAnsi="Calibri" w:cs="Calibri"/>
          <w:bCs/>
          <w:color w:val="000000" w:themeColor="text1"/>
        </w:rPr>
      </w:pPr>
      <w:r w:rsidRPr="001C58C6">
        <w:rPr>
          <w:rFonts w:ascii="Calibri" w:hAnsi="Calibri" w:cs="Calibri"/>
          <w:bCs/>
          <w:color w:val="000000" w:themeColor="text1"/>
        </w:rPr>
        <w:t>U periodu 2026–2029. godine očekuje se:</w:t>
      </w:r>
    </w:p>
    <w:p w14:paraId="05890D1C" w14:textId="77777777" w:rsidR="00E630B7" w:rsidRPr="001C58C6" w:rsidRDefault="00E630B7" w:rsidP="00E53052">
      <w:pPr>
        <w:pStyle w:val="ListParagraph"/>
        <w:numPr>
          <w:ilvl w:val="0"/>
          <w:numId w:val="53"/>
        </w:numPr>
        <w:rPr>
          <w:rFonts w:ascii="Calibri" w:hAnsi="Calibri" w:cs="Calibri"/>
          <w:bCs/>
          <w:color w:val="000000" w:themeColor="text1"/>
        </w:rPr>
      </w:pPr>
      <w:r w:rsidRPr="001C58C6">
        <w:rPr>
          <w:rFonts w:ascii="Calibri" w:hAnsi="Calibri" w:cs="Calibri"/>
          <w:bCs/>
          <w:color w:val="000000" w:themeColor="text1"/>
        </w:rPr>
        <w:t>nastavak trenda smanjenja koncentracija suspendovanih čestica PM10 i PM2.5 u sjevernoj i centralnoj zoni kvaliteta vazduha;</w:t>
      </w:r>
    </w:p>
    <w:p w14:paraId="75C890B5" w14:textId="77777777" w:rsidR="00E630B7" w:rsidRPr="001C58C6" w:rsidRDefault="00E630B7" w:rsidP="00E53052">
      <w:pPr>
        <w:pStyle w:val="ListParagraph"/>
        <w:numPr>
          <w:ilvl w:val="0"/>
          <w:numId w:val="53"/>
        </w:numPr>
        <w:rPr>
          <w:rFonts w:ascii="Calibri" w:hAnsi="Calibri" w:cs="Calibri"/>
          <w:bCs/>
          <w:color w:val="000000" w:themeColor="text1"/>
        </w:rPr>
      </w:pPr>
      <w:r w:rsidRPr="001C58C6">
        <w:rPr>
          <w:rFonts w:ascii="Calibri" w:hAnsi="Calibri" w:cs="Calibri"/>
          <w:bCs/>
          <w:color w:val="000000" w:themeColor="text1"/>
        </w:rPr>
        <w:t>postepeno smanjenje sadržaja benzo(a)pirena u suspendovanim česticama;</w:t>
      </w:r>
    </w:p>
    <w:p w14:paraId="2A647008" w14:textId="77777777" w:rsidR="00E630B7" w:rsidRPr="001C58C6" w:rsidRDefault="00E630B7" w:rsidP="00E53052">
      <w:pPr>
        <w:pStyle w:val="ListParagraph"/>
        <w:numPr>
          <w:ilvl w:val="0"/>
          <w:numId w:val="53"/>
        </w:numPr>
        <w:rPr>
          <w:rFonts w:ascii="Calibri" w:hAnsi="Calibri" w:cs="Calibri"/>
          <w:bCs/>
          <w:color w:val="000000" w:themeColor="text1"/>
        </w:rPr>
      </w:pPr>
      <w:r w:rsidRPr="001C58C6">
        <w:rPr>
          <w:rFonts w:ascii="Calibri" w:hAnsi="Calibri" w:cs="Calibri"/>
          <w:bCs/>
          <w:color w:val="000000" w:themeColor="text1"/>
        </w:rPr>
        <w:t xml:space="preserve">smanjenje emisija sumpor-dioksida, oksida azota, amonijaka, isparljivih organskih jedinjenja i suspendovanih čestica; </w:t>
      </w:r>
    </w:p>
    <w:p w14:paraId="6A2ABB8B" w14:textId="77777777" w:rsidR="00E630B7" w:rsidRPr="001C58C6" w:rsidRDefault="00E630B7" w:rsidP="00E53052">
      <w:pPr>
        <w:pStyle w:val="ListParagraph"/>
        <w:numPr>
          <w:ilvl w:val="0"/>
          <w:numId w:val="53"/>
        </w:numPr>
        <w:rPr>
          <w:rFonts w:ascii="Calibri" w:hAnsi="Calibri" w:cs="Calibri"/>
          <w:bCs/>
          <w:color w:val="000000" w:themeColor="text1"/>
        </w:rPr>
      </w:pPr>
      <w:r w:rsidRPr="001C58C6">
        <w:rPr>
          <w:rFonts w:ascii="Calibri" w:hAnsi="Calibri" w:cs="Calibri"/>
          <w:bCs/>
          <w:color w:val="000000" w:themeColor="text1"/>
        </w:rPr>
        <w:t>jačanje institucionalnih i tehničkih kapaciteta za praćenje i upravljanje kvalitetom vazduha;</w:t>
      </w:r>
    </w:p>
    <w:p w14:paraId="0469BF22" w14:textId="77777777" w:rsidR="00E630B7" w:rsidRPr="001C58C6" w:rsidRDefault="00E630B7" w:rsidP="00E53052">
      <w:pPr>
        <w:pStyle w:val="ListParagraph"/>
        <w:numPr>
          <w:ilvl w:val="0"/>
          <w:numId w:val="53"/>
        </w:numPr>
        <w:rPr>
          <w:rFonts w:ascii="Calibri" w:hAnsi="Calibri" w:cs="Calibri"/>
          <w:bCs/>
          <w:color w:val="000000" w:themeColor="text1"/>
        </w:rPr>
      </w:pPr>
      <w:r w:rsidRPr="001C58C6">
        <w:rPr>
          <w:rFonts w:ascii="Calibri" w:hAnsi="Calibri" w:cs="Calibri"/>
          <w:bCs/>
          <w:color w:val="000000" w:themeColor="text1"/>
        </w:rPr>
        <w:t>unapređenje kvaliteta i dostupnosti podataka o kvalitetu vazduha i emisijama zagađujućih materija;</w:t>
      </w:r>
    </w:p>
    <w:p w14:paraId="67D62396" w14:textId="77777777" w:rsidR="00E630B7" w:rsidRPr="001C58C6" w:rsidRDefault="00E630B7" w:rsidP="00E53052">
      <w:pPr>
        <w:pStyle w:val="ListParagraph"/>
        <w:numPr>
          <w:ilvl w:val="0"/>
          <w:numId w:val="53"/>
        </w:numPr>
        <w:rPr>
          <w:rFonts w:ascii="Calibri" w:hAnsi="Calibri" w:cs="Calibri"/>
          <w:bCs/>
          <w:color w:val="000000" w:themeColor="text1"/>
        </w:rPr>
      </w:pPr>
      <w:r w:rsidRPr="001C58C6">
        <w:rPr>
          <w:rFonts w:ascii="Calibri" w:hAnsi="Calibri" w:cs="Calibri"/>
          <w:bCs/>
          <w:color w:val="000000" w:themeColor="text1"/>
        </w:rPr>
        <w:t>bolja koordinacija između nacionalnog i lokalnog nivoa u sprovođenju mjera.</w:t>
      </w:r>
    </w:p>
    <w:p w14:paraId="1D202017" w14:textId="77777777" w:rsidR="00ED5DB4" w:rsidRPr="001C58C6" w:rsidRDefault="00ED5DB4" w:rsidP="00ED5DB4">
      <w:pPr>
        <w:spacing w:line="259" w:lineRule="auto"/>
        <w:contextualSpacing/>
        <w:rPr>
          <w:rFonts w:ascii="Calibri" w:hAnsi="Calibri" w:cs="Calibri"/>
          <w:bCs/>
          <w:color w:val="000000" w:themeColor="text1"/>
        </w:rPr>
      </w:pPr>
    </w:p>
    <w:p w14:paraId="747BC9B9" w14:textId="77777777" w:rsidR="00E630B7" w:rsidRPr="001C58C6" w:rsidRDefault="00E630B7" w:rsidP="00ED5DB4">
      <w:pPr>
        <w:spacing w:line="259" w:lineRule="auto"/>
        <w:contextualSpacing/>
        <w:rPr>
          <w:rFonts w:ascii="Calibri" w:hAnsi="Calibri" w:cs="Calibri"/>
          <w:bCs/>
          <w:color w:val="000000" w:themeColor="text1"/>
        </w:rPr>
      </w:pPr>
      <w:r w:rsidRPr="001C58C6">
        <w:rPr>
          <w:rFonts w:ascii="Calibri" w:hAnsi="Calibri" w:cs="Calibri"/>
          <w:bCs/>
          <w:color w:val="000000" w:themeColor="text1"/>
        </w:rPr>
        <w:lastRenderedPageBreak/>
        <w:t>Imajući u vidu složenost problema i socio-ekonomske okolnosti, Strategija predstavlja realan fazni pristup ka postizanju dugoročnih ciljeva zaštite vazduha i zdravlja ljudi.</w:t>
      </w:r>
    </w:p>
    <w:p w14:paraId="4BF6C753" w14:textId="77777777" w:rsidR="00ED5DB4" w:rsidRPr="001C58C6" w:rsidRDefault="00ED5DB4" w:rsidP="00ED5DB4">
      <w:pPr>
        <w:spacing w:line="259" w:lineRule="auto"/>
        <w:contextualSpacing/>
        <w:rPr>
          <w:rFonts w:ascii="Calibri" w:hAnsi="Calibri" w:cs="Calibri"/>
          <w:bCs/>
          <w:color w:val="000000" w:themeColor="text1"/>
        </w:rPr>
      </w:pPr>
    </w:p>
    <w:p w14:paraId="5549A493" w14:textId="77777777" w:rsidR="00E630B7" w:rsidRPr="001C58C6" w:rsidRDefault="00E630B7" w:rsidP="00ED5DB4">
      <w:pPr>
        <w:spacing w:line="259" w:lineRule="auto"/>
        <w:contextualSpacing/>
        <w:rPr>
          <w:rFonts w:ascii="Calibri" w:hAnsi="Calibri" w:cs="Calibri"/>
          <w:bCs/>
          <w:i/>
          <w:iCs/>
          <w:color w:val="000000" w:themeColor="text1"/>
        </w:rPr>
      </w:pPr>
      <w:r w:rsidRPr="001C58C6">
        <w:rPr>
          <w:rFonts w:ascii="Calibri" w:hAnsi="Calibri" w:cs="Calibri"/>
          <w:bCs/>
          <w:i/>
          <w:iCs/>
          <w:color w:val="000000" w:themeColor="text1"/>
        </w:rPr>
        <w:t>Uloga građana u sprovođenju Strategije</w:t>
      </w:r>
    </w:p>
    <w:p w14:paraId="053B8B0D" w14:textId="77777777" w:rsidR="00ED5DB4" w:rsidRPr="001C58C6" w:rsidRDefault="00ED5DB4" w:rsidP="00ED5DB4">
      <w:pPr>
        <w:spacing w:line="259" w:lineRule="auto"/>
        <w:contextualSpacing/>
        <w:rPr>
          <w:rFonts w:ascii="Calibri" w:hAnsi="Calibri" w:cs="Calibri"/>
          <w:bCs/>
          <w:i/>
          <w:iCs/>
          <w:color w:val="000000" w:themeColor="text1"/>
        </w:rPr>
      </w:pPr>
    </w:p>
    <w:p w14:paraId="5852178F" w14:textId="77777777" w:rsidR="00E630B7" w:rsidRPr="006D28F2" w:rsidRDefault="00E630B7" w:rsidP="00ED5DB4">
      <w:pPr>
        <w:spacing w:line="259" w:lineRule="auto"/>
        <w:contextualSpacing/>
        <w:rPr>
          <w:rFonts w:ascii="Calibri" w:hAnsi="Calibri" w:cs="Calibri"/>
          <w:bCs/>
          <w:color w:val="000000" w:themeColor="text1"/>
        </w:rPr>
      </w:pPr>
      <w:r w:rsidRPr="006D28F2">
        <w:rPr>
          <w:rFonts w:ascii="Calibri" w:hAnsi="Calibri" w:cs="Calibri"/>
          <w:color w:val="000000" w:themeColor="text1"/>
        </w:rPr>
        <w:t>Građani i građanke mogu doprinijeti unapređenju kvaliteta vazduha kroz:</w:t>
      </w:r>
    </w:p>
    <w:p w14:paraId="605EBEBC" w14:textId="77777777" w:rsidR="00E630B7" w:rsidRPr="001C58C6" w:rsidRDefault="00E630B7" w:rsidP="00E53052">
      <w:pPr>
        <w:pStyle w:val="ListParagraph"/>
        <w:numPr>
          <w:ilvl w:val="0"/>
          <w:numId w:val="54"/>
        </w:numPr>
        <w:rPr>
          <w:rFonts w:ascii="Calibri" w:hAnsi="Calibri" w:cs="Calibri"/>
          <w:bCs/>
          <w:color w:val="000000" w:themeColor="text1"/>
        </w:rPr>
      </w:pPr>
      <w:r w:rsidRPr="001C58C6">
        <w:rPr>
          <w:rFonts w:ascii="Calibri" w:hAnsi="Calibri" w:cs="Calibri"/>
          <w:bCs/>
          <w:color w:val="000000" w:themeColor="text1"/>
        </w:rPr>
        <w:t>racionalno korišćenje energije i prelazak na čistije vidove grijanja gdje god je to moguće;</w:t>
      </w:r>
    </w:p>
    <w:p w14:paraId="2DC820D1" w14:textId="77777777" w:rsidR="00E630B7" w:rsidRPr="001C58C6" w:rsidRDefault="00E630B7" w:rsidP="00E53052">
      <w:pPr>
        <w:pStyle w:val="ListParagraph"/>
        <w:numPr>
          <w:ilvl w:val="0"/>
          <w:numId w:val="54"/>
        </w:numPr>
        <w:rPr>
          <w:rFonts w:ascii="Calibri" w:hAnsi="Calibri" w:cs="Calibri"/>
          <w:bCs/>
          <w:color w:val="000000" w:themeColor="text1"/>
        </w:rPr>
      </w:pPr>
      <w:r w:rsidRPr="001C58C6">
        <w:rPr>
          <w:rFonts w:ascii="Calibri" w:hAnsi="Calibri" w:cs="Calibri"/>
          <w:bCs/>
          <w:color w:val="000000" w:themeColor="text1"/>
        </w:rPr>
        <w:t>smanjenje individualne upotrebe motornih vozila i korišćenje javnog prevoza ili održivih oblika mobilnosti;</w:t>
      </w:r>
    </w:p>
    <w:p w14:paraId="719FC8B1" w14:textId="77777777" w:rsidR="00E630B7" w:rsidRPr="001C58C6" w:rsidRDefault="00E630B7" w:rsidP="00E53052">
      <w:pPr>
        <w:pStyle w:val="ListParagraph"/>
        <w:numPr>
          <w:ilvl w:val="0"/>
          <w:numId w:val="54"/>
        </w:numPr>
        <w:rPr>
          <w:rFonts w:ascii="Calibri" w:hAnsi="Calibri" w:cs="Calibri"/>
          <w:bCs/>
          <w:color w:val="000000" w:themeColor="text1"/>
        </w:rPr>
      </w:pPr>
      <w:r w:rsidRPr="001C58C6">
        <w:rPr>
          <w:rFonts w:ascii="Calibri" w:hAnsi="Calibri" w:cs="Calibri"/>
          <w:bCs/>
          <w:color w:val="000000" w:themeColor="text1"/>
        </w:rPr>
        <w:t>praćenje informacija o kvalitetu vazduha putem zvaničnih kanala;</w:t>
      </w:r>
    </w:p>
    <w:p w14:paraId="19E3152E" w14:textId="77777777" w:rsidR="00E630B7" w:rsidRPr="001C58C6" w:rsidRDefault="00E630B7" w:rsidP="00E53052">
      <w:pPr>
        <w:pStyle w:val="ListParagraph"/>
        <w:numPr>
          <w:ilvl w:val="0"/>
          <w:numId w:val="54"/>
        </w:numPr>
        <w:rPr>
          <w:rFonts w:ascii="Calibri" w:hAnsi="Calibri" w:cs="Calibri"/>
          <w:bCs/>
          <w:color w:val="000000" w:themeColor="text1"/>
        </w:rPr>
      </w:pPr>
      <w:r w:rsidRPr="001C58C6">
        <w:rPr>
          <w:rFonts w:ascii="Calibri" w:hAnsi="Calibri" w:cs="Calibri"/>
          <w:bCs/>
          <w:color w:val="000000" w:themeColor="text1"/>
        </w:rPr>
        <w:t>učešće u javnim raspravama i lokalnim inicijativama vezanim za zaštitu vazduha.</w:t>
      </w:r>
    </w:p>
    <w:p w14:paraId="37B04853" w14:textId="77777777" w:rsidR="00ED5DB4" w:rsidRPr="001C58C6" w:rsidRDefault="00ED5DB4" w:rsidP="00ED5DB4">
      <w:pPr>
        <w:pStyle w:val="ListParagraph"/>
        <w:ind w:left="1080"/>
        <w:rPr>
          <w:rFonts w:ascii="Calibri" w:hAnsi="Calibri" w:cs="Calibri"/>
          <w:bCs/>
          <w:color w:val="000000" w:themeColor="text1"/>
        </w:rPr>
      </w:pPr>
    </w:p>
    <w:p w14:paraId="771F4AE2" w14:textId="77777777" w:rsidR="00E630B7" w:rsidRPr="001C58C6" w:rsidRDefault="00E630B7" w:rsidP="00ED5DB4">
      <w:pPr>
        <w:spacing w:line="259" w:lineRule="auto"/>
        <w:contextualSpacing/>
        <w:rPr>
          <w:rFonts w:ascii="Calibri" w:hAnsi="Calibri" w:cs="Calibri"/>
          <w:bCs/>
          <w:i/>
          <w:iCs/>
          <w:color w:val="000000" w:themeColor="text1"/>
        </w:rPr>
      </w:pPr>
      <w:r w:rsidRPr="001C58C6">
        <w:rPr>
          <w:rFonts w:ascii="Calibri" w:hAnsi="Calibri" w:cs="Calibri"/>
          <w:bCs/>
          <w:i/>
          <w:iCs/>
          <w:color w:val="000000" w:themeColor="text1"/>
        </w:rPr>
        <w:t>Transparentnost i informisanje javnosti</w:t>
      </w:r>
    </w:p>
    <w:p w14:paraId="0688BDC3" w14:textId="77777777" w:rsidR="00ED5DB4" w:rsidRPr="001C58C6" w:rsidRDefault="00ED5DB4" w:rsidP="00ED5DB4">
      <w:pPr>
        <w:spacing w:line="259" w:lineRule="auto"/>
        <w:contextualSpacing/>
        <w:rPr>
          <w:rFonts w:ascii="Calibri" w:hAnsi="Calibri" w:cs="Calibri"/>
          <w:bCs/>
          <w:i/>
          <w:iCs/>
          <w:color w:val="000000" w:themeColor="text1"/>
        </w:rPr>
      </w:pPr>
    </w:p>
    <w:p w14:paraId="46E4867B" w14:textId="77777777" w:rsidR="00E630B7" w:rsidRPr="001C58C6" w:rsidRDefault="00E630B7" w:rsidP="00ED5DB4">
      <w:pPr>
        <w:spacing w:line="259" w:lineRule="auto"/>
        <w:contextualSpacing/>
        <w:rPr>
          <w:rFonts w:ascii="Calibri" w:hAnsi="Calibri" w:cs="Calibri"/>
          <w:bCs/>
          <w:color w:val="000000" w:themeColor="text1"/>
        </w:rPr>
      </w:pPr>
      <w:r w:rsidRPr="001C58C6">
        <w:rPr>
          <w:rFonts w:ascii="Calibri" w:hAnsi="Calibri" w:cs="Calibri"/>
          <w:bCs/>
          <w:color w:val="000000" w:themeColor="text1"/>
        </w:rPr>
        <w:t>Podaci o kvalitetu vazduha u Crnoj Gori dostupni su javnosti u realnom vremenu putem internet stranice Agencije za zaštitu životne sredine, kao i kroz redovne izvještaje i saopštenja nadležnih institucija. Izvještaji o sprovođenju Strategije biće javno dostupni, čime se obezbjeđuje transparentnost i mogućnost praćenja ostvarenih rezultata.</w:t>
      </w:r>
    </w:p>
    <w:p w14:paraId="4807EFB4" w14:textId="77777777" w:rsidR="00E630B7" w:rsidRPr="001C58C6" w:rsidRDefault="00E630B7" w:rsidP="00ED5DB4">
      <w:pPr>
        <w:spacing w:line="259" w:lineRule="auto"/>
        <w:contextualSpacing/>
        <w:rPr>
          <w:rFonts w:ascii="Calibri" w:hAnsi="Calibri" w:cs="Calibri"/>
          <w:bCs/>
          <w:color w:val="000000" w:themeColor="text1"/>
        </w:rPr>
      </w:pPr>
      <w:r w:rsidRPr="001C58C6">
        <w:rPr>
          <w:rFonts w:ascii="Calibri" w:hAnsi="Calibri" w:cs="Calibri"/>
          <w:bCs/>
          <w:color w:val="000000" w:themeColor="text1"/>
        </w:rPr>
        <w:t>Strategija upravljanja kvalitetom vazduha 2026–2029 predstavlja važan korak ka zdravijem životnom okruženju i održivom razvoju Crne Gore. Njeno uspješno sprovođenje zahtijeva zajednički napor institucija, lokalnih samouprava, privrede i građana, sa zajedničkim ciljem – čistiji vazduh i bolji kvalitet života za sadašnje i buduće generacije.</w:t>
      </w:r>
    </w:p>
    <w:p w14:paraId="7383B01E" w14:textId="77777777" w:rsidR="00E630B7" w:rsidRPr="001C58C6" w:rsidRDefault="00E630B7" w:rsidP="00ED5DB4">
      <w:pPr>
        <w:contextualSpacing/>
        <w:rPr>
          <w:rFonts w:ascii="Calibri" w:hAnsi="Calibri" w:cs="Calibri"/>
          <w:color w:val="000000" w:themeColor="text1"/>
        </w:rPr>
      </w:pPr>
    </w:p>
    <w:p w14:paraId="1E086609" w14:textId="77777777" w:rsidR="00BD3268" w:rsidRPr="001C58C6" w:rsidRDefault="00BD3268" w:rsidP="00ED5DB4">
      <w:pPr>
        <w:contextualSpacing/>
        <w:rPr>
          <w:rStyle w:val="Heading1Char"/>
          <w:rFonts w:ascii="Calibri" w:hAnsi="Calibri" w:cs="Calibri"/>
          <w:color w:val="000000" w:themeColor="text1"/>
        </w:rPr>
      </w:pPr>
    </w:p>
    <w:p w14:paraId="433F39EA" w14:textId="77777777" w:rsidR="00BD3268" w:rsidRPr="001C58C6" w:rsidRDefault="00BD3268" w:rsidP="000C2FDE">
      <w:pPr>
        <w:rPr>
          <w:rStyle w:val="Heading1Char"/>
          <w:rFonts w:ascii="Calibri" w:hAnsi="Calibri" w:cs="Calibri"/>
          <w:color w:val="000000" w:themeColor="text1"/>
        </w:rPr>
      </w:pPr>
    </w:p>
    <w:p w14:paraId="6B9DAD42" w14:textId="77777777" w:rsidR="00BD3268" w:rsidRPr="001C58C6" w:rsidRDefault="00BD3268" w:rsidP="000C2FDE">
      <w:pPr>
        <w:rPr>
          <w:rStyle w:val="Heading1Char"/>
          <w:rFonts w:ascii="Calibri" w:hAnsi="Calibri" w:cs="Calibri"/>
          <w:color w:val="000000" w:themeColor="text1"/>
        </w:rPr>
      </w:pPr>
    </w:p>
    <w:p w14:paraId="1B0CA25B" w14:textId="77777777" w:rsidR="00752282" w:rsidRPr="001C58C6" w:rsidRDefault="00752282" w:rsidP="000C2FDE">
      <w:pPr>
        <w:rPr>
          <w:rStyle w:val="Heading1Char"/>
          <w:rFonts w:ascii="Calibri" w:hAnsi="Calibri" w:cs="Calibri"/>
          <w:color w:val="000000" w:themeColor="text1"/>
        </w:rPr>
      </w:pPr>
    </w:p>
    <w:p w14:paraId="4EBD4DC1" w14:textId="77777777" w:rsidR="00752282" w:rsidRPr="001C58C6" w:rsidRDefault="00752282" w:rsidP="000C2FDE">
      <w:pPr>
        <w:rPr>
          <w:rStyle w:val="Heading1Char"/>
          <w:rFonts w:ascii="Calibri" w:hAnsi="Calibri" w:cs="Calibri"/>
          <w:color w:val="000000" w:themeColor="text1"/>
        </w:rPr>
      </w:pPr>
    </w:p>
    <w:p w14:paraId="4F5CD701" w14:textId="77777777" w:rsidR="00752282" w:rsidRPr="001C58C6" w:rsidRDefault="00752282" w:rsidP="000C2FDE">
      <w:pPr>
        <w:rPr>
          <w:rStyle w:val="Heading1Char"/>
          <w:rFonts w:ascii="Calibri" w:hAnsi="Calibri" w:cs="Calibri"/>
          <w:color w:val="000000" w:themeColor="text1"/>
        </w:rPr>
      </w:pPr>
    </w:p>
    <w:p w14:paraId="37B11ECD" w14:textId="77777777" w:rsidR="00752282" w:rsidRPr="001C58C6" w:rsidRDefault="00752282" w:rsidP="000C2FDE">
      <w:pPr>
        <w:rPr>
          <w:rStyle w:val="Heading1Char"/>
          <w:rFonts w:ascii="Calibri" w:hAnsi="Calibri" w:cs="Calibri"/>
          <w:color w:val="000000" w:themeColor="text1"/>
        </w:rPr>
      </w:pPr>
    </w:p>
    <w:p w14:paraId="20F7655B" w14:textId="77777777" w:rsidR="00752282" w:rsidRPr="001C58C6" w:rsidRDefault="00752282" w:rsidP="000C2FDE">
      <w:pPr>
        <w:rPr>
          <w:rStyle w:val="Heading1Char"/>
          <w:rFonts w:ascii="Calibri" w:hAnsi="Calibri" w:cs="Calibri"/>
          <w:color w:val="000000" w:themeColor="text1"/>
        </w:rPr>
      </w:pPr>
    </w:p>
    <w:p w14:paraId="4DF82774" w14:textId="77777777" w:rsidR="00752282" w:rsidRPr="001C58C6" w:rsidRDefault="00752282" w:rsidP="000C2FDE">
      <w:pPr>
        <w:rPr>
          <w:rStyle w:val="Heading1Char"/>
          <w:rFonts w:ascii="Calibri" w:hAnsi="Calibri" w:cs="Calibri"/>
          <w:color w:val="000000" w:themeColor="text1"/>
        </w:rPr>
      </w:pPr>
    </w:p>
    <w:p w14:paraId="440E6D59" w14:textId="77777777" w:rsidR="00752282" w:rsidRPr="001C58C6" w:rsidRDefault="00752282" w:rsidP="000C2FDE">
      <w:pPr>
        <w:rPr>
          <w:rStyle w:val="Heading1Char"/>
          <w:rFonts w:ascii="Calibri" w:hAnsi="Calibri" w:cs="Calibri"/>
          <w:color w:val="000000" w:themeColor="text1"/>
        </w:rPr>
      </w:pPr>
    </w:p>
    <w:p w14:paraId="7885D1DC" w14:textId="77777777" w:rsidR="00752282" w:rsidRPr="001C58C6" w:rsidRDefault="00752282" w:rsidP="000C2FDE">
      <w:pPr>
        <w:rPr>
          <w:rStyle w:val="Heading1Char"/>
          <w:rFonts w:ascii="Calibri" w:hAnsi="Calibri" w:cs="Calibri"/>
          <w:color w:val="000000" w:themeColor="text1"/>
        </w:rPr>
      </w:pPr>
    </w:p>
    <w:p w14:paraId="40D0DFA8" w14:textId="77777777" w:rsidR="00752282" w:rsidRDefault="00752282" w:rsidP="000C2FDE">
      <w:pPr>
        <w:rPr>
          <w:rStyle w:val="Heading1Char"/>
          <w:rFonts w:ascii="Calibri" w:hAnsi="Calibri" w:cs="Calibri"/>
          <w:color w:val="000000" w:themeColor="text1"/>
        </w:rPr>
      </w:pPr>
    </w:p>
    <w:p w14:paraId="6608E9AE" w14:textId="77777777" w:rsidR="006F52AD" w:rsidRDefault="006F52AD" w:rsidP="000C2FDE">
      <w:pPr>
        <w:rPr>
          <w:rStyle w:val="Heading1Char"/>
          <w:rFonts w:ascii="Calibri" w:hAnsi="Calibri" w:cs="Calibri"/>
          <w:color w:val="000000" w:themeColor="text1"/>
        </w:rPr>
      </w:pPr>
    </w:p>
    <w:p w14:paraId="51ACC2A7" w14:textId="77777777" w:rsidR="006F52AD" w:rsidRPr="001C58C6" w:rsidRDefault="006F52AD" w:rsidP="000C2FDE">
      <w:pPr>
        <w:rPr>
          <w:rStyle w:val="Heading1Char"/>
          <w:rFonts w:ascii="Calibri" w:hAnsi="Calibri" w:cs="Calibri"/>
          <w:color w:val="000000" w:themeColor="text1"/>
        </w:rPr>
      </w:pPr>
    </w:p>
    <w:p w14:paraId="2820F7E4" w14:textId="77777777" w:rsidR="00E82FA7" w:rsidRPr="001C58C6" w:rsidRDefault="00ED5DB4" w:rsidP="0030161B">
      <w:pPr>
        <w:pStyle w:val="Heading1"/>
        <w:rPr>
          <w:rStyle w:val="Heading1Char"/>
          <w:rFonts w:ascii="Calibri" w:hAnsi="Calibri" w:cs="Calibri"/>
          <w:b/>
          <w:bCs/>
          <w:color w:val="000000" w:themeColor="text1"/>
        </w:rPr>
      </w:pPr>
      <w:bookmarkStart w:id="238" w:name="_Toc220070461"/>
      <w:bookmarkStart w:id="239" w:name="_Toc233711780"/>
      <w:r w:rsidRPr="001C58C6">
        <w:rPr>
          <w:rStyle w:val="Heading1Char"/>
          <w:rFonts w:ascii="Calibri" w:hAnsi="Calibri" w:cs="Calibri"/>
          <w:b/>
          <w:bCs/>
          <w:color w:val="000000" w:themeColor="text1"/>
        </w:rPr>
        <w:lastRenderedPageBreak/>
        <w:t xml:space="preserve">10. </w:t>
      </w:r>
      <w:r w:rsidR="0030161B" w:rsidRPr="001C58C6">
        <w:rPr>
          <w:rStyle w:val="Heading1Char"/>
          <w:rFonts w:ascii="Calibri" w:hAnsi="Calibri" w:cs="Calibri"/>
          <w:b/>
          <w:bCs/>
          <w:color w:val="000000" w:themeColor="text1"/>
        </w:rPr>
        <w:t>LITERATURA</w:t>
      </w:r>
      <w:bookmarkEnd w:id="238"/>
      <w:bookmarkEnd w:id="239"/>
      <w:r w:rsidR="0030161B" w:rsidRPr="001C58C6">
        <w:rPr>
          <w:rStyle w:val="Heading1Char"/>
          <w:rFonts w:ascii="Calibri" w:hAnsi="Calibri" w:cs="Calibri"/>
          <w:b/>
          <w:bCs/>
          <w:color w:val="000000" w:themeColor="text1"/>
        </w:rPr>
        <w:t xml:space="preserve"> </w:t>
      </w:r>
    </w:p>
    <w:p w14:paraId="13D2A0BA" w14:textId="77777777" w:rsidR="00CE3BDB" w:rsidRPr="001C58C6" w:rsidRDefault="00CE3BDB" w:rsidP="00CE3BDB">
      <w:pPr>
        <w:rPr>
          <w:rFonts w:ascii="Calibri" w:hAnsi="Calibri" w:cs="Calibri"/>
          <w:color w:val="000000" w:themeColor="text1"/>
        </w:rPr>
      </w:pPr>
    </w:p>
    <w:p w14:paraId="126CAA35" w14:textId="77777777" w:rsidR="00CE3BDB" w:rsidRPr="001C58C6" w:rsidRDefault="00CE3BDB" w:rsidP="00CE3BDB">
      <w:pPr>
        <w:pStyle w:val="ListParagraph"/>
        <w:numPr>
          <w:ilvl w:val="1"/>
          <w:numId w:val="7"/>
        </w:numPr>
        <w:rPr>
          <w:rFonts w:ascii="Calibri" w:hAnsi="Calibri" w:cs="Calibri"/>
          <w:color w:val="000000" w:themeColor="text1"/>
        </w:rPr>
      </w:pPr>
      <w:r w:rsidRPr="001C58C6">
        <w:rPr>
          <w:rFonts w:ascii="Calibri" w:hAnsi="Calibri" w:cs="Calibri"/>
          <w:color w:val="000000" w:themeColor="text1"/>
        </w:rPr>
        <w:t>Zakon o zaštiti vazduha („Službeni list Crne Gore“, br. 25/10, 40/11, 43/15, 73/19 i 84/2024).</w:t>
      </w:r>
    </w:p>
    <w:p w14:paraId="6DCA744A" w14:textId="77777777" w:rsidR="00CE3BDB" w:rsidRPr="001C58C6" w:rsidRDefault="00CE3BDB" w:rsidP="00CE3BDB">
      <w:pPr>
        <w:pStyle w:val="ListParagraph"/>
        <w:numPr>
          <w:ilvl w:val="1"/>
          <w:numId w:val="7"/>
        </w:numPr>
        <w:rPr>
          <w:rFonts w:ascii="Calibri" w:hAnsi="Calibri" w:cs="Calibri"/>
          <w:color w:val="000000" w:themeColor="text1"/>
        </w:rPr>
      </w:pPr>
      <w:r w:rsidRPr="001C58C6">
        <w:rPr>
          <w:rFonts w:ascii="Calibri" w:hAnsi="Calibri" w:cs="Calibri"/>
          <w:color w:val="000000" w:themeColor="text1"/>
        </w:rPr>
        <w:t>Zakon o životnoj sredini („Službeni list Crne Gore“, br. 52/16, 73/19 i 84/2024).</w:t>
      </w:r>
    </w:p>
    <w:p w14:paraId="0ADC2E33" w14:textId="77777777" w:rsidR="00CE3BDB" w:rsidRPr="001C58C6" w:rsidRDefault="00CE3BDB" w:rsidP="00CE3BDB">
      <w:pPr>
        <w:pStyle w:val="ListParagraph"/>
        <w:numPr>
          <w:ilvl w:val="1"/>
          <w:numId w:val="7"/>
        </w:numPr>
        <w:rPr>
          <w:rFonts w:ascii="Calibri" w:hAnsi="Calibri" w:cs="Calibri"/>
          <w:color w:val="000000" w:themeColor="text1"/>
        </w:rPr>
      </w:pPr>
      <w:r w:rsidRPr="001C58C6">
        <w:rPr>
          <w:rFonts w:ascii="Calibri" w:hAnsi="Calibri" w:cs="Calibri"/>
          <w:color w:val="000000" w:themeColor="text1"/>
        </w:rPr>
        <w:t>Zakon o klimatskim promjenama („Službeni list Crne Gore“, br. 149/2025).</w:t>
      </w:r>
    </w:p>
    <w:p w14:paraId="3BE522FC" w14:textId="77777777" w:rsidR="00CE3BDB" w:rsidRPr="001C58C6" w:rsidRDefault="00CE3BDB" w:rsidP="00CE3BDB">
      <w:pPr>
        <w:pStyle w:val="ListParagraph"/>
        <w:numPr>
          <w:ilvl w:val="1"/>
          <w:numId w:val="7"/>
        </w:numPr>
        <w:rPr>
          <w:rFonts w:ascii="Calibri" w:hAnsi="Calibri" w:cs="Calibri"/>
          <w:color w:val="000000" w:themeColor="text1"/>
        </w:rPr>
      </w:pPr>
      <w:r w:rsidRPr="001C58C6">
        <w:rPr>
          <w:rFonts w:ascii="Calibri" w:hAnsi="Calibri" w:cs="Calibri"/>
          <w:color w:val="000000" w:themeColor="text1"/>
        </w:rPr>
        <w:t>Zakon o industrijskim emisijama („Službeni list Crne Gore“, sa važećim izmjenama i dopunama).</w:t>
      </w:r>
    </w:p>
    <w:p w14:paraId="607BE9D2" w14:textId="77777777" w:rsidR="00CE3BDB" w:rsidRPr="001C58C6" w:rsidRDefault="00CE3BDB" w:rsidP="00CE3BDB">
      <w:pPr>
        <w:pStyle w:val="ListParagraph"/>
        <w:numPr>
          <w:ilvl w:val="1"/>
          <w:numId w:val="7"/>
        </w:numPr>
        <w:rPr>
          <w:rFonts w:ascii="Calibri" w:hAnsi="Calibri" w:cs="Calibri"/>
          <w:color w:val="000000" w:themeColor="text1"/>
        </w:rPr>
      </w:pPr>
      <w:r w:rsidRPr="001C58C6">
        <w:rPr>
          <w:rFonts w:ascii="Calibri" w:hAnsi="Calibri" w:cs="Calibri"/>
          <w:color w:val="000000" w:themeColor="text1"/>
        </w:rPr>
        <w:t>Zakon o efikasnom korišćenju energije („Službeni list Crne Gore“, br. 57/14, 03/15, 25/19, 140/22, 84/2024 i 165/2025).</w:t>
      </w:r>
    </w:p>
    <w:p w14:paraId="0CC61A0C" w14:textId="77777777" w:rsidR="00CE3BDB" w:rsidRPr="001C58C6" w:rsidRDefault="00CE3BDB" w:rsidP="00CE3BDB">
      <w:pPr>
        <w:pStyle w:val="ListParagraph"/>
        <w:numPr>
          <w:ilvl w:val="1"/>
          <w:numId w:val="7"/>
        </w:numPr>
        <w:rPr>
          <w:rFonts w:ascii="Calibri" w:hAnsi="Calibri" w:cs="Calibri"/>
          <w:color w:val="000000" w:themeColor="text1"/>
        </w:rPr>
      </w:pPr>
      <w:r w:rsidRPr="001C58C6">
        <w:rPr>
          <w:rFonts w:ascii="Calibri" w:hAnsi="Calibri" w:cs="Calibri"/>
          <w:color w:val="000000" w:themeColor="text1"/>
        </w:rPr>
        <w:t>Uredba o uspostavljanju mreže mjernih mjesta za praćenje kvaliteta vazduha („Službeni list CG“, br. 44/10, 13/11 i 64/18).</w:t>
      </w:r>
    </w:p>
    <w:p w14:paraId="26E20265" w14:textId="77777777" w:rsidR="00CE3BDB" w:rsidRPr="001C58C6" w:rsidRDefault="00CE3BDB" w:rsidP="00CE3BDB">
      <w:pPr>
        <w:pStyle w:val="ListParagraph"/>
        <w:numPr>
          <w:ilvl w:val="1"/>
          <w:numId w:val="7"/>
        </w:numPr>
        <w:rPr>
          <w:rFonts w:ascii="Calibri" w:hAnsi="Calibri" w:cs="Calibri"/>
          <w:color w:val="000000" w:themeColor="text1"/>
        </w:rPr>
      </w:pPr>
      <w:r w:rsidRPr="001C58C6">
        <w:rPr>
          <w:rFonts w:ascii="Calibri" w:hAnsi="Calibri" w:cs="Calibri"/>
          <w:color w:val="000000" w:themeColor="text1"/>
        </w:rPr>
        <w:t xml:space="preserve">Nacionalna strategija upravljanja kvalitetom vazduha sa Akcionim planom 2013–2016. </w:t>
      </w:r>
      <w:hyperlink r:id="rId44" w:history="1">
        <w:r w:rsidRPr="001C58C6">
          <w:rPr>
            <w:rStyle w:val="Hyperlink"/>
            <w:rFonts w:ascii="Calibri" w:hAnsi="Calibri" w:cs="Calibri"/>
            <w:color w:val="000000" w:themeColor="text1"/>
          </w:rPr>
          <w:t>https://www.gov.me/dokumenta/5278544d-536e-49c6-ad06-a0476ee715ac</w:t>
        </w:r>
      </w:hyperlink>
      <w:r w:rsidRPr="001C58C6">
        <w:rPr>
          <w:rFonts w:ascii="Calibri" w:hAnsi="Calibri" w:cs="Calibri"/>
          <w:color w:val="000000" w:themeColor="text1"/>
        </w:rPr>
        <w:t xml:space="preserve"> </w:t>
      </w:r>
    </w:p>
    <w:p w14:paraId="4782B3D5" w14:textId="77777777" w:rsidR="00CE3BDB" w:rsidRPr="001C58C6" w:rsidRDefault="00CE3BDB" w:rsidP="00CE3BDB">
      <w:pPr>
        <w:pStyle w:val="ListParagraph"/>
        <w:numPr>
          <w:ilvl w:val="1"/>
          <w:numId w:val="7"/>
        </w:numPr>
        <w:rPr>
          <w:rFonts w:ascii="Calibri" w:hAnsi="Calibri" w:cs="Calibri"/>
          <w:color w:val="000000" w:themeColor="text1"/>
        </w:rPr>
      </w:pPr>
      <w:r w:rsidRPr="001C58C6">
        <w:rPr>
          <w:rFonts w:ascii="Calibri" w:hAnsi="Calibri" w:cs="Calibri"/>
          <w:color w:val="000000" w:themeColor="text1"/>
        </w:rPr>
        <w:t xml:space="preserve">Završni izvještaj o sprovođenju Nacionalne strategije upravljanja kvalitetom vazduha 2017–2020. </w:t>
      </w:r>
      <w:hyperlink r:id="rId45" w:history="1">
        <w:r w:rsidRPr="001C58C6">
          <w:rPr>
            <w:rStyle w:val="Hyperlink"/>
            <w:rFonts w:ascii="Calibri" w:hAnsi="Calibri" w:cs="Calibri"/>
            <w:color w:val="000000" w:themeColor="text1"/>
          </w:rPr>
          <w:t>https://wapi.gov.me/download/1566f0ac-2863-4a2c-aaab-5d05c18ab47d</w:t>
        </w:r>
      </w:hyperlink>
      <w:r w:rsidRPr="001C58C6">
        <w:rPr>
          <w:rFonts w:ascii="Calibri" w:hAnsi="Calibri" w:cs="Calibri"/>
          <w:color w:val="000000" w:themeColor="text1"/>
        </w:rPr>
        <w:t xml:space="preserve"> </w:t>
      </w:r>
    </w:p>
    <w:p w14:paraId="7C39D5BB" w14:textId="77777777" w:rsidR="00CE3BDB" w:rsidRPr="001C58C6" w:rsidRDefault="00CE3BDB" w:rsidP="00CE3BDB">
      <w:pPr>
        <w:pStyle w:val="ListParagraph"/>
        <w:numPr>
          <w:ilvl w:val="1"/>
          <w:numId w:val="7"/>
        </w:numPr>
        <w:rPr>
          <w:rFonts w:ascii="Calibri" w:hAnsi="Calibri" w:cs="Calibri"/>
          <w:color w:val="000000" w:themeColor="text1"/>
        </w:rPr>
      </w:pPr>
      <w:r w:rsidRPr="001C58C6">
        <w:rPr>
          <w:rFonts w:ascii="Calibri" w:hAnsi="Calibri" w:cs="Calibri"/>
          <w:color w:val="000000" w:themeColor="text1"/>
        </w:rPr>
        <w:t xml:space="preserve">Nacrt strategije upravljanja kvalitetom vazduha 2021–2029. </w:t>
      </w:r>
      <w:hyperlink r:id="rId46" w:history="1">
        <w:r w:rsidRPr="001C58C6">
          <w:rPr>
            <w:rStyle w:val="Hyperlink"/>
            <w:rFonts w:ascii="Calibri" w:hAnsi="Calibri" w:cs="Calibri"/>
            <w:color w:val="000000" w:themeColor="text1"/>
          </w:rPr>
          <w:t>https://www.gov.me/dokumenta/11674b76-fe5c-4fcc-b0ac-9b3f681e633b</w:t>
        </w:r>
      </w:hyperlink>
      <w:r w:rsidRPr="001C58C6">
        <w:rPr>
          <w:rFonts w:ascii="Calibri" w:hAnsi="Calibri" w:cs="Calibri"/>
          <w:color w:val="000000" w:themeColor="text1"/>
        </w:rPr>
        <w:t xml:space="preserve"> </w:t>
      </w:r>
    </w:p>
    <w:p w14:paraId="51C96197" w14:textId="77777777" w:rsidR="00CE3BDB" w:rsidRPr="001C58C6" w:rsidRDefault="00CE3BDB" w:rsidP="00CE3BDB">
      <w:pPr>
        <w:pStyle w:val="ListParagraph"/>
        <w:numPr>
          <w:ilvl w:val="1"/>
          <w:numId w:val="7"/>
        </w:numPr>
        <w:rPr>
          <w:rFonts w:ascii="Calibri" w:hAnsi="Calibri" w:cs="Calibri"/>
          <w:color w:val="000000" w:themeColor="text1"/>
        </w:rPr>
      </w:pPr>
      <w:r w:rsidRPr="001C58C6">
        <w:rPr>
          <w:rFonts w:ascii="Calibri" w:hAnsi="Calibri" w:cs="Calibri"/>
          <w:color w:val="000000" w:themeColor="text1"/>
        </w:rPr>
        <w:t xml:space="preserve">Planovi kvaliteta vazduha za Pljevlja, Nikšić i Podgoricu. </w:t>
      </w:r>
      <w:hyperlink r:id="rId47" w:history="1">
        <w:r w:rsidRPr="001C58C6">
          <w:rPr>
            <w:rStyle w:val="Hyperlink"/>
            <w:rFonts w:ascii="Calibri" w:hAnsi="Calibri" w:cs="Calibri"/>
            <w:color w:val="000000" w:themeColor="text1"/>
          </w:rPr>
          <w:t>https://www.gov.me/clanak/151943--plan-kvaliteta-vazduha-za-glavni-grad-podgorica</w:t>
        </w:r>
      </w:hyperlink>
      <w:r w:rsidRPr="001C58C6">
        <w:rPr>
          <w:rFonts w:ascii="Calibri" w:hAnsi="Calibri" w:cs="Calibri"/>
          <w:color w:val="000000" w:themeColor="text1"/>
        </w:rPr>
        <w:t xml:space="preserve"> </w:t>
      </w:r>
    </w:p>
    <w:p w14:paraId="35B1C508" w14:textId="77777777" w:rsidR="00CE3BDB" w:rsidRPr="001C58C6" w:rsidRDefault="00CE3BDB" w:rsidP="00CE3BDB">
      <w:pPr>
        <w:pStyle w:val="ListParagraph"/>
        <w:numPr>
          <w:ilvl w:val="1"/>
          <w:numId w:val="7"/>
        </w:numPr>
        <w:rPr>
          <w:rFonts w:ascii="Calibri" w:hAnsi="Calibri" w:cs="Calibri"/>
          <w:color w:val="000000" w:themeColor="text1"/>
        </w:rPr>
      </w:pPr>
      <w:r w:rsidRPr="001C58C6">
        <w:rPr>
          <w:rFonts w:ascii="Calibri" w:hAnsi="Calibri" w:cs="Calibri"/>
          <w:color w:val="000000" w:themeColor="text1"/>
        </w:rPr>
        <w:t>Kratkoročni akcioni plan za Opštinu Pljevlja (SO₂). https://epa.org.me/wp-content/uploads/2017/12/Kratkoroni-akcioni-plan-za-Optinu-Pljevlja.pdf</w:t>
      </w:r>
    </w:p>
    <w:p w14:paraId="7FE0A250" w14:textId="77777777" w:rsidR="00CE3BDB" w:rsidRPr="001C58C6" w:rsidRDefault="00CE3BDB" w:rsidP="00CE3BDB">
      <w:pPr>
        <w:pStyle w:val="ListParagraph"/>
        <w:numPr>
          <w:ilvl w:val="1"/>
          <w:numId w:val="7"/>
        </w:numPr>
        <w:rPr>
          <w:rFonts w:ascii="Calibri" w:hAnsi="Calibri" w:cs="Calibri"/>
          <w:color w:val="000000" w:themeColor="text1"/>
        </w:rPr>
      </w:pPr>
      <w:r w:rsidRPr="001C58C6">
        <w:rPr>
          <w:rFonts w:ascii="Calibri" w:hAnsi="Calibri" w:cs="Calibri"/>
          <w:color w:val="000000" w:themeColor="text1"/>
        </w:rPr>
        <w:t xml:space="preserve">Nacionalni energetski i klimatski plan Crne Gore (NEKP). </w:t>
      </w:r>
      <w:hyperlink r:id="rId48" w:history="1">
        <w:r w:rsidRPr="001C58C6">
          <w:rPr>
            <w:rStyle w:val="Hyperlink"/>
            <w:rFonts w:ascii="Calibri" w:hAnsi="Calibri" w:cs="Calibri"/>
            <w:color w:val="000000" w:themeColor="text1"/>
          </w:rPr>
          <w:t>https://wapi.gov.me/download/4c1901cb-fbe3-480d-89c7-27817a25343e</w:t>
        </w:r>
      </w:hyperlink>
      <w:r w:rsidRPr="001C58C6">
        <w:rPr>
          <w:rFonts w:ascii="Calibri" w:hAnsi="Calibri" w:cs="Calibri"/>
          <w:color w:val="000000" w:themeColor="text1"/>
        </w:rPr>
        <w:t xml:space="preserve"> </w:t>
      </w:r>
    </w:p>
    <w:p w14:paraId="67BFD22B" w14:textId="77777777" w:rsidR="00CE3BDB" w:rsidRPr="001C58C6" w:rsidRDefault="00CE3BDB" w:rsidP="00CE3BDB">
      <w:pPr>
        <w:pStyle w:val="ListParagraph"/>
        <w:numPr>
          <w:ilvl w:val="1"/>
          <w:numId w:val="7"/>
        </w:numPr>
        <w:rPr>
          <w:rFonts w:ascii="Calibri" w:hAnsi="Calibri" w:cs="Calibri"/>
          <w:color w:val="000000" w:themeColor="text1"/>
        </w:rPr>
      </w:pPr>
      <w:r w:rsidRPr="001C58C6">
        <w:rPr>
          <w:rFonts w:ascii="Calibri" w:hAnsi="Calibri" w:cs="Calibri"/>
          <w:color w:val="000000" w:themeColor="text1"/>
        </w:rPr>
        <w:t>Reformska agenda Crne Gore.</w:t>
      </w:r>
    </w:p>
    <w:p w14:paraId="44EEA63E" w14:textId="77777777" w:rsidR="00CE3BDB" w:rsidRPr="001C58C6" w:rsidRDefault="00CE3BDB" w:rsidP="00CE3BDB">
      <w:pPr>
        <w:pStyle w:val="ListParagraph"/>
        <w:numPr>
          <w:ilvl w:val="1"/>
          <w:numId w:val="7"/>
        </w:numPr>
        <w:rPr>
          <w:rFonts w:ascii="Calibri" w:hAnsi="Calibri" w:cs="Calibri"/>
          <w:color w:val="000000" w:themeColor="text1"/>
        </w:rPr>
      </w:pPr>
      <w:r w:rsidRPr="001C58C6">
        <w:rPr>
          <w:rFonts w:ascii="Calibri" w:hAnsi="Calibri" w:cs="Calibri"/>
          <w:color w:val="000000" w:themeColor="text1"/>
        </w:rPr>
        <w:t xml:space="preserve">Završna mjerila za pregovaračko poglavlje 27 – životna sredina i klimatske promjene. </w:t>
      </w:r>
      <w:hyperlink r:id="rId49" w:history="1">
        <w:r w:rsidRPr="001C58C6">
          <w:rPr>
            <w:rStyle w:val="Hyperlink"/>
            <w:rFonts w:ascii="Calibri" w:hAnsi="Calibri" w:cs="Calibri"/>
            <w:color w:val="000000" w:themeColor="text1"/>
          </w:rPr>
          <w:t>https://www.eu.me/poglavlje-27-zivotna-sredina-i-klimatske-promjene/</w:t>
        </w:r>
      </w:hyperlink>
      <w:r w:rsidRPr="001C58C6">
        <w:rPr>
          <w:rFonts w:ascii="Calibri" w:hAnsi="Calibri" w:cs="Calibri"/>
          <w:color w:val="000000" w:themeColor="text1"/>
        </w:rPr>
        <w:t xml:space="preserve"> </w:t>
      </w:r>
    </w:p>
    <w:p w14:paraId="126C8493" w14:textId="77777777" w:rsidR="00CE3BDB" w:rsidRPr="001C58C6" w:rsidRDefault="00CE3BDB" w:rsidP="00CE3BDB">
      <w:pPr>
        <w:pStyle w:val="ListParagraph"/>
        <w:numPr>
          <w:ilvl w:val="1"/>
          <w:numId w:val="7"/>
        </w:numPr>
        <w:rPr>
          <w:rFonts w:ascii="Calibri" w:hAnsi="Calibri" w:cs="Calibri"/>
          <w:color w:val="000000" w:themeColor="text1"/>
        </w:rPr>
      </w:pPr>
      <w:r w:rsidRPr="001C58C6">
        <w:rPr>
          <w:rFonts w:ascii="Calibri" w:hAnsi="Calibri" w:cs="Calibri"/>
          <w:color w:val="000000" w:themeColor="text1"/>
        </w:rPr>
        <w:t>UNECE Convention on Long-range Transboundary Air Pollution (CLRTAP).</w:t>
      </w:r>
    </w:p>
    <w:p w14:paraId="6826AC07" w14:textId="77777777" w:rsidR="00CE3BDB" w:rsidRPr="001C58C6" w:rsidRDefault="00CE3BDB" w:rsidP="00CE3BDB">
      <w:pPr>
        <w:pStyle w:val="ListParagraph"/>
        <w:numPr>
          <w:ilvl w:val="1"/>
          <w:numId w:val="7"/>
        </w:numPr>
        <w:rPr>
          <w:rFonts w:ascii="Calibri" w:hAnsi="Calibri" w:cs="Calibri"/>
          <w:color w:val="000000" w:themeColor="text1"/>
        </w:rPr>
      </w:pPr>
      <w:r w:rsidRPr="001C58C6">
        <w:rPr>
          <w:rFonts w:ascii="Calibri" w:hAnsi="Calibri" w:cs="Calibri"/>
          <w:color w:val="000000" w:themeColor="text1"/>
        </w:rPr>
        <w:t xml:space="preserve">Directive (EU) 2016/2284 (NEC Directive). </w:t>
      </w:r>
      <w:hyperlink r:id="rId50" w:history="1">
        <w:r w:rsidRPr="001C58C6">
          <w:rPr>
            <w:rStyle w:val="Hyperlink"/>
            <w:rFonts w:ascii="Calibri" w:hAnsi="Calibri" w:cs="Calibri"/>
            <w:color w:val="000000" w:themeColor="text1"/>
          </w:rPr>
          <w:t>https://eur-lex.europa.eu/eli/dir/2016/2284/oj</w:t>
        </w:r>
      </w:hyperlink>
      <w:r w:rsidRPr="001C58C6">
        <w:rPr>
          <w:rFonts w:ascii="Calibri" w:hAnsi="Calibri" w:cs="Calibri"/>
          <w:color w:val="000000" w:themeColor="text1"/>
        </w:rPr>
        <w:t xml:space="preserve"> </w:t>
      </w:r>
    </w:p>
    <w:p w14:paraId="2EA28453" w14:textId="08CFE1C2" w:rsidR="00CE3BDB" w:rsidRPr="001C58C6" w:rsidRDefault="00CE3BDB" w:rsidP="00CE3BDB">
      <w:pPr>
        <w:pStyle w:val="ListParagraph"/>
        <w:numPr>
          <w:ilvl w:val="1"/>
          <w:numId w:val="7"/>
        </w:numPr>
        <w:rPr>
          <w:rFonts w:ascii="Calibri" w:hAnsi="Calibri" w:cs="Calibri"/>
          <w:color w:val="000000" w:themeColor="text1"/>
        </w:rPr>
      </w:pPr>
      <w:r w:rsidRPr="001C58C6">
        <w:rPr>
          <w:rFonts w:ascii="Calibri" w:hAnsi="Calibri" w:cs="Calibri"/>
          <w:color w:val="000000" w:themeColor="text1"/>
        </w:rPr>
        <w:t xml:space="preserve">Directive (EU) </w:t>
      </w:r>
      <w:r w:rsidR="00C7424E">
        <w:rPr>
          <w:rFonts w:ascii="Calibri" w:hAnsi="Calibri" w:cs="Calibri"/>
          <w:color w:val="000000" w:themeColor="text1"/>
        </w:rPr>
        <w:t>2024/2881</w:t>
      </w:r>
      <w:r w:rsidRPr="001C58C6">
        <w:rPr>
          <w:rFonts w:ascii="Calibri" w:hAnsi="Calibri" w:cs="Calibri"/>
          <w:color w:val="000000" w:themeColor="text1"/>
        </w:rPr>
        <w:t xml:space="preserve"> on ambient air quality. </w:t>
      </w:r>
      <w:hyperlink r:id="rId51" w:history="1">
        <w:r w:rsidR="00C62EC0" w:rsidRPr="00C62EC0">
          <w:rPr>
            <w:rStyle w:val="Hyperlink"/>
            <w:rFonts w:ascii="Calibri" w:hAnsi="Calibri" w:cs="Calibri"/>
          </w:rPr>
          <w:t>https://eur-lex.europa.eu/eli/dir/2024/2881/oj</w:t>
        </w:r>
      </w:hyperlink>
      <w:r w:rsidRPr="001C58C6">
        <w:rPr>
          <w:rFonts w:ascii="Calibri" w:hAnsi="Calibri" w:cs="Calibri"/>
          <w:color w:val="000000" w:themeColor="text1"/>
        </w:rPr>
        <w:t xml:space="preserve"> </w:t>
      </w:r>
    </w:p>
    <w:p w14:paraId="2BBB40B1" w14:textId="77777777" w:rsidR="00CE3BDB" w:rsidRPr="001C58C6" w:rsidRDefault="00CE3BDB" w:rsidP="00CE3BDB">
      <w:pPr>
        <w:pStyle w:val="ListParagraph"/>
        <w:numPr>
          <w:ilvl w:val="1"/>
          <w:numId w:val="7"/>
        </w:numPr>
        <w:rPr>
          <w:rFonts w:ascii="Calibri" w:hAnsi="Calibri" w:cs="Calibri"/>
          <w:color w:val="000000" w:themeColor="text1"/>
        </w:rPr>
      </w:pPr>
      <w:r w:rsidRPr="001C58C6">
        <w:rPr>
          <w:rFonts w:ascii="Calibri" w:hAnsi="Calibri" w:cs="Calibri"/>
          <w:color w:val="000000" w:themeColor="text1"/>
        </w:rPr>
        <w:t>Commission Implementing Decision (EU) 2018/1522. https://eur-lex.europa.eu/legal-content/EN/TXT/?uri=CELEX:02018D1522-20181012</w:t>
      </w:r>
    </w:p>
    <w:p w14:paraId="49AD864A" w14:textId="77777777" w:rsidR="00CE3BDB" w:rsidRPr="001C58C6" w:rsidRDefault="00CE3BDB" w:rsidP="00CE3BDB">
      <w:pPr>
        <w:pStyle w:val="ListParagraph"/>
        <w:numPr>
          <w:ilvl w:val="1"/>
          <w:numId w:val="7"/>
        </w:numPr>
        <w:rPr>
          <w:rFonts w:ascii="Calibri" w:hAnsi="Calibri" w:cs="Calibri"/>
          <w:color w:val="000000" w:themeColor="text1"/>
        </w:rPr>
      </w:pPr>
      <w:r w:rsidRPr="001C58C6">
        <w:rPr>
          <w:rFonts w:ascii="Calibri" w:hAnsi="Calibri" w:cs="Calibri"/>
          <w:color w:val="000000" w:themeColor="text1"/>
        </w:rPr>
        <w:t xml:space="preserve">European Environment Agency (EEA). Air quality in Europe – 2024 report. </w:t>
      </w:r>
      <w:hyperlink r:id="rId52" w:history="1">
        <w:r w:rsidRPr="001C58C6">
          <w:rPr>
            <w:rStyle w:val="Hyperlink"/>
            <w:rFonts w:ascii="Calibri" w:hAnsi="Calibri" w:cs="Calibri"/>
            <w:color w:val="000000" w:themeColor="text1"/>
          </w:rPr>
          <w:t>https://www.eea.europa.eu/en/analysis/publications/europes-air-quality-status-2024</w:t>
        </w:r>
      </w:hyperlink>
      <w:r w:rsidRPr="001C58C6">
        <w:rPr>
          <w:rFonts w:ascii="Calibri" w:hAnsi="Calibri" w:cs="Calibri"/>
          <w:color w:val="000000" w:themeColor="text1"/>
        </w:rPr>
        <w:t xml:space="preserve"> </w:t>
      </w:r>
    </w:p>
    <w:p w14:paraId="2105A35F" w14:textId="77777777" w:rsidR="00CE3BDB" w:rsidRPr="001C58C6" w:rsidRDefault="00CE3BDB" w:rsidP="00CE3BDB">
      <w:pPr>
        <w:pStyle w:val="ListParagraph"/>
        <w:numPr>
          <w:ilvl w:val="1"/>
          <w:numId w:val="7"/>
        </w:numPr>
        <w:rPr>
          <w:rFonts w:ascii="Calibri" w:hAnsi="Calibri" w:cs="Calibri"/>
          <w:color w:val="000000" w:themeColor="text1"/>
        </w:rPr>
      </w:pPr>
      <w:r w:rsidRPr="001C58C6">
        <w:rPr>
          <w:rFonts w:ascii="Calibri" w:hAnsi="Calibri" w:cs="Calibri"/>
          <w:color w:val="000000" w:themeColor="text1"/>
        </w:rPr>
        <w:t xml:space="preserve">European Environment Agency (EEA). Harm to human health from air pollution  – 2024. </w:t>
      </w:r>
      <w:hyperlink r:id="rId53" w:history="1">
        <w:r w:rsidRPr="001C58C6">
          <w:rPr>
            <w:rStyle w:val="Hyperlink"/>
            <w:rFonts w:ascii="Calibri" w:hAnsi="Calibri" w:cs="Calibri"/>
            <w:color w:val="000000" w:themeColor="text1"/>
          </w:rPr>
          <w:t>https://www.eea.europa.eu/en/analysis/publications/harm-to-human-health-from-air-pollution-2024</w:t>
        </w:r>
      </w:hyperlink>
      <w:r w:rsidRPr="001C58C6">
        <w:rPr>
          <w:rFonts w:ascii="Calibri" w:hAnsi="Calibri" w:cs="Calibri"/>
          <w:color w:val="000000" w:themeColor="text1"/>
        </w:rPr>
        <w:t xml:space="preserve"> </w:t>
      </w:r>
    </w:p>
    <w:p w14:paraId="705928DC" w14:textId="77777777" w:rsidR="00CE3BDB" w:rsidRPr="001C58C6" w:rsidRDefault="00CE3BDB" w:rsidP="00CE3BDB">
      <w:pPr>
        <w:pStyle w:val="ListParagraph"/>
        <w:numPr>
          <w:ilvl w:val="1"/>
          <w:numId w:val="7"/>
        </w:numPr>
        <w:rPr>
          <w:rFonts w:ascii="Calibri" w:hAnsi="Calibri" w:cs="Calibri"/>
          <w:color w:val="000000" w:themeColor="text1"/>
        </w:rPr>
      </w:pPr>
      <w:r w:rsidRPr="001C58C6">
        <w:rPr>
          <w:rFonts w:ascii="Calibri" w:hAnsi="Calibri" w:cs="Calibri"/>
          <w:color w:val="000000" w:themeColor="text1"/>
        </w:rPr>
        <w:t xml:space="preserve">European Commission – Joint Research Centre (2024). Status of Environment and Climate in the Western Balkans. </w:t>
      </w:r>
      <w:hyperlink r:id="rId54" w:history="1">
        <w:r w:rsidRPr="001C58C6">
          <w:rPr>
            <w:rStyle w:val="Hyperlink"/>
            <w:rFonts w:ascii="Calibri" w:hAnsi="Calibri" w:cs="Calibri"/>
            <w:color w:val="000000" w:themeColor="text1"/>
          </w:rPr>
          <w:t>https://data.europa.eu/doi/10.2760/1865356</w:t>
        </w:r>
      </w:hyperlink>
      <w:r w:rsidRPr="001C58C6">
        <w:rPr>
          <w:rFonts w:ascii="Calibri" w:hAnsi="Calibri" w:cs="Calibri"/>
          <w:color w:val="000000" w:themeColor="text1"/>
        </w:rPr>
        <w:t xml:space="preserve"> </w:t>
      </w:r>
    </w:p>
    <w:p w14:paraId="2781665A" w14:textId="77777777" w:rsidR="00CE3BDB" w:rsidRPr="001C58C6" w:rsidRDefault="00CE3BDB" w:rsidP="00CE3BDB">
      <w:pPr>
        <w:pStyle w:val="ListParagraph"/>
        <w:numPr>
          <w:ilvl w:val="1"/>
          <w:numId w:val="7"/>
        </w:numPr>
        <w:rPr>
          <w:rFonts w:ascii="Calibri" w:hAnsi="Calibri" w:cs="Calibri"/>
          <w:color w:val="000000" w:themeColor="text1"/>
        </w:rPr>
      </w:pPr>
      <w:r w:rsidRPr="001C58C6">
        <w:rPr>
          <w:rFonts w:ascii="Calibri" w:hAnsi="Calibri" w:cs="Calibri"/>
          <w:color w:val="000000" w:themeColor="text1"/>
        </w:rPr>
        <w:lastRenderedPageBreak/>
        <w:t>World Health Organization (2021). WHO Global Air Quality Guidelines. https://www.who.int/publications/i/item/9789240034228</w:t>
      </w:r>
    </w:p>
    <w:p w14:paraId="2A4049DD" w14:textId="77777777" w:rsidR="00CE3BDB" w:rsidRPr="001C58C6" w:rsidRDefault="00CE3BDB" w:rsidP="00CE3BDB">
      <w:pPr>
        <w:pStyle w:val="ListParagraph"/>
        <w:numPr>
          <w:ilvl w:val="1"/>
          <w:numId w:val="7"/>
        </w:numPr>
        <w:rPr>
          <w:rFonts w:ascii="Calibri" w:hAnsi="Calibri" w:cs="Calibri"/>
          <w:color w:val="000000" w:themeColor="text1"/>
        </w:rPr>
      </w:pPr>
      <w:r w:rsidRPr="001C58C6">
        <w:rPr>
          <w:rFonts w:ascii="Calibri" w:hAnsi="Calibri" w:cs="Calibri"/>
          <w:color w:val="000000" w:themeColor="text1"/>
        </w:rPr>
        <w:t xml:space="preserve">State of Global Air (2022). Trends in Air Quality and Health in Southeast Europe. </w:t>
      </w:r>
      <w:hyperlink r:id="rId55" w:history="1">
        <w:r w:rsidRPr="001C58C6">
          <w:rPr>
            <w:rStyle w:val="Hyperlink"/>
            <w:rFonts w:ascii="Calibri" w:hAnsi="Calibri" w:cs="Calibri"/>
            <w:color w:val="000000" w:themeColor="text1"/>
          </w:rPr>
          <w:t>https://www.stateofglobalair.org/resources/report/trends-air-quality-and-health-southeast-europe</w:t>
        </w:r>
      </w:hyperlink>
      <w:r w:rsidRPr="001C58C6">
        <w:rPr>
          <w:rFonts w:ascii="Calibri" w:hAnsi="Calibri" w:cs="Calibri"/>
          <w:color w:val="000000" w:themeColor="text1"/>
        </w:rPr>
        <w:t xml:space="preserve"> </w:t>
      </w:r>
    </w:p>
    <w:p w14:paraId="7F5E5B7A" w14:textId="77777777" w:rsidR="00CE3BDB" w:rsidRPr="001C58C6" w:rsidRDefault="00CE3BDB" w:rsidP="00CE3BDB">
      <w:pPr>
        <w:pStyle w:val="ListParagraph"/>
        <w:numPr>
          <w:ilvl w:val="1"/>
          <w:numId w:val="7"/>
        </w:numPr>
        <w:rPr>
          <w:rFonts w:ascii="Calibri" w:hAnsi="Calibri" w:cs="Calibri"/>
          <w:color w:val="000000" w:themeColor="text1"/>
        </w:rPr>
      </w:pPr>
      <w:r w:rsidRPr="001C58C6">
        <w:rPr>
          <w:rFonts w:ascii="Calibri" w:hAnsi="Calibri" w:cs="Calibri"/>
          <w:color w:val="000000" w:themeColor="text1"/>
        </w:rPr>
        <w:t xml:space="preserve">Agencija za zaštitu životne sredine Crne Gore – godišnji i mjesečni izvještaji o kvalitetu vazduha. </w:t>
      </w:r>
      <w:hyperlink r:id="rId56" w:history="1">
        <w:r w:rsidRPr="001C58C6">
          <w:rPr>
            <w:rStyle w:val="Hyperlink"/>
            <w:rFonts w:ascii="Calibri" w:hAnsi="Calibri" w:cs="Calibri"/>
            <w:color w:val="000000" w:themeColor="text1"/>
          </w:rPr>
          <w:t>https://www.epa.org.me</w:t>
        </w:r>
      </w:hyperlink>
      <w:r w:rsidRPr="001C58C6">
        <w:rPr>
          <w:rFonts w:ascii="Calibri" w:hAnsi="Calibri" w:cs="Calibri"/>
          <w:color w:val="000000" w:themeColor="text1"/>
        </w:rPr>
        <w:t xml:space="preserve">  </w:t>
      </w:r>
    </w:p>
    <w:p w14:paraId="61E8605D" w14:textId="77777777" w:rsidR="00CE3BDB" w:rsidRPr="001C58C6" w:rsidRDefault="00CE3BDB" w:rsidP="00CE3BDB">
      <w:pPr>
        <w:pStyle w:val="ListParagraph"/>
        <w:numPr>
          <w:ilvl w:val="1"/>
          <w:numId w:val="7"/>
        </w:numPr>
        <w:rPr>
          <w:rFonts w:ascii="Calibri" w:hAnsi="Calibri" w:cs="Calibri"/>
          <w:color w:val="000000" w:themeColor="text1"/>
        </w:rPr>
      </w:pPr>
      <w:r w:rsidRPr="001C58C6">
        <w:rPr>
          <w:rFonts w:ascii="Calibri" w:hAnsi="Calibri" w:cs="Calibri"/>
          <w:color w:val="000000" w:themeColor="text1"/>
        </w:rPr>
        <w:t xml:space="preserve">Nacionalni inventar emisija zagađujućih materija u vazduh (CLRTAP/EMEP). </w:t>
      </w:r>
      <w:hyperlink r:id="rId57" w:history="1">
        <w:r w:rsidRPr="001C58C6">
          <w:rPr>
            <w:rStyle w:val="Hyperlink"/>
            <w:rFonts w:ascii="Calibri" w:hAnsi="Calibri" w:cs="Calibri"/>
            <w:color w:val="000000" w:themeColor="text1"/>
          </w:rPr>
          <w:t>https://www.ceip.at/status-of-reporting-and-review-results/2024-submission</w:t>
        </w:r>
      </w:hyperlink>
      <w:r w:rsidRPr="001C58C6">
        <w:rPr>
          <w:rFonts w:ascii="Calibri" w:hAnsi="Calibri" w:cs="Calibri"/>
          <w:color w:val="000000" w:themeColor="text1"/>
        </w:rPr>
        <w:t xml:space="preserve"> </w:t>
      </w:r>
    </w:p>
    <w:p w14:paraId="2AC5B22B" w14:textId="77777777" w:rsidR="00CE3BDB" w:rsidRPr="001C58C6" w:rsidRDefault="00CE3BDB" w:rsidP="00CE3BDB">
      <w:pPr>
        <w:pStyle w:val="ListParagraph"/>
        <w:numPr>
          <w:ilvl w:val="1"/>
          <w:numId w:val="7"/>
        </w:numPr>
        <w:rPr>
          <w:rFonts w:ascii="Calibri" w:hAnsi="Calibri" w:cs="Calibri"/>
          <w:color w:val="000000" w:themeColor="text1"/>
        </w:rPr>
      </w:pPr>
      <w:r w:rsidRPr="001C58C6">
        <w:rPr>
          <w:rFonts w:ascii="Calibri" w:hAnsi="Calibri" w:cs="Calibri"/>
          <w:color w:val="000000" w:themeColor="text1"/>
        </w:rPr>
        <w:t xml:space="preserve">MONSTAT – energetski bilansi i statistika potrošnje goriva. </w:t>
      </w:r>
      <w:hyperlink r:id="rId58" w:history="1">
        <w:r w:rsidRPr="001C58C6">
          <w:rPr>
            <w:rStyle w:val="Hyperlink"/>
            <w:rFonts w:ascii="Calibri" w:hAnsi="Calibri" w:cs="Calibri"/>
            <w:color w:val="000000" w:themeColor="text1"/>
          </w:rPr>
          <w:t>https://www.monstat.org/cg/</w:t>
        </w:r>
      </w:hyperlink>
      <w:r w:rsidRPr="001C58C6">
        <w:rPr>
          <w:rFonts w:ascii="Calibri" w:hAnsi="Calibri" w:cs="Calibri"/>
          <w:color w:val="000000" w:themeColor="text1"/>
        </w:rPr>
        <w:t xml:space="preserve"> </w:t>
      </w:r>
    </w:p>
    <w:p w14:paraId="7D50E20D" w14:textId="77777777" w:rsidR="00CE3BDB" w:rsidRPr="001C58C6" w:rsidRDefault="00CE3BDB" w:rsidP="00CE3BDB">
      <w:pPr>
        <w:pStyle w:val="ListParagraph"/>
        <w:numPr>
          <w:ilvl w:val="1"/>
          <w:numId w:val="7"/>
        </w:numPr>
        <w:rPr>
          <w:rFonts w:ascii="Calibri" w:hAnsi="Calibri" w:cs="Calibri"/>
          <w:color w:val="000000" w:themeColor="text1"/>
        </w:rPr>
      </w:pPr>
      <w:r w:rsidRPr="001C58C6">
        <w:rPr>
          <w:rFonts w:ascii="Calibri" w:hAnsi="Calibri" w:cs="Calibri"/>
          <w:color w:val="000000" w:themeColor="text1"/>
        </w:rPr>
        <w:t xml:space="preserve">Crnogorska akademija nauka i umjetnosti (2012). Atlas klime Crne Gore. </w:t>
      </w:r>
      <w:hyperlink r:id="rId59" w:history="1">
        <w:r w:rsidRPr="001C58C6">
          <w:rPr>
            <w:rStyle w:val="Hyperlink"/>
            <w:rFonts w:ascii="Calibri" w:hAnsi="Calibri" w:cs="Calibri"/>
            <w:color w:val="000000" w:themeColor="text1"/>
          </w:rPr>
          <w:t>https://canupub.me/knjiga/atlas-klime-crne-gore/</w:t>
        </w:r>
      </w:hyperlink>
      <w:r w:rsidRPr="001C58C6">
        <w:rPr>
          <w:rFonts w:ascii="Calibri" w:hAnsi="Calibri" w:cs="Calibri"/>
          <w:color w:val="000000" w:themeColor="text1"/>
        </w:rPr>
        <w:t xml:space="preserve"> </w:t>
      </w:r>
    </w:p>
    <w:p w14:paraId="22FD0309" w14:textId="77777777" w:rsidR="00CE3BDB" w:rsidRPr="001C58C6" w:rsidRDefault="00CE3BDB" w:rsidP="00CE3BDB">
      <w:pPr>
        <w:pStyle w:val="ListParagraph"/>
        <w:numPr>
          <w:ilvl w:val="1"/>
          <w:numId w:val="7"/>
        </w:numPr>
        <w:rPr>
          <w:rFonts w:ascii="Calibri" w:hAnsi="Calibri" w:cs="Calibri"/>
          <w:color w:val="000000" w:themeColor="text1"/>
        </w:rPr>
      </w:pPr>
      <w:r w:rsidRPr="001C58C6">
        <w:rPr>
          <w:rFonts w:ascii="Calibri" w:hAnsi="Calibri" w:cs="Calibri"/>
          <w:color w:val="000000" w:themeColor="text1"/>
        </w:rPr>
        <w:t xml:space="preserve">Crnogorska akademija nauka i umjetnosti. Botanički leksikon Crne Gore. </w:t>
      </w:r>
      <w:hyperlink r:id="rId60" w:history="1">
        <w:r w:rsidRPr="001C58C6">
          <w:rPr>
            <w:rStyle w:val="Hyperlink"/>
            <w:rFonts w:ascii="Calibri" w:hAnsi="Calibri" w:cs="Calibri"/>
            <w:color w:val="000000" w:themeColor="text1"/>
          </w:rPr>
          <w:t>https://leks.canu.ac.me/web/blcg.php</w:t>
        </w:r>
      </w:hyperlink>
      <w:r w:rsidRPr="001C58C6">
        <w:rPr>
          <w:rFonts w:ascii="Calibri" w:hAnsi="Calibri" w:cs="Calibri"/>
          <w:color w:val="000000" w:themeColor="text1"/>
        </w:rPr>
        <w:t xml:space="preserve"> </w:t>
      </w:r>
    </w:p>
    <w:p w14:paraId="5F6A42EA" w14:textId="77777777" w:rsidR="007363B7" w:rsidRPr="00EE7A75" w:rsidRDefault="00A31A74" w:rsidP="00E53052">
      <w:pPr>
        <w:pStyle w:val="ListParagraph"/>
        <w:numPr>
          <w:ilvl w:val="0"/>
          <w:numId w:val="103"/>
        </w:numPr>
        <w:rPr>
          <w:rFonts w:ascii="Calibri" w:hAnsi="Calibri" w:cs="Calibri"/>
          <w:color w:val="000000" w:themeColor="text1"/>
        </w:rPr>
      </w:pPr>
      <w:r w:rsidRPr="00EE7A75">
        <w:rPr>
          <w:rFonts w:ascii="Calibri" w:hAnsi="Calibri" w:cs="Calibri"/>
          <w:color w:val="000000" w:themeColor="text1"/>
        </w:rPr>
        <w:t>Pavićević, Ana (2023). Rodno osviještene javne politike / Strategija upravljanja kvalitetom vazduha. Analitički dokument pripremljen za potrebe orodnjavanja politike upravljanja kvalitetom vazduha.</w:t>
      </w:r>
    </w:p>
    <w:p w14:paraId="0A95F243" w14:textId="77777777" w:rsidR="007363B7" w:rsidRPr="00EE7A75" w:rsidRDefault="00A31A74" w:rsidP="00E53052">
      <w:pPr>
        <w:pStyle w:val="ListParagraph"/>
        <w:numPr>
          <w:ilvl w:val="0"/>
          <w:numId w:val="103"/>
        </w:numPr>
        <w:rPr>
          <w:rFonts w:ascii="Calibri" w:hAnsi="Calibri" w:cs="Calibri"/>
          <w:color w:val="000000" w:themeColor="text1"/>
        </w:rPr>
      </w:pPr>
      <w:r w:rsidRPr="00EE7A75">
        <w:rPr>
          <w:rFonts w:ascii="Calibri" w:hAnsi="Calibri" w:cs="Calibri"/>
          <w:color w:val="000000" w:themeColor="text1"/>
        </w:rPr>
        <w:t>European Commission (2021). The EU Zero Pollution Action Plan - Pathway to a Healthy Planet for All, COM(2021) 400 final.</w:t>
      </w:r>
    </w:p>
    <w:p w14:paraId="357BB35B" w14:textId="77777777" w:rsidR="007363B7" w:rsidRPr="00EE7A75" w:rsidRDefault="00A31A74" w:rsidP="00E53052">
      <w:pPr>
        <w:pStyle w:val="ListParagraph"/>
        <w:numPr>
          <w:ilvl w:val="0"/>
          <w:numId w:val="103"/>
        </w:numPr>
        <w:rPr>
          <w:rFonts w:ascii="Calibri" w:hAnsi="Calibri" w:cs="Calibri"/>
          <w:color w:val="000000" w:themeColor="text1"/>
        </w:rPr>
      </w:pPr>
      <w:r w:rsidRPr="00EE7A75">
        <w:rPr>
          <w:rFonts w:ascii="Calibri" w:hAnsi="Calibri" w:cs="Calibri"/>
          <w:color w:val="000000" w:themeColor="text1"/>
        </w:rPr>
        <w:t>Regional Cooperation Council (2021). Green Agenda for the Western Balkans Action Plan 2021-2030.</w:t>
      </w:r>
    </w:p>
    <w:p w14:paraId="659C7AAE" w14:textId="77777777" w:rsidR="007363B7" w:rsidRPr="00EE7A75" w:rsidRDefault="00A31A74" w:rsidP="00E53052">
      <w:pPr>
        <w:pStyle w:val="ListParagraph"/>
        <w:numPr>
          <w:ilvl w:val="0"/>
          <w:numId w:val="103"/>
        </w:numPr>
        <w:rPr>
          <w:rFonts w:ascii="Calibri" w:hAnsi="Calibri" w:cs="Calibri"/>
          <w:color w:val="000000" w:themeColor="text1"/>
        </w:rPr>
      </w:pPr>
      <w:r w:rsidRPr="00EE7A75">
        <w:rPr>
          <w:rFonts w:ascii="Calibri" w:hAnsi="Calibri" w:cs="Calibri"/>
          <w:color w:val="000000" w:themeColor="text1"/>
        </w:rPr>
        <w:t>United Nations Framework Convention on Climate Change (UNFCCC). Paris Agreement and Nationally Determined Contributions (NDCs).</w:t>
      </w:r>
    </w:p>
    <w:p w14:paraId="3F1B5022" w14:textId="77777777" w:rsidR="007363B7" w:rsidRPr="00EE7A75" w:rsidRDefault="00A31A74" w:rsidP="00E53052">
      <w:pPr>
        <w:pStyle w:val="ListParagraph"/>
        <w:numPr>
          <w:ilvl w:val="0"/>
          <w:numId w:val="103"/>
        </w:numPr>
        <w:rPr>
          <w:rFonts w:ascii="Calibri" w:hAnsi="Calibri" w:cs="Calibri"/>
          <w:color w:val="000000" w:themeColor="text1"/>
        </w:rPr>
      </w:pPr>
      <w:r w:rsidRPr="00EE7A75">
        <w:rPr>
          <w:rFonts w:ascii="Calibri" w:hAnsi="Calibri" w:cs="Calibri"/>
          <w:color w:val="000000" w:themeColor="text1"/>
        </w:rPr>
        <w:t>Crna Gora. Ažurirani nacionalno utvrđeni doprinos Crne Gore za 2030. i 2035. godinu.</w:t>
      </w:r>
    </w:p>
    <w:p w14:paraId="15DE09E9" w14:textId="77777777" w:rsidR="007363B7" w:rsidRPr="00EE7A75" w:rsidRDefault="00A31A74" w:rsidP="00E53052">
      <w:pPr>
        <w:pStyle w:val="ListParagraph"/>
        <w:numPr>
          <w:ilvl w:val="0"/>
          <w:numId w:val="103"/>
        </w:numPr>
        <w:rPr>
          <w:rFonts w:ascii="Calibri" w:hAnsi="Calibri" w:cs="Calibri"/>
          <w:color w:val="000000" w:themeColor="text1"/>
        </w:rPr>
      </w:pPr>
      <w:r w:rsidRPr="00EE7A75">
        <w:rPr>
          <w:rFonts w:ascii="Calibri" w:hAnsi="Calibri" w:cs="Calibri"/>
          <w:color w:val="000000" w:themeColor="text1"/>
        </w:rPr>
        <w:t>Crna Gora. Nacionalni plan Crne Gore za prilagođavanje na klimatske promjene 2025-2035, sa Akcionim planom 2025-2027.</w:t>
      </w:r>
    </w:p>
    <w:p w14:paraId="022EF628" w14:textId="77777777" w:rsidR="007363B7" w:rsidRPr="00EE7A75" w:rsidRDefault="00A31A74" w:rsidP="00E53052">
      <w:pPr>
        <w:pStyle w:val="ListParagraph"/>
        <w:numPr>
          <w:ilvl w:val="0"/>
          <w:numId w:val="103"/>
        </w:numPr>
        <w:rPr>
          <w:rFonts w:ascii="Calibri" w:hAnsi="Calibri" w:cs="Calibri"/>
          <w:color w:val="000000" w:themeColor="text1"/>
        </w:rPr>
      </w:pPr>
      <w:r w:rsidRPr="00EE7A75">
        <w:rPr>
          <w:rFonts w:ascii="Calibri" w:hAnsi="Calibri" w:cs="Calibri"/>
          <w:color w:val="000000" w:themeColor="text1"/>
        </w:rPr>
        <w:t>Crna Gora. Državni plan upravljanja otpadom 2025-2029.</w:t>
      </w:r>
    </w:p>
    <w:p w14:paraId="5EA60D15" w14:textId="77777777" w:rsidR="007363B7" w:rsidRPr="00EE7A75" w:rsidRDefault="00A31A74" w:rsidP="00E53052">
      <w:pPr>
        <w:pStyle w:val="ListParagraph"/>
        <w:numPr>
          <w:ilvl w:val="0"/>
          <w:numId w:val="103"/>
        </w:numPr>
        <w:rPr>
          <w:rFonts w:ascii="Calibri" w:hAnsi="Calibri" w:cs="Calibri"/>
          <w:color w:val="000000" w:themeColor="text1"/>
        </w:rPr>
      </w:pPr>
      <w:r w:rsidRPr="00EE7A75">
        <w:rPr>
          <w:rFonts w:ascii="Calibri" w:hAnsi="Calibri" w:cs="Calibri"/>
          <w:color w:val="000000" w:themeColor="text1"/>
        </w:rPr>
        <w:t>Crna Gora. Plan upravljanja komunalnim otpadnim vodama do 2030. godine.</w:t>
      </w:r>
    </w:p>
    <w:p w14:paraId="2350D372" w14:textId="77777777" w:rsidR="007363B7" w:rsidRPr="00EE7A75" w:rsidRDefault="00A31A74" w:rsidP="00E53052">
      <w:pPr>
        <w:pStyle w:val="ListParagraph"/>
        <w:numPr>
          <w:ilvl w:val="0"/>
          <w:numId w:val="103"/>
        </w:numPr>
        <w:rPr>
          <w:rFonts w:ascii="Calibri" w:hAnsi="Calibri" w:cs="Calibri"/>
          <w:color w:val="000000" w:themeColor="text1"/>
        </w:rPr>
      </w:pPr>
      <w:r w:rsidRPr="00EE7A75">
        <w:rPr>
          <w:rFonts w:ascii="Calibri" w:hAnsi="Calibri" w:cs="Calibri"/>
          <w:color w:val="000000" w:themeColor="text1"/>
        </w:rPr>
        <w:t>Crna Gora. Nacionalna šumarska politika Crne Gore.</w:t>
      </w:r>
    </w:p>
    <w:p w14:paraId="6ECC8DB5" w14:textId="77777777" w:rsidR="0094151F" w:rsidRPr="001C58C6" w:rsidRDefault="0094151F">
      <w:pPr>
        <w:rPr>
          <w:rFonts w:ascii="Calibri" w:hAnsi="Calibri" w:cs="Calibri"/>
          <w:color w:val="000000" w:themeColor="text1"/>
        </w:rPr>
      </w:pPr>
    </w:p>
    <w:p w14:paraId="38655C07" w14:textId="77777777" w:rsidR="00E82FA7" w:rsidRPr="001C58C6" w:rsidRDefault="00E82FA7" w:rsidP="0094151F">
      <w:pPr>
        <w:jc w:val="left"/>
        <w:rPr>
          <w:rFonts w:ascii="Calibri" w:hAnsi="Calibri" w:cs="Calibri"/>
          <w:color w:val="000000" w:themeColor="text1"/>
        </w:rPr>
      </w:pPr>
      <w:r w:rsidRPr="001C58C6">
        <w:rPr>
          <w:rFonts w:ascii="Calibri" w:hAnsi="Calibri" w:cs="Calibri"/>
          <w:color w:val="000000" w:themeColor="text1"/>
        </w:rPr>
        <w:br w:type="page"/>
      </w:r>
    </w:p>
    <w:p w14:paraId="23885B60" w14:textId="77777777" w:rsidR="004F4841" w:rsidRPr="001C58C6" w:rsidRDefault="004F4841" w:rsidP="004F4841">
      <w:pPr>
        <w:pStyle w:val="Heading1"/>
        <w:rPr>
          <w:rFonts w:ascii="Calibri" w:hAnsi="Calibri" w:cs="Calibri"/>
          <w:color w:val="000000" w:themeColor="text1"/>
        </w:rPr>
      </w:pPr>
      <w:bookmarkStart w:id="240" w:name="_Toc233711781"/>
      <w:r w:rsidRPr="001C58C6">
        <w:rPr>
          <w:rFonts w:ascii="Calibri" w:hAnsi="Calibri" w:cs="Calibri"/>
          <w:color w:val="000000" w:themeColor="text1"/>
        </w:rPr>
        <w:lastRenderedPageBreak/>
        <w:t>PRILOG 1</w:t>
      </w:r>
      <w:bookmarkEnd w:id="240"/>
    </w:p>
    <w:p w14:paraId="41263BC1" w14:textId="77777777" w:rsidR="004F4841" w:rsidRPr="001C58C6" w:rsidRDefault="004F4841" w:rsidP="004F4841">
      <w:pPr>
        <w:rPr>
          <w:rFonts w:ascii="Calibri" w:hAnsi="Calibri" w:cs="Calibri"/>
          <w:color w:val="000000" w:themeColor="text1"/>
        </w:rPr>
      </w:pPr>
    </w:p>
    <w:p w14:paraId="72CF38B2" w14:textId="77777777" w:rsidR="004F4841" w:rsidRPr="001C58C6" w:rsidRDefault="004F4841" w:rsidP="00E53052">
      <w:pPr>
        <w:pStyle w:val="Heading2"/>
        <w:numPr>
          <w:ilvl w:val="0"/>
          <w:numId w:val="102"/>
        </w:numPr>
        <w:rPr>
          <w:rFonts w:ascii="Calibri" w:hAnsi="Calibri" w:cs="Calibri"/>
          <w:color w:val="000000" w:themeColor="text1"/>
        </w:rPr>
      </w:pPr>
      <w:bookmarkStart w:id="241" w:name="_Toc233711782"/>
      <w:r w:rsidRPr="001C58C6">
        <w:rPr>
          <w:rFonts w:ascii="Calibri" w:hAnsi="Calibri" w:cs="Calibri"/>
          <w:color w:val="000000" w:themeColor="text1"/>
        </w:rPr>
        <w:t>Informacije koje treba da sadrže planovi kvaliteta vazduha i akcioni planove kvaliteta vazduha</w:t>
      </w:r>
      <w:r w:rsidRPr="001C58C6">
        <w:rPr>
          <w:rStyle w:val="FootnoteReference"/>
          <w:rFonts w:ascii="Calibri" w:hAnsi="Calibri" w:cs="Calibri"/>
          <w:bCs/>
          <w:color w:val="000000" w:themeColor="text1"/>
        </w:rPr>
        <w:footnoteReference w:id="26"/>
      </w:r>
      <w:bookmarkEnd w:id="241"/>
    </w:p>
    <w:p w14:paraId="12BEFFD9" w14:textId="77777777" w:rsidR="004F4841" w:rsidRPr="001C58C6" w:rsidRDefault="004F4841" w:rsidP="00E53052">
      <w:pPr>
        <w:pStyle w:val="ListParagraph"/>
        <w:numPr>
          <w:ilvl w:val="1"/>
          <w:numId w:val="102"/>
        </w:numPr>
        <w:tabs>
          <w:tab w:val="clear" w:pos="1440"/>
          <w:tab w:val="num" w:pos="1134"/>
        </w:tabs>
        <w:ind w:left="567" w:hanging="425"/>
        <w:rPr>
          <w:rFonts w:ascii="Calibri" w:hAnsi="Calibri" w:cs="Calibri"/>
          <w:b/>
          <w:bCs/>
          <w:color w:val="000000" w:themeColor="text1"/>
        </w:rPr>
      </w:pPr>
      <w:r w:rsidRPr="001C58C6">
        <w:rPr>
          <w:rFonts w:ascii="Calibri" w:hAnsi="Calibri" w:cs="Calibri"/>
          <w:b/>
          <w:bCs/>
          <w:color w:val="000000" w:themeColor="text1"/>
        </w:rPr>
        <w:t>Lokalizacija prekomjernog zagađenja</w:t>
      </w:r>
    </w:p>
    <w:p w14:paraId="4469F2FC" w14:textId="77777777" w:rsidR="00ED5DB4" w:rsidRPr="001C58C6" w:rsidRDefault="00ED5DB4" w:rsidP="004F4841">
      <w:pPr>
        <w:rPr>
          <w:rFonts w:ascii="Calibri" w:hAnsi="Calibri" w:cs="Calibri"/>
          <w:color w:val="000000" w:themeColor="text1"/>
        </w:rPr>
      </w:pPr>
    </w:p>
    <w:p w14:paraId="2F9B8E81"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(a) region;</w:t>
      </w:r>
    </w:p>
    <w:p w14:paraId="7DB6C659"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(b)grad/gradovi (karte);</w:t>
      </w:r>
    </w:p>
    <w:p w14:paraId="67E43C37"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(c)mjerna mjesta (karta, geografske koordinate).</w:t>
      </w:r>
    </w:p>
    <w:p w14:paraId="39E6FBCC" w14:textId="77777777" w:rsidR="00ED5DB4" w:rsidRPr="001C58C6" w:rsidRDefault="00ED5DB4" w:rsidP="004F4841">
      <w:pPr>
        <w:rPr>
          <w:rFonts w:ascii="Calibri" w:hAnsi="Calibri" w:cs="Calibri"/>
          <w:color w:val="000000" w:themeColor="text1"/>
        </w:rPr>
      </w:pPr>
    </w:p>
    <w:p w14:paraId="6D569793" w14:textId="77777777" w:rsidR="004F4841" w:rsidRPr="001C58C6" w:rsidRDefault="004F4841" w:rsidP="00E53052">
      <w:pPr>
        <w:pStyle w:val="ListParagraph"/>
        <w:numPr>
          <w:ilvl w:val="1"/>
          <w:numId w:val="102"/>
        </w:numPr>
        <w:tabs>
          <w:tab w:val="clear" w:pos="1440"/>
          <w:tab w:val="num" w:pos="1134"/>
          <w:tab w:val="num" w:pos="1843"/>
        </w:tabs>
        <w:ind w:left="709" w:hanging="283"/>
        <w:rPr>
          <w:rFonts w:ascii="Calibri" w:hAnsi="Calibri" w:cs="Calibri"/>
          <w:b/>
          <w:bCs/>
          <w:color w:val="000000" w:themeColor="text1"/>
        </w:rPr>
      </w:pPr>
      <w:r w:rsidRPr="001C58C6">
        <w:rPr>
          <w:rFonts w:ascii="Calibri" w:hAnsi="Calibri" w:cs="Calibri"/>
          <w:b/>
          <w:bCs/>
          <w:color w:val="000000" w:themeColor="text1"/>
        </w:rPr>
        <w:t>Opšte informacije</w:t>
      </w:r>
    </w:p>
    <w:p w14:paraId="2E01D3C5" w14:textId="77777777" w:rsidR="00ED5DB4" w:rsidRPr="001C58C6" w:rsidRDefault="00ED5DB4" w:rsidP="004F4841">
      <w:pPr>
        <w:rPr>
          <w:rFonts w:ascii="Calibri" w:hAnsi="Calibri" w:cs="Calibri"/>
          <w:color w:val="000000" w:themeColor="text1"/>
        </w:rPr>
      </w:pPr>
    </w:p>
    <w:p w14:paraId="1725FFAA"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(a) vrsta zone (gradsko, industrijsko ili ruralno područje) ili karakteristike prostorne jedinice (NUTS) ukoliko se plan izrađuje na nivou statističkog regiona (uključujući gradska, industrijska ili ruralna područja);</w:t>
      </w:r>
    </w:p>
    <w:p w14:paraId="27CDE118" w14:textId="77777777" w:rsidR="00ED5DB4" w:rsidRPr="001C58C6" w:rsidRDefault="00ED5DB4" w:rsidP="004F4841">
      <w:pPr>
        <w:rPr>
          <w:rFonts w:ascii="Calibri" w:hAnsi="Calibri" w:cs="Calibri"/>
          <w:color w:val="000000" w:themeColor="text1"/>
        </w:rPr>
      </w:pPr>
    </w:p>
    <w:p w14:paraId="2041225F"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(b) procjena veličine zagađenog područja (km²) i broja stanovnika izloženih zagađenju;</w:t>
      </w:r>
    </w:p>
    <w:p w14:paraId="7DD06961"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(c)koncentracije relevantne zagađujuće supstance ili pokazatelj prosječne izloženosti toj supstanci, zabilježeni najmanje pet godina prije prekoračenja, u poređenju s najnovijim podacima, uključujući i njihovo poređenje s graničnim vrijednostima ili obavezom smanjenja prosječne izloženosti te ciljanom prosječnom koncentracijom izloženosti.</w:t>
      </w:r>
    </w:p>
    <w:p w14:paraId="3F67AA65" w14:textId="77777777" w:rsidR="00ED5DB4" w:rsidRPr="001C58C6" w:rsidRDefault="00ED5DB4" w:rsidP="004F4841">
      <w:pPr>
        <w:rPr>
          <w:rFonts w:ascii="Calibri" w:hAnsi="Calibri" w:cs="Calibri"/>
          <w:color w:val="000000" w:themeColor="text1"/>
        </w:rPr>
      </w:pPr>
    </w:p>
    <w:p w14:paraId="0700BDC9" w14:textId="77777777" w:rsidR="004F4841" w:rsidRPr="001C58C6" w:rsidRDefault="004F4841" w:rsidP="00E53052">
      <w:pPr>
        <w:pStyle w:val="ListParagraph"/>
        <w:numPr>
          <w:ilvl w:val="1"/>
          <w:numId w:val="102"/>
        </w:numPr>
        <w:tabs>
          <w:tab w:val="clear" w:pos="1440"/>
          <w:tab w:val="num" w:pos="1134"/>
        </w:tabs>
        <w:ind w:left="709" w:hanging="425"/>
        <w:rPr>
          <w:rFonts w:ascii="Calibri" w:hAnsi="Calibri" w:cs="Calibri"/>
          <w:b/>
          <w:bCs/>
          <w:color w:val="000000" w:themeColor="text1"/>
        </w:rPr>
      </w:pPr>
      <w:r w:rsidRPr="001C58C6">
        <w:rPr>
          <w:rFonts w:ascii="Calibri" w:hAnsi="Calibri" w:cs="Calibri"/>
          <w:b/>
          <w:bCs/>
          <w:color w:val="000000" w:themeColor="text1"/>
        </w:rPr>
        <w:t xml:space="preserve">Nadležni organi </w:t>
      </w:r>
    </w:p>
    <w:p w14:paraId="427D7A5F" w14:textId="77777777" w:rsidR="00ED5DB4" w:rsidRPr="001C58C6" w:rsidRDefault="00ED5DB4" w:rsidP="00ED5DB4">
      <w:pPr>
        <w:pStyle w:val="ListParagraph"/>
        <w:ind w:left="1440"/>
        <w:rPr>
          <w:rFonts w:ascii="Calibri" w:hAnsi="Calibri" w:cs="Calibri"/>
          <w:b/>
          <w:bCs/>
          <w:color w:val="000000" w:themeColor="text1"/>
        </w:rPr>
      </w:pPr>
    </w:p>
    <w:p w14:paraId="62CC6ABF"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Nazivi i adrese nadležnih organa koji su odgovorni za izradu i sprovođenje planova ili akcionih planova kvaliteta vazduha.</w:t>
      </w:r>
    </w:p>
    <w:p w14:paraId="5728123A" w14:textId="77777777" w:rsidR="00ED5DB4" w:rsidRPr="001C58C6" w:rsidRDefault="00ED5DB4" w:rsidP="004F4841">
      <w:pPr>
        <w:rPr>
          <w:rFonts w:ascii="Calibri" w:hAnsi="Calibri" w:cs="Calibri"/>
          <w:color w:val="000000" w:themeColor="text1"/>
        </w:rPr>
      </w:pPr>
    </w:p>
    <w:p w14:paraId="37502A0A" w14:textId="77777777" w:rsidR="004F4841" w:rsidRPr="001C58C6" w:rsidRDefault="004F4841" w:rsidP="00E53052">
      <w:pPr>
        <w:pStyle w:val="ListParagraph"/>
        <w:numPr>
          <w:ilvl w:val="1"/>
          <w:numId w:val="102"/>
        </w:numPr>
        <w:tabs>
          <w:tab w:val="left" w:pos="1276"/>
        </w:tabs>
        <w:ind w:left="709"/>
        <w:rPr>
          <w:rFonts w:ascii="Calibri" w:hAnsi="Calibri" w:cs="Calibri"/>
          <w:b/>
          <w:bCs/>
          <w:color w:val="000000" w:themeColor="text1"/>
        </w:rPr>
      </w:pPr>
      <w:r w:rsidRPr="001C58C6">
        <w:rPr>
          <w:rFonts w:ascii="Calibri" w:hAnsi="Calibri" w:cs="Calibri"/>
          <w:b/>
          <w:bCs/>
          <w:color w:val="000000" w:themeColor="text1"/>
        </w:rPr>
        <w:t>Porijeklo zagađenja, uzimajući u obzir izvještavanje na osnovu Direktive (EU) 2016/2284 i informacije dostavljene u nacionalnom programu kontrole zagađenja vazduha</w:t>
      </w:r>
    </w:p>
    <w:p w14:paraId="19699BD9" w14:textId="77777777" w:rsidR="00ED5DB4" w:rsidRPr="001C58C6" w:rsidRDefault="00ED5DB4" w:rsidP="00ED5DB4">
      <w:pPr>
        <w:pStyle w:val="ListParagraph"/>
        <w:ind w:left="1440"/>
        <w:rPr>
          <w:rFonts w:ascii="Calibri" w:hAnsi="Calibri" w:cs="Calibri"/>
          <w:color w:val="000000" w:themeColor="text1"/>
        </w:rPr>
      </w:pPr>
    </w:p>
    <w:p w14:paraId="038CA1FC"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(a) spisak glavnih izvora emisija odgovornih za zagađenje;</w:t>
      </w:r>
    </w:p>
    <w:p w14:paraId="452F0555"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(b)ukupna količina emisija iz tih izvora (u tonama/godišnje);</w:t>
      </w:r>
    </w:p>
    <w:p w14:paraId="37EC5DFA"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(c)procjena nivoa emisija (npr. gradski nivo, regionalni nivo, nacionalni nivo i prekogranični prenosi);</w:t>
      </w:r>
    </w:p>
    <w:p w14:paraId="01DE2055"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(d)raspodjela izvora prema relevantnim sektorima koji doprinose prekoračenju, kako je definisano u nacionalnom programu kontrole zagađenja vazduha.</w:t>
      </w:r>
    </w:p>
    <w:p w14:paraId="418B0E8E" w14:textId="77777777" w:rsidR="00ED5DB4" w:rsidRPr="001C58C6" w:rsidRDefault="00ED5DB4" w:rsidP="004F4841">
      <w:pPr>
        <w:rPr>
          <w:rFonts w:ascii="Calibri" w:hAnsi="Calibri" w:cs="Calibri"/>
          <w:color w:val="000000" w:themeColor="text1"/>
        </w:rPr>
      </w:pPr>
    </w:p>
    <w:p w14:paraId="0EBA47D7" w14:textId="77777777" w:rsidR="004F4841" w:rsidRPr="001C58C6" w:rsidRDefault="004F4841" w:rsidP="00E53052">
      <w:pPr>
        <w:pStyle w:val="ListParagraph"/>
        <w:numPr>
          <w:ilvl w:val="1"/>
          <w:numId w:val="102"/>
        </w:numPr>
        <w:tabs>
          <w:tab w:val="clear" w:pos="1440"/>
          <w:tab w:val="num" w:pos="851"/>
        </w:tabs>
        <w:ind w:left="567" w:hanging="141"/>
        <w:rPr>
          <w:rFonts w:ascii="Calibri" w:hAnsi="Calibri" w:cs="Calibri"/>
          <w:b/>
          <w:bCs/>
          <w:color w:val="000000" w:themeColor="text1"/>
        </w:rPr>
      </w:pPr>
      <w:r w:rsidRPr="001C58C6">
        <w:rPr>
          <w:rFonts w:ascii="Calibri" w:hAnsi="Calibri" w:cs="Calibri"/>
          <w:b/>
          <w:bCs/>
          <w:color w:val="000000" w:themeColor="text1"/>
        </w:rPr>
        <w:t>Opis osnovnog scenarija na kojem se zasniva plan kvaliteta vazduha ili akcioni plan, radi dokazivanja posljedica nedjelovanja, uključujući predviđeni razvoj emisija i koncentracija.</w:t>
      </w:r>
    </w:p>
    <w:p w14:paraId="1B62BCF4" w14:textId="77777777" w:rsidR="00ED5DB4" w:rsidRPr="001C58C6" w:rsidRDefault="00ED5DB4" w:rsidP="00ED5DB4">
      <w:pPr>
        <w:pStyle w:val="ListParagraph"/>
        <w:rPr>
          <w:rFonts w:ascii="Calibri" w:hAnsi="Calibri" w:cs="Calibri"/>
          <w:b/>
          <w:bCs/>
          <w:color w:val="000000" w:themeColor="text1"/>
        </w:rPr>
      </w:pPr>
    </w:p>
    <w:p w14:paraId="35F798CF" w14:textId="77777777" w:rsidR="00ED5DB4" w:rsidRPr="001C58C6" w:rsidRDefault="00ED5DB4" w:rsidP="00ED5DB4">
      <w:pPr>
        <w:pStyle w:val="ListParagraph"/>
        <w:rPr>
          <w:rFonts w:ascii="Calibri" w:hAnsi="Calibri" w:cs="Calibri"/>
          <w:color w:val="000000" w:themeColor="text1"/>
        </w:rPr>
      </w:pPr>
    </w:p>
    <w:p w14:paraId="76AE1191" w14:textId="77777777" w:rsidR="004F4841" w:rsidRPr="001C58C6" w:rsidRDefault="004F4841" w:rsidP="00E53052">
      <w:pPr>
        <w:pStyle w:val="ListParagraph"/>
        <w:numPr>
          <w:ilvl w:val="1"/>
          <w:numId w:val="102"/>
        </w:numPr>
        <w:tabs>
          <w:tab w:val="clear" w:pos="1440"/>
          <w:tab w:val="num" w:pos="1134"/>
        </w:tabs>
        <w:ind w:left="851" w:hanging="284"/>
        <w:rPr>
          <w:rFonts w:ascii="Calibri" w:hAnsi="Calibri" w:cs="Calibri"/>
          <w:b/>
          <w:bCs/>
          <w:color w:val="000000" w:themeColor="text1"/>
        </w:rPr>
      </w:pPr>
      <w:r w:rsidRPr="001C58C6">
        <w:rPr>
          <w:rFonts w:ascii="Calibri" w:hAnsi="Calibri" w:cs="Calibri"/>
          <w:b/>
          <w:bCs/>
          <w:color w:val="000000" w:themeColor="text1"/>
        </w:rPr>
        <w:t>Utvrđivanje mjera za smanjenje zagađenja vazduha koje se mogu uzeti u obzir pri izboru i detaljni podaci o tim mjerama:</w:t>
      </w:r>
    </w:p>
    <w:p w14:paraId="0EE4D5C0" w14:textId="77777777" w:rsidR="00ED5DB4" w:rsidRPr="001C58C6" w:rsidRDefault="00ED5DB4" w:rsidP="00ED5DB4">
      <w:pPr>
        <w:pStyle w:val="ListParagraph"/>
        <w:rPr>
          <w:rFonts w:ascii="Calibri" w:hAnsi="Calibri" w:cs="Calibri"/>
          <w:color w:val="000000" w:themeColor="text1"/>
        </w:rPr>
      </w:pPr>
    </w:p>
    <w:p w14:paraId="7BE8D3C7"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(a) spisak i opis svih mjera razmatranih u planu kvaliteta vazduha ili akcionom planu, uključujući utvrđivanje nadležnog organa zaduženog za njihovo sprovođenje;</w:t>
      </w:r>
    </w:p>
    <w:p w14:paraId="2E117FDE"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(b) kvantifikacija ili procjena smanjenja emisija (u tonama/godišnje) i, ako su dostupni, smanjenja koncentracija za svaku mjeru iz tačke (a).</w:t>
      </w:r>
    </w:p>
    <w:p w14:paraId="706323D0" w14:textId="77777777" w:rsidR="00ED5DB4" w:rsidRPr="001C58C6" w:rsidRDefault="00ED5DB4" w:rsidP="004F4841">
      <w:pPr>
        <w:rPr>
          <w:rFonts w:ascii="Calibri" w:hAnsi="Calibri" w:cs="Calibri"/>
          <w:color w:val="000000" w:themeColor="text1"/>
        </w:rPr>
      </w:pPr>
    </w:p>
    <w:p w14:paraId="2661DD4C" w14:textId="77777777" w:rsidR="004F4841" w:rsidRPr="001C58C6" w:rsidRDefault="004F4841" w:rsidP="00E53052">
      <w:pPr>
        <w:pStyle w:val="ListParagraph"/>
        <w:numPr>
          <w:ilvl w:val="1"/>
          <w:numId w:val="102"/>
        </w:numPr>
        <w:tabs>
          <w:tab w:val="clear" w:pos="1440"/>
          <w:tab w:val="num" w:pos="1134"/>
        </w:tabs>
        <w:ind w:left="851" w:hanging="425"/>
        <w:rPr>
          <w:rFonts w:ascii="Calibri" w:hAnsi="Calibri" w:cs="Calibri"/>
          <w:b/>
          <w:bCs/>
          <w:color w:val="000000" w:themeColor="text1"/>
        </w:rPr>
      </w:pPr>
      <w:r w:rsidRPr="001C58C6">
        <w:rPr>
          <w:rFonts w:ascii="Calibri" w:hAnsi="Calibri" w:cs="Calibri"/>
          <w:b/>
          <w:bCs/>
          <w:color w:val="000000" w:themeColor="text1"/>
        </w:rPr>
        <w:t>Izabrane mjere i njihov očekivani efekat za postizanje usklađenosti u propisanim rokovima:</w:t>
      </w:r>
    </w:p>
    <w:p w14:paraId="13737478" w14:textId="77777777" w:rsidR="00ED5DB4" w:rsidRPr="001C58C6" w:rsidRDefault="00ED5DB4" w:rsidP="004F4841">
      <w:pPr>
        <w:rPr>
          <w:rFonts w:ascii="Calibri" w:hAnsi="Calibri" w:cs="Calibri"/>
          <w:color w:val="000000" w:themeColor="text1"/>
        </w:rPr>
      </w:pPr>
    </w:p>
    <w:p w14:paraId="4F47DA7D"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 xml:space="preserve">(a) spisak izabranih mjera, uključujući spisak informacija (kao što su rezultati modeliranja i procjene mjera) za postizanje predmetnog standarda kvaliteta vazduha; (ako spisak mjera iz tačke 6 sadrži mjere s mogućim visokim potencijalom za poboljšanje kvaliteta vazduha, ali nijesu izabrane za donošenje, objašnjenje razloga zbog kojih mjere nijesu izabrane). </w:t>
      </w:r>
    </w:p>
    <w:p w14:paraId="1295BE69"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(b) raspored sprovođenja svake mjere i odgovorni subjekti;</w:t>
      </w:r>
    </w:p>
    <w:p w14:paraId="15B6832F"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(c) kvantifikacija smanjenja emisija (u tonama/godišnje) kombinacijom mjera iz tačke (a) ove tačke;</w:t>
      </w:r>
    </w:p>
    <w:p w14:paraId="15D36F07"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(d) očekivano kvantifikovano smanjenje koncentracije (u μg/m³) na svakoj tački uzorkovanja pri prekoračenju graničnih vrijednosti, ciljnih vrijednosti ili pokazatelja prosječne izloženosti u slučaju prekoračenja obaveze smanjenja prosječne izloženosti, zahvaljujući skupu mjera iz tačke (a) ove tačke;</w:t>
      </w:r>
    </w:p>
    <w:p w14:paraId="6B5727EC"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(e) okvirni plan napretka ka usklađenosti i procijenjena godina usklađenosti po zagađujućoj supstanci u vazduhu obuhvaćenoj planom ili planom djelovanja za kvalitet vazduha, uzimajući u obzir skup mjera iz tačke (a) ove tačke;</w:t>
      </w:r>
    </w:p>
    <w:p w14:paraId="09A37469"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(f) za planove djelovanja i planove za kvalitet vazduha, razlozi kojima se objašnjavaju načini na koje se takvim planovima utvrđuju mjere kako bi se obezbijedilo da period prekoračenja bude što kraći, uključujući raspored sprovođenja.</w:t>
      </w:r>
    </w:p>
    <w:p w14:paraId="5EB5945E" w14:textId="77777777" w:rsidR="00ED5DB4" w:rsidRPr="001C58C6" w:rsidRDefault="00ED5DB4" w:rsidP="004F4841">
      <w:pPr>
        <w:rPr>
          <w:rFonts w:ascii="Calibri" w:hAnsi="Calibri" w:cs="Calibri"/>
          <w:color w:val="000000" w:themeColor="text1"/>
        </w:rPr>
      </w:pPr>
    </w:p>
    <w:p w14:paraId="7709CB23" w14:textId="77777777" w:rsidR="004F4841" w:rsidRPr="001C58C6" w:rsidRDefault="004F4841" w:rsidP="00E53052">
      <w:pPr>
        <w:pStyle w:val="ListParagraph"/>
        <w:numPr>
          <w:ilvl w:val="1"/>
          <w:numId w:val="102"/>
        </w:numPr>
        <w:tabs>
          <w:tab w:val="clear" w:pos="1440"/>
          <w:tab w:val="num" w:pos="851"/>
        </w:tabs>
        <w:ind w:left="709" w:hanging="425"/>
        <w:rPr>
          <w:rFonts w:ascii="Calibri" w:hAnsi="Calibri" w:cs="Calibri"/>
          <w:b/>
          <w:bCs/>
          <w:color w:val="000000" w:themeColor="text1"/>
        </w:rPr>
      </w:pPr>
      <w:r w:rsidRPr="001C58C6">
        <w:rPr>
          <w:rFonts w:ascii="Calibri" w:hAnsi="Calibri" w:cs="Calibri"/>
          <w:b/>
          <w:bCs/>
          <w:color w:val="000000" w:themeColor="text1"/>
        </w:rPr>
        <w:t>Prilog 1 planovima kvaliteta vazduha ili akcionim planovima - dodatne prateće informacije</w:t>
      </w:r>
    </w:p>
    <w:p w14:paraId="4DC2FA9F" w14:textId="77777777" w:rsidR="00ED5DB4" w:rsidRPr="001C58C6" w:rsidRDefault="00ED5DB4" w:rsidP="00ED5DB4">
      <w:pPr>
        <w:pStyle w:val="ListParagraph"/>
        <w:rPr>
          <w:rFonts w:ascii="Calibri" w:hAnsi="Calibri" w:cs="Calibri"/>
          <w:color w:val="000000" w:themeColor="text1"/>
        </w:rPr>
      </w:pPr>
    </w:p>
    <w:p w14:paraId="4C1577CF"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(a) klimatski podaci;</w:t>
      </w:r>
    </w:p>
    <w:p w14:paraId="6EA21611"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(b) topografski podaci;</w:t>
      </w:r>
    </w:p>
    <w:p w14:paraId="5B356A28"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(c) informacije o vrsti ciljeva u zoni koje je potrebno zaštititi, ako je primjenjivo;</w:t>
      </w:r>
    </w:p>
    <w:p w14:paraId="2B367499"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(d) spisak i opis svih dodatnih mjera čiji se puni efekat na koncentracije zagađujućih supstanci u vazduhu očekuje za tri godine ili više;</w:t>
      </w:r>
    </w:p>
    <w:p w14:paraId="6323D2EB"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(e) socioekonomske informacije o predmetnom području radi promovisanja pitanja ekološke jednakosti i zaštite osjetljivog stanovništva i ranjivih grupa;</w:t>
      </w:r>
    </w:p>
    <w:p w14:paraId="705F6A31"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(f) opis primijenjene metode i postavljenih pretpostavki ili podataka korišćenih za projekcije razvoja kvaliteta vazduha, uključujući, ako je moguće, marginu nesigurnosti projekcija i scenarije osjetljivosti radi uzimanja u obzir najboljih, najvjerovatnijih i najgorih scenarija;</w:t>
      </w:r>
    </w:p>
    <w:p w14:paraId="1779DE6D"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(g) prateću dokumentaciju i informacije korišćene za procjenu.</w:t>
      </w:r>
    </w:p>
    <w:p w14:paraId="3956C28E" w14:textId="77777777" w:rsidR="00ED5DB4" w:rsidRPr="001C58C6" w:rsidRDefault="00ED5DB4" w:rsidP="004F4841">
      <w:pPr>
        <w:rPr>
          <w:rFonts w:ascii="Calibri" w:hAnsi="Calibri" w:cs="Calibri"/>
          <w:color w:val="000000" w:themeColor="text1"/>
        </w:rPr>
      </w:pPr>
    </w:p>
    <w:p w14:paraId="50729BF3" w14:textId="77777777" w:rsidR="004F4841" w:rsidRPr="001C58C6" w:rsidRDefault="004F4841" w:rsidP="00E53052">
      <w:pPr>
        <w:pStyle w:val="ListParagraph"/>
        <w:numPr>
          <w:ilvl w:val="1"/>
          <w:numId w:val="102"/>
        </w:numPr>
        <w:tabs>
          <w:tab w:val="clear" w:pos="1440"/>
          <w:tab w:val="num" w:pos="1134"/>
        </w:tabs>
        <w:ind w:left="426" w:hanging="142"/>
        <w:rPr>
          <w:rFonts w:ascii="Calibri" w:hAnsi="Calibri" w:cs="Calibri"/>
          <w:b/>
          <w:bCs/>
          <w:color w:val="000000" w:themeColor="text1"/>
        </w:rPr>
      </w:pPr>
      <w:r w:rsidRPr="001C58C6">
        <w:rPr>
          <w:rFonts w:ascii="Calibri" w:hAnsi="Calibri" w:cs="Calibri"/>
          <w:b/>
          <w:bCs/>
          <w:color w:val="000000" w:themeColor="text1"/>
        </w:rPr>
        <w:t xml:space="preserve">Prilog 2 planovima kvaliteta vazduha ili akcionim planovima: </w:t>
      </w:r>
    </w:p>
    <w:p w14:paraId="57D5955D" w14:textId="77777777" w:rsidR="00ED5DB4" w:rsidRPr="001C58C6" w:rsidRDefault="00ED5DB4" w:rsidP="00ED5DB4">
      <w:pPr>
        <w:pStyle w:val="ListParagraph"/>
        <w:rPr>
          <w:rFonts w:ascii="Calibri" w:hAnsi="Calibri" w:cs="Calibri"/>
          <w:b/>
          <w:bCs/>
          <w:color w:val="000000" w:themeColor="text1"/>
        </w:rPr>
      </w:pPr>
    </w:p>
    <w:p w14:paraId="37CFF3B1"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lastRenderedPageBreak/>
        <w:t>Sažetak mjera za informisanje javnosti i savjetovanje s javnošću, njihovi rezultati i objašnjenje kako su ti rezultati uzeti u obzir u konačnom planu.</w:t>
      </w:r>
    </w:p>
    <w:p w14:paraId="3FC49E26" w14:textId="77777777" w:rsidR="00ED5DB4" w:rsidRPr="001C58C6" w:rsidRDefault="00ED5DB4" w:rsidP="004F4841">
      <w:pPr>
        <w:rPr>
          <w:rFonts w:ascii="Calibri" w:hAnsi="Calibri" w:cs="Calibri"/>
          <w:color w:val="000000" w:themeColor="text1"/>
        </w:rPr>
      </w:pPr>
    </w:p>
    <w:p w14:paraId="74F3F144" w14:textId="77777777" w:rsidR="004F4841" w:rsidRPr="001C58C6" w:rsidRDefault="004F4841" w:rsidP="00E53052">
      <w:pPr>
        <w:pStyle w:val="ListParagraph"/>
        <w:numPr>
          <w:ilvl w:val="1"/>
          <w:numId w:val="102"/>
        </w:numPr>
        <w:tabs>
          <w:tab w:val="clear" w:pos="1440"/>
          <w:tab w:val="num" w:pos="1134"/>
        </w:tabs>
        <w:ind w:left="851" w:hanging="567"/>
        <w:rPr>
          <w:rFonts w:ascii="Calibri" w:hAnsi="Calibri" w:cs="Calibri"/>
          <w:b/>
          <w:bCs/>
          <w:color w:val="000000" w:themeColor="text1"/>
        </w:rPr>
      </w:pPr>
      <w:r w:rsidRPr="001C58C6">
        <w:rPr>
          <w:rFonts w:ascii="Calibri" w:hAnsi="Calibri" w:cs="Calibri"/>
          <w:b/>
          <w:bCs/>
          <w:color w:val="000000" w:themeColor="text1"/>
        </w:rPr>
        <w:t>Prilog 3 planovima kvaliteta vazduha ili akcionim planovima: Evaluacija mjera (u slučaju ažuriranja plana kvaliteta vazduha)</w:t>
      </w:r>
    </w:p>
    <w:p w14:paraId="4D7BB942" w14:textId="77777777" w:rsidR="00ED5DB4" w:rsidRPr="001C58C6" w:rsidRDefault="00ED5DB4" w:rsidP="00ED5DB4">
      <w:pPr>
        <w:pStyle w:val="ListParagraph"/>
        <w:rPr>
          <w:rFonts w:ascii="Calibri" w:hAnsi="Calibri" w:cs="Calibri"/>
          <w:color w:val="000000" w:themeColor="text1"/>
        </w:rPr>
      </w:pPr>
    </w:p>
    <w:p w14:paraId="1E7F070C"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(a) procjena rokova za mjere iz prethodnog plana za kvalitet vazduha;</w:t>
      </w:r>
    </w:p>
    <w:p w14:paraId="0A3E2AAF"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(b) procjena efekta mjera iz prethodnog plana za kvalitet vazduha na smanjenje emisija i koncentracija zagađujućih supstanci.</w:t>
      </w:r>
    </w:p>
    <w:p w14:paraId="0DF82E74" w14:textId="77777777" w:rsidR="00ED5DB4" w:rsidRPr="001C58C6" w:rsidRDefault="00ED5DB4" w:rsidP="004F4841">
      <w:pPr>
        <w:rPr>
          <w:rFonts w:ascii="Calibri" w:hAnsi="Calibri" w:cs="Calibri"/>
          <w:color w:val="000000" w:themeColor="text1"/>
        </w:rPr>
      </w:pPr>
    </w:p>
    <w:p w14:paraId="051AD86F" w14:textId="77777777" w:rsidR="00ED5DB4" w:rsidRPr="001C58C6" w:rsidRDefault="004F4841" w:rsidP="00E53052">
      <w:pPr>
        <w:pStyle w:val="Heading2"/>
        <w:numPr>
          <w:ilvl w:val="0"/>
          <w:numId w:val="102"/>
        </w:numPr>
        <w:rPr>
          <w:rFonts w:ascii="Calibri" w:hAnsi="Calibri" w:cs="Calibri"/>
          <w:color w:val="000000" w:themeColor="text1"/>
        </w:rPr>
      </w:pPr>
      <w:bookmarkStart w:id="242" w:name="_Toc233711783"/>
      <w:r w:rsidRPr="001C58C6">
        <w:rPr>
          <w:rFonts w:ascii="Calibri" w:hAnsi="Calibri" w:cs="Calibri"/>
          <w:color w:val="000000" w:themeColor="text1"/>
        </w:rPr>
        <w:t>Indikativni spisak mjera za smanjenje zagađenja vazduha</w:t>
      </w:r>
      <w:bookmarkEnd w:id="242"/>
    </w:p>
    <w:p w14:paraId="71EDC7F4" w14:textId="77777777" w:rsidR="00ED5DB4" w:rsidRPr="001C58C6" w:rsidRDefault="00ED5DB4" w:rsidP="004F4841">
      <w:pPr>
        <w:rPr>
          <w:rFonts w:ascii="Calibri" w:hAnsi="Calibri" w:cs="Calibri"/>
          <w:b/>
          <w:bCs/>
          <w:color w:val="000000" w:themeColor="text1"/>
        </w:rPr>
      </w:pPr>
    </w:p>
    <w:p w14:paraId="4A1CCD3B"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1. Informacije o statusu sprovođenja propisa u oblasti kvaliteta vazduha.</w:t>
      </w:r>
    </w:p>
    <w:p w14:paraId="4DFA385C"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2. Informacije o svim mjerama za smanjenje zagađenja vazduha čije je sprovođenje razmatrano na lokalnom, regionalnom ili nacionalnom nivou u vezi s postizanjem ciljeva kvaliteta vazduha, kao što su:</w:t>
      </w:r>
    </w:p>
    <w:p w14:paraId="1350F8CB"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(a) smanjenje emisija iz stacionarnih izvora obezbjeđivanjem da mali i srednji stacionarni izvori sagorijevanja koji zagađuju (uključujući biomasu) budu opremljeni opremom za kontrolu emisija ili zamijenjeni i unapređenjem energetske efikasnosti zgrada;</w:t>
      </w:r>
    </w:p>
    <w:p w14:paraId="24652F48"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(b) smanjenje emisija iz vozila naknadnom ugradnjom pogonskih sistema bez emisija i opreme za kontrolu emisija; potrebno je razmotriti uvođenje ekonomskih podsticaja radi ubrzavanja prilagođavanja vozila;</w:t>
      </w:r>
    </w:p>
    <w:p w14:paraId="58D3A516"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(c) javne nabavke, u skladu s priručnikom o zelenoj javnoj nabavci, goriva, opreme za sagorijevanje za smanjenje emisija i vozila s nultom emisijom;</w:t>
      </w:r>
    </w:p>
    <w:p w14:paraId="4A712538"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(d) smanjenje emisija uvođenjem vozila s nultim i niskim emisijama u zajednički i javni prevoz ili vozila opremljenih savremenim digitalnim rješenjima koja doprinose smanjenju emisija;</w:t>
      </w:r>
    </w:p>
    <w:p w14:paraId="71ADA238"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(e) mjere za unapređenje kvaliteta, efikasnosti, pristupačnosti cijena i povezanosti zajedničkog i javnog prevoza;</w:t>
      </w:r>
    </w:p>
    <w:p w14:paraId="2D35261F"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(f) mjere za prihvatanje i primjenu infrastrukture za alternativna goriva;</w:t>
      </w:r>
    </w:p>
    <w:p w14:paraId="6B043CC4"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(g) mjere za ograničavanje emisija iz saobraćaja, naročito kroz urbanističko planiranje i upravljanje saobraćajem, uključujući:</w:t>
      </w:r>
    </w:p>
    <w:p w14:paraId="1C9C0C50" w14:textId="77777777" w:rsidR="004F4841" w:rsidRPr="001C58C6" w:rsidRDefault="004F4841" w:rsidP="004F4841">
      <w:pPr>
        <w:ind w:left="720"/>
        <w:rPr>
          <w:rFonts w:ascii="Calibri" w:hAnsi="Calibri" w:cs="Calibri"/>
          <w:color w:val="000000" w:themeColor="text1"/>
        </w:rPr>
      </w:pPr>
      <w:r w:rsidRPr="001C58C6">
        <w:rPr>
          <w:rFonts w:ascii="Calibri" w:hAnsi="Calibri" w:cs="Calibri"/>
          <w:color w:val="000000" w:themeColor="text1"/>
        </w:rPr>
        <w:t>i. naplatu zagušenja saobraćaja, kao što su putarine i korisničke naknade zasnovane na kilometraži;</w:t>
      </w:r>
    </w:p>
    <w:p w14:paraId="29911C20" w14:textId="77777777" w:rsidR="004F4841" w:rsidRPr="001C58C6" w:rsidRDefault="004F4841" w:rsidP="004F4841">
      <w:pPr>
        <w:ind w:left="720"/>
        <w:rPr>
          <w:rFonts w:ascii="Calibri" w:hAnsi="Calibri" w:cs="Calibri"/>
          <w:color w:val="000000" w:themeColor="text1"/>
        </w:rPr>
      </w:pPr>
      <w:r w:rsidRPr="001C58C6">
        <w:rPr>
          <w:rFonts w:ascii="Calibri" w:hAnsi="Calibri" w:cs="Calibri"/>
          <w:color w:val="000000" w:themeColor="text1"/>
        </w:rPr>
        <w:t>ii. izbor kolovoznih materijala;</w:t>
      </w:r>
    </w:p>
    <w:p w14:paraId="3EF0C0E8" w14:textId="77777777" w:rsidR="004F4841" w:rsidRPr="001C58C6" w:rsidRDefault="004F4841" w:rsidP="004F4841">
      <w:pPr>
        <w:ind w:left="720"/>
        <w:rPr>
          <w:rFonts w:ascii="Calibri" w:hAnsi="Calibri" w:cs="Calibri"/>
          <w:color w:val="000000" w:themeColor="text1"/>
        </w:rPr>
      </w:pPr>
      <w:r w:rsidRPr="001C58C6">
        <w:rPr>
          <w:rFonts w:ascii="Calibri" w:hAnsi="Calibri" w:cs="Calibri"/>
          <w:color w:val="000000" w:themeColor="text1"/>
        </w:rPr>
        <w:t>iii. naknade za parkiranje na javnim površinama ili druge ekonomske podsticaje, kao i diferencirane naknade za vozila koja zagađuju i vozila s nultom emisijom;</w:t>
      </w:r>
    </w:p>
    <w:p w14:paraId="3525507C" w14:textId="77777777" w:rsidR="004F4841" w:rsidRPr="001C58C6" w:rsidRDefault="004F4841" w:rsidP="004F4841">
      <w:pPr>
        <w:ind w:left="720"/>
        <w:rPr>
          <w:rFonts w:ascii="Calibri" w:hAnsi="Calibri" w:cs="Calibri"/>
          <w:color w:val="000000" w:themeColor="text1"/>
        </w:rPr>
      </w:pPr>
      <w:r w:rsidRPr="001C58C6">
        <w:rPr>
          <w:rFonts w:ascii="Calibri" w:hAnsi="Calibri" w:cs="Calibri"/>
          <w:color w:val="000000" w:themeColor="text1"/>
        </w:rPr>
        <w:t>iv. uspostavljanje sistema ograničenja pristupa vozilima u gradovima, uključujući zone s niskim emisijama i zone nulte emisije;</w:t>
      </w:r>
    </w:p>
    <w:p w14:paraId="738D7478" w14:textId="77777777" w:rsidR="004F4841" w:rsidRPr="001C58C6" w:rsidRDefault="004F4841" w:rsidP="004F4841">
      <w:pPr>
        <w:ind w:left="720"/>
        <w:rPr>
          <w:rFonts w:ascii="Calibri" w:hAnsi="Calibri" w:cs="Calibri"/>
          <w:color w:val="000000" w:themeColor="text1"/>
        </w:rPr>
      </w:pPr>
      <w:r w:rsidRPr="001C58C6">
        <w:rPr>
          <w:rFonts w:ascii="Calibri" w:hAnsi="Calibri" w:cs="Calibri"/>
          <w:color w:val="000000" w:themeColor="text1"/>
        </w:rPr>
        <w:t>v. uspostavljanje četvrti s niskim saobraćajem, superblokova i četvrti bez automobila;</w:t>
      </w:r>
    </w:p>
    <w:p w14:paraId="14BA0E1E" w14:textId="77777777" w:rsidR="004F4841" w:rsidRPr="001C58C6" w:rsidRDefault="004F4841" w:rsidP="004F4841">
      <w:pPr>
        <w:ind w:left="720"/>
        <w:rPr>
          <w:rFonts w:ascii="Calibri" w:hAnsi="Calibri" w:cs="Calibri"/>
          <w:color w:val="000000" w:themeColor="text1"/>
        </w:rPr>
      </w:pPr>
      <w:r w:rsidRPr="001C58C6">
        <w:rPr>
          <w:rFonts w:ascii="Calibri" w:hAnsi="Calibri" w:cs="Calibri"/>
          <w:color w:val="000000" w:themeColor="text1"/>
        </w:rPr>
        <w:t>vi. uvođenje ulica bez automobila;</w:t>
      </w:r>
    </w:p>
    <w:p w14:paraId="40BC4561" w14:textId="77777777" w:rsidR="004F4841" w:rsidRPr="001C58C6" w:rsidRDefault="004F4841" w:rsidP="004F4841">
      <w:pPr>
        <w:ind w:left="720"/>
        <w:rPr>
          <w:rFonts w:ascii="Calibri" w:hAnsi="Calibri" w:cs="Calibri"/>
          <w:color w:val="000000" w:themeColor="text1"/>
        </w:rPr>
      </w:pPr>
      <w:r w:rsidRPr="001C58C6">
        <w:rPr>
          <w:rFonts w:ascii="Calibri" w:hAnsi="Calibri" w:cs="Calibri"/>
          <w:color w:val="000000" w:themeColor="text1"/>
        </w:rPr>
        <w:t>vii. mehanizme za ostvarivanje nultih (izduvnih) emisija tokom „posljednjeg kilometra“;</w:t>
      </w:r>
    </w:p>
    <w:p w14:paraId="11BE61B9" w14:textId="77777777" w:rsidR="004F4841" w:rsidRPr="001C58C6" w:rsidRDefault="004F4841" w:rsidP="004F4841">
      <w:pPr>
        <w:ind w:left="720"/>
        <w:rPr>
          <w:rFonts w:ascii="Calibri" w:hAnsi="Calibri" w:cs="Calibri"/>
          <w:color w:val="000000" w:themeColor="text1"/>
        </w:rPr>
      </w:pPr>
      <w:r w:rsidRPr="001C58C6">
        <w:rPr>
          <w:rFonts w:ascii="Calibri" w:hAnsi="Calibri" w:cs="Calibri"/>
          <w:color w:val="000000" w:themeColor="text1"/>
        </w:rPr>
        <w:t>viii. promovisanje zajedničkog korišćenja automobila i zajedničke vožnje (car pooling);</w:t>
      </w:r>
    </w:p>
    <w:p w14:paraId="4FB7B49F" w14:textId="77777777" w:rsidR="004F4841" w:rsidRPr="001C58C6" w:rsidRDefault="004F4841" w:rsidP="004F4841">
      <w:pPr>
        <w:ind w:left="720"/>
        <w:rPr>
          <w:rFonts w:ascii="Calibri" w:hAnsi="Calibri" w:cs="Calibri"/>
          <w:color w:val="000000" w:themeColor="text1"/>
        </w:rPr>
      </w:pPr>
      <w:r w:rsidRPr="001C58C6">
        <w:rPr>
          <w:rFonts w:ascii="Calibri" w:hAnsi="Calibri" w:cs="Calibri"/>
          <w:color w:val="000000" w:themeColor="text1"/>
        </w:rPr>
        <w:t>ix. uvođenje inteligentnih transportnih sistema;</w:t>
      </w:r>
    </w:p>
    <w:p w14:paraId="55991D5D" w14:textId="77777777" w:rsidR="004F4841" w:rsidRPr="001C58C6" w:rsidRDefault="004F4841" w:rsidP="004F4841">
      <w:pPr>
        <w:ind w:left="720"/>
        <w:rPr>
          <w:rFonts w:ascii="Calibri" w:hAnsi="Calibri" w:cs="Calibri"/>
          <w:color w:val="000000" w:themeColor="text1"/>
        </w:rPr>
      </w:pPr>
      <w:r w:rsidRPr="001C58C6">
        <w:rPr>
          <w:rFonts w:ascii="Calibri" w:hAnsi="Calibri" w:cs="Calibri"/>
          <w:color w:val="000000" w:themeColor="text1"/>
        </w:rPr>
        <w:t>x. stvaranje multimodalnih čvorišta koja povezuju različita održiva transportna rješenja i objekte za parkiranje;</w:t>
      </w:r>
    </w:p>
    <w:p w14:paraId="6E085E4F" w14:textId="77777777" w:rsidR="004F4841" w:rsidRPr="001C58C6" w:rsidRDefault="004F4841" w:rsidP="004F4841">
      <w:pPr>
        <w:ind w:left="720"/>
        <w:rPr>
          <w:rFonts w:ascii="Calibri" w:hAnsi="Calibri" w:cs="Calibri"/>
          <w:color w:val="000000" w:themeColor="text1"/>
        </w:rPr>
      </w:pPr>
      <w:r w:rsidRPr="001C58C6">
        <w:rPr>
          <w:rFonts w:ascii="Calibri" w:hAnsi="Calibri" w:cs="Calibri"/>
          <w:color w:val="000000" w:themeColor="text1"/>
        </w:rPr>
        <w:lastRenderedPageBreak/>
        <w:t>xi.podsticanje vožnje bicikla i pješačenja, na primjer proširivanjem prostora za bicikliste i pješake, davanjem prednosti biciklizmu i pješačenju u planiranju infrastrukture, proširivanjem mreže biciklističkih ruta;</w:t>
      </w:r>
    </w:p>
    <w:p w14:paraId="5217019F" w14:textId="77777777" w:rsidR="004F4841" w:rsidRPr="001C58C6" w:rsidRDefault="004F4841" w:rsidP="004F4841">
      <w:pPr>
        <w:ind w:left="720"/>
        <w:rPr>
          <w:rFonts w:ascii="Calibri" w:hAnsi="Calibri" w:cs="Calibri"/>
          <w:color w:val="000000" w:themeColor="text1"/>
        </w:rPr>
      </w:pPr>
      <w:r w:rsidRPr="001C58C6">
        <w:rPr>
          <w:rFonts w:ascii="Calibri" w:hAnsi="Calibri" w:cs="Calibri"/>
          <w:color w:val="000000" w:themeColor="text1"/>
        </w:rPr>
        <w:t>xii. planiranje kompaktnih gradova;</w:t>
      </w:r>
    </w:p>
    <w:p w14:paraId="57A61397"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(h) mjere za podsticanje prelaska na aktivnu mobilnost i oblike prevoza koji manje zagađuju (npr. pješačenje, vožnja bicikla, javni prevoz ili željeznica), uključujući:</w:t>
      </w:r>
    </w:p>
    <w:p w14:paraId="194A781A" w14:textId="77777777" w:rsidR="004F4841" w:rsidRPr="001C58C6" w:rsidRDefault="004F4841" w:rsidP="004F4841">
      <w:pPr>
        <w:ind w:left="720"/>
        <w:rPr>
          <w:rFonts w:ascii="Calibri" w:hAnsi="Calibri" w:cs="Calibri"/>
          <w:color w:val="000000" w:themeColor="text1"/>
        </w:rPr>
      </w:pPr>
      <w:r w:rsidRPr="001C58C6">
        <w:rPr>
          <w:rFonts w:ascii="Calibri" w:hAnsi="Calibri" w:cs="Calibri"/>
          <w:color w:val="000000" w:themeColor="text1"/>
        </w:rPr>
        <w:t>i. elektrifikaciju javnog prevoza, jačanje mreže javnog prevoza i pojednostavljivanje pristupa i korišćenja javnog prevoza, na primjer putem digitalnih i međusobno povezanih rezervacija i informacija o prevozu u realnom vremenu;</w:t>
      </w:r>
    </w:p>
    <w:p w14:paraId="58EE34AB" w14:textId="77777777" w:rsidR="004F4841" w:rsidRPr="001C58C6" w:rsidRDefault="004F4841" w:rsidP="004F4841">
      <w:pPr>
        <w:ind w:left="720"/>
        <w:rPr>
          <w:rFonts w:ascii="Calibri" w:hAnsi="Calibri" w:cs="Calibri"/>
          <w:color w:val="000000" w:themeColor="text1"/>
        </w:rPr>
      </w:pPr>
      <w:r w:rsidRPr="001C58C6">
        <w:rPr>
          <w:rFonts w:ascii="Calibri" w:hAnsi="Calibri" w:cs="Calibri"/>
          <w:color w:val="000000" w:themeColor="text1"/>
        </w:rPr>
        <w:t>ii. obezbjeđivanje nesmetane intermodalnosti za putovanja na posao između ruralnih i urbanih područja, na primjer između željeznice i biciklizma, te između automobila i javnog prevoza (kao što su programi „parkiraj i vozi“);</w:t>
      </w:r>
    </w:p>
    <w:p w14:paraId="456758F1" w14:textId="77777777" w:rsidR="004F4841" w:rsidRPr="001C58C6" w:rsidRDefault="004F4841" w:rsidP="004F4841">
      <w:pPr>
        <w:ind w:left="720"/>
        <w:rPr>
          <w:rFonts w:ascii="Calibri" w:hAnsi="Calibri" w:cs="Calibri"/>
          <w:color w:val="000000" w:themeColor="text1"/>
        </w:rPr>
      </w:pPr>
      <w:r w:rsidRPr="001C58C6">
        <w:rPr>
          <w:rFonts w:ascii="Calibri" w:hAnsi="Calibri" w:cs="Calibri"/>
          <w:color w:val="000000" w:themeColor="text1"/>
        </w:rPr>
        <w:t>iii. preusmjeravanje fiskalnih i ekonomskih podsticaja ka aktivnoj i zajedničkoj mobilnosti, uključujući podsticaje za vožnju bicikla i pješačenje do posla;</w:t>
      </w:r>
    </w:p>
    <w:p w14:paraId="28CBE0B5" w14:textId="77777777" w:rsidR="004F4841" w:rsidRPr="001C58C6" w:rsidRDefault="004F4841" w:rsidP="004F4841">
      <w:pPr>
        <w:ind w:left="720"/>
        <w:rPr>
          <w:rFonts w:ascii="Calibri" w:hAnsi="Calibri" w:cs="Calibri"/>
          <w:color w:val="000000" w:themeColor="text1"/>
        </w:rPr>
      </w:pPr>
      <w:r w:rsidRPr="001C58C6">
        <w:rPr>
          <w:rFonts w:ascii="Calibri" w:hAnsi="Calibri" w:cs="Calibri"/>
          <w:color w:val="000000" w:themeColor="text1"/>
        </w:rPr>
        <w:t>iv. programe za povlačenje iz upotrebe vozila koja najviše zagađuju;</w:t>
      </w:r>
    </w:p>
    <w:p w14:paraId="30783A59" w14:textId="77777777" w:rsidR="004F4841" w:rsidRPr="001C58C6" w:rsidRDefault="004F4841" w:rsidP="004F4841">
      <w:pPr>
        <w:ind w:left="720"/>
        <w:rPr>
          <w:rFonts w:ascii="Calibri" w:hAnsi="Calibri" w:cs="Calibri"/>
          <w:color w:val="000000" w:themeColor="text1"/>
        </w:rPr>
      </w:pPr>
      <w:r w:rsidRPr="001C58C6">
        <w:rPr>
          <w:rFonts w:ascii="Calibri" w:hAnsi="Calibri" w:cs="Calibri"/>
          <w:color w:val="000000" w:themeColor="text1"/>
        </w:rPr>
        <w:t>(i) mjere za podsticanje prelaska na vozila i neputnu mehanizaciju s nultom emisijom za privatne i komercijalne namjene;</w:t>
      </w:r>
    </w:p>
    <w:p w14:paraId="0F6343D3" w14:textId="77777777" w:rsidR="004F4841" w:rsidRPr="001C58C6" w:rsidRDefault="004F4841" w:rsidP="004F4841">
      <w:pPr>
        <w:ind w:left="720"/>
        <w:rPr>
          <w:rFonts w:ascii="Calibri" w:hAnsi="Calibri" w:cs="Calibri"/>
          <w:color w:val="000000" w:themeColor="text1"/>
        </w:rPr>
      </w:pPr>
      <w:r w:rsidRPr="001C58C6">
        <w:rPr>
          <w:rFonts w:ascii="Calibri" w:hAnsi="Calibri" w:cs="Calibri"/>
          <w:color w:val="000000" w:themeColor="text1"/>
        </w:rPr>
        <w:t>(j) mjere kojima se obezbjeđuje davanje prednosti gorivima s niskim emisijama u malim, srednjim i velikim stacionarnim izvorima i mobilnim izvorima;</w:t>
      </w:r>
    </w:p>
    <w:p w14:paraId="6E2DA0CF" w14:textId="77777777" w:rsidR="004F4841" w:rsidRPr="001C58C6" w:rsidRDefault="004F4841" w:rsidP="004F4841">
      <w:pPr>
        <w:ind w:left="720"/>
        <w:rPr>
          <w:rFonts w:ascii="Calibri" w:hAnsi="Calibri" w:cs="Calibri"/>
          <w:color w:val="000000" w:themeColor="text1"/>
        </w:rPr>
      </w:pPr>
      <w:r w:rsidRPr="001C58C6">
        <w:rPr>
          <w:rFonts w:ascii="Calibri" w:hAnsi="Calibri" w:cs="Calibri"/>
          <w:color w:val="000000" w:themeColor="text1"/>
        </w:rPr>
        <w:t>(k) mjere za smanjenje zagađenja vazduha iz industrijskih izvora u skladu s Direktivom 2010/75/EU i primjenom ekonomskih instrumenata kao što su porezi, takse ili trgovina emisijama, uz uvažavanje specifičnosti MSP-ova;</w:t>
      </w:r>
    </w:p>
    <w:p w14:paraId="677F1703" w14:textId="77777777" w:rsidR="004F4841" w:rsidRPr="001C58C6" w:rsidRDefault="004F4841" w:rsidP="004F4841">
      <w:pPr>
        <w:ind w:left="720"/>
        <w:rPr>
          <w:rFonts w:ascii="Calibri" w:hAnsi="Calibri" w:cs="Calibri"/>
          <w:color w:val="000000" w:themeColor="text1"/>
        </w:rPr>
      </w:pPr>
      <w:r w:rsidRPr="001C58C6">
        <w:rPr>
          <w:rFonts w:ascii="Calibri" w:hAnsi="Calibri" w:cs="Calibri"/>
          <w:color w:val="000000" w:themeColor="text1"/>
        </w:rPr>
        <w:t>(l) smanjenje emisija iz pomorskog i vazdušnog saobraćaja upotrebom alternativnih goriva i uvođenjem infrastrukture za alternativna goriva, kao i primjenom ekonomskih podsticaja radi ubrzavanja njihovog prihvatanja, te utvrđivanje posebnih zahtjeva za čamce i brodove na vezu i lučki saobraćaj, uz istovremeno ubrzavanje snabdijevanja električnom energijom s kopna i elektrifikacije brodova i lučkih radnih mašina;</w:t>
      </w:r>
    </w:p>
    <w:p w14:paraId="11A2CB00" w14:textId="77777777" w:rsidR="004F4841" w:rsidRPr="001C58C6" w:rsidRDefault="004F4841" w:rsidP="004F4841">
      <w:pPr>
        <w:ind w:left="720"/>
        <w:rPr>
          <w:rFonts w:ascii="Calibri" w:hAnsi="Calibri" w:cs="Calibri"/>
          <w:color w:val="000000" w:themeColor="text1"/>
        </w:rPr>
      </w:pPr>
      <w:r w:rsidRPr="001C58C6">
        <w:rPr>
          <w:rFonts w:ascii="Calibri" w:hAnsi="Calibri" w:cs="Calibri"/>
          <w:color w:val="000000" w:themeColor="text1"/>
        </w:rPr>
        <w:t>(m) mjere za smanjenje emisija iz poljoprivrede;</w:t>
      </w:r>
    </w:p>
    <w:p w14:paraId="2D526A9C" w14:textId="77777777" w:rsidR="004F4841" w:rsidRPr="001C58C6" w:rsidRDefault="004F4841" w:rsidP="004F4841">
      <w:pPr>
        <w:ind w:left="720"/>
        <w:rPr>
          <w:rFonts w:ascii="Calibri" w:hAnsi="Calibri" w:cs="Calibri"/>
          <w:color w:val="000000" w:themeColor="text1"/>
        </w:rPr>
      </w:pPr>
      <w:r w:rsidRPr="001C58C6">
        <w:rPr>
          <w:rFonts w:ascii="Calibri" w:hAnsi="Calibri" w:cs="Calibri"/>
          <w:color w:val="000000" w:themeColor="text1"/>
        </w:rPr>
        <w:t>(n) mjere za zaštitu zdravlja djece ili drugog osjetljivog stanovništva i ranjivih grupa;</w:t>
      </w:r>
    </w:p>
    <w:p w14:paraId="4DD0B192" w14:textId="77777777" w:rsidR="004F4841" w:rsidRPr="001C58C6" w:rsidRDefault="004F4841" w:rsidP="004F4841">
      <w:pPr>
        <w:ind w:left="720"/>
        <w:rPr>
          <w:rFonts w:ascii="Calibri" w:hAnsi="Calibri" w:cs="Calibri"/>
          <w:color w:val="000000" w:themeColor="text1"/>
        </w:rPr>
      </w:pPr>
      <w:r w:rsidRPr="001C58C6">
        <w:rPr>
          <w:rFonts w:ascii="Calibri" w:hAnsi="Calibri" w:cs="Calibri"/>
          <w:color w:val="000000" w:themeColor="text1"/>
        </w:rPr>
        <w:t>(o) mjere za podsticanje promjena u ponašanju.</w:t>
      </w:r>
    </w:p>
    <w:p w14:paraId="5A391224" w14:textId="77777777" w:rsidR="004F4841" w:rsidRPr="001C58C6" w:rsidRDefault="004F4841" w:rsidP="004F4841">
      <w:pPr>
        <w:rPr>
          <w:rFonts w:ascii="Calibri" w:hAnsi="Calibri" w:cs="Calibri"/>
          <w:color w:val="000000" w:themeColor="text1"/>
        </w:rPr>
      </w:pPr>
    </w:p>
    <w:p w14:paraId="5A79E2B1" w14:textId="77777777" w:rsidR="004F4841" w:rsidRPr="001C58C6" w:rsidRDefault="004F4841" w:rsidP="004F4841">
      <w:pPr>
        <w:rPr>
          <w:rFonts w:ascii="Calibri" w:hAnsi="Calibri" w:cs="Calibri"/>
          <w:color w:val="000000" w:themeColor="text1"/>
        </w:rPr>
      </w:pPr>
    </w:p>
    <w:p w14:paraId="10FA848F" w14:textId="77777777" w:rsidR="004F4841" w:rsidRPr="001C58C6" w:rsidRDefault="004F4841" w:rsidP="004F4841">
      <w:pPr>
        <w:rPr>
          <w:rFonts w:ascii="Calibri" w:hAnsi="Calibri" w:cs="Calibri"/>
          <w:color w:val="000000" w:themeColor="text1"/>
        </w:rPr>
      </w:pPr>
    </w:p>
    <w:p w14:paraId="75BC16C5" w14:textId="77777777" w:rsidR="004F4841" w:rsidRPr="001C58C6" w:rsidRDefault="004F4841" w:rsidP="004F4841">
      <w:pPr>
        <w:rPr>
          <w:rFonts w:ascii="Calibri" w:hAnsi="Calibri" w:cs="Calibri"/>
          <w:color w:val="000000" w:themeColor="text1"/>
        </w:rPr>
      </w:pPr>
    </w:p>
    <w:p w14:paraId="4BC285F1" w14:textId="77777777" w:rsidR="004F4841" w:rsidRPr="001C58C6" w:rsidRDefault="004F4841" w:rsidP="004F4841">
      <w:pPr>
        <w:rPr>
          <w:rFonts w:ascii="Calibri" w:hAnsi="Calibri" w:cs="Calibri"/>
          <w:color w:val="000000" w:themeColor="text1"/>
        </w:rPr>
      </w:pPr>
    </w:p>
    <w:p w14:paraId="00994A7E" w14:textId="77777777" w:rsidR="004F4841" w:rsidRPr="001C58C6" w:rsidRDefault="004F4841" w:rsidP="004F4841">
      <w:pPr>
        <w:rPr>
          <w:rFonts w:ascii="Calibri" w:hAnsi="Calibri" w:cs="Calibri"/>
          <w:color w:val="000000" w:themeColor="text1"/>
        </w:rPr>
      </w:pPr>
    </w:p>
    <w:p w14:paraId="13CB7262" w14:textId="77777777" w:rsidR="00A0374C" w:rsidRPr="001C58C6" w:rsidRDefault="00A0374C" w:rsidP="004F4841">
      <w:pPr>
        <w:rPr>
          <w:rFonts w:ascii="Calibri" w:hAnsi="Calibri" w:cs="Calibri"/>
          <w:color w:val="000000" w:themeColor="text1"/>
        </w:rPr>
      </w:pPr>
    </w:p>
    <w:p w14:paraId="7EEFCC53" w14:textId="77777777" w:rsidR="00A0374C" w:rsidRPr="001C58C6" w:rsidRDefault="00A0374C" w:rsidP="004F4841">
      <w:pPr>
        <w:rPr>
          <w:rFonts w:ascii="Calibri" w:hAnsi="Calibri" w:cs="Calibri"/>
          <w:color w:val="000000" w:themeColor="text1"/>
        </w:rPr>
      </w:pPr>
    </w:p>
    <w:p w14:paraId="507E96BB" w14:textId="77777777" w:rsidR="00A0374C" w:rsidRPr="001C58C6" w:rsidRDefault="00A0374C" w:rsidP="004F4841">
      <w:pPr>
        <w:rPr>
          <w:rFonts w:ascii="Calibri" w:hAnsi="Calibri" w:cs="Calibri"/>
          <w:color w:val="000000" w:themeColor="text1"/>
        </w:rPr>
      </w:pPr>
    </w:p>
    <w:p w14:paraId="23696EDC" w14:textId="77777777" w:rsidR="00A0374C" w:rsidRPr="001C58C6" w:rsidRDefault="00A0374C" w:rsidP="004F4841">
      <w:pPr>
        <w:rPr>
          <w:rFonts w:ascii="Calibri" w:hAnsi="Calibri" w:cs="Calibri"/>
          <w:color w:val="000000" w:themeColor="text1"/>
        </w:rPr>
      </w:pPr>
    </w:p>
    <w:p w14:paraId="1ECEA91E" w14:textId="77777777" w:rsidR="00A0374C" w:rsidRPr="001C58C6" w:rsidRDefault="00A0374C" w:rsidP="004F4841">
      <w:pPr>
        <w:rPr>
          <w:rFonts w:ascii="Calibri" w:hAnsi="Calibri" w:cs="Calibri"/>
          <w:color w:val="000000" w:themeColor="text1"/>
        </w:rPr>
      </w:pPr>
    </w:p>
    <w:p w14:paraId="793AAA67" w14:textId="77777777" w:rsidR="004F4841" w:rsidRPr="001C58C6" w:rsidRDefault="004F4841" w:rsidP="004F4841">
      <w:pPr>
        <w:rPr>
          <w:rFonts w:ascii="Calibri" w:hAnsi="Calibri" w:cs="Calibri"/>
          <w:color w:val="000000" w:themeColor="text1"/>
        </w:rPr>
      </w:pPr>
    </w:p>
    <w:p w14:paraId="5AA82EB2" w14:textId="77777777" w:rsidR="004F4841" w:rsidRPr="001C58C6" w:rsidRDefault="004F4841" w:rsidP="004F4841">
      <w:pPr>
        <w:rPr>
          <w:rFonts w:ascii="Calibri" w:hAnsi="Calibri" w:cs="Calibri"/>
          <w:color w:val="000000" w:themeColor="text1"/>
        </w:rPr>
      </w:pPr>
    </w:p>
    <w:p w14:paraId="0114577B" w14:textId="77777777" w:rsidR="004F4841" w:rsidRPr="001C58C6" w:rsidRDefault="004F4841" w:rsidP="004F4841">
      <w:pPr>
        <w:rPr>
          <w:rFonts w:ascii="Calibri" w:hAnsi="Calibri" w:cs="Calibri"/>
          <w:color w:val="000000" w:themeColor="text1"/>
        </w:rPr>
      </w:pPr>
    </w:p>
    <w:p w14:paraId="046CC3FB" w14:textId="77777777" w:rsidR="004F4841" w:rsidRPr="001C58C6" w:rsidRDefault="004F4841" w:rsidP="004F4841">
      <w:pPr>
        <w:pStyle w:val="Heading1"/>
        <w:rPr>
          <w:rFonts w:ascii="Calibri" w:hAnsi="Calibri" w:cs="Calibri"/>
          <w:color w:val="000000" w:themeColor="text1"/>
        </w:rPr>
      </w:pPr>
      <w:bookmarkStart w:id="243" w:name="_Toc233711784"/>
      <w:r w:rsidRPr="001C58C6">
        <w:rPr>
          <w:rFonts w:ascii="Calibri" w:hAnsi="Calibri" w:cs="Calibri"/>
          <w:color w:val="000000" w:themeColor="text1"/>
        </w:rPr>
        <w:lastRenderedPageBreak/>
        <w:t>PRILOG 2</w:t>
      </w:r>
      <w:bookmarkEnd w:id="243"/>
    </w:p>
    <w:p w14:paraId="5BA733CC" w14:textId="77777777" w:rsidR="004F4841" w:rsidRPr="001C58C6" w:rsidRDefault="004F4841" w:rsidP="004F4841">
      <w:pPr>
        <w:rPr>
          <w:rFonts w:ascii="Calibri" w:hAnsi="Calibri" w:cs="Calibri"/>
          <w:color w:val="000000" w:themeColor="text1"/>
        </w:rPr>
      </w:pPr>
    </w:p>
    <w:p w14:paraId="387B069D" w14:textId="77777777" w:rsidR="004F4841" w:rsidRPr="001C58C6" w:rsidRDefault="004F4841" w:rsidP="004F4841">
      <w:pPr>
        <w:pStyle w:val="Heading2"/>
        <w:rPr>
          <w:rFonts w:ascii="Calibri" w:hAnsi="Calibri" w:cs="Calibri"/>
          <w:color w:val="000000" w:themeColor="text1"/>
        </w:rPr>
      </w:pPr>
      <w:bookmarkStart w:id="244" w:name="_Toc220070465"/>
      <w:bookmarkStart w:id="245" w:name="_Toc233711785"/>
      <w:r w:rsidRPr="001C58C6">
        <w:rPr>
          <w:rFonts w:ascii="Calibri" w:hAnsi="Calibri" w:cs="Calibri"/>
          <w:color w:val="000000" w:themeColor="text1"/>
        </w:rPr>
        <w:t>Dodatne prateće informacije za planove kvaliteta vazduha</w:t>
      </w:r>
      <w:bookmarkEnd w:id="244"/>
      <w:bookmarkEnd w:id="245"/>
    </w:p>
    <w:p w14:paraId="62B98608" w14:textId="77777777" w:rsidR="004F4841" w:rsidRPr="001C58C6" w:rsidRDefault="004F4841" w:rsidP="004F4841">
      <w:pPr>
        <w:rPr>
          <w:rFonts w:ascii="Calibri" w:hAnsi="Calibri" w:cs="Calibri"/>
          <w:b/>
          <w:bCs/>
          <w:color w:val="000000" w:themeColor="text1"/>
        </w:rPr>
      </w:pPr>
      <w:bookmarkStart w:id="246" w:name="_Toc220070466"/>
      <w:r w:rsidRPr="001C58C6">
        <w:rPr>
          <w:rFonts w:ascii="Calibri" w:hAnsi="Calibri" w:cs="Calibri"/>
          <w:b/>
          <w:bCs/>
          <w:color w:val="000000" w:themeColor="text1"/>
        </w:rPr>
        <w:t>Klimatske karakteristike</w:t>
      </w:r>
      <w:bookmarkEnd w:id="246"/>
    </w:p>
    <w:p w14:paraId="0257C850"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Uvid u osnovno klimatsko stanje nekog većeg područja, na najbolji način može se sagledati kroz Kepenovu klasifikaciju klime</w:t>
      </w:r>
      <w:r w:rsidRPr="001C58C6">
        <w:rPr>
          <w:rStyle w:val="FootnoteReference"/>
          <w:rFonts w:ascii="Calibri" w:hAnsi="Calibri" w:cs="Calibri"/>
          <w:color w:val="000000" w:themeColor="text1"/>
        </w:rPr>
        <w:footnoteReference w:id="27"/>
      </w:r>
      <w:r w:rsidRPr="001C58C6">
        <w:rPr>
          <w:rFonts w:ascii="Calibri" w:hAnsi="Calibri" w:cs="Calibri"/>
          <w:color w:val="000000" w:themeColor="text1"/>
        </w:rPr>
        <w:t xml:space="preserve">. </w:t>
      </w:r>
    </w:p>
    <w:p w14:paraId="7CAC4BA6" w14:textId="77777777" w:rsidR="004F4841" w:rsidRPr="001C58C6" w:rsidRDefault="004F4841" w:rsidP="004F4841">
      <w:pPr>
        <w:rPr>
          <w:rFonts w:ascii="Calibri" w:hAnsi="Calibri" w:cs="Calibri"/>
          <w:b/>
          <w:bCs/>
          <w:i/>
          <w:iCs/>
          <w:color w:val="000000" w:themeColor="text1"/>
        </w:rPr>
      </w:pPr>
      <w:r w:rsidRPr="001C58C6">
        <w:rPr>
          <w:rFonts w:ascii="Calibri" w:hAnsi="Calibri" w:cs="Calibri"/>
          <w:b/>
          <w:bCs/>
          <w:i/>
          <w:iCs/>
          <w:color w:val="000000" w:themeColor="text1"/>
        </w:rPr>
        <w:t>Klimati na teritoriji Crne Gore</w:t>
      </w:r>
    </w:p>
    <w:p w14:paraId="78DF0E0C" w14:textId="77777777" w:rsidR="004F4841" w:rsidRPr="001C58C6" w:rsidRDefault="004F4841" w:rsidP="004F4841">
      <w:pPr>
        <w:rPr>
          <w:rFonts w:ascii="Calibri" w:hAnsi="Calibri" w:cs="Calibri"/>
          <w:b/>
          <w:bCs/>
          <w:i/>
          <w:iCs/>
          <w:color w:val="000000" w:themeColor="text1"/>
        </w:rPr>
      </w:pPr>
      <w:r w:rsidRPr="001C58C6">
        <w:rPr>
          <w:rFonts w:ascii="Calibri" w:hAnsi="Calibri" w:cs="Calibri"/>
          <w:b/>
          <w:bCs/>
          <w:i/>
          <w:iCs/>
          <w:color w:val="000000" w:themeColor="text1"/>
        </w:rPr>
        <w:t xml:space="preserve">1. Klimat/klimatska formula po Köppen-u Csa: </w:t>
      </w:r>
    </w:p>
    <w:p w14:paraId="202AE51D"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 xml:space="preserve">Umjereno topla kišna klima sa vrelim ljetima i sa izraženim ljetnjim sušnim periodom. Prosječna temperatura najhladnijeg mjeseca je veća od -3˚C a manja od 18˚C. Prosječna temperatura najtoplijeg mjeseca je veća od 22˚C. Oblast: Primorje /Zetsko-bjelopavlićka ravnica. </w:t>
      </w:r>
    </w:p>
    <w:p w14:paraId="28A43BAA" w14:textId="77777777" w:rsidR="004F4841" w:rsidRPr="001C58C6" w:rsidRDefault="004F4841" w:rsidP="004F4841">
      <w:pPr>
        <w:rPr>
          <w:rFonts w:ascii="Calibri" w:hAnsi="Calibri" w:cs="Calibri"/>
          <w:b/>
          <w:bCs/>
          <w:i/>
          <w:iCs/>
          <w:color w:val="000000" w:themeColor="text1"/>
        </w:rPr>
      </w:pPr>
      <w:r w:rsidRPr="001C58C6">
        <w:rPr>
          <w:rFonts w:ascii="Calibri" w:hAnsi="Calibri" w:cs="Calibri"/>
          <w:b/>
          <w:bCs/>
          <w:i/>
          <w:iCs/>
          <w:color w:val="000000" w:themeColor="text1"/>
        </w:rPr>
        <w:t>2. Klimat/klimatska formula po Köppen-u Cfsb:</w:t>
      </w:r>
    </w:p>
    <w:p w14:paraId="3F91B017"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Umjereno topla kišna klima sa toplim ljetima ali bez naglašenog sušnog perioda tokom godine. Prosječna temperatura najtoplijeg mjeseca je manja od 22˚C ali bar 4 mjeseca tokom godine imaju srednju mjesečnu temperaturu preko 10˚C. Oblast: Region Nikšića, Cetinja, jugozapad Crne Gore i izolovano jezgro oko Kolašina.</w:t>
      </w:r>
    </w:p>
    <w:p w14:paraId="531D3932" w14:textId="77777777" w:rsidR="004F4841" w:rsidRPr="001C58C6" w:rsidRDefault="004F4841" w:rsidP="004F4841">
      <w:pPr>
        <w:rPr>
          <w:rFonts w:ascii="Calibri" w:hAnsi="Calibri" w:cs="Calibri"/>
          <w:b/>
          <w:bCs/>
          <w:i/>
          <w:iCs/>
          <w:color w:val="000000" w:themeColor="text1"/>
        </w:rPr>
      </w:pPr>
      <w:r w:rsidRPr="001C58C6">
        <w:rPr>
          <w:rFonts w:ascii="Calibri" w:hAnsi="Calibri" w:cs="Calibri"/>
          <w:b/>
          <w:bCs/>
          <w:i/>
          <w:iCs/>
          <w:color w:val="000000" w:themeColor="text1"/>
        </w:rPr>
        <w:t xml:space="preserve">3. Klimat/klimatska formula po Köppen-u Cfs’’b: </w:t>
      </w:r>
    </w:p>
    <w:p w14:paraId="23282103"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Umjereno topla klima bez naglašenog sušnog perioda tokom godine sa suvim ljetima. Prosječna temperatura najtoplijeg mjeseca je manja od 22˚C ali bar 4 mjeseca tokom godine imaju srednju mjesečnu temperaturu preko 10˚C. Oblast: Region Berana, Bijelog Polja, Plava, središnji dio centralne i zapadne Crne Gore.</w:t>
      </w:r>
    </w:p>
    <w:p w14:paraId="55872E81" w14:textId="77777777" w:rsidR="004F4841" w:rsidRPr="001C58C6" w:rsidRDefault="004F4841" w:rsidP="004F4841">
      <w:pPr>
        <w:rPr>
          <w:rFonts w:ascii="Calibri" w:hAnsi="Calibri" w:cs="Calibri"/>
          <w:b/>
          <w:bCs/>
          <w:i/>
          <w:iCs/>
          <w:color w:val="000000" w:themeColor="text1"/>
        </w:rPr>
      </w:pPr>
      <w:r w:rsidRPr="001C58C6">
        <w:rPr>
          <w:rFonts w:ascii="Calibri" w:hAnsi="Calibri" w:cs="Calibri"/>
          <w:b/>
          <w:bCs/>
          <w:i/>
          <w:iCs/>
          <w:color w:val="000000" w:themeColor="text1"/>
        </w:rPr>
        <w:t xml:space="preserve">4. Klimat/klimatska formula po Köppen-u Cfb: </w:t>
      </w:r>
    </w:p>
    <w:p w14:paraId="3E0FF077"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Umjereno topla klima bez sušnog perioda tokom godine. Prosječna temperatura najhladnijeg mjeseca je veća od -3˚C a manja od 18˚C. Prosječna temperatura najtoplijeg mjeseca je manja od 22˚C i bar 4 mjeseca u godini imaju prosječnu temperaturu veću od 10˚C. Oblast: Viši redjeli oko regiona Polimlja i centralne Crne Gore u pravcu zapad-istok.</w:t>
      </w:r>
    </w:p>
    <w:p w14:paraId="0488EAC3" w14:textId="77777777" w:rsidR="004F4841" w:rsidRPr="001C58C6" w:rsidRDefault="004F4841" w:rsidP="004F4841">
      <w:pPr>
        <w:rPr>
          <w:rFonts w:ascii="Calibri" w:hAnsi="Calibri" w:cs="Calibri"/>
          <w:color w:val="000000" w:themeColor="text1"/>
        </w:rPr>
      </w:pPr>
      <w:r w:rsidRPr="001C58C6">
        <w:rPr>
          <w:rFonts w:ascii="Calibri" w:hAnsi="Calibri" w:cs="Calibri"/>
          <w:b/>
          <w:bCs/>
          <w:i/>
          <w:iCs/>
          <w:color w:val="000000" w:themeColor="text1"/>
        </w:rPr>
        <w:t>5. Klimat/klimatska formula po Köppen-u Cfws’’bx’’:</w:t>
      </w:r>
      <w:r w:rsidRPr="001C58C6">
        <w:rPr>
          <w:rFonts w:ascii="Calibri" w:hAnsi="Calibri" w:cs="Calibri"/>
          <w:color w:val="000000" w:themeColor="text1"/>
        </w:rPr>
        <w:t xml:space="preserve"> </w:t>
      </w:r>
    </w:p>
    <w:p w14:paraId="13A2F30A"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Umjereno topla klima bez izraženog sušnog perioda tokom godine sa manjom količinom padavina u zimskom dijelu godine. Ljeta su relativno topla. Maksimalne količine padavina su u rano ljeto i kasnu jesen. Oblast: Region sjevera Crne Gore i dio južne strane planinskog masiva Durmitor-Sinjajevina i Bjelasice.</w:t>
      </w:r>
    </w:p>
    <w:p w14:paraId="6D5282F3" w14:textId="77777777" w:rsidR="004F4841" w:rsidRPr="001C58C6" w:rsidRDefault="004F4841" w:rsidP="004F4841">
      <w:pPr>
        <w:rPr>
          <w:rFonts w:ascii="Calibri" w:hAnsi="Calibri" w:cs="Calibri"/>
          <w:b/>
          <w:bCs/>
          <w:i/>
          <w:iCs/>
          <w:color w:val="000000" w:themeColor="text1"/>
        </w:rPr>
      </w:pPr>
      <w:r w:rsidRPr="001C58C6">
        <w:rPr>
          <w:rFonts w:ascii="Calibri" w:hAnsi="Calibri" w:cs="Calibri"/>
          <w:b/>
          <w:bCs/>
          <w:i/>
          <w:iCs/>
          <w:color w:val="000000" w:themeColor="text1"/>
        </w:rPr>
        <w:t>6. Klimat/klimatska formula po Köppen-u Dfbx’’:</w:t>
      </w:r>
    </w:p>
    <w:p w14:paraId="11768696"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Sniježno-šumska (borealna) klima bez izraženog sušnog perioda tokom godine. Prosječna temperatura najhladnijeg mjeseca je manja od -3˚C. Količina padavina ima naglašeni maksimum krajem jeseni. Oblast: Planinski regioni Durmitora, Sinjajevine, Komova, Bjelasice, Prokletija i širi region Rožaja koji ima pod tip unutar ovog tipa klimata.</w:t>
      </w:r>
    </w:p>
    <w:p w14:paraId="0B15E7F6" w14:textId="77777777" w:rsidR="00B33518" w:rsidRPr="001C58C6" w:rsidRDefault="00B33518" w:rsidP="004F4841">
      <w:pPr>
        <w:rPr>
          <w:rFonts w:ascii="Calibri" w:hAnsi="Calibri" w:cs="Calibri"/>
          <w:color w:val="000000" w:themeColor="text1"/>
        </w:rPr>
      </w:pPr>
    </w:p>
    <w:p w14:paraId="62707612" w14:textId="77777777" w:rsidR="00B33518" w:rsidRPr="001C58C6" w:rsidRDefault="00B33518" w:rsidP="004F4841">
      <w:pPr>
        <w:rPr>
          <w:rFonts w:ascii="Calibri" w:hAnsi="Calibri" w:cs="Calibri"/>
          <w:color w:val="000000" w:themeColor="text1"/>
        </w:rPr>
      </w:pPr>
    </w:p>
    <w:p w14:paraId="0F6E891A" w14:textId="77777777" w:rsidR="00B33518" w:rsidRPr="001C58C6" w:rsidRDefault="00B33518" w:rsidP="004F4841">
      <w:pPr>
        <w:rPr>
          <w:rFonts w:ascii="Calibri" w:hAnsi="Calibri" w:cs="Calibri"/>
          <w:color w:val="000000" w:themeColor="text1"/>
        </w:rPr>
      </w:pPr>
    </w:p>
    <w:p w14:paraId="1E8E67E4" w14:textId="77777777" w:rsidR="00B33518" w:rsidRPr="001C58C6" w:rsidRDefault="00B33518" w:rsidP="004F4841">
      <w:pPr>
        <w:rPr>
          <w:rFonts w:ascii="Calibri" w:hAnsi="Calibri" w:cs="Calibri"/>
          <w:color w:val="000000" w:themeColor="text1"/>
        </w:rPr>
      </w:pPr>
    </w:p>
    <w:p w14:paraId="58344734" w14:textId="77777777" w:rsidR="004F4841" w:rsidRPr="001C58C6" w:rsidRDefault="004F4841" w:rsidP="004F4841">
      <w:pPr>
        <w:rPr>
          <w:rFonts w:ascii="Calibri" w:hAnsi="Calibri" w:cs="Calibri"/>
          <w:color w:val="000000" w:themeColor="text1"/>
        </w:rPr>
      </w:pPr>
    </w:p>
    <w:p w14:paraId="689C8AA0" w14:textId="77777777" w:rsidR="004F4841" w:rsidRPr="001C58C6" w:rsidRDefault="004F4841" w:rsidP="00B33518">
      <w:pPr>
        <w:pStyle w:val="Caption"/>
        <w:jc w:val="center"/>
        <w:rPr>
          <w:rFonts w:ascii="Calibri" w:hAnsi="Calibri" w:cs="Calibri"/>
          <w:i/>
          <w:iCs/>
          <w:color w:val="000000" w:themeColor="text1"/>
          <w:sz w:val="20"/>
          <w:szCs w:val="20"/>
        </w:rPr>
      </w:pPr>
      <w:bookmarkStart w:id="247" w:name="_Toc233584674"/>
      <w:r w:rsidRPr="001C58C6">
        <w:rPr>
          <w:rFonts w:ascii="Calibri" w:hAnsi="Calibri" w:cs="Calibri"/>
          <w:i/>
          <w:iCs/>
          <w:color w:val="000000" w:themeColor="text1"/>
          <w:sz w:val="20"/>
          <w:szCs w:val="20"/>
        </w:rPr>
        <w:t xml:space="preserve">Grafik </w:t>
      </w:r>
      <w:r w:rsidRPr="001C58C6">
        <w:rPr>
          <w:rFonts w:ascii="Calibri" w:hAnsi="Calibri" w:cs="Calibri"/>
          <w:i/>
          <w:iCs/>
          <w:color w:val="000000" w:themeColor="text1"/>
          <w:sz w:val="20"/>
          <w:szCs w:val="20"/>
        </w:rPr>
        <w:fldChar w:fldCharType="begin"/>
      </w:r>
      <w:r w:rsidRPr="001C58C6">
        <w:rPr>
          <w:rFonts w:ascii="Calibri" w:hAnsi="Calibri" w:cs="Calibri"/>
          <w:i/>
          <w:iCs/>
          <w:color w:val="000000" w:themeColor="text1"/>
          <w:sz w:val="20"/>
          <w:szCs w:val="20"/>
        </w:rPr>
        <w:instrText xml:space="preserve"> SEQ Grafik \* ARABIC </w:instrText>
      </w:r>
      <w:r w:rsidRPr="001C58C6">
        <w:rPr>
          <w:rFonts w:ascii="Calibri" w:hAnsi="Calibri" w:cs="Calibri"/>
          <w:i/>
          <w:iCs/>
          <w:color w:val="000000" w:themeColor="text1"/>
          <w:sz w:val="20"/>
          <w:szCs w:val="20"/>
        </w:rPr>
        <w:fldChar w:fldCharType="separate"/>
      </w:r>
      <w:r w:rsidR="00752282" w:rsidRPr="001C58C6">
        <w:rPr>
          <w:rFonts w:ascii="Calibri" w:hAnsi="Calibri" w:cs="Calibri"/>
          <w:i/>
          <w:iCs/>
          <w:color w:val="000000" w:themeColor="text1"/>
          <w:sz w:val="20"/>
          <w:szCs w:val="20"/>
        </w:rPr>
        <w:t>13</w:t>
      </w:r>
      <w:r w:rsidRPr="001C58C6">
        <w:rPr>
          <w:rFonts w:ascii="Calibri" w:hAnsi="Calibri" w:cs="Calibri"/>
          <w:i/>
          <w:iCs/>
          <w:color w:val="000000" w:themeColor="text1"/>
          <w:sz w:val="20"/>
          <w:szCs w:val="20"/>
        </w:rPr>
        <w:fldChar w:fldCharType="end"/>
      </w:r>
      <w:r w:rsidRPr="001C58C6">
        <w:rPr>
          <w:rFonts w:ascii="Calibri" w:hAnsi="Calibri" w:cs="Calibri"/>
          <w:i/>
          <w:iCs/>
          <w:color w:val="000000" w:themeColor="text1"/>
          <w:sz w:val="20"/>
          <w:szCs w:val="20"/>
        </w:rPr>
        <w:t>- Klimati u Crnoj Gori po Kepenu (Izvor: Atlas klime Crne Gore, CANU, 2012.)</w:t>
      </w:r>
      <w:bookmarkEnd w:id="247"/>
    </w:p>
    <w:p w14:paraId="587F1C2D" w14:textId="77777777" w:rsidR="004F4841" w:rsidRPr="001C58C6" w:rsidRDefault="004F4841" w:rsidP="004F4841">
      <w:pPr>
        <w:jc w:val="center"/>
        <w:rPr>
          <w:rFonts w:ascii="Calibri" w:hAnsi="Calibri" w:cs="Calibri"/>
          <w:color w:val="000000" w:themeColor="text1"/>
        </w:rPr>
      </w:pPr>
      <w:r w:rsidRPr="001C58C6">
        <w:rPr>
          <w:rFonts w:ascii="Calibri" w:hAnsi="Calibri" w:cs="Calibri"/>
          <w:noProof/>
          <w:color w:val="000000" w:themeColor="text1"/>
        </w:rPr>
        <w:lastRenderedPageBreak/>
        <w:drawing>
          <wp:inline distT="0" distB="0" distL="0" distR="0" wp14:anchorId="7791F90D" wp14:editId="360C5A4A">
            <wp:extent cx="4254318" cy="5440680"/>
            <wp:effectExtent l="0" t="0" r="0" b="7620"/>
            <wp:docPr id="18189833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56426" cy="5443376"/>
                    </a:xfrm>
                    <a:prstGeom prst="rect">
                      <a:avLst/>
                    </a:prstGeom>
                    <a:noFill/>
                    <a:ln>
                      <a:noFill/>
                    </a:ln>
                  </pic:spPr>
                </pic:pic>
              </a:graphicData>
            </a:graphic>
          </wp:inline>
        </w:drawing>
      </w:r>
    </w:p>
    <w:p w14:paraId="1F68D473" w14:textId="77777777" w:rsidR="004F4841" w:rsidRPr="001C58C6" w:rsidRDefault="004F4841" w:rsidP="004F4841">
      <w:pPr>
        <w:rPr>
          <w:rFonts w:ascii="Calibri" w:hAnsi="Calibri" w:cs="Calibri"/>
          <w:b/>
          <w:bCs/>
          <w:i/>
          <w:iCs/>
          <w:color w:val="000000" w:themeColor="text1"/>
        </w:rPr>
      </w:pPr>
      <w:r w:rsidRPr="001C58C6">
        <w:rPr>
          <w:rFonts w:ascii="Calibri" w:hAnsi="Calibri" w:cs="Calibri"/>
          <w:b/>
          <w:bCs/>
          <w:i/>
          <w:iCs/>
          <w:color w:val="000000" w:themeColor="text1"/>
        </w:rPr>
        <w:t>Klimatsko-meteorološki regioni</w:t>
      </w:r>
    </w:p>
    <w:p w14:paraId="13AAFB0C"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Generalno klimatsko-meteorološki regioni (KMR) koji se mogu izdvojiti po svojim prilično homogenim osobinama prvenstvno sa tipičnim klimatskim obrascima su:</w:t>
      </w:r>
    </w:p>
    <w:p w14:paraId="216DC8D6" w14:textId="77777777" w:rsidR="004F4841" w:rsidRPr="001C58C6" w:rsidRDefault="004F4841" w:rsidP="00E53052">
      <w:pPr>
        <w:pStyle w:val="ListParagraph"/>
        <w:numPr>
          <w:ilvl w:val="0"/>
          <w:numId w:val="49"/>
        </w:numPr>
        <w:jc w:val="left"/>
        <w:rPr>
          <w:rFonts w:ascii="Calibri" w:hAnsi="Calibri" w:cs="Calibri"/>
          <w:color w:val="000000" w:themeColor="text1"/>
        </w:rPr>
      </w:pPr>
      <w:r w:rsidRPr="001C58C6">
        <w:rPr>
          <w:rFonts w:ascii="Calibri" w:hAnsi="Calibri" w:cs="Calibri"/>
          <w:color w:val="000000" w:themeColor="text1"/>
        </w:rPr>
        <w:t>(KMR1) Primorje. Obalni dio do oko 500mnv;</w:t>
      </w:r>
    </w:p>
    <w:p w14:paraId="0BBE8C8B" w14:textId="77777777" w:rsidR="004F4841" w:rsidRPr="001C58C6" w:rsidRDefault="004F4841" w:rsidP="00E53052">
      <w:pPr>
        <w:pStyle w:val="ListParagraph"/>
        <w:numPr>
          <w:ilvl w:val="0"/>
          <w:numId w:val="49"/>
        </w:numPr>
        <w:jc w:val="left"/>
        <w:rPr>
          <w:rFonts w:ascii="Calibri" w:hAnsi="Calibri" w:cs="Calibri"/>
          <w:color w:val="000000" w:themeColor="text1"/>
        </w:rPr>
      </w:pPr>
      <w:r w:rsidRPr="001C58C6">
        <w:rPr>
          <w:rFonts w:ascii="Calibri" w:hAnsi="Calibri" w:cs="Calibri"/>
          <w:color w:val="000000" w:themeColor="text1"/>
        </w:rPr>
        <w:t>(KMR2) Planinski region u zaledju Jadrana. Širi planinski pojas, od Orjena do Rumije koji se naglo spušta na jugozapadnoj- a blaže na sjeveroistočnoj strani, nadmorske visine oko 500-600m pa sve do preko 1500m;</w:t>
      </w:r>
    </w:p>
    <w:p w14:paraId="282258F6" w14:textId="77777777" w:rsidR="004F4841" w:rsidRPr="001C58C6" w:rsidRDefault="004F4841" w:rsidP="00E53052">
      <w:pPr>
        <w:pStyle w:val="ListParagraph"/>
        <w:numPr>
          <w:ilvl w:val="0"/>
          <w:numId w:val="49"/>
        </w:numPr>
        <w:rPr>
          <w:rFonts w:ascii="Calibri" w:hAnsi="Calibri" w:cs="Calibri"/>
          <w:color w:val="000000" w:themeColor="text1"/>
        </w:rPr>
      </w:pPr>
      <w:r w:rsidRPr="001C58C6">
        <w:rPr>
          <w:rFonts w:ascii="Calibri" w:hAnsi="Calibri" w:cs="Calibri"/>
          <w:color w:val="000000" w:themeColor="text1"/>
        </w:rPr>
        <w:t>(KMR3) Centralni dio. Zetsko-bjeloplavićka ravnica i njeno okruženje (Pogorica, Danilovgrad, basen Skadarskog jezera ) nadmorske visine sve do oko 800-1000m;</w:t>
      </w:r>
    </w:p>
    <w:p w14:paraId="48BB8C24" w14:textId="77777777" w:rsidR="004F4841" w:rsidRPr="001C58C6" w:rsidRDefault="004F4841" w:rsidP="00E53052">
      <w:pPr>
        <w:pStyle w:val="ListParagraph"/>
        <w:numPr>
          <w:ilvl w:val="0"/>
          <w:numId w:val="49"/>
        </w:numPr>
        <w:rPr>
          <w:rFonts w:ascii="Calibri" w:hAnsi="Calibri" w:cs="Calibri"/>
          <w:color w:val="000000" w:themeColor="text1"/>
        </w:rPr>
      </w:pPr>
      <w:r w:rsidRPr="001C58C6">
        <w:rPr>
          <w:rFonts w:ascii="Calibri" w:hAnsi="Calibri" w:cs="Calibri"/>
          <w:color w:val="000000" w:themeColor="text1"/>
        </w:rPr>
        <w:t>(KMR4) Zapadni dio. Region Nikšića, Plužina, Šavnika, prema Orjenu i Čevu, nadmorske visine oko 500m do oko 1000-1100m;</w:t>
      </w:r>
    </w:p>
    <w:p w14:paraId="5DFC1273" w14:textId="77777777" w:rsidR="004F4841" w:rsidRPr="001C58C6" w:rsidRDefault="004F4841" w:rsidP="00E53052">
      <w:pPr>
        <w:pStyle w:val="ListParagraph"/>
        <w:numPr>
          <w:ilvl w:val="0"/>
          <w:numId w:val="49"/>
        </w:numPr>
        <w:rPr>
          <w:rFonts w:ascii="Calibri" w:hAnsi="Calibri" w:cs="Calibri"/>
          <w:color w:val="000000" w:themeColor="text1"/>
        </w:rPr>
      </w:pPr>
      <w:r w:rsidRPr="001C58C6">
        <w:rPr>
          <w:rFonts w:ascii="Calibri" w:hAnsi="Calibri" w:cs="Calibri"/>
          <w:color w:val="000000" w:themeColor="text1"/>
        </w:rPr>
        <w:t>(KMR5) Sjeverni region. Doline, kotline i ravničarski fragmenti u sjevernom i istočnom dijelu nadmorske visine oko 600 do oko 1000-1100m.</w:t>
      </w:r>
    </w:p>
    <w:p w14:paraId="2A5CA9A9" w14:textId="77777777" w:rsidR="004F4841" w:rsidRPr="001C58C6" w:rsidRDefault="004F4841" w:rsidP="00E53052">
      <w:pPr>
        <w:pStyle w:val="ListParagraph"/>
        <w:numPr>
          <w:ilvl w:val="0"/>
          <w:numId w:val="49"/>
        </w:numPr>
        <w:rPr>
          <w:rFonts w:ascii="Calibri" w:hAnsi="Calibri" w:cs="Calibri"/>
          <w:color w:val="000000" w:themeColor="text1"/>
        </w:rPr>
      </w:pPr>
      <w:r w:rsidRPr="001C58C6">
        <w:rPr>
          <w:rFonts w:ascii="Calibri" w:hAnsi="Calibri" w:cs="Calibri"/>
          <w:color w:val="000000" w:themeColor="text1"/>
        </w:rPr>
        <w:t>(KMR6) Planinski dio. Centralni i sjeverni planinski predjeli nadmorske visine preko 1000-1100m.</w:t>
      </w:r>
    </w:p>
    <w:p w14:paraId="3FE570BE"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 xml:space="preserve">U skadu sa zvaničnom regionalizacijom Crne Gore na primorski, centralni i sjeverni region, može se reći da primorskom regionu pripada KMR1, centralnom regionu pripada KMR2, KMR3 i KMR4 sjevernom regionu pripadaju KMR6 i KMR6. Ne postoji stroga granica pripadnosti neke </w:t>
      </w:r>
      <w:r w:rsidRPr="001C58C6">
        <w:rPr>
          <w:rFonts w:ascii="Calibri" w:hAnsi="Calibri" w:cs="Calibri"/>
          <w:color w:val="000000" w:themeColor="text1"/>
        </w:rPr>
        <w:lastRenderedPageBreak/>
        <w:t>klimatološko-meteorološke regije odredjenom regionu prema zvaničnoj regionalizaciji Crne Gore.</w:t>
      </w:r>
    </w:p>
    <w:p w14:paraId="6022F347" w14:textId="77777777" w:rsidR="00752282" w:rsidRPr="001C58C6" w:rsidRDefault="00752282" w:rsidP="004F4841">
      <w:pPr>
        <w:rPr>
          <w:rFonts w:ascii="Calibri" w:hAnsi="Calibri" w:cs="Calibri"/>
          <w:color w:val="000000" w:themeColor="text1"/>
        </w:rPr>
      </w:pPr>
    </w:p>
    <w:p w14:paraId="37DBC4DC" w14:textId="77777777" w:rsidR="004F4841" w:rsidRPr="001C58C6" w:rsidRDefault="004F4841" w:rsidP="004F4841">
      <w:pPr>
        <w:rPr>
          <w:rFonts w:ascii="Calibri" w:hAnsi="Calibri" w:cs="Calibri"/>
          <w:b/>
          <w:bCs/>
          <w:color w:val="000000" w:themeColor="text1"/>
        </w:rPr>
      </w:pPr>
      <w:r w:rsidRPr="001C58C6">
        <w:rPr>
          <w:rFonts w:ascii="Calibri" w:hAnsi="Calibri" w:cs="Calibri"/>
          <w:b/>
          <w:bCs/>
          <w:color w:val="000000" w:themeColor="text1"/>
        </w:rPr>
        <w:t>Osnovne klimatske karakteristike</w:t>
      </w:r>
    </w:p>
    <w:p w14:paraId="051BEC24" w14:textId="77777777" w:rsidR="004F4841" w:rsidRPr="001C58C6" w:rsidRDefault="004F4841" w:rsidP="004F4841">
      <w:pPr>
        <w:rPr>
          <w:rFonts w:ascii="Calibri" w:hAnsi="Calibri" w:cs="Calibri"/>
          <w:color w:val="000000" w:themeColor="text1"/>
        </w:rPr>
      </w:pPr>
      <w:r w:rsidRPr="001C58C6">
        <w:rPr>
          <w:rFonts w:ascii="Calibri" w:hAnsi="Calibri" w:cs="Calibri"/>
          <w:b/>
          <w:bCs/>
          <w:color w:val="000000" w:themeColor="text1"/>
        </w:rPr>
        <w:t>KMR1. Stanje:</w:t>
      </w:r>
      <w:r w:rsidRPr="001C58C6">
        <w:rPr>
          <w:rFonts w:ascii="Calibri" w:hAnsi="Calibri" w:cs="Calibri"/>
          <w:color w:val="000000" w:themeColor="text1"/>
        </w:rPr>
        <w:t xml:space="preserve"> Ima umjereno topla i vlažna ljeta, blage zime, sa maritimnim tipom padavina maksimum u hladnijem dijelu godine i minumum tokom ljeta, bez velike amplitude u temperaturi sa malom vjerovatnoćom pojave jakog mraza. Povoljna, tipično lokalna cirkulacija vazduha, tokom dana vjetar s mora, a noću vjetar s kopna. U odredjenim meteorološkim situacijama vrlo jak-olujni sjeveroistočni vjetar - bura, a u odredjenim meteorološkim situacijama sa velikom vjerovatnoćom mogući su olujni udari južnog vjetra. Uz samu obalu ne očekuju se ekstremno visoke temperature zbog lokalne cirkulacije vazduha, ali udaljavanjem od obale izvesno je da će se realizovati visoke tropske temperature čak oko 37~40 stepeni. U ovoj klimatskoj regiji, prosječna godišnja temperatura vazduha kreće se u rasponu oko 14~16 stepeni, prosječna godišnja količina kiše je oko 1400~2200 l/m2, prosječna maksimalna visina sniježnog pokrivača je oko 0~20 cm, a prosječna godišnja insolacija –trajanje sijanja sunca je oko 2200~2500 časova.</w:t>
      </w:r>
    </w:p>
    <w:p w14:paraId="1B3EC7BE" w14:textId="77777777" w:rsidR="004F4841" w:rsidRPr="001C58C6" w:rsidRDefault="004F4841" w:rsidP="004F4841">
      <w:pPr>
        <w:rPr>
          <w:rFonts w:ascii="Calibri" w:hAnsi="Calibri" w:cs="Calibri"/>
          <w:color w:val="000000" w:themeColor="text1"/>
        </w:rPr>
      </w:pPr>
      <w:r w:rsidRPr="001C58C6">
        <w:rPr>
          <w:rFonts w:ascii="Calibri" w:hAnsi="Calibri" w:cs="Calibri"/>
          <w:b/>
          <w:bCs/>
          <w:color w:val="000000" w:themeColor="text1"/>
        </w:rPr>
        <w:t>KMR2. Stanje:</w:t>
      </w:r>
      <w:r w:rsidRPr="001C58C6">
        <w:rPr>
          <w:rFonts w:ascii="Calibri" w:hAnsi="Calibri" w:cs="Calibri"/>
          <w:color w:val="000000" w:themeColor="text1"/>
        </w:rPr>
        <w:t xml:space="preserve"> Ova regija ima vrlo specifičnu klimatsko-meteorološku sliku. Kvalitetno provjetravanje, čiste morske vazdušne mase obogaćuju vazduh ove sredine, velika su količine kiše, temperature su sa prilično velikom amplitudom, godišnja amplituda može dostići oko 50 stepeni, a sama dnevna ampliduta u jednom tipičnom ljetnjem danu može dostići oko 20 stepeni. U odredjenim meteorološkim situacijama realizuju se obilne ciklonske kiše, jaki–olujni južni vjetrovi i intenzivne sniježne padavine sa formiranjem sniježnog pokrivača koji može dostići visinu oko 200 cm. U ovoj klimatskoj regiji, prosječna godišnja temperatura vazduha kreće se u rasponu oko 7~10 stepeni, prosječna godišnja količina kiše je oko 2200~5000 l/m2, prosječna maksimalna visina sniježnog pokrivača je oko 50~160 cm a prosječna godišnja insolacija – trajanje sijanja sunca je oko 2000~2300 časova.</w:t>
      </w:r>
    </w:p>
    <w:p w14:paraId="5281935F" w14:textId="77777777" w:rsidR="004F4841" w:rsidRPr="001C58C6" w:rsidRDefault="004F4841" w:rsidP="004F4841">
      <w:pPr>
        <w:rPr>
          <w:rFonts w:ascii="Calibri" w:hAnsi="Calibri" w:cs="Calibri"/>
          <w:color w:val="000000" w:themeColor="text1"/>
        </w:rPr>
      </w:pPr>
      <w:r w:rsidRPr="001C58C6">
        <w:rPr>
          <w:rFonts w:ascii="Calibri" w:hAnsi="Calibri" w:cs="Calibri"/>
          <w:b/>
          <w:bCs/>
          <w:color w:val="000000" w:themeColor="text1"/>
        </w:rPr>
        <w:t xml:space="preserve">KMR3. Stanje: </w:t>
      </w:r>
      <w:r w:rsidRPr="001C58C6">
        <w:rPr>
          <w:rFonts w:ascii="Calibri" w:hAnsi="Calibri" w:cs="Calibri"/>
          <w:color w:val="000000" w:themeColor="text1"/>
        </w:rPr>
        <w:t>Ovu KMR karakterišu visoke tropske temperature tokom ljeta, dugotrajno sušna i topla sa visokim tropskim temperaturama od preko 35 ili čak 40 stepeni. Veliki je broj tropskih dana. U posljednjih deset godina prosječan broj tropskih dana po sezoni ima tendenciju značajnog porasta. Ovu regiju karakterišu učestali jaki I vrlo jaki sjeverni vjetrovi koji mogu da imaju olujno-destruktivni karakter. U ljetnjem periodu jak sjeverni vjetar deluje negativno na poljoprivrednu proizvodnju i veoma negativno na za pojavu i nekontrolisano širenje požara (wildfire). Zime su uglavnom blage uz dominantno odsustvo snijega. U ovoj klimatskoj regiji, prosječna godišnja temperatura vazduha kreće se u rasponu oko 10~-16 stepeni, prosječna godišnja količina kiše je oko 1600~2200 l/m2, prosječna maksimalna visina sniježnog pokrivača je oko 20~70 cm, a prosječna godišnja insolacija je oko 2200~2400 časova.</w:t>
      </w:r>
    </w:p>
    <w:p w14:paraId="4FFF8B10" w14:textId="77777777" w:rsidR="004F4841" w:rsidRPr="001C58C6" w:rsidRDefault="004F4841" w:rsidP="004F4841">
      <w:pPr>
        <w:rPr>
          <w:rFonts w:ascii="Calibri" w:hAnsi="Calibri" w:cs="Calibri"/>
          <w:color w:val="000000" w:themeColor="text1"/>
        </w:rPr>
      </w:pPr>
      <w:r w:rsidRPr="001C58C6">
        <w:rPr>
          <w:rFonts w:ascii="Calibri" w:hAnsi="Calibri" w:cs="Calibri"/>
          <w:b/>
          <w:bCs/>
          <w:color w:val="000000" w:themeColor="text1"/>
        </w:rPr>
        <w:t xml:space="preserve">KMR4. Stanje: </w:t>
      </w:r>
      <w:r w:rsidRPr="001C58C6">
        <w:rPr>
          <w:rFonts w:ascii="Calibri" w:hAnsi="Calibri" w:cs="Calibri"/>
          <w:color w:val="000000" w:themeColor="text1"/>
        </w:rPr>
        <w:t>U ovoj regiji klimatski uslovi su prilično homogeni kontinentalnog karaktera, ali istovremeno modifikovani planinskim, pa čak i maritimnim uticajem. U odredjenim meteorološkim situacijama zastupljeni su jaki udari južnog i sjevernog vjetra. Za ovu klimatsku regiju karakteristične su sniježne padavinehladne zime i umjereno topla ljeta. Proljećni kasnipozni mraz i rani jeseni mraz imaju veliku vjerovatnoću pojave I mogu negativno da utiču na tok fenoloških faza odredjenih biljnih i voćnih vrsti. Izvjesne su pojave jakih mrazeva zimi, obilna kiša naročito u jesen kada dnevna količina može dostići oko 270~-280 l/m2. U ovoj klimatskoj regiji, prosječna godišnja temperatura vazduha kreće se u rasponu oko 6~12 stepeni, prosječna godišnje količine kiše je oko 1800~2400 l/m2, prosječna maksimalna visina sniježnog pokrivača je oko 80~160 cm, a prosječna godišnja insolacija je oko 1800~2300 časova.</w:t>
      </w:r>
    </w:p>
    <w:p w14:paraId="1986BFB4" w14:textId="77777777" w:rsidR="00752282" w:rsidRPr="001C58C6" w:rsidRDefault="00752282" w:rsidP="004F4841">
      <w:pPr>
        <w:rPr>
          <w:rFonts w:ascii="Calibri" w:hAnsi="Calibri" w:cs="Calibri"/>
          <w:color w:val="000000" w:themeColor="text1"/>
        </w:rPr>
      </w:pPr>
    </w:p>
    <w:p w14:paraId="61751C87" w14:textId="77777777" w:rsidR="004F4841" w:rsidRPr="001C58C6" w:rsidRDefault="004F4841" w:rsidP="004F4841">
      <w:pPr>
        <w:rPr>
          <w:rFonts w:ascii="Calibri" w:hAnsi="Calibri" w:cs="Calibri"/>
          <w:color w:val="000000" w:themeColor="text1"/>
        </w:rPr>
      </w:pPr>
      <w:r w:rsidRPr="001C58C6">
        <w:rPr>
          <w:rFonts w:ascii="Calibri" w:hAnsi="Calibri" w:cs="Calibri"/>
          <w:b/>
          <w:bCs/>
          <w:color w:val="000000" w:themeColor="text1"/>
        </w:rPr>
        <w:t>KMR5. Stanje:</w:t>
      </w:r>
      <w:r w:rsidRPr="001C58C6">
        <w:rPr>
          <w:rFonts w:ascii="Calibri" w:hAnsi="Calibri" w:cs="Calibri"/>
          <w:color w:val="000000" w:themeColor="text1"/>
        </w:rPr>
        <w:t xml:space="preserve"> Sjeverni niži predjeli doline i kotline, nalaze se u zoni velikih klimatskometeoroloških kontrasta sa okolinom. Ova KMR ima najmanju kolinu kiše na teritoriji Crne Gore. U ovoj regiji izuzetno su velike dnevne i godišnje temperaturne amplitude, koje se na godišnjem nivou kreću u prosjeku oko 50~60 stepeni, a dnevna amplituda temperature može dostići oko 20-25 stepeni. U ovoj klimatsko-meteorološkoj regiji u kotlinskim dijelovima tokom zime, posebno noću, formiraju se “jezera hladnog vazduha” ispunjena maglom sa izuzetno jakim temperaturnim inverzijama. U najnižim dijelovima u kotlinama nalaze se i najniže temperature koje se mogu spustiti na oko -28 ~ -32 stepena, a tokom ljeta temperatura u istim tim područjima može dostići oko 35~40 stepeni. U ovoj klimatskoj regiji, prosječna godišnja temperatura vazduha kreće se u rasponu oko 6~9 stepeni, prosječna godišnja količina kiše je oko 700~1000 l/m2, prosječna maksimalna visina sniježnog pokrivača je oko 50~80 cm, a prosječna godišnja insolacija je oko 1700~1900 časova.</w:t>
      </w:r>
    </w:p>
    <w:p w14:paraId="64D45376" w14:textId="77777777" w:rsidR="00752282" w:rsidRPr="001C58C6" w:rsidRDefault="00752282" w:rsidP="004F4841">
      <w:pPr>
        <w:rPr>
          <w:rFonts w:ascii="Calibri" w:hAnsi="Calibri" w:cs="Calibri"/>
          <w:color w:val="000000" w:themeColor="text1"/>
        </w:rPr>
      </w:pPr>
    </w:p>
    <w:p w14:paraId="4092CFB3" w14:textId="77777777" w:rsidR="004F4841" w:rsidRPr="001C58C6" w:rsidRDefault="004F4841" w:rsidP="004F4841">
      <w:pPr>
        <w:rPr>
          <w:rFonts w:ascii="Calibri" w:hAnsi="Calibri" w:cs="Calibri"/>
          <w:color w:val="000000" w:themeColor="text1"/>
        </w:rPr>
      </w:pPr>
      <w:r w:rsidRPr="001C58C6">
        <w:rPr>
          <w:rFonts w:ascii="Calibri" w:hAnsi="Calibri" w:cs="Calibri"/>
          <w:b/>
          <w:bCs/>
          <w:color w:val="000000" w:themeColor="text1"/>
        </w:rPr>
        <w:t>KMR6. Stanje:</w:t>
      </w:r>
      <w:r w:rsidRPr="001C58C6">
        <w:rPr>
          <w:rFonts w:ascii="Calibri" w:hAnsi="Calibri" w:cs="Calibri"/>
          <w:color w:val="000000" w:themeColor="text1"/>
        </w:rPr>
        <w:t xml:space="preserve"> Ova KMR ima kontinentalnu planinsku klimu, ali uz modifikaciju mediteranskim uticajem (tople južne-jugozapadne visinske struje) koje dopiru do Durmitora, Sinjajevine, Bjelasice, Komova i Prokletija. Najviše planine imaju prosječnu godišnju temperaturu ispod nule. U ovoj KMR glavna klimatsko-meteorološka karakteristika je snijeg, vjetar i relativno povoljno termičko stanje u ljetnjem periodu. U ljetnjem periodu dnevna temperatura se kreće oko 25 stepeni, a može dostići i do 30 stepeni u ekstremnim meteorološkim situacijama. Prosječna godišnja temperatura vazduha kreće se u rasponu oko -2 do 5 stepeni, prosječna godišnja količina kiše je oko 1400~2200 l/m2, prosječna maksimalna visina sniježnog pokrivača je oko 110~200 cm a prosječna godišnja insolacija je oko 1400~1600 časova. </w:t>
      </w:r>
    </w:p>
    <w:p w14:paraId="5B36ED34" w14:textId="77777777" w:rsidR="004F4841" w:rsidRPr="001C58C6" w:rsidRDefault="004F4841" w:rsidP="004F4841">
      <w:pPr>
        <w:jc w:val="center"/>
        <w:rPr>
          <w:rFonts w:ascii="Calibri" w:hAnsi="Calibri" w:cs="Calibri"/>
          <w:color w:val="000000" w:themeColor="text1"/>
        </w:rPr>
      </w:pPr>
      <w:r w:rsidRPr="001C58C6">
        <w:rPr>
          <w:rFonts w:ascii="Calibri" w:hAnsi="Calibri" w:cs="Calibri"/>
          <w:noProof/>
          <w:color w:val="000000" w:themeColor="text1"/>
        </w:rPr>
        <w:drawing>
          <wp:inline distT="0" distB="0" distL="0" distR="0" wp14:anchorId="12F09863" wp14:editId="3312B6BA">
            <wp:extent cx="3840480" cy="3783919"/>
            <wp:effectExtent l="0" t="0" r="7620" b="7620"/>
            <wp:docPr id="19649205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45323" cy="3788691"/>
                    </a:xfrm>
                    <a:prstGeom prst="rect">
                      <a:avLst/>
                    </a:prstGeom>
                    <a:noFill/>
                    <a:ln>
                      <a:noFill/>
                    </a:ln>
                  </pic:spPr>
                </pic:pic>
              </a:graphicData>
            </a:graphic>
          </wp:inline>
        </w:drawing>
      </w:r>
    </w:p>
    <w:p w14:paraId="6536C24C" w14:textId="77777777" w:rsidR="00752282" w:rsidRPr="001C58C6" w:rsidRDefault="00752282" w:rsidP="004F4841">
      <w:pPr>
        <w:jc w:val="center"/>
        <w:rPr>
          <w:rFonts w:ascii="Calibri" w:hAnsi="Calibri" w:cs="Calibri"/>
          <w:color w:val="000000" w:themeColor="text1"/>
        </w:rPr>
      </w:pPr>
    </w:p>
    <w:p w14:paraId="00C8D8B9" w14:textId="77777777" w:rsidR="00752282" w:rsidRPr="001C58C6" w:rsidRDefault="00752282" w:rsidP="004F4841">
      <w:pPr>
        <w:jc w:val="center"/>
        <w:rPr>
          <w:rFonts w:ascii="Calibri" w:hAnsi="Calibri" w:cs="Calibri"/>
          <w:color w:val="000000" w:themeColor="text1"/>
        </w:rPr>
      </w:pPr>
    </w:p>
    <w:p w14:paraId="342ECF08" w14:textId="77777777" w:rsidR="004F4841" w:rsidRPr="001C58C6" w:rsidRDefault="004F4841" w:rsidP="004F4841">
      <w:pPr>
        <w:jc w:val="center"/>
        <w:rPr>
          <w:rFonts w:ascii="Calibri" w:hAnsi="Calibri" w:cs="Calibri"/>
          <w:color w:val="000000" w:themeColor="text1"/>
        </w:rPr>
      </w:pPr>
      <w:r w:rsidRPr="001C58C6">
        <w:rPr>
          <w:rFonts w:ascii="Calibri" w:hAnsi="Calibri" w:cs="Calibri"/>
          <w:noProof/>
          <w:color w:val="000000" w:themeColor="text1"/>
        </w:rPr>
        <w:lastRenderedPageBreak/>
        <w:drawing>
          <wp:inline distT="0" distB="0" distL="0" distR="0" wp14:anchorId="6FF8D037" wp14:editId="3758B53C">
            <wp:extent cx="3810000" cy="3842891"/>
            <wp:effectExtent l="0" t="0" r="0" b="5715"/>
            <wp:docPr id="9889905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19202" cy="3852172"/>
                    </a:xfrm>
                    <a:prstGeom prst="rect">
                      <a:avLst/>
                    </a:prstGeom>
                    <a:noFill/>
                    <a:ln>
                      <a:noFill/>
                    </a:ln>
                  </pic:spPr>
                </pic:pic>
              </a:graphicData>
            </a:graphic>
          </wp:inline>
        </w:drawing>
      </w:r>
    </w:p>
    <w:p w14:paraId="02C924A0" w14:textId="77777777" w:rsidR="004F4841" w:rsidRPr="001C58C6" w:rsidRDefault="004F4841" w:rsidP="004F4841">
      <w:pPr>
        <w:rPr>
          <w:rFonts w:ascii="Calibri" w:hAnsi="Calibri" w:cs="Calibri"/>
          <w:i/>
          <w:iCs/>
          <w:color w:val="000000" w:themeColor="text1"/>
        </w:rPr>
      </w:pPr>
      <w:r w:rsidRPr="001C58C6">
        <w:rPr>
          <w:rFonts w:ascii="Calibri" w:hAnsi="Calibri" w:cs="Calibri"/>
          <w:color w:val="000000" w:themeColor="text1"/>
        </w:rPr>
        <w:t xml:space="preserve">Izoterme maksimalne godišnje temperaturevazduha povratni period 50 godina (slika gore) i minimalne godišnje temperature povratni period 50 godina (slika dolje). Izvor: </w:t>
      </w:r>
      <w:r w:rsidRPr="001C58C6">
        <w:rPr>
          <w:rFonts w:ascii="Calibri" w:hAnsi="Calibri" w:cs="Calibri"/>
          <w:i/>
          <w:iCs/>
          <w:color w:val="000000" w:themeColor="text1"/>
        </w:rPr>
        <w:t>MSc Branko Micev, dipl.met., Istraživanje ekstremnih temperatura povratni period 50 godina, ZHMS, 2014.</w:t>
      </w:r>
    </w:p>
    <w:p w14:paraId="798ECE5F" w14:textId="77777777" w:rsidR="00752282" w:rsidRPr="001C58C6" w:rsidRDefault="00752282" w:rsidP="004F4841">
      <w:pPr>
        <w:rPr>
          <w:rFonts w:ascii="Calibri" w:hAnsi="Calibri" w:cs="Calibri"/>
          <w:i/>
          <w:iCs/>
          <w:color w:val="000000" w:themeColor="text1"/>
        </w:rPr>
      </w:pPr>
    </w:p>
    <w:p w14:paraId="76901C91" w14:textId="77777777" w:rsidR="00752282" w:rsidRPr="001C58C6" w:rsidRDefault="00752282" w:rsidP="004F4841">
      <w:pPr>
        <w:rPr>
          <w:rFonts w:ascii="Calibri" w:hAnsi="Calibri" w:cs="Calibri"/>
          <w:i/>
          <w:iCs/>
          <w:color w:val="000000" w:themeColor="text1"/>
        </w:rPr>
      </w:pPr>
    </w:p>
    <w:p w14:paraId="11A4DE31" w14:textId="77777777" w:rsidR="00752282" w:rsidRPr="001C58C6" w:rsidRDefault="00752282" w:rsidP="004F4841">
      <w:pPr>
        <w:rPr>
          <w:rFonts w:ascii="Calibri" w:hAnsi="Calibri" w:cs="Calibri"/>
          <w:color w:val="000000" w:themeColor="text1"/>
        </w:rPr>
      </w:pPr>
    </w:p>
    <w:p w14:paraId="7CECA67C" w14:textId="77777777" w:rsidR="004F4841" w:rsidRPr="001C58C6" w:rsidRDefault="004F4841" w:rsidP="004F4841">
      <w:pPr>
        <w:rPr>
          <w:rFonts w:ascii="Calibri" w:hAnsi="Calibri" w:cs="Calibri"/>
          <w:b/>
          <w:bCs/>
          <w:color w:val="000000" w:themeColor="text1"/>
        </w:rPr>
      </w:pPr>
      <w:bookmarkStart w:id="248" w:name="_Toc220070467"/>
      <w:r w:rsidRPr="001C58C6">
        <w:rPr>
          <w:rFonts w:ascii="Calibri" w:hAnsi="Calibri" w:cs="Calibri"/>
          <w:b/>
          <w:bCs/>
          <w:color w:val="000000" w:themeColor="text1"/>
        </w:rPr>
        <w:t>Geomorfološke karakteristike</w:t>
      </w:r>
      <w:bookmarkEnd w:id="248"/>
    </w:p>
    <w:p w14:paraId="1DBBD517"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Reljef je bitan i dominantan elemenat izgleda i geografskog sadržaja prostora Crne Gore. Veoma složena geološko-litološko i tektonska osnova, uz specifične uticaje erozionih procesa modeliranja, uslovili su da je reljef vrlo dinamičan i po mnogo čemu jedinstven. Nagle visinske promjene zemljišta na relativno malom rastojanju, karakteristika su i specifičnost reljefa Crne Gore. Jaka i intenzivna geotektonska aktivnost koja je bila naročito dinamična u periodu tercijerne alpske orogeneze, uticala je na razvoj i oblikovanje reljefa cijelog Dinarskog planinskog sistema pa samim ti i prostora Crne Gore. Današnji izgled reljefa je rezultat velikih radijalnih i tangecijalnih geotektonskih pokreta (navlačenje starijih slojeva, preko mlađih, razna nabiranja i kraljuštanja), koji su daljim radom spoljašnjih sila uobličeni. Visinska struktura odnosa, predstavlja ostatke recentnog reljefa, i ukazuje na veliku dinamičnost i rasčlanjenost reljefa na cijelom prostoru Crne Gore.</w:t>
      </w:r>
    </w:p>
    <w:p w14:paraId="49EA9884"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Visinski se u reljefu izdvajaju 5 pojaseva i to:</w:t>
      </w:r>
    </w:p>
    <w:p w14:paraId="47E9CC88" w14:textId="77777777" w:rsidR="004F4841" w:rsidRPr="001C58C6" w:rsidRDefault="004F4841" w:rsidP="00E53052">
      <w:pPr>
        <w:pStyle w:val="ListParagraph"/>
        <w:numPr>
          <w:ilvl w:val="0"/>
          <w:numId w:val="48"/>
        </w:numPr>
        <w:jc w:val="left"/>
        <w:rPr>
          <w:rFonts w:ascii="Calibri" w:hAnsi="Calibri" w:cs="Calibri"/>
          <w:color w:val="000000" w:themeColor="text1"/>
        </w:rPr>
      </w:pPr>
      <w:r w:rsidRPr="001C58C6">
        <w:rPr>
          <w:rFonts w:ascii="Calibri" w:hAnsi="Calibri" w:cs="Calibri"/>
          <w:color w:val="000000" w:themeColor="text1"/>
        </w:rPr>
        <w:t>Uski primorski pojas kojeg čine Podgoričko-skadarska kotlina i Bjelopavlićka ravnica</w:t>
      </w:r>
    </w:p>
    <w:p w14:paraId="6F58494E" w14:textId="77777777" w:rsidR="004F4841" w:rsidRPr="001C58C6" w:rsidRDefault="004F4841" w:rsidP="004F4841">
      <w:pPr>
        <w:pStyle w:val="ListParagraph"/>
        <w:ind w:left="1080"/>
        <w:rPr>
          <w:rFonts w:ascii="Calibri" w:hAnsi="Calibri" w:cs="Calibri"/>
          <w:color w:val="000000" w:themeColor="text1"/>
        </w:rPr>
      </w:pPr>
      <w:r w:rsidRPr="001C58C6">
        <w:rPr>
          <w:rFonts w:ascii="Calibri" w:hAnsi="Calibri" w:cs="Calibri"/>
          <w:color w:val="000000" w:themeColor="text1"/>
        </w:rPr>
        <w:t>(0 - 60mnm);</w:t>
      </w:r>
    </w:p>
    <w:p w14:paraId="2901359D" w14:textId="77777777" w:rsidR="004F4841" w:rsidRPr="001C58C6" w:rsidRDefault="004F4841" w:rsidP="00E53052">
      <w:pPr>
        <w:pStyle w:val="ListParagraph"/>
        <w:numPr>
          <w:ilvl w:val="0"/>
          <w:numId w:val="48"/>
        </w:numPr>
        <w:jc w:val="left"/>
        <w:rPr>
          <w:rFonts w:ascii="Calibri" w:hAnsi="Calibri" w:cs="Calibri"/>
          <w:color w:val="000000" w:themeColor="text1"/>
        </w:rPr>
      </w:pPr>
      <w:r w:rsidRPr="001C58C6">
        <w:rPr>
          <w:rFonts w:ascii="Calibri" w:hAnsi="Calibri" w:cs="Calibri"/>
          <w:color w:val="000000" w:themeColor="text1"/>
        </w:rPr>
        <w:t>Zaravan dubokog krša: Katunski krš, Krivošije, Grahovski kraj, Rudine i Banjani (800 -</w:t>
      </w:r>
    </w:p>
    <w:p w14:paraId="2E72A0AD" w14:textId="77777777" w:rsidR="004F4841" w:rsidRPr="001C58C6" w:rsidRDefault="004F4841" w:rsidP="004F4841">
      <w:pPr>
        <w:pStyle w:val="ListParagraph"/>
        <w:ind w:left="1080"/>
        <w:rPr>
          <w:rFonts w:ascii="Calibri" w:hAnsi="Calibri" w:cs="Calibri"/>
          <w:color w:val="000000" w:themeColor="text1"/>
        </w:rPr>
      </w:pPr>
      <w:r w:rsidRPr="001C58C6">
        <w:rPr>
          <w:rFonts w:ascii="Calibri" w:hAnsi="Calibri" w:cs="Calibri"/>
          <w:color w:val="000000" w:themeColor="text1"/>
        </w:rPr>
        <w:t>900mnm);</w:t>
      </w:r>
    </w:p>
    <w:p w14:paraId="7E8AE21D" w14:textId="77777777" w:rsidR="004F4841" w:rsidRPr="001C58C6" w:rsidRDefault="004F4841" w:rsidP="00E53052">
      <w:pPr>
        <w:pStyle w:val="ListParagraph"/>
        <w:numPr>
          <w:ilvl w:val="0"/>
          <w:numId w:val="48"/>
        </w:numPr>
        <w:jc w:val="left"/>
        <w:rPr>
          <w:rFonts w:ascii="Calibri" w:hAnsi="Calibri" w:cs="Calibri"/>
          <w:color w:val="000000" w:themeColor="text1"/>
        </w:rPr>
      </w:pPr>
      <w:r w:rsidRPr="001C58C6">
        <w:rPr>
          <w:rFonts w:ascii="Calibri" w:hAnsi="Calibri" w:cs="Calibri"/>
          <w:color w:val="000000" w:themeColor="text1"/>
        </w:rPr>
        <w:t>Udolina srednje Crne Gore (900 - 1200mnm);</w:t>
      </w:r>
    </w:p>
    <w:p w14:paraId="31116780" w14:textId="77777777" w:rsidR="004F4841" w:rsidRPr="001C58C6" w:rsidRDefault="004F4841" w:rsidP="00E53052">
      <w:pPr>
        <w:pStyle w:val="ListParagraph"/>
        <w:numPr>
          <w:ilvl w:val="0"/>
          <w:numId w:val="48"/>
        </w:numPr>
        <w:jc w:val="left"/>
        <w:rPr>
          <w:rFonts w:ascii="Calibri" w:hAnsi="Calibri" w:cs="Calibri"/>
          <w:color w:val="000000" w:themeColor="text1"/>
        </w:rPr>
      </w:pPr>
      <w:r w:rsidRPr="001C58C6">
        <w:rPr>
          <w:rFonts w:ascii="Calibri" w:hAnsi="Calibri" w:cs="Calibri"/>
          <w:color w:val="000000" w:themeColor="text1"/>
        </w:rPr>
        <w:lastRenderedPageBreak/>
        <w:t>Središnje visoke zaravni (1200 - 1800mnm) ispresijecane dubokim kanjonskim</w:t>
      </w:r>
    </w:p>
    <w:p w14:paraId="03BC61CF" w14:textId="77777777" w:rsidR="004F4841" w:rsidRPr="001C58C6" w:rsidRDefault="004F4841" w:rsidP="004F4841">
      <w:pPr>
        <w:pStyle w:val="ListParagraph"/>
        <w:ind w:left="1080"/>
        <w:rPr>
          <w:rFonts w:ascii="Calibri" w:hAnsi="Calibri" w:cs="Calibri"/>
          <w:color w:val="000000" w:themeColor="text1"/>
        </w:rPr>
      </w:pPr>
      <w:r w:rsidRPr="001C58C6">
        <w:rPr>
          <w:rFonts w:ascii="Calibri" w:hAnsi="Calibri" w:cs="Calibri"/>
          <w:color w:val="000000" w:themeColor="text1"/>
        </w:rPr>
        <w:t>dolinama, iznad kojih se izdižu visoke planine, sa brojnim vrhovima preko 2000mnm.</w:t>
      </w:r>
    </w:p>
    <w:p w14:paraId="6D01008A" w14:textId="77777777" w:rsidR="004F4841" w:rsidRPr="001C58C6" w:rsidRDefault="004F4841" w:rsidP="00E53052">
      <w:pPr>
        <w:pStyle w:val="ListParagraph"/>
        <w:numPr>
          <w:ilvl w:val="0"/>
          <w:numId w:val="48"/>
        </w:numPr>
        <w:jc w:val="left"/>
        <w:rPr>
          <w:rFonts w:ascii="Calibri" w:hAnsi="Calibri" w:cs="Calibri"/>
          <w:color w:val="000000" w:themeColor="text1"/>
        </w:rPr>
      </w:pPr>
      <w:r w:rsidRPr="001C58C6">
        <w:rPr>
          <w:rFonts w:ascii="Calibri" w:hAnsi="Calibri" w:cs="Calibri"/>
          <w:color w:val="000000" w:themeColor="text1"/>
        </w:rPr>
        <w:t>Oblast sjeveroistočne Crne Gore (600 - 1500mnm), sa brojnim planinama, površima, rječnim dolinama i kotlinama, uokviren graničnim planinama nadmorske visine i preko 2000mnm.</w:t>
      </w:r>
    </w:p>
    <w:p w14:paraId="5A7E8CC4"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Od ukupne površine Crne Gore (13812km2) do 200m visine samo je 10% zemljišta, između 200 - 1000m je 40%, a preko 500m je 15%. Srednja nadmorska visina je oko 1050m. Litološka osnova, geotektonska struktura i erozino djelovanje spoljašnjih sila uslovili su na prostoru Crne Gore, formiranje pojedinih reljefnih cjelina, koje se dosta međusobno razlikuju.</w:t>
      </w:r>
    </w:p>
    <w:p w14:paraId="43EB24ED" w14:textId="77777777" w:rsidR="004F4841" w:rsidRPr="001C58C6" w:rsidRDefault="004F4841" w:rsidP="004F4841">
      <w:pPr>
        <w:pStyle w:val="Caption"/>
        <w:keepNext/>
        <w:rPr>
          <w:rFonts w:ascii="Calibri" w:hAnsi="Calibri" w:cs="Calibri"/>
          <w:color w:val="000000" w:themeColor="text1"/>
        </w:rPr>
      </w:pPr>
      <w:bookmarkStart w:id="249" w:name="_Toc233584675"/>
      <w:r w:rsidRPr="001C58C6">
        <w:rPr>
          <w:rFonts w:ascii="Calibri" w:hAnsi="Calibri" w:cs="Calibri"/>
          <w:color w:val="000000" w:themeColor="text1"/>
        </w:rPr>
        <w:t xml:space="preserve">Grafik </w:t>
      </w:r>
      <w:r w:rsidRPr="001C58C6">
        <w:rPr>
          <w:rFonts w:ascii="Calibri" w:hAnsi="Calibri" w:cs="Calibri"/>
          <w:color w:val="000000" w:themeColor="text1"/>
        </w:rPr>
        <w:fldChar w:fldCharType="begin"/>
      </w:r>
      <w:r w:rsidRPr="001C58C6">
        <w:rPr>
          <w:rFonts w:ascii="Calibri" w:hAnsi="Calibri" w:cs="Calibri"/>
          <w:color w:val="000000" w:themeColor="text1"/>
        </w:rPr>
        <w:instrText xml:space="preserve"> SEQ Grafik \* ARABIC </w:instrText>
      </w:r>
      <w:r w:rsidRPr="001C58C6">
        <w:rPr>
          <w:rFonts w:ascii="Calibri" w:hAnsi="Calibri" w:cs="Calibri"/>
          <w:color w:val="000000" w:themeColor="text1"/>
        </w:rPr>
        <w:fldChar w:fldCharType="separate"/>
      </w:r>
      <w:r w:rsidR="00752282" w:rsidRPr="001C58C6">
        <w:rPr>
          <w:rFonts w:ascii="Calibri" w:hAnsi="Calibri" w:cs="Calibri"/>
          <w:color w:val="000000" w:themeColor="text1"/>
        </w:rPr>
        <w:t>14</w:t>
      </w:r>
      <w:r w:rsidRPr="001C58C6">
        <w:rPr>
          <w:rFonts w:ascii="Calibri" w:hAnsi="Calibri" w:cs="Calibri"/>
          <w:color w:val="000000" w:themeColor="text1"/>
        </w:rPr>
        <w:fldChar w:fldCharType="end"/>
      </w:r>
      <w:r w:rsidRPr="001C58C6">
        <w:rPr>
          <w:rFonts w:ascii="Calibri" w:hAnsi="Calibri" w:cs="Calibri"/>
          <w:color w:val="000000" w:themeColor="text1"/>
        </w:rPr>
        <w:t xml:space="preserve"> – Glavne reljefne cjeline</w:t>
      </w:r>
      <w:bookmarkEnd w:id="249"/>
    </w:p>
    <w:p w14:paraId="2EF47D41" w14:textId="77777777" w:rsidR="004F4841" w:rsidRPr="001C58C6" w:rsidRDefault="004F4841" w:rsidP="004F4841">
      <w:pPr>
        <w:jc w:val="center"/>
        <w:rPr>
          <w:rFonts w:ascii="Calibri" w:hAnsi="Calibri" w:cs="Calibri"/>
          <w:color w:val="000000" w:themeColor="text1"/>
        </w:rPr>
      </w:pPr>
      <w:r w:rsidRPr="001C58C6">
        <w:rPr>
          <w:rFonts w:ascii="Calibri" w:hAnsi="Calibri" w:cs="Calibri"/>
          <w:noProof/>
          <w:color w:val="000000" w:themeColor="text1"/>
        </w:rPr>
        <w:drawing>
          <wp:inline distT="0" distB="0" distL="0" distR="0" wp14:anchorId="612D7DF6" wp14:editId="294624EE">
            <wp:extent cx="4095271" cy="3893820"/>
            <wp:effectExtent l="0" t="0" r="635" b="0"/>
            <wp:docPr id="1972122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96163" cy="3894668"/>
                    </a:xfrm>
                    <a:prstGeom prst="rect">
                      <a:avLst/>
                    </a:prstGeom>
                    <a:noFill/>
                    <a:ln>
                      <a:noFill/>
                    </a:ln>
                  </pic:spPr>
                </pic:pic>
              </a:graphicData>
            </a:graphic>
          </wp:inline>
        </w:drawing>
      </w:r>
    </w:p>
    <w:p w14:paraId="7475E254" w14:textId="77777777" w:rsidR="004F4841" w:rsidRPr="001C58C6" w:rsidRDefault="004F4841" w:rsidP="004F4841">
      <w:pPr>
        <w:rPr>
          <w:rFonts w:ascii="Calibri" w:hAnsi="Calibri" w:cs="Calibri"/>
          <w:b/>
          <w:bCs/>
          <w:i/>
          <w:iCs/>
          <w:color w:val="000000" w:themeColor="text1"/>
        </w:rPr>
      </w:pPr>
      <w:r w:rsidRPr="001C58C6">
        <w:rPr>
          <w:rFonts w:ascii="Calibri" w:hAnsi="Calibri" w:cs="Calibri"/>
          <w:b/>
          <w:bCs/>
          <w:i/>
          <w:iCs/>
          <w:color w:val="000000" w:themeColor="text1"/>
        </w:rPr>
        <w:t>Regionalne cjeline</w:t>
      </w:r>
    </w:p>
    <w:p w14:paraId="6978A7CD"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Poštujući aspekt sličnosti problematike uređenja i zaštite prirodnih vrijednosti prostora, kao i pogodnosti koje pojedini njegovi djelovi pružaju za razvoj, istovremeno uzimajući u obzir nivo i uslove društveno-ekonomskog razvoja, prostor Crne Gore je podjeljen na tri, u određenom smislu, jasno izdvojene regionalne cjeline (region) i to na Primorski, Središnji i Sjeverni.</w:t>
      </w:r>
    </w:p>
    <w:p w14:paraId="54CA43E8" w14:textId="77777777" w:rsidR="004F4841" w:rsidRPr="001C58C6" w:rsidRDefault="004F4841" w:rsidP="004F4841">
      <w:pPr>
        <w:rPr>
          <w:rFonts w:ascii="Calibri" w:hAnsi="Calibri" w:cs="Calibri"/>
          <w:color w:val="000000" w:themeColor="text1"/>
        </w:rPr>
      </w:pPr>
      <w:r w:rsidRPr="001C58C6">
        <w:rPr>
          <w:rFonts w:ascii="Calibri" w:hAnsi="Calibri" w:cs="Calibri"/>
          <w:i/>
          <w:iCs/>
          <w:color w:val="000000" w:themeColor="text1"/>
        </w:rPr>
        <w:t>Primorski region</w:t>
      </w:r>
      <w:r w:rsidRPr="001C58C6">
        <w:rPr>
          <w:rFonts w:ascii="Calibri" w:hAnsi="Calibri" w:cs="Calibri"/>
          <w:color w:val="000000" w:themeColor="text1"/>
        </w:rPr>
        <w:t>, svojim karakterističnim izgledom, ima sva tipična obilježja mediteranskih prostora. Osim izvanrednih prirodnih uslova za razvoj turizma, pomorske privrede i nekih grana poljoprivrede, za sada ne raspolaže drugim značajnim prirodnim resursima. Površinom najmanji (1591 km2), ovaj region, koji se u osnovu poklapa sa, u geomorfološkom smislu, definisanom i izdvojenom oblašću Primorja, obuhvata područja opština Herceg Novi, Kotor, Tivat, Budva, Bar i Ulcinj.</w:t>
      </w:r>
    </w:p>
    <w:p w14:paraId="6E9BEC5A" w14:textId="77777777" w:rsidR="004F4841" w:rsidRPr="001C58C6" w:rsidRDefault="004F4841" w:rsidP="004F4841">
      <w:pPr>
        <w:rPr>
          <w:rFonts w:ascii="Calibri" w:hAnsi="Calibri" w:cs="Calibri"/>
          <w:color w:val="000000" w:themeColor="text1"/>
        </w:rPr>
      </w:pPr>
      <w:r w:rsidRPr="001C58C6">
        <w:rPr>
          <w:rFonts w:ascii="Calibri" w:hAnsi="Calibri" w:cs="Calibri"/>
          <w:i/>
          <w:iCs/>
          <w:color w:val="000000" w:themeColor="text1"/>
        </w:rPr>
        <w:t>Središnji region</w:t>
      </w:r>
      <w:r w:rsidRPr="001C58C6">
        <w:rPr>
          <w:rFonts w:ascii="Calibri" w:hAnsi="Calibri" w:cs="Calibri"/>
          <w:color w:val="000000" w:themeColor="text1"/>
        </w:rPr>
        <w:t xml:space="preserve">, najizraženiji je nizijski prostor Crne Gore koji je okružen bezvodnim krečnjačkimpovršima. Uz već poznate prirodne resurse, njegov veoma značajan prirodni potencijal predstavljaju kompleksi poljoprivrednog zemljišta. Ovaj region zahvata površinu od 4.917 km2 i u geomorfološkom smislu, pripadaju mu definisane i izdvojene oblasti udoline </w:t>
      </w:r>
      <w:r w:rsidRPr="001C58C6">
        <w:rPr>
          <w:rFonts w:ascii="Calibri" w:hAnsi="Calibri" w:cs="Calibri"/>
          <w:color w:val="000000" w:themeColor="text1"/>
        </w:rPr>
        <w:lastRenderedPageBreak/>
        <w:t>srednje Crne Gore, oblast zaravni dubokog krša i južni dio oblasti središnjih visokih zaravni, a u administrativnom pogledu obuhvata područja opština Podgorica, Zeta, Tuzi, Danilovgrad, Nikšić i Cetinje.</w:t>
      </w:r>
    </w:p>
    <w:p w14:paraId="6EC72710" w14:textId="77777777" w:rsidR="004F4841" w:rsidRPr="001C58C6" w:rsidRDefault="004F4841" w:rsidP="004F4841">
      <w:pPr>
        <w:rPr>
          <w:rFonts w:ascii="Calibri" w:hAnsi="Calibri" w:cs="Calibri"/>
          <w:color w:val="000000" w:themeColor="text1"/>
        </w:rPr>
      </w:pPr>
      <w:r w:rsidRPr="001C58C6">
        <w:rPr>
          <w:rFonts w:ascii="Calibri" w:hAnsi="Calibri" w:cs="Calibri"/>
          <w:color w:val="000000" w:themeColor="text1"/>
        </w:rPr>
        <w:t>Sjeverni region je izrazito visokoplaninski dio teritorije, koji je ispresijecan riječnim dolinama i po svojim karakteristikama reljefa, u mnogim svojim djelovima ima izgled i oblike karakteristične za alpske predjele. Obradive poljoprivredne površine smještene uz riječne doline i strane, prostrani pašnjaci, veliki kompleksi kvalitetnih šuma (bukovih i četinarskih), značajne rezerve uglja, olova i cinka, veliki hidroenergetski potencijal i na većini područja veoma povoljni uslovi za razvoj planinskog i lječilišnog turizma, predstavljaju najznačajnije prirodne resurse i potencijale ovog područja. Sjeverni region zauzima preko polovinu ukupne površine Crne Gore (7304 km2) i u osnovi ga čine predjeli definisani kao oblast Središnjih visokih zaravni i oblast Sjeveroistočne Crne Gore, sa administrativnim centrima Kolašin, Mojkovac, Žabljak, Šavnik, Plužine, Pljevlja, Bijelo Polje, Petnjica, Berane, Andrijevica, Plav, Gusinje i Rožaje.</w:t>
      </w:r>
    </w:p>
    <w:p w14:paraId="69328014" w14:textId="77777777" w:rsidR="004F4841" w:rsidRPr="001C58C6" w:rsidRDefault="004F4841" w:rsidP="004F4841">
      <w:pPr>
        <w:rPr>
          <w:rFonts w:ascii="Calibri" w:hAnsi="Calibri" w:cs="Calibri"/>
          <w:color w:val="000000" w:themeColor="text1"/>
        </w:rPr>
      </w:pPr>
    </w:p>
    <w:p w14:paraId="5168756D" w14:textId="77777777" w:rsidR="004F4841" w:rsidRPr="001C58C6" w:rsidRDefault="004F4841" w:rsidP="004F4841">
      <w:pPr>
        <w:rPr>
          <w:rFonts w:ascii="Calibri" w:hAnsi="Calibri" w:cs="Calibri"/>
          <w:color w:val="000000" w:themeColor="text1"/>
        </w:rPr>
      </w:pPr>
    </w:p>
    <w:p w14:paraId="2F6DC199" w14:textId="77777777" w:rsidR="00BD3268" w:rsidRPr="001C58C6" w:rsidRDefault="00BD3268" w:rsidP="000C2FDE">
      <w:pPr>
        <w:rPr>
          <w:rStyle w:val="Heading1Char"/>
          <w:rFonts w:ascii="Calibri" w:hAnsi="Calibri" w:cs="Calibri"/>
          <w:color w:val="000000" w:themeColor="text1"/>
        </w:rPr>
      </w:pPr>
    </w:p>
    <w:p w14:paraId="20A8CCBF" w14:textId="77777777" w:rsidR="002827BC" w:rsidRPr="001C58C6" w:rsidRDefault="002827BC">
      <w:pPr>
        <w:rPr>
          <w:rStyle w:val="Heading1Char"/>
          <w:rFonts w:ascii="Calibri" w:hAnsi="Calibri" w:cs="Calibri"/>
          <w:color w:val="000000" w:themeColor="text1"/>
        </w:rPr>
      </w:pPr>
    </w:p>
    <w:sectPr w:rsidR="002827BC" w:rsidRPr="001C58C6" w:rsidSect="00E82FA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B5E264" w14:textId="77777777" w:rsidR="00DA1045" w:rsidRPr="00ED5DB4" w:rsidRDefault="00DA1045">
      <w:r w:rsidRPr="00ED5DB4">
        <w:separator/>
      </w:r>
    </w:p>
  </w:endnote>
  <w:endnote w:type="continuationSeparator" w:id="0">
    <w:p w14:paraId="5B5A2AC2" w14:textId="77777777" w:rsidR="00DA1045" w:rsidRPr="00ED5DB4" w:rsidRDefault="00DA1045">
      <w:r w:rsidRPr="00ED5DB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altName w:val="Calibri"/>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4358938"/>
      <w:docPartObj>
        <w:docPartGallery w:val="Page Numbers (Bottom of Page)"/>
        <w:docPartUnique/>
      </w:docPartObj>
    </w:sdtPr>
    <w:sdtContent>
      <w:p w14:paraId="2EE5F99B" w14:textId="77777777" w:rsidR="00891EB6" w:rsidRPr="00ED5DB4" w:rsidRDefault="00891EB6">
        <w:pPr>
          <w:pStyle w:val="Footer"/>
          <w:jc w:val="right"/>
        </w:pPr>
        <w:r w:rsidRPr="00ED5DB4">
          <w:fldChar w:fldCharType="begin"/>
        </w:r>
        <w:r w:rsidRPr="00ED5DB4">
          <w:instrText xml:space="preserve"> PAGE   \* MERGEFORMAT </w:instrText>
        </w:r>
        <w:r w:rsidRPr="00ED5DB4">
          <w:fldChar w:fldCharType="separate"/>
        </w:r>
        <w:r w:rsidRPr="00ED5DB4">
          <w:t>2</w:t>
        </w:r>
        <w:r w:rsidRPr="00ED5DB4">
          <w:fldChar w:fldCharType="end"/>
        </w:r>
      </w:p>
    </w:sdtContent>
  </w:sdt>
  <w:p w14:paraId="47A57CC9" w14:textId="77777777" w:rsidR="00891EB6" w:rsidRPr="00ED5DB4" w:rsidRDefault="00891E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16D8B8" w14:textId="77777777" w:rsidR="00DA1045" w:rsidRPr="00ED5DB4" w:rsidRDefault="00DA1045">
      <w:r w:rsidRPr="00ED5DB4">
        <w:separator/>
      </w:r>
    </w:p>
  </w:footnote>
  <w:footnote w:type="continuationSeparator" w:id="0">
    <w:p w14:paraId="28B03A76" w14:textId="77777777" w:rsidR="00DA1045" w:rsidRPr="00ED5DB4" w:rsidRDefault="00DA1045">
      <w:r w:rsidRPr="00ED5DB4">
        <w:continuationSeparator/>
      </w:r>
    </w:p>
  </w:footnote>
  <w:footnote w:id="1">
    <w:p w14:paraId="41B0E7E3" w14:textId="77777777" w:rsidR="00891EB6" w:rsidRDefault="00891EB6" w:rsidP="00B07044">
      <w:pPr>
        <w:pStyle w:val="FootnoteText"/>
      </w:pPr>
      <w:r>
        <w:rPr>
          <w:rStyle w:val="FootnoteReference"/>
        </w:rPr>
        <w:footnoteRef/>
      </w:r>
      <w:r>
        <w:t>Ana Pavićević, Rodno osviještene javne politike / Strategija upravljanja kvalitetom vazduha, decembar 2023.</w:t>
      </w:r>
    </w:p>
  </w:footnote>
  <w:footnote w:id="2">
    <w:p w14:paraId="3ABCC0D6" w14:textId="3C76084E" w:rsidR="00891EB6" w:rsidRPr="00ED5DB4" w:rsidRDefault="00891EB6">
      <w:pPr>
        <w:pStyle w:val="FootnoteText"/>
      </w:pPr>
      <w:r w:rsidRPr="00ED5DB4">
        <w:rPr>
          <w:rStyle w:val="FootnoteReference"/>
        </w:rPr>
        <w:footnoteRef/>
      </w:r>
      <w:r w:rsidRPr="00ED5DB4">
        <w:t xml:space="preserve"> Zone kvaliteta vazduha utvrđene su Uredbom o uspostavljanju mreže mjernih mjesta za praćenje kvaliteta vazduha (Sl. List CG br.  </w:t>
      </w:r>
      <w:hyperlink r:id="rId1" w:history="1">
        <w:r w:rsidRPr="00ED5DB4">
          <w:t>44/2010</w:t>
        </w:r>
      </w:hyperlink>
      <w:r w:rsidRPr="00ED5DB4">
        <w:t>, </w:t>
      </w:r>
      <w:hyperlink r:id="rId2" w:history="1">
        <w:r w:rsidRPr="00ED5DB4">
          <w:t>13/2011</w:t>
        </w:r>
      </w:hyperlink>
      <w:r w:rsidRPr="00ED5DB4">
        <w:t> i </w:t>
      </w:r>
      <w:hyperlink r:id="rId3" w:history="1">
        <w:r w:rsidRPr="00ED5DB4">
          <w:t>64/2018</w:t>
        </w:r>
      </w:hyperlink>
      <w:r w:rsidRPr="00ED5DB4">
        <w:t xml:space="preserve">), koju je neophodno ažurirati uključivanjem novoformiranih opština i preispitivanjem granica zona kvaliteta vazduha u skladu sa čl. 7 Direktive (EU) 2024/2881. </w:t>
      </w:r>
    </w:p>
  </w:footnote>
  <w:footnote w:id="3">
    <w:p w14:paraId="763EB59E" w14:textId="77777777" w:rsidR="00891EB6" w:rsidRPr="00ED5DB4" w:rsidRDefault="00891EB6">
      <w:pPr>
        <w:pStyle w:val="FootnoteText"/>
        <w:rPr>
          <w:i/>
          <w:sz w:val="18"/>
        </w:rPr>
      </w:pPr>
      <w:r w:rsidRPr="00ED5DB4">
        <w:rPr>
          <w:rStyle w:val="FootnoteReference"/>
          <w:i/>
          <w:iCs/>
          <w:sz w:val="18"/>
          <w:szCs w:val="18"/>
        </w:rPr>
        <w:footnoteRef/>
      </w:r>
      <w:r w:rsidRPr="00ED5DB4">
        <w:rPr>
          <w:i/>
          <w:iCs/>
          <w:sz w:val="18"/>
          <w:szCs w:val="18"/>
        </w:rPr>
        <w:t xml:space="preserve"> Centar za ekotoksikološka ispitivanja, Podgorica d.o.o, Godišnji izvještaji o realizaciji programa monitoringa vazduha na teritoriji Crne gore 2020 - 2024. godina</w:t>
      </w:r>
    </w:p>
  </w:footnote>
  <w:footnote w:id="4">
    <w:p w14:paraId="5ECA7378" w14:textId="77777777" w:rsidR="00891EB6" w:rsidRPr="00ED5DB4" w:rsidRDefault="00891EB6">
      <w:pPr>
        <w:pStyle w:val="FootnoteText"/>
        <w:rPr>
          <w:sz w:val="16"/>
        </w:rPr>
      </w:pPr>
      <w:r w:rsidRPr="00ED5DB4">
        <w:rPr>
          <w:rStyle w:val="FootnoteReference"/>
          <w:i/>
          <w:iCs/>
          <w:sz w:val="18"/>
          <w:szCs w:val="18"/>
        </w:rPr>
        <w:footnoteRef/>
      </w:r>
      <w:r w:rsidRPr="00ED5DB4">
        <w:rPr>
          <w:i/>
          <w:iCs/>
          <w:sz w:val="18"/>
          <w:szCs w:val="18"/>
        </w:rPr>
        <w:t xml:space="preserve"> Centar za ekotoksikološka ispitivanja, Podgorica d.o.o, Godišnji izvještaji o realizaciji programa monitoringa vazduha na teritoriji Crne gore 2020 - 2024. godina</w:t>
      </w:r>
    </w:p>
  </w:footnote>
  <w:footnote w:id="5">
    <w:p w14:paraId="17BCB337" w14:textId="77777777" w:rsidR="00891EB6" w:rsidRPr="00ED5DB4" w:rsidRDefault="00891EB6">
      <w:pPr>
        <w:pStyle w:val="FootnoteText"/>
      </w:pPr>
      <w:r w:rsidRPr="00ED5DB4">
        <w:rPr>
          <w:rStyle w:val="FootnoteReference"/>
        </w:rPr>
        <w:footnoteRef/>
      </w:r>
      <w:r w:rsidRPr="00ED5DB4">
        <w:t xml:space="preserve"> Izvještaj o emisijskim mjerenjima zagađujućih materija u otpadnom gasu iz postrojenja za sagorijevanje TE Pljevlja, Centar za ekotoksikološka ispitivanja Podgorica d.o.o. CETI 780.101.16</w:t>
      </w:r>
    </w:p>
  </w:footnote>
  <w:footnote w:id="6">
    <w:p w14:paraId="3D33F8AE" w14:textId="77777777" w:rsidR="00891EB6" w:rsidRPr="00ED5DB4" w:rsidRDefault="00891EB6">
      <w:pPr>
        <w:pStyle w:val="FootnoteText"/>
        <w:rPr>
          <w:i/>
          <w:sz w:val="18"/>
        </w:rPr>
      </w:pPr>
      <w:r w:rsidRPr="00ED5DB4">
        <w:rPr>
          <w:rStyle w:val="FootnoteReference"/>
          <w:i/>
          <w:iCs/>
          <w:sz w:val="18"/>
          <w:szCs w:val="18"/>
        </w:rPr>
        <w:footnoteRef/>
      </w:r>
      <w:r w:rsidRPr="00ED5DB4">
        <w:rPr>
          <w:i/>
          <w:iCs/>
          <w:sz w:val="18"/>
          <w:szCs w:val="18"/>
        </w:rPr>
        <w:t xml:space="preserve"> Centar za ekotoksikološka ispitivanja, Podgorica d.o.o, Godišnji izvještaji o realizaciji programa monitoringa vazduha na teritoriji Crne gore 2020 - 2024. godina</w:t>
      </w:r>
    </w:p>
  </w:footnote>
  <w:footnote w:id="7">
    <w:p w14:paraId="0DD811CB" w14:textId="0028073F" w:rsidR="00891EB6" w:rsidRPr="00ED5DB4" w:rsidRDefault="00891EB6">
      <w:pPr>
        <w:pStyle w:val="FootnoteText"/>
        <w:rPr>
          <w:i/>
          <w:sz w:val="18"/>
        </w:rPr>
      </w:pPr>
      <w:r w:rsidRPr="00ED5DB4">
        <w:rPr>
          <w:rStyle w:val="FootnoteReference"/>
          <w:i/>
          <w:iCs/>
          <w:sz w:val="18"/>
          <w:szCs w:val="18"/>
        </w:rPr>
        <w:footnoteRef/>
      </w:r>
      <w:r w:rsidRPr="00ED5DB4">
        <w:rPr>
          <w:i/>
          <w:iCs/>
          <w:sz w:val="18"/>
          <w:szCs w:val="18"/>
        </w:rPr>
        <w:t xml:space="preserve"> </w:t>
      </w:r>
      <w:r w:rsidRPr="00ED5DB4">
        <w:rPr>
          <w:i/>
          <w:sz w:val="18"/>
        </w:rPr>
        <w:t xml:space="preserve">Direktiva (EU) 2024/2881 Evropskog parlamenta i Savjeta od 23. oktobra 2024. o kvalitetu ambijentalnog vazduha i čistijem vazduhu u Evropi </w:t>
      </w:r>
    </w:p>
  </w:footnote>
  <w:footnote w:id="8">
    <w:p w14:paraId="352F3F69" w14:textId="77777777" w:rsidR="00891EB6" w:rsidRPr="00ED5DB4" w:rsidRDefault="00891EB6">
      <w:pPr>
        <w:pStyle w:val="FootnoteText"/>
        <w:rPr>
          <w:i/>
          <w:sz w:val="18"/>
        </w:rPr>
      </w:pPr>
      <w:r w:rsidRPr="00ED5DB4">
        <w:rPr>
          <w:rStyle w:val="FootnoteReference"/>
          <w:i/>
          <w:iCs/>
          <w:sz w:val="18"/>
          <w:szCs w:val="18"/>
        </w:rPr>
        <w:footnoteRef/>
      </w:r>
      <w:r w:rsidRPr="00ED5DB4">
        <w:rPr>
          <w:i/>
          <w:iCs/>
          <w:sz w:val="18"/>
          <w:szCs w:val="18"/>
        </w:rPr>
        <w:t xml:space="preserve"> </w:t>
      </w:r>
      <w:r w:rsidRPr="00ED5DB4">
        <w:rPr>
          <w:i/>
          <w:sz w:val="18"/>
        </w:rPr>
        <w:t>Godišnji podaci za 2025. godinu još nijesu poznati</w:t>
      </w:r>
    </w:p>
  </w:footnote>
  <w:footnote w:id="9">
    <w:p w14:paraId="70A06E7E" w14:textId="77777777" w:rsidR="00891EB6" w:rsidRPr="00ED5DB4" w:rsidRDefault="00891EB6">
      <w:pPr>
        <w:pStyle w:val="FootnoteText"/>
      </w:pPr>
      <w:r w:rsidRPr="00ED5DB4">
        <w:rPr>
          <w:rStyle w:val="FootnoteReference"/>
          <w:i/>
          <w:iCs/>
          <w:sz w:val="18"/>
          <w:szCs w:val="18"/>
        </w:rPr>
        <w:footnoteRef/>
      </w:r>
      <w:r w:rsidRPr="00ED5DB4">
        <w:rPr>
          <w:i/>
          <w:iCs/>
          <w:sz w:val="18"/>
          <w:szCs w:val="18"/>
        </w:rPr>
        <w:t xml:space="preserve"> </w:t>
      </w:r>
      <w:r w:rsidRPr="00ED5DB4">
        <w:rPr>
          <w:i/>
          <w:sz w:val="18"/>
        </w:rPr>
        <w:t>Podaci iz 2019. godine nijesu uzeti u obzir u ovim analizama zbog prekompozicije mreže za praćenje kvaliteta vazduha koja je obavljena te godine, tako da je praćenje kvaliteta vazduha tokom 2019. godine vršeno na različitim lokacijama što dobijene podatke čini neuporedivim sa postojećim setovima podataka</w:t>
      </w:r>
      <w:r w:rsidRPr="00ED5DB4">
        <w:t xml:space="preserve">. </w:t>
      </w:r>
    </w:p>
  </w:footnote>
  <w:footnote w:id="10">
    <w:p w14:paraId="55BBBF53" w14:textId="77777777" w:rsidR="00891EB6" w:rsidRPr="00ED5DB4" w:rsidRDefault="00891EB6">
      <w:pPr>
        <w:pStyle w:val="FootnoteText"/>
        <w:rPr>
          <w:i/>
          <w:sz w:val="18"/>
        </w:rPr>
      </w:pPr>
      <w:r w:rsidRPr="00ED5DB4">
        <w:rPr>
          <w:rStyle w:val="FootnoteReference"/>
          <w:i/>
          <w:iCs/>
          <w:sz w:val="18"/>
          <w:szCs w:val="18"/>
        </w:rPr>
        <w:footnoteRef/>
      </w:r>
      <w:r w:rsidRPr="00ED5DB4">
        <w:rPr>
          <w:i/>
          <w:iCs/>
          <w:sz w:val="18"/>
          <w:szCs w:val="18"/>
        </w:rPr>
        <w:t xml:space="preserve"> </w:t>
      </w:r>
      <w:r w:rsidRPr="00ED5DB4">
        <w:rPr>
          <w:i/>
          <w:sz w:val="18"/>
        </w:rPr>
        <w:t xml:space="preserve">Evropska agencija za životnu sredinu, Stanje kvaliteta vazduha u Evropi 2024. godine </w:t>
      </w:r>
      <w:hyperlink r:id="rId4" w:history="1">
        <w:r w:rsidRPr="00ED5DB4">
          <w:rPr>
            <w:rStyle w:val="Hyperlink"/>
            <w:i/>
            <w:sz w:val="18"/>
          </w:rPr>
          <w:t>https://www.eea.europa.eu/en/analysis/publications/europes-air-quality-status-2024</w:t>
        </w:r>
      </w:hyperlink>
      <w:r w:rsidRPr="00ED5DB4">
        <w:rPr>
          <w:i/>
          <w:sz w:val="18"/>
        </w:rPr>
        <w:t xml:space="preserve">  </w:t>
      </w:r>
    </w:p>
  </w:footnote>
  <w:footnote w:id="11">
    <w:p w14:paraId="1EA7AE31" w14:textId="77777777" w:rsidR="00891EB6" w:rsidRPr="00ED5DB4" w:rsidRDefault="00891EB6">
      <w:pPr>
        <w:pStyle w:val="FootnoteText"/>
        <w:rPr>
          <w:i/>
          <w:sz w:val="18"/>
        </w:rPr>
      </w:pPr>
      <w:r w:rsidRPr="00ED5DB4">
        <w:rPr>
          <w:rStyle w:val="FootnoteReference"/>
          <w:i/>
          <w:iCs/>
          <w:sz w:val="18"/>
          <w:szCs w:val="18"/>
        </w:rPr>
        <w:footnoteRef/>
      </w:r>
      <w:r w:rsidRPr="00ED5DB4">
        <w:rPr>
          <w:i/>
          <w:iCs/>
          <w:sz w:val="18"/>
          <w:szCs w:val="18"/>
        </w:rPr>
        <w:t xml:space="preserve"> European Commission: Joint Research Centre, Status of Environment and Climate in the Western Balkans, Publications Office of the European Union, Luxembourg, 2024, https://data.europa.eu/doi/10.2760/1865356</w:t>
      </w:r>
    </w:p>
  </w:footnote>
  <w:footnote w:id="12">
    <w:p w14:paraId="21D25BE1" w14:textId="77777777" w:rsidR="00891EB6" w:rsidRPr="00ED5DB4" w:rsidRDefault="00891EB6">
      <w:pPr>
        <w:pStyle w:val="FootnoteText"/>
        <w:rPr>
          <w:i/>
          <w:sz w:val="18"/>
        </w:rPr>
      </w:pPr>
      <w:r w:rsidRPr="00ED5DB4">
        <w:rPr>
          <w:rStyle w:val="FootnoteReference"/>
          <w:i/>
          <w:iCs/>
          <w:sz w:val="18"/>
          <w:szCs w:val="18"/>
        </w:rPr>
        <w:footnoteRef/>
      </w:r>
      <w:r w:rsidRPr="00ED5DB4">
        <w:rPr>
          <w:i/>
          <w:iCs/>
          <w:sz w:val="18"/>
          <w:szCs w:val="18"/>
        </w:rPr>
        <w:t xml:space="preserve"> </w:t>
      </w:r>
      <w:r w:rsidRPr="00ED5DB4">
        <w:rPr>
          <w:i/>
          <w:sz w:val="18"/>
        </w:rPr>
        <w:t xml:space="preserve">State of Global Air </w:t>
      </w:r>
      <w:hyperlink r:id="rId5" w:history="1">
        <w:r w:rsidRPr="00ED5DB4">
          <w:rPr>
            <w:rStyle w:val="Hyperlink"/>
            <w:i/>
            <w:sz w:val="18"/>
          </w:rPr>
          <w:t>https://www.stateofglobalair.org/resources/report/trends-air-quality-and-health-southeast-europe</w:t>
        </w:r>
      </w:hyperlink>
    </w:p>
  </w:footnote>
  <w:footnote w:id="13">
    <w:p w14:paraId="1E1B848E" w14:textId="77777777" w:rsidR="00891EB6" w:rsidRPr="00ED5DB4" w:rsidRDefault="00891EB6">
      <w:pPr>
        <w:pStyle w:val="FootnoteText"/>
        <w:rPr>
          <w:i/>
          <w:iCs/>
          <w:sz w:val="18"/>
          <w:szCs w:val="18"/>
        </w:rPr>
      </w:pPr>
      <w:r w:rsidRPr="00ED5DB4">
        <w:rPr>
          <w:rStyle w:val="FootnoteReference"/>
          <w:i/>
          <w:iCs/>
          <w:sz w:val="18"/>
          <w:szCs w:val="18"/>
        </w:rPr>
        <w:footnoteRef/>
      </w:r>
      <w:r w:rsidRPr="00ED5DB4">
        <w:rPr>
          <w:i/>
          <w:iCs/>
          <w:sz w:val="18"/>
          <w:szCs w:val="18"/>
        </w:rPr>
        <w:t xml:space="preserve"> Health Effects Institute. 2022. Trends in Air Quality and Health in Southeast Europe: A State of Global Air Special Report</w:t>
      </w:r>
    </w:p>
  </w:footnote>
  <w:footnote w:id="14">
    <w:p w14:paraId="20B90FCF" w14:textId="77777777" w:rsidR="00891EB6" w:rsidRPr="00ED5DB4" w:rsidRDefault="00891EB6">
      <w:pPr>
        <w:pStyle w:val="FootnoteText"/>
      </w:pPr>
      <w:r w:rsidRPr="00ED5DB4">
        <w:rPr>
          <w:rStyle w:val="FootnoteReference"/>
        </w:rPr>
        <w:footnoteRef/>
      </w:r>
      <w:r w:rsidRPr="00ED5DB4">
        <w:t xml:space="preserve"> Nacionalna strategija upravljanja kvalitetom vazduha sa Akcionim planom za period 2013-2016. godine https://www.gov.me/dokumenta/5278544d-536e-49c6-ad06-a0476ee715ac</w:t>
      </w:r>
    </w:p>
  </w:footnote>
  <w:footnote w:id="15">
    <w:p w14:paraId="76A031F7" w14:textId="77777777" w:rsidR="00891EB6" w:rsidRPr="00ED5DB4" w:rsidRDefault="00891EB6">
      <w:pPr>
        <w:pStyle w:val="FootnoteText"/>
        <w:rPr>
          <w:i/>
          <w:iCs/>
          <w:sz w:val="18"/>
          <w:szCs w:val="18"/>
        </w:rPr>
      </w:pPr>
      <w:r w:rsidRPr="00ED5DB4">
        <w:rPr>
          <w:rStyle w:val="FootnoteReference"/>
          <w:i/>
          <w:iCs/>
          <w:sz w:val="18"/>
          <w:szCs w:val="18"/>
        </w:rPr>
        <w:footnoteRef/>
      </w:r>
      <w:r w:rsidRPr="00ED5DB4">
        <w:rPr>
          <w:i/>
          <w:iCs/>
          <w:sz w:val="18"/>
          <w:szCs w:val="18"/>
        </w:rPr>
        <w:t xml:space="preserve"> Završni Izvještaj o sprovođenju Nacionalne strategije upravljanja kvalitetom vazduha za period 2017-2020. godina, sa Izvještajem o realizaciji Akcionog plana za 2020. godinu</w:t>
      </w:r>
    </w:p>
    <w:p w14:paraId="7AA9D2A7" w14:textId="77777777" w:rsidR="00891EB6" w:rsidRPr="00ED5DB4" w:rsidRDefault="00891EB6">
      <w:pPr>
        <w:pStyle w:val="FootnoteText"/>
        <w:rPr>
          <w:i/>
          <w:sz w:val="18"/>
        </w:rPr>
      </w:pPr>
      <w:r w:rsidRPr="00ED5DB4">
        <w:rPr>
          <w:i/>
          <w:iCs/>
          <w:sz w:val="18"/>
          <w:szCs w:val="18"/>
        </w:rPr>
        <w:t>mart 2021.https://wapi.gov.me/download/1566f0ac-2863-4a2c-aaab-5d05c18ab47d?version=1.0</w:t>
      </w:r>
    </w:p>
  </w:footnote>
  <w:footnote w:id="16">
    <w:p w14:paraId="60034FAB" w14:textId="77777777" w:rsidR="00891EB6" w:rsidRPr="00ED5DB4" w:rsidRDefault="00891EB6">
      <w:pPr>
        <w:pStyle w:val="FootnoteText"/>
      </w:pPr>
      <w:r w:rsidRPr="00ED5DB4">
        <w:rPr>
          <w:rStyle w:val="FootnoteReference"/>
          <w:i/>
          <w:iCs/>
          <w:sz w:val="18"/>
          <w:szCs w:val="18"/>
        </w:rPr>
        <w:footnoteRef/>
      </w:r>
      <w:r w:rsidRPr="00ED5DB4">
        <w:rPr>
          <w:i/>
          <w:iCs/>
          <w:sz w:val="18"/>
          <w:szCs w:val="18"/>
        </w:rPr>
        <w:t xml:space="preserve"> Izvještaj o efikasnosti mehanizma regulacije, praćenja i izvještavanja o kvalitetu vazduha u Crnoj Gori https://dri.co.me/doc/Izvje%C5%A1taj%20o%20reviziji%20uspjeha%20Efikasnost%20mehanizma%20regulacije,%20pra%C4%87enja%20i%20izvje%C5%A1tavanja%20o%20kvalitetu%20vazduha%20u%20Crnoj%20Gori.pdf</w:t>
      </w:r>
    </w:p>
  </w:footnote>
  <w:footnote w:id="17">
    <w:p w14:paraId="7A144ED3" w14:textId="77777777" w:rsidR="00891EB6" w:rsidRPr="00ED5DB4" w:rsidRDefault="00891EB6">
      <w:pPr>
        <w:pStyle w:val="FootnoteText"/>
        <w:rPr>
          <w:i/>
          <w:sz w:val="18"/>
        </w:rPr>
      </w:pPr>
      <w:r w:rsidRPr="00ED5DB4">
        <w:rPr>
          <w:rStyle w:val="FootnoteReference"/>
          <w:i/>
          <w:iCs/>
          <w:sz w:val="18"/>
          <w:szCs w:val="18"/>
        </w:rPr>
        <w:footnoteRef/>
      </w:r>
      <w:r w:rsidRPr="00ED5DB4">
        <w:rPr>
          <w:i/>
          <w:iCs/>
          <w:sz w:val="18"/>
          <w:szCs w:val="18"/>
        </w:rPr>
        <w:t xml:space="preserve"> Nacionalni energetski i klimatski plan Crne Gore https://wapi.gov.me/download/4c1901cb-fbe3-480d-89c7-27817a25343e?version=1.0</w:t>
      </w:r>
    </w:p>
  </w:footnote>
  <w:footnote w:id="18">
    <w:p w14:paraId="7820F095" w14:textId="77777777" w:rsidR="00891EB6" w:rsidRPr="00ED5DB4" w:rsidRDefault="00891EB6">
      <w:pPr>
        <w:pStyle w:val="FootnoteText"/>
        <w:rPr>
          <w:i/>
          <w:sz w:val="18"/>
        </w:rPr>
      </w:pPr>
      <w:r w:rsidRPr="00ED5DB4">
        <w:rPr>
          <w:rStyle w:val="FootnoteReference"/>
          <w:i/>
          <w:iCs/>
          <w:sz w:val="18"/>
          <w:szCs w:val="18"/>
        </w:rPr>
        <w:footnoteRef/>
      </w:r>
      <w:r w:rsidRPr="00ED5DB4">
        <w:rPr>
          <w:i/>
          <w:iCs/>
          <w:sz w:val="18"/>
          <w:szCs w:val="18"/>
        </w:rPr>
        <w:t xml:space="preserve"> Kratkoročni akcioni plan za Opštinu Pljevlja u slučaju prekoračenja ili rizika od prekoračenja praga upozoravanja za sumpor(IV)oksid SO2 https://epa.org.me/wp-content/uploads/2017/12/Kratkoroni-akcioni-plan-za-Optinu-Pljevlja.pdf</w:t>
      </w:r>
    </w:p>
  </w:footnote>
  <w:footnote w:id="19">
    <w:p w14:paraId="22BA6EC1" w14:textId="77777777" w:rsidR="00891EB6" w:rsidRPr="00ED5DB4" w:rsidRDefault="00891EB6">
      <w:pPr>
        <w:pStyle w:val="FootnoteText"/>
        <w:rPr>
          <w:i/>
          <w:sz w:val="18"/>
        </w:rPr>
      </w:pPr>
      <w:r w:rsidRPr="00ED5DB4">
        <w:rPr>
          <w:rStyle w:val="FootnoteReference"/>
          <w:i/>
          <w:iCs/>
          <w:sz w:val="18"/>
          <w:szCs w:val="18"/>
        </w:rPr>
        <w:footnoteRef/>
      </w:r>
      <w:r w:rsidRPr="00ED5DB4">
        <w:rPr>
          <w:i/>
          <w:iCs/>
          <w:sz w:val="18"/>
          <w:szCs w:val="18"/>
        </w:rPr>
        <w:t xml:space="preserve"> LEAP Pljevlja https://pljevlja.me/wp-content/uploads/2022/11/LEAP-Pljevlja-web.pdf</w:t>
      </w:r>
    </w:p>
  </w:footnote>
  <w:footnote w:id="20">
    <w:p w14:paraId="6537A7DF" w14:textId="4B31BBD7" w:rsidR="00891EB6" w:rsidRPr="00ED5DB4" w:rsidRDefault="00891EB6">
      <w:pPr>
        <w:pStyle w:val="FootnoteText"/>
      </w:pPr>
      <w:r w:rsidRPr="00ED5DB4">
        <w:rPr>
          <w:rStyle w:val="FootnoteReference"/>
          <w:i/>
          <w:iCs/>
          <w:sz w:val="18"/>
          <w:szCs w:val="18"/>
        </w:rPr>
        <w:footnoteRef/>
      </w:r>
      <w:r w:rsidRPr="00ED5DB4">
        <w:rPr>
          <w:i/>
          <w:iCs/>
          <w:sz w:val="18"/>
          <w:szCs w:val="18"/>
        </w:rPr>
        <w:t xml:space="preserve"> Directive (EU) 2024/2881 of the European Parliament and of the Council of 23 October 2024 on ambient air quality and cleaner air for Europe (recast) https://eur-lex.europa.eu/eli/dir/2024/2881/oj/eng</w:t>
      </w:r>
    </w:p>
  </w:footnote>
  <w:footnote w:id="21">
    <w:p w14:paraId="232FF3F9" w14:textId="77777777" w:rsidR="00891EB6" w:rsidRPr="00ED5DB4" w:rsidRDefault="00891EB6">
      <w:pPr>
        <w:pStyle w:val="FootnoteText"/>
        <w:rPr>
          <w:i/>
          <w:sz w:val="18"/>
        </w:rPr>
      </w:pPr>
      <w:r w:rsidRPr="00ED5DB4">
        <w:rPr>
          <w:rStyle w:val="FootnoteReference"/>
          <w:i/>
          <w:iCs/>
          <w:sz w:val="18"/>
          <w:szCs w:val="18"/>
        </w:rPr>
        <w:footnoteRef/>
      </w:r>
      <w:r w:rsidRPr="00ED5DB4">
        <w:rPr>
          <w:i/>
          <w:iCs/>
          <w:sz w:val="18"/>
          <w:szCs w:val="18"/>
        </w:rPr>
        <w:t xml:space="preserve"> Directive (EU) 2016/2284 of the European Parliament and of the Council of 14 December 2016 on the reduction of national emissions of certain atmospheric pollutants, amending Directive 2003/35/EC and repealing Directive 2001/81/EC https://eur-lex.europa.eu/eli/dir/2016/2284/oj/eng</w:t>
      </w:r>
    </w:p>
  </w:footnote>
  <w:footnote w:id="22">
    <w:p w14:paraId="01AF68C2" w14:textId="77777777" w:rsidR="00891EB6" w:rsidRPr="00ED5DB4" w:rsidRDefault="00891EB6">
      <w:pPr>
        <w:pStyle w:val="FootnoteText"/>
      </w:pPr>
      <w:r w:rsidRPr="00ED5DB4">
        <w:rPr>
          <w:rStyle w:val="FootnoteReference"/>
          <w:i/>
          <w:iCs/>
          <w:sz w:val="18"/>
          <w:szCs w:val="18"/>
        </w:rPr>
        <w:footnoteRef/>
      </w:r>
      <w:r w:rsidRPr="00ED5DB4">
        <w:rPr>
          <w:i/>
          <w:iCs/>
          <w:sz w:val="18"/>
          <w:szCs w:val="18"/>
        </w:rPr>
        <w:t xml:space="preserve"> Consolidated text: Commission Implementing Decision (EU) 2018/1522 of 11 October 2018 laying down a common format for national air pollution control programmes under Directive (EU) 2016/2284 of the European Parliament and of the Council on the reduction of national emissions of certain atmospheric pollutants https://eur-lex.europa.eu/legal-content/EN/TXT/?uri=CELEX%3A02018D1522-20181012</w:t>
      </w:r>
    </w:p>
  </w:footnote>
  <w:footnote w:id="23">
    <w:p w14:paraId="41529106" w14:textId="77777777" w:rsidR="00891EB6" w:rsidRPr="00ED5DB4" w:rsidRDefault="00891EB6" w:rsidP="00E630B7">
      <w:pPr>
        <w:pStyle w:val="FootnoteText"/>
      </w:pPr>
      <w:r w:rsidRPr="00ED5DB4">
        <w:rPr>
          <w:rStyle w:val="FootnoteReference"/>
        </w:rPr>
        <w:footnoteRef/>
      </w:r>
      <w:r w:rsidRPr="00ED5DB4">
        <w:t xml:space="preserve"> Plan je izrađen u okviru PLAC projekta</w:t>
      </w:r>
    </w:p>
  </w:footnote>
  <w:footnote w:id="24">
    <w:p w14:paraId="17927604" w14:textId="77777777" w:rsidR="00891EB6" w:rsidRPr="00ED5DB4" w:rsidRDefault="00891EB6" w:rsidP="00E630B7">
      <w:pPr>
        <w:pStyle w:val="FootnoteText"/>
      </w:pPr>
      <w:r w:rsidRPr="00ED5DB4">
        <w:rPr>
          <w:rStyle w:val="FootnoteReference"/>
        </w:rPr>
        <w:footnoteRef/>
      </w:r>
      <w:r w:rsidRPr="00ED5DB4">
        <w:t xml:space="preserve"> Direktiva (EU) 2016/2284, Prilog III dio II</w:t>
      </w:r>
    </w:p>
  </w:footnote>
  <w:footnote w:id="25">
    <w:p w14:paraId="68C631F8" w14:textId="77777777" w:rsidR="00891EB6" w:rsidRPr="00A0374C" w:rsidRDefault="00891EB6">
      <w:pPr>
        <w:pStyle w:val="FootnoteText"/>
        <w:rPr>
          <w:lang w:val="en-GB"/>
        </w:rPr>
      </w:pPr>
      <w:r w:rsidRPr="00A0374C">
        <w:rPr>
          <w:rStyle w:val="FootnoteReference"/>
        </w:rPr>
        <w:footnoteRef/>
      </w:r>
      <w:r w:rsidRPr="00A0374C">
        <w:t xml:space="preserve"> Konkretne aktivnosti pošumljavanja u Podgorici i Nikšiću treba razraditi kroz lokalne akcione planove</w:t>
      </w:r>
    </w:p>
  </w:footnote>
  <w:footnote w:id="26">
    <w:p w14:paraId="1677F1FB" w14:textId="70B133A5" w:rsidR="00891EB6" w:rsidRPr="00ED5DB4" w:rsidRDefault="00891EB6" w:rsidP="004F4841">
      <w:pPr>
        <w:pStyle w:val="FootnoteText"/>
      </w:pPr>
      <w:r w:rsidRPr="00ED5DB4">
        <w:rPr>
          <w:rStyle w:val="FootnoteReference"/>
        </w:rPr>
        <w:footnoteRef/>
      </w:r>
      <w:r w:rsidRPr="00ED5DB4">
        <w:t xml:space="preserve"> Prilog VIII Direktive </w:t>
      </w:r>
      <w:r>
        <w:t>2024/2881</w:t>
      </w:r>
      <w:r w:rsidRPr="00ED5DB4">
        <w:t xml:space="preserve"> Evropskog parlamenta i Savjeta od 23. oktobra 2024. o kvalitetu vazduha i čistijem vazduhu u Evropi</w:t>
      </w:r>
    </w:p>
  </w:footnote>
  <w:footnote w:id="27">
    <w:p w14:paraId="128AD977" w14:textId="77777777" w:rsidR="00891EB6" w:rsidRPr="004F1EA0" w:rsidRDefault="00891EB6" w:rsidP="004F4841">
      <w:pPr>
        <w:pStyle w:val="FootnoteText"/>
      </w:pPr>
      <w:r w:rsidRPr="00ED5DB4">
        <w:rPr>
          <w:rStyle w:val="FootnoteReference"/>
        </w:rPr>
        <w:footnoteRef/>
      </w:r>
      <w:r w:rsidRPr="00ED5DB4">
        <w:t xml:space="preserve"> Kepenova (Köppen) klasifikacija klime je opšte prihvaćena metoda i koristi se širom svijeta da se stekne uvid u generalne klimatske karakteristike nekog većeg područja. Ona se sastoji u utvrdjivanju klimata.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950D5" w14:textId="77777777" w:rsidR="00891EB6" w:rsidRPr="0094151F" w:rsidRDefault="00891EB6" w:rsidP="00517131">
    <w:pPr>
      <w:pStyle w:val="Header"/>
      <w:jc w:val="center"/>
      <w:rPr>
        <w:rFonts w:ascii="Arial" w:hAnsi="Arial" w:cs="Arial"/>
        <w:b/>
        <w:bCs/>
        <w:i/>
        <w:iCs/>
        <w:color w:val="0F4761" w:themeColor="accent1" w:themeShade="BF"/>
        <w:sz w:val="20"/>
        <w:szCs w:val="18"/>
      </w:rPr>
    </w:pPr>
    <w:r>
      <w:rPr>
        <w:rFonts w:ascii="Arial" w:hAnsi="Arial" w:cs="Arial"/>
        <w:b/>
        <w:bCs/>
        <w:i/>
        <w:iCs/>
        <w:color w:val="0F4761" w:themeColor="accent1" w:themeShade="BF"/>
        <w:sz w:val="20"/>
        <w:szCs w:val="18"/>
      </w:rPr>
      <w:t>Strategija</w:t>
    </w:r>
    <w:r w:rsidRPr="0094151F">
      <w:rPr>
        <w:rFonts w:ascii="Arial" w:hAnsi="Arial" w:cs="Arial"/>
        <w:b/>
        <w:bCs/>
        <w:i/>
        <w:iCs/>
        <w:color w:val="0F4761" w:themeColor="accent1" w:themeShade="BF"/>
        <w:sz w:val="20"/>
        <w:szCs w:val="18"/>
      </w:rPr>
      <w:t xml:space="preserve"> upravljanja kvalitetom vazduha za period 2026-2029. godina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0757F"/>
    <w:multiLevelType w:val="multilevel"/>
    <w:tmpl w:val="016075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A370DC"/>
    <w:multiLevelType w:val="multilevel"/>
    <w:tmpl w:val="043CD934"/>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1D629F7"/>
    <w:multiLevelType w:val="multilevel"/>
    <w:tmpl w:val="01D629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3017258"/>
    <w:multiLevelType w:val="hybridMultilevel"/>
    <w:tmpl w:val="92E4B996"/>
    <w:lvl w:ilvl="0" w:tplc="48DC6DBA">
      <w:start w:val="1"/>
      <w:numFmt w:val="bullet"/>
      <w:lvlText w:val=""/>
      <w:lvlJc w:val="left"/>
      <w:pPr>
        <w:ind w:left="360" w:hanging="360"/>
      </w:pPr>
      <w:rPr>
        <w:rFonts w:ascii="Wingdings" w:hAnsi="Wingdings" w:hint="default"/>
        <w:b/>
        <w:bCs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3934DBA"/>
    <w:multiLevelType w:val="hybridMultilevel"/>
    <w:tmpl w:val="E894FC5E"/>
    <w:lvl w:ilvl="0" w:tplc="5A54B3D8">
      <w:numFmt w:val="bullet"/>
      <w:lvlText w:val="·"/>
      <w:lvlJc w:val="left"/>
      <w:pPr>
        <w:ind w:left="972" w:hanging="612"/>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E87D08"/>
    <w:multiLevelType w:val="multilevel"/>
    <w:tmpl w:val="03E87D08"/>
    <w:lvl w:ilvl="0">
      <w:numFmt w:val="bullet"/>
      <w:lvlText w:val="-"/>
      <w:lvlJc w:val="left"/>
      <w:pPr>
        <w:ind w:left="360" w:hanging="360"/>
      </w:pPr>
      <w:rPr>
        <w:rFonts w:ascii="Aptos" w:eastAsiaTheme="minorEastAsia" w:hAnsi="Aptos"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40F53AF"/>
    <w:multiLevelType w:val="hybridMultilevel"/>
    <w:tmpl w:val="4D74D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746096"/>
    <w:multiLevelType w:val="multilevel"/>
    <w:tmpl w:val="54084876"/>
    <w:lvl w:ilvl="0">
      <w:start w:val="1"/>
      <w:numFmt w:val="upperLetter"/>
      <w:suff w:val="space"/>
      <w:lvlText w:val="%1."/>
      <w:lvlJc w:val="left"/>
      <w:pPr>
        <w:ind w:left="0" w:firstLine="0"/>
      </w:pPr>
      <w:rPr>
        <w:rFonts w:asciiTheme="majorHAnsi" w:eastAsiaTheme="majorEastAsia" w:hAnsiTheme="majorHAnsi" w:cstheme="majorBidi"/>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5873545"/>
    <w:multiLevelType w:val="hybridMultilevel"/>
    <w:tmpl w:val="CABE6E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D00FB4"/>
    <w:multiLevelType w:val="multilevel"/>
    <w:tmpl w:val="06D00F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7395805"/>
    <w:multiLevelType w:val="hybridMultilevel"/>
    <w:tmpl w:val="7FCC1498"/>
    <w:lvl w:ilvl="0" w:tplc="87C6373C">
      <w:numFmt w:val="bullet"/>
      <w:lvlText w:val="-"/>
      <w:lvlJc w:val="left"/>
      <w:pPr>
        <w:ind w:left="1080" w:hanging="360"/>
      </w:pPr>
      <w:rPr>
        <w:rFonts w:ascii="Aptos" w:eastAsiaTheme="minorHAnsi"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07F26EE6"/>
    <w:multiLevelType w:val="hybridMultilevel"/>
    <w:tmpl w:val="3C001F08"/>
    <w:lvl w:ilvl="0" w:tplc="F55A384E">
      <w:start w:val="1"/>
      <w:numFmt w:val="bullet"/>
      <w:lvlText w:val="-"/>
      <w:lvlJc w:val="left"/>
      <w:pPr>
        <w:ind w:left="360" w:hanging="360"/>
      </w:pPr>
      <w:rPr>
        <w:rFonts w:ascii="Courier New" w:hAnsi="Courier New"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8304FED"/>
    <w:multiLevelType w:val="hybridMultilevel"/>
    <w:tmpl w:val="E8EEB2DC"/>
    <w:lvl w:ilvl="0" w:tplc="6A12A52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88751FD"/>
    <w:multiLevelType w:val="hybridMultilevel"/>
    <w:tmpl w:val="337C7E8E"/>
    <w:lvl w:ilvl="0" w:tplc="5A54B3D8">
      <w:numFmt w:val="bullet"/>
      <w:lvlText w:val="·"/>
      <w:lvlJc w:val="left"/>
      <w:pPr>
        <w:ind w:left="972" w:hanging="612"/>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B33F84"/>
    <w:multiLevelType w:val="multilevel"/>
    <w:tmpl w:val="C0CE2456"/>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0C123D6E"/>
    <w:multiLevelType w:val="multilevel"/>
    <w:tmpl w:val="0C123D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CE1F00"/>
    <w:multiLevelType w:val="multilevel"/>
    <w:tmpl w:val="0ECE1F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236B2"/>
    <w:multiLevelType w:val="multilevel"/>
    <w:tmpl w:val="417806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02D3557"/>
    <w:multiLevelType w:val="hybridMultilevel"/>
    <w:tmpl w:val="57C80276"/>
    <w:lvl w:ilvl="0" w:tplc="1054DAA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2945898"/>
    <w:multiLevelType w:val="multilevel"/>
    <w:tmpl w:val="0D70D3DC"/>
    <w:lvl w:ilvl="0">
      <w:start w:val="3"/>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149E2DDE"/>
    <w:multiLevelType w:val="multilevel"/>
    <w:tmpl w:val="149E2D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6834C86"/>
    <w:multiLevelType w:val="hybridMultilevel"/>
    <w:tmpl w:val="02909570"/>
    <w:lvl w:ilvl="0" w:tplc="142AFF04">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17985336"/>
    <w:multiLevelType w:val="multilevel"/>
    <w:tmpl w:val="179853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8164056"/>
    <w:multiLevelType w:val="multilevel"/>
    <w:tmpl w:val="181640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8A17D32"/>
    <w:multiLevelType w:val="multilevel"/>
    <w:tmpl w:val="18A17D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974386F"/>
    <w:multiLevelType w:val="multilevel"/>
    <w:tmpl w:val="82E06D3A"/>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AEE5328"/>
    <w:multiLevelType w:val="multilevel"/>
    <w:tmpl w:val="1AEE53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D2847D7"/>
    <w:multiLevelType w:val="multilevel"/>
    <w:tmpl w:val="B7F4B33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EFD18CE"/>
    <w:multiLevelType w:val="multilevel"/>
    <w:tmpl w:val="1EFD18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F216303"/>
    <w:multiLevelType w:val="hybridMultilevel"/>
    <w:tmpl w:val="AD24EBA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215743EF"/>
    <w:multiLevelType w:val="hybridMultilevel"/>
    <w:tmpl w:val="F5B81B92"/>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1781FE8"/>
    <w:multiLevelType w:val="hybridMultilevel"/>
    <w:tmpl w:val="8C1ECDC8"/>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2B65FAE"/>
    <w:multiLevelType w:val="multilevel"/>
    <w:tmpl w:val="22B65F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40214E3"/>
    <w:multiLevelType w:val="hybridMultilevel"/>
    <w:tmpl w:val="E652579E"/>
    <w:lvl w:ilvl="0" w:tplc="142AFF04">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250618E1"/>
    <w:multiLevelType w:val="multilevel"/>
    <w:tmpl w:val="250618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555764D"/>
    <w:multiLevelType w:val="multilevel"/>
    <w:tmpl w:val="AD5C1E0A"/>
    <w:lvl w:ilvl="0">
      <w:start w:val="1"/>
      <w:numFmt w:val="bullet"/>
      <w:lvlText w:val=""/>
      <w:lvlJc w:val="left"/>
      <w:pPr>
        <w:tabs>
          <w:tab w:val="num" w:pos="720"/>
        </w:tabs>
        <w:ind w:left="720" w:hanging="360"/>
      </w:pPr>
      <w:rPr>
        <w:rFonts w:ascii="Wingdings" w:hAnsi="Wingdings"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5B25E7A"/>
    <w:multiLevelType w:val="multilevel"/>
    <w:tmpl w:val="EE502ECA"/>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27AE796A"/>
    <w:multiLevelType w:val="multilevel"/>
    <w:tmpl w:val="27AE79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8450D12"/>
    <w:multiLevelType w:val="multilevel"/>
    <w:tmpl w:val="4A121494"/>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29154076"/>
    <w:multiLevelType w:val="hybridMultilevel"/>
    <w:tmpl w:val="77322542"/>
    <w:lvl w:ilvl="0" w:tplc="142AFF0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96716EA"/>
    <w:multiLevelType w:val="hybridMultilevel"/>
    <w:tmpl w:val="A244A102"/>
    <w:lvl w:ilvl="0" w:tplc="6A12A5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9C23875"/>
    <w:multiLevelType w:val="hybridMultilevel"/>
    <w:tmpl w:val="2F02E7B0"/>
    <w:lvl w:ilvl="0" w:tplc="04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42" w15:restartNumberingAfterBreak="0">
    <w:nsid w:val="2CBD1424"/>
    <w:multiLevelType w:val="multilevel"/>
    <w:tmpl w:val="CDB4EEA4"/>
    <w:lvl w:ilvl="0">
      <w:start w:val="7"/>
      <w:numFmt w:val="decimal"/>
      <w:lvlText w:val="%1"/>
      <w:lvlJc w:val="left"/>
      <w:pPr>
        <w:ind w:left="765" w:hanging="765"/>
      </w:pPr>
      <w:rPr>
        <w:rFonts w:hint="default"/>
      </w:rPr>
    </w:lvl>
    <w:lvl w:ilvl="1">
      <w:start w:val="3"/>
      <w:numFmt w:val="decimal"/>
      <w:lvlText w:val="%1.%2"/>
      <w:lvlJc w:val="left"/>
      <w:pPr>
        <w:ind w:left="765" w:hanging="765"/>
      </w:pPr>
      <w:rPr>
        <w:rFonts w:hint="default"/>
      </w:rPr>
    </w:lvl>
    <w:lvl w:ilvl="2">
      <w:start w:val="3"/>
      <w:numFmt w:val="decimal"/>
      <w:lvlText w:val="%1.%2.%3"/>
      <w:lvlJc w:val="left"/>
      <w:pPr>
        <w:ind w:left="765" w:hanging="76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31432455"/>
    <w:multiLevelType w:val="hybridMultilevel"/>
    <w:tmpl w:val="1E84045E"/>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1A67199"/>
    <w:multiLevelType w:val="hybridMultilevel"/>
    <w:tmpl w:val="51D81DA6"/>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324778A9"/>
    <w:multiLevelType w:val="hybridMultilevel"/>
    <w:tmpl w:val="8304B740"/>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3367306E"/>
    <w:multiLevelType w:val="hybridMultilevel"/>
    <w:tmpl w:val="38404A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33BC66D4"/>
    <w:multiLevelType w:val="multilevel"/>
    <w:tmpl w:val="33BC66D4"/>
    <w:lvl w:ilvl="0">
      <w:start w:val="1"/>
      <w:numFmt w:val="bullet"/>
      <w:lvlText w:val=""/>
      <w:lvlJc w:val="left"/>
      <w:pPr>
        <w:tabs>
          <w:tab w:val="left"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8" w15:restartNumberingAfterBreak="0">
    <w:nsid w:val="380A057B"/>
    <w:multiLevelType w:val="multilevel"/>
    <w:tmpl w:val="606EEBC8"/>
    <w:lvl w:ilvl="0">
      <w:start w:val="1"/>
      <w:numFmt w:val="bullet"/>
      <w:lvlText w:val=""/>
      <w:lvlJc w:val="left"/>
      <w:pPr>
        <w:tabs>
          <w:tab w:val="num" w:pos="720"/>
        </w:tabs>
        <w:ind w:left="720" w:hanging="360"/>
      </w:pPr>
      <w:rPr>
        <w:rFonts w:ascii="Wingdings" w:hAnsi="Wingdings"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8B23369"/>
    <w:multiLevelType w:val="hybridMultilevel"/>
    <w:tmpl w:val="66FE7396"/>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3908326F"/>
    <w:multiLevelType w:val="multilevel"/>
    <w:tmpl w:val="390832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39E55444"/>
    <w:multiLevelType w:val="multilevel"/>
    <w:tmpl w:val="39E554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3AE05D9B"/>
    <w:multiLevelType w:val="multilevel"/>
    <w:tmpl w:val="3AE05D9B"/>
    <w:lvl w:ilvl="0">
      <w:numFmt w:val="bullet"/>
      <w:lvlText w:val="-"/>
      <w:lvlJc w:val="left"/>
      <w:pPr>
        <w:ind w:left="720" w:hanging="360"/>
      </w:pPr>
      <w:rPr>
        <w:rFonts w:ascii="Aptos" w:eastAsiaTheme="minorEastAsia" w:hAnsi="Aptos"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3CD035F4"/>
    <w:multiLevelType w:val="multilevel"/>
    <w:tmpl w:val="04DCE960"/>
    <w:lvl w:ilvl="0">
      <w:start w:val="7"/>
      <w:numFmt w:val="decimal"/>
      <w:lvlText w:val="%1"/>
      <w:lvlJc w:val="left"/>
      <w:pPr>
        <w:ind w:left="765" w:hanging="765"/>
      </w:pPr>
      <w:rPr>
        <w:rFonts w:hint="default"/>
      </w:rPr>
    </w:lvl>
    <w:lvl w:ilvl="1">
      <w:start w:val="2"/>
      <w:numFmt w:val="decimal"/>
      <w:lvlText w:val="%1.%2"/>
      <w:lvlJc w:val="left"/>
      <w:pPr>
        <w:ind w:left="765" w:hanging="765"/>
      </w:pPr>
      <w:rPr>
        <w:rFonts w:hint="default"/>
      </w:rPr>
    </w:lvl>
    <w:lvl w:ilvl="2">
      <w:start w:val="5"/>
      <w:numFmt w:val="decimal"/>
      <w:lvlText w:val="%1.%2.%3"/>
      <w:lvlJc w:val="left"/>
      <w:pPr>
        <w:ind w:left="765" w:hanging="76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3D4705B0"/>
    <w:multiLevelType w:val="multilevel"/>
    <w:tmpl w:val="0C9C05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1326572"/>
    <w:multiLevelType w:val="hybridMultilevel"/>
    <w:tmpl w:val="7676067A"/>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41C439E1"/>
    <w:multiLevelType w:val="hybridMultilevel"/>
    <w:tmpl w:val="3924ACA4"/>
    <w:lvl w:ilvl="0" w:tplc="BE16F2C2">
      <w:start w:val="29"/>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42155D53"/>
    <w:multiLevelType w:val="hybridMultilevel"/>
    <w:tmpl w:val="4DCE3F1E"/>
    <w:lvl w:ilvl="0" w:tplc="F080196E">
      <w:start w:val="1"/>
      <w:numFmt w:val="bullet"/>
      <w:lvlText w:val=""/>
      <w:lvlJc w:val="left"/>
      <w:pPr>
        <w:ind w:left="360" w:hanging="360"/>
      </w:pPr>
      <w:rPr>
        <w:rFonts w:ascii="Wingdings" w:hAnsi="Wingdings" w:hint="default"/>
        <w:b/>
        <w:bCs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8" w15:restartNumberingAfterBreak="0">
    <w:nsid w:val="422843BD"/>
    <w:multiLevelType w:val="multilevel"/>
    <w:tmpl w:val="422843B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27309AD"/>
    <w:multiLevelType w:val="multilevel"/>
    <w:tmpl w:val="427309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4652134"/>
    <w:multiLevelType w:val="multilevel"/>
    <w:tmpl w:val="44652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495530C"/>
    <w:multiLevelType w:val="multilevel"/>
    <w:tmpl w:val="449553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5051B99"/>
    <w:multiLevelType w:val="multilevel"/>
    <w:tmpl w:val="D8163DD0"/>
    <w:lvl w:ilvl="0">
      <w:start w:val="1"/>
      <w:numFmt w:val="bullet"/>
      <w:lvlText w:val="-"/>
      <w:lvlJc w:val="left"/>
      <w:pPr>
        <w:ind w:left="1080" w:hanging="360"/>
      </w:pPr>
      <w:rPr>
        <w:rFonts w:ascii="Arial" w:hAnsi="Arial" w:cs="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3" w15:restartNumberingAfterBreak="0">
    <w:nsid w:val="46144042"/>
    <w:multiLevelType w:val="multilevel"/>
    <w:tmpl w:val="461440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469F7496"/>
    <w:multiLevelType w:val="multilevel"/>
    <w:tmpl w:val="23664384"/>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6DD3F26"/>
    <w:multiLevelType w:val="hybridMultilevel"/>
    <w:tmpl w:val="CF8854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7C52169"/>
    <w:multiLevelType w:val="multilevel"/>
    <w:tmpl w:val="668A5D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8594AEB"/>
    <w:multiLevelType w:val="multilevel"/>
    <w:tmpl w:val="48594A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487B5630"/>
    <w:multiLevelType w:val="multilevel"/>
    <w:tmpl w:val="487B56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48EB2094"/>
    <w:multiLevelType w:val="hybridMultilevel"/>
    <w:tmpl w:val="61546EDC"/>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4B7D4524"/>
    <w:multiLevelType w:val="multilevel"/>
    <w:tmpl w:val="4B7D45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4BF000E6"/>
    <w:multiLevelType w:val="multilevel"/>
    <w:tmpl w:val="4BF000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4F6631A8"/>
    <w:multiLevelType w:val="hybridMultilevel"/>
    <w:tmpl w:val="6FD22540"/>
    <w:lvl w:ilvl="0" w:tplc="8B326840">
      <w:start w:val="1"/>
      <w:numFmt w:val="bullet"/>
      <w:lvlText w:val=""/>
      <w:lvlJc w:val="left"/>
      <w:pPr>
        <w:ind w:left="360" w:hanging="360"/>
      </w:pPr>
      <w:rPr>
        <w:rFonts w:ascii="Wingdings" w:hAnsi="Wingdings" w:hint="default"/>
        <w:b/>
        <w:bCs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3" w15:restartNumberingAfterBreak="0">
    <w:nsid w:val="50C439EC"/>
    <w:multiLevelType w:val="hybridMultilevel"/>
    <w:tmpl w:val="87703DF8"/>
    <w:lvl w:ilvl="0" w:tplc="142AFF0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68739E6"/>
    <w:multiLevelType w:val="multilevel"/>
    <w:tmpl w:val="674ADA9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7EC4352"/>
    <w:multiLevelType w:val="multilevel"/>
    <w:tmpl w:val="57EC43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8AE4B9F"/>
    <w:multiLevelType w:val="multilevel"/>
    <w:tmpl w:val="9EE09F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9C40EBC"/>
    <w:multiLevelType w:val="multilevel"/>
    <w:tmpl w:val="59C40E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5A217206"/>
    <w:multiLevelType w:val="multilevel"/>
    <w:tmpl w:val="5A2172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A857175"/>
    <w:multiLevelType w:val="hybridMultilevel"/>
    <w:tmpl w:val="5ACA79FC"/>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5BC31D03"/>
    <w:multiLevelType w:val="multilevel"/>
    <w:tmpl w:val="8CA40740"/>
    <w:lvl w:ilvl="0">
      <w:start w:val="1"/>
      <w:numFmt w:val="decimal"/>
      <w:lvlText w:val="%1."/>
      <w:lvlJc w:val="left"/>
      <w:pPr>
        <w:ind w:left="720" w:hanging="360"/>
      </w:pPr>
      <w:rPr>
        <w:rFonts w:hint="default"/>
      </w:rPr>
    </w:lvl>
    <w:lvl w:ilvl="1">
      <w:start w:val="4"/>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5F8377FD"/>
    <w:multiLevelType w:val="multilevel"/>
    <w:tmpl w:val="5F8377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F93424F"/>
    <w:multiLevelType w:val="multilevel"/>
    <w:tmpl w:val="2FD0C708"/>
    <w:lvl w:ilvl="0">
      <w:start w:val="7"/>
      <w:numFmt w:val="decimal"/>
      <w:lvlText w:val="%1"/>
      <w:lvlJc w:val="left"/>
      <w:pPr>
        <w:ind w:left="765" w:hanging="765"/>
      </w:pPr>
      <w:rPr>
        <w:rFonts w:hint="default"/>
      </w:rPr>
    </w:lvl>
    <w:lvl w:ilvl="1">
      <w:start w:val="2"/>
      <w:numFmt w:val="decimal"/>
      <w:lvlText w:val="%1.%2"/>
      <w:lvlJc w:val="left"/>
      <w:pPr>
        <w:ind w:left="765" w:hanging="765"/>
      </w:pPr>
      <w:rPr>
        <w:rFonts w:hint="default"/>
      </w:rPr>
    </w:lvl>
    <w:lvl w:ilvl="2">
      <w:start w:val="5"/>
      <w:numFmt w:val="decimal"/>
      <w:lvlText w:val="%1.%2.%3"/>
      <w:lvlJc w:val="left"/>
      <w:pPr>
        <w:ind w:left="765" w:hanging="765"/>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60CC4791"/>
    <w:multiLevelType w:val="hybridMultilevel"/>
    <w:tmpl w:val="664C0F0A"/>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60F43967"/>
    <w:multiLevelType w:val="multilevel"/>
    <w:tmpl w:val="60F439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61E12DFA"/>
    <w:multiLevelType w:val="hybridMultilevel"/>
    <w:tmpl w:val="FA1EE158"/>
    <w:lvl w:ilvl="0" w:tplc="04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622D1D71"/>
    <w:multiLevelType w:val="hybridMultilevel"/>
    <w:tmpl w:val="72046B04"/>
    <w:lvl w:ilvl="0" w:tplc="1AD0265A">
      <w:start w:val="1"/>
      <w:numFmt w:val="bullet"/>
      <w:lvlText w:val="-"/>
      <w:lvlJc w:val="left"/>
      <w:pPr>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7" w15:restartNumberingAfterBreak="0">
    <w:nsid w:val="64F55D3C"/>
    <w:multiLevelType w:val="multilevel"/>
    <w:tmpl w:val="1190FDC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65D97A0B"/>
    <w:multiLevelType w:val="hybridMultilevel"/>
    <w:tmpl w:val="700293AC"/>
    <w:lvl w:ilvl="0" w:tplc="6A12A5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7B857BC"/>
    <w:multiLevelType w:val="multilevel"/>
    <w:tmpl w:val="67B857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68D2029F"/>
    <w:multiLevelType w:val="multilevel"/>
    <w:tmpl w:val="3E42FCA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8E3195B"/>
    <w:multiLevelType w:val="multilevel"/>
    <w:tmpl w:val="68E319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69F35E11"/>
    <w:multiLevelType w:val="multilevel"/>
    <w:tmpl w:val="69F35E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6BD2132C"/>
    <w:multiLevelType w:val="multilevel"/>
    <w:tmpl w:val="6BD213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6C0C4B5A"/>
    <w:multiLevelType w:val="hybridMultilevel"/>
    <w:tmpl w:val="9754DE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C63696A"/>
    <w:multiLevelType w:val="multilevel"/>
    <w:tmpl w:val="6C6369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6CD91B11"/>
    <w:multiLevelType w:val="hybridMultilevel"/>
    <w:tmpl w:val="285EEA94"/>
    <w:lvl w:ilvl="0" w:tplc="6A12A52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6DDC4FA5"/>
    <w:multiLevelType w:val="hybridMultilevel"/>
    <w:tmpl w:val="4672DDD6"/>
    <w:lvl w:ilvl="0" w:tplc="6A12A5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3863D66"/>
    <w:multiLevelType w:val="multilevel"/>
    <w:tmpl w:val="73863D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44672F5"/>
    <w:multiLevelType w:val="hybridMultilevel"/>
    <w:tmpl w:val="F656D0F4"/>
    <w:lvl w:ilvl="0" w:tplc="6A12A5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6560A63"/>
    <w:multiLevelType w:val="hybridMultilevel"/>
    <w:tmpl w:val="30AA4E32"/>
    <w:lvl w:ilvl="0" w:tplc="142AFF04">
      <w:numFmt w:val="bullet"/>
      <w:lvlText w:val="-"/>
      <w:lvlJc w:val="left"/>
      <w:pPr>
        <w:ind w:left="1080" w:hanging="360"/>
      </w:pPr>
      <w:rPr>
        <w:rFonts w:ascii="Calibri" w:eastAsia="Calibri" w:hAnsi="Calibri"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1" w15:restartNumberingAfterBreak="0">
    <w:nsid w:val="777B6B4A"/>
    <w:multiLevelType w:val="multilevel"/>
    <w:tmpl w:val="61684F06"/>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7A142DF0"/>
    <w:multiLevelType w:val="multilevel"/>
    <w:tmpl w:val="7A142D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3" w15:restartNumberingAfterBreak="0">
    <w:nsid w:val="7A9E485E"/>
    <w:multiLevelType w:val="multilevel"/>
    <w:tmpl w:val="7A9E48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7BE543DC"/>
    <w:multiLevelType w:val="hybridMultilevel"/>
    <w:tmpl w:val="352AE128"/>
    <w:lvl w:ilvl="0" w:tplc="6A12A5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C8F45F1"/>
    <w:multiLevelType w:val="hybridMultilevel"/>
    <w:tmpl w:val="519A129A"/>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7CB577F5"/>
    <w:multiLevelType w:val="hybridMultilevel"/>
    <w:tmpl w:val="4A343AC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7EA70FC0"/>
    <w:multiLevelType w:val="multilevel"/>
    <w:tmpl w:val="BB3C67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EB23736"/>
    <w:multiLevelType w:val="multilevel"/>
    <w:tmpl w:val="F8603D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ECA7125"/>
    <w:multiLevelType w:val="multilevel"/>
    <w:tmpl w:val="7ECA71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7FA778CE"/>
    <w:multiLevelType w:val="multilevel"/>
    <w:tmpl w:val="7FA778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7FFB0B63"/>
    <w:multiLevelType w:val="multilevel"/>
    <w:tmpl w:val="7FFB0B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2"/>
  </w:num>
  <w:num w:numId="2">
    <w:abstractNumId w:val="87"/>
  </w:num>
  <w:num w:numId="3">
    <w:abstractNumId w:val="5"/>
  </w:num>
  <w:num w:numId="4">
    <w:abstractNumId w:val="62"/>
  </w:num>
  <w:num w:numId="5">
    <w:abstractNumId w:val="1"/>
  </w:num>
  <w:num w:numId="6">
    <w:abstractNumId w:val="38"/>
  </w:num>
  <w:num w:numId="7">
    <w:abstractNumId w:val="19"/>
  </w:num>
  <w:num w:numId="8">
    <w:abstractNumId w:val="6"/>
  </w:num>
  <w:num w:numId="9">
    <w:abstractNumId w:val="41"/>
  </w:num>
  <w:num w:numId="10">
    <w:abstractNumId w:val="66"/>
  </w:num>
  <w:num w:numId="11">
    <w:abstractNumId w:val="80"/>
  </w:num>
  <w:num w:numId="12">
    <w:abstractNumId w:val="36"/>
  </w:num>
  <w:num w:numId="13">
    <w:abstractNumId w:val="14"/>
  </w:num>
  <w:num w:numId="14">
    <w:abstractNumId w:val="72"/>
  </w:num>
  <w:num w:numId="15">
    <w:abstractNumId w:val="106"/>
  </w:num>
  <w:num w:numId="16">
    <w:abstractNumId w:val="3"/>
  </w:num>
  <w:num w:numId="17">
    <w:abstractNumId w:val="57"/>
  </w:num>
  <w:num w:numId="18">
    <w:abstractNumId w:val="29"/>
  </w:num>
  <w:num w:numId="19">
    <w:abstractNumId w:val="25"/>
  </w:num>
  <w:num w:numId="20">
    <w:abstractNumId w:val="105"/>
  </w:num>
  <w:num w:numId="21">
    <w:abstractNumId w:val="49"/>
  </w:num>
  <w:num w:numId="22">
    <w:abstractNumId w:val="31"/>
  </w:num>
  <w:num w:numId="23">
    <w:abstractNumId w:val="44"/>
  </w:num>
  <w:num w:numId="24">
    <w:abstractNumId w:val="30"/>
  </w:num>
  <w:num w:numId="25">
    <w:abstractNumId w:val="45"/>
  </w:num>
  <w:num w:numId="26">
    <w:abstractNumId w:val="83"/>
  </w:num>
  <w:num w:numId="27">
    <w:abstractNumId w:val="69"/>
  </w:num>
  <w:num w:numId="28">
    <w:abstractNumId w:val="8"/>
  </w:num>
  <w:num w:numId="29">
    <w:abstractNumId w:val="43"/>
  </w:num>
  <w:num w:numId="30">
    <w:abstractNumId w:val="55"/>
  </w:num>
  <w:num w:numId="31">
    <w:abstractNumId w:val="79"/>
  </w:num>
  <w:num w:numId="32">
    <w:abstractNumId w:val="108"/>
  </w:num>
  <w:num w:numId="33">
    <w:abstractNumId w:val="76"/>
  </w:num>
  <w:num w:numId="34">
    <w:abstractNumId w:val="65"/>
  </w:num>
  <w:num w:numId="35">
    <w:abstractNumId w:val="107"/>
  </w:num>
  <w:num w:numId="36">
    <w:abstractNumId w:val="17"/>
  </w:num>
  <w:num w:numId="37">
    <w:abstractNumId w:val="48"/>
  </w:num>
  <w:num w:numId="38">
    <w:abstractNumId w:val="54"/>
  </w:num>
  <w:num w:numId="39">
    <w:abstractNumId w:val="35"/>
  </w:num>
  <w:num w:numId="40">
    <w:abstractNumId w:val="64"/>
  </w:num>
  <w:num w:numId="41">
    <w:abstractNumId w:val="90"/>
  </w:num>
  <w:num w:numId="42">
    <w:abstractNumId w:val="27"/>
  </w:num>
  <w:num w:numId="43">
    <w:abstractNumId w:val="74"/>
  </w:num>
  <w:num w:numId="44">
    <w:abstractNumId w:val="53"/>
  </w:num>
  <w:num w:numId="45">
    <w:abstractNumId w:val="82"/>
  </w:num>
  <w:num w:numId="46">
    <w:abstractNumId w:val="42"/>
  </w:num>
  <w:num w:numId="47">
    <w:abstractNumId w:val="94"/>
  </w:num>
  <w:num w:numId="48">
    <w:abstractNumId w:val="86"/>
  </w:num>
  <w:num w:numId="49">
    <w:abstractNumId w:val="10"/>
  </w:num>
  <w:num w:numId="50">
    <w:abstractNumId w:val="46"/>
  </w:num>
  <w:num w:numId="51">
    <w:abstractNumId w:val="101"/>
  </w:num>
  <w:num w:numId="52">
    <w:abstractNumId w:val="100"/>
  </w:num>
  <w:num w:numId="53">
    <w:abstractNumId w:val="33"/>
  </w:num>
  <w:num w:numId="54">
    <w:abstractNumId w:val="21"/>
  </w:num>
  <w:num w:numId="55">
    <w:abstractNumId w:val="47"/>
  </w:num>
  <w:num w:numId="56">
    <w:abstractNumId w:val="102"/>
  </w:num>
  <w:num w:numId="57">
    <w:abstractNumId w:val="60"/>
  </w:num>
  <w:num w:numId="58">
    <w:abstractNumId w:val="2"/>
  </w:num>
  <w:num w:numId="59">
    <w:abstractNumId w:val="92"/>
  </w:num>
  <w:num w:numId="60">
    <w:abstractNumId w:val="28"/>
  </w:num>
  <w:num w:numId="61">
    <w:abstractNumId w:val="111"/>
  </w:num>
  <w:num w:numId="62">
    <w:abstractNumId w:val="50"/>
  </w:num>
  <w:num w:numId="63">
    <w:abstractNumId w:val="37"/>
  </w:num>
  <w:num w:numId="64">
    <w:abstractNumId w:val="0"/>
  </w:num>
  <w:num w:numId="65">
    <w:abstractNumId w:val="81"/>
  </w:num>
  <w:num w:numId="66">
    <w:abstractNumId w:val="34"/>
  </w:num>
  <w:num w:numId="67">
    <w:abstractNumId w:val="68"/>
  </w:num>
  <w:num w:numId="68">
    <w:abstractNumId w:val="84"/>
  </w:num>
  <w:num w:numId="69">
    <w:abstractNumId w:val="63"/>
  </w:num>
  <w:num w:numId="70">
    <w:abstractNumId w:val="32"/>
  </w:num>
  <w:num w:numId="71">
    <w:abstractNumId w:val="89"/>
  </w:num>
  <w:num w:numId="72">
    <w:abstractNumId w:val="93"/>
  </w:num>
  <w:num w:numId="73">
    <w:abstractNumId w:val="15"/>
  </w:num>
  <w:num w:numId="74">
    <w:abstractNumId w:val="75"/>
  </w:num>
  <w:num w:numId="75">
    <w:abstractNumId w:val="22"/>
  </w:num>
  <w:num w:numId="76">
    <w:abstractNumId w:val="24"/>
  </w:num>
  <w:num w:numId="77">
    <w:abstractNumId w:val="67"/>
  </w:num>
  <w:num w:numId="78">
    <w:abstractNumId w:val="16"/>
  </w:num>
  <w:num w:numId="79">
    <w:abstractNumId w:val="59"/>
  </w:num>
  <w:num w:numId="80">
    <w:abstractNumId w:val="20"/>
  </w:num>
  <w:num w:numId="81">
    <w:abstractNumId w:val="23"/>
  </w:num>
  <w:num w:numId="82">
    <w:abstractNumId w:val="91"/>
  </w:num>
  <w:num w:numId="83">
    <w:abstractNumId w:val="70"/>
  </w:num>
  <w:num w:numId="84">
    <w:abstractNumId w:val="78"/>
  </w:num>
  <w:num w:numId="85">
    <w:abstractNumId w:val="109"/>
  </w:num>
  <w:num w:numId="86">
    <w:abstractNumId w:val="61"/>
  </w:num>
  <w:num w:numId="87">
    <w:abstractNumId w:val="77"/>
  </w:num>
  <w:num w:numId="88">
    <w:abstractNumId w:val="103"/>
  </w:num>
  <w:num w:numId="89">
    <w:abstractNumId w:val="110"/>
  </w:num>
  <w:num w:numId="90">
    <w:abstractNumId w:val="26"/>
  </w:num>
  <w:num w:numId="91">
    <w:abstractNumId w:val="95"/>
  </w:num>
  <w:num w:numId="92">
    <w:abstractNumId w:val="98"/>
  </w:num>
  <w:num w:numId="93">
    <w:abstractNumId w:val="58"/>
  </w:num>
  <w:num w:numId="94">
    <w:abstractNumId w:val="71"/>
  </w:num>
  <w:num w:numId="95">
    <w:abstractNumId w:val="51"/>
  </w:num>
  <w:num w:numId="96">
    <w:abstractNumId w:val="9"/>
  </w:num>
  <w:num w:numId="97">
    <w:abstractNumId w:val="4"/>
  </w:num>
  <w:num w:numId="98">
    <w:abstractNumId w:val="13"/>
  </w:num>
  <w:num w:numId="99">
    <w:abstractNumId w:val="73"/>
  </w:num>
  <w:num w:numId="100">
    <w:abstractNumId w:val="85"/>
  </w:num>
  <w:num w:numId="101">
    <w:abstractNumId w:val="39"/>
  </w:num>
  <w:num w:numId="102">
    <w:abstractNumId w:val="7"/>
  </w:num>
  <w:num w:numId="103">
    <w:abstractNumId w:val="56"/>
  </w:num>
  <w:num w:numId="104">
    <w:abstractNumId w:val="18"/>
  </w:num>
  <w:num w:numId="105">
    <w:abstractNumId w:val="88"/>
  </w:num>
  <w:num w:numId="106">
    <w:abstractNumId w:val="96"/>
  </w:num>
  <w:num w:numId="107">
    <w:abstractNumId w:val="12"/>
  </w:num>
  <w:num w:numId="108">
    <w:abstractNumId w:val="11"/>
  </w:num>
  <w:num w:numId="109">
    <w:abstractNumId w:val="97"/>
  </w:num>
  <w:num w:numId="110">
    <w:abstractNumId w:val="99"/>
  </w:num>
  <w:num w:numId="111">
    <w:abstractNumId w:val="104"/>
  </w:num>
  <w:num w:numId="112">
    <w:abstractNumId w:val="40"/>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287"/>
    <w:rsid w:val="000039EA"/>
    <w:rsid w:val="00003CAE"/>
    <w:rsid w:val="00004A42"/>
    <w:rsid w:val="00014661"/>
    <w:rsid w:val="000146CA"/>
    <w:rsid w:val="000233C4"/>
    <w:rsid w:val="00023800"/>
    <w:rsid w:val="000265A3"/>
    <w:rsid w:val="00026E91"/>
    <w:rsid w:val="00033BB7"/>
    <w:rsid w:val="000417AC"/>
    <w:rsid w:val="00041F41"/>
    <w:rsid w:val="000423CF"/>
    <w:rsid w:val="00045734"/>
    <w:rsid w:val="00046477"/>
    <w:rsid w:val="00050365"/>
    <w:rsid w:val="00050F66"/>
    <w:rsid w:val="00054254"/>
    <w:rsid w:val="00054FCE"/>
    <w:rsid w:val="000622F4"/>
    <w:rsid w:val="000634A7"/>
    <w:rsid w:val="00064543"/>
    <w:rsid w:val="00065C43"/>
    <w:rsid w:val="00066E86"/>
    <w:rsid w:val="000755B5"/>
    <w:rsid w:val="00076619"/>
    <w:rsid w:val="0007705B"/>
    <w:rsid w:val="000777FF"/>
    <w:rsid w:val="00077921"/>
    <w:rsid w:val="00080197"/>
    <w:rsid w:val="00083080"/>
    <w:rsid w:val="00083249"/>
    <w:rsid w:val="000872DC"/>
    <w:rsid w:val="00087B1E"/>
    <w:rsid w:val="00090630"/>
    <w:rsid w:val="00092959"/>
    <w:rsid w:val="00092BCC"/>
    <w:rsid w:val="00092F08"/>
    <w:rsid w:val="00094740"/>
    <w:rsid w:val="000959DD"/>
    <w:rsid w:val="0009785D"/>
    <w:rsid w:val="000A2A47"/>
    <w:rsid w:val="000A2AF6"/>
    <w:rsid w:val="000A2D77"/>
    <w:rsid w:val="000A3273"/>
    <w:rsid w:val="000A417D"/>
    <w:rsid w:val="000A5CDF"/>
    <w:rsid w:val="000A6CDF"/>
    <w:rsid w:val="000B018A"/>
    <w:rsid w:val="000B41E7"/>
    <w:rsid w:val="000C0F5E"/>
    <w:rsid w:val="000C2FDE"/>
    <w:rsid w:val="000C6B2C"/>
    <w:rsid w:val="000C6F39"/>
    <w:rsid w:val="000F00EC"/>
    <w:rsid w:val="000F0202"/>
    <w:rsid w:val="000F0488"/>
    <w:rsid w:val="000F1B61"/>
    <w:rsid w:val="000F2E37"/>
    <w:rsid w:val="000F636F"/>
    <w:rsid w:val="00100B05"/>
    <w:rsid w:val="001066C4"/>
    <w:rsid w:val="0010691C"/>
    <w:rsid w:val="00110F53"/>
    <w:rsid w:val="00111286"/>
    <w:rsid w:val="00113CD9"/>
    <w:rsid w:val="001162FB"/>
    <w:rsid w:val="00116D3F"/>
    <w:rsid w:val="00121862"/>
    <w:rsid w:val="00121A70"/>
    <w:rsid w:val="00122170"/>
    <w:rsid w:val="001223DD"/>
    <w:rsid w:val="001237CE"/>
    <w:rsid w:val="00123E46"/>
    <w:rsid w:val="00130DF4"/>
    <w:rsid w:val="0013224F"/>
    <w:rsid w:val="001330DE"/>
    <w:rsid w:val="00133926"/>
    <w:rsid w:val="001430D0"/>
    <w:rsid w:val="0014371F"/>
    <w:rsid w:val="00147859"/>
    <w:rsid w:val="00151D47"/>
    <w:rsid w:val="0015380A"/>
    <w:rsid w:val="001547C1"/>
    <w:rsid w:val="001557DF"/>
    <w:rsid w:val="00155F5E"/>
    <w:rsid w:val="00157C81"/>
    <w:rsid w:val="00157CE2"/>
    <w:rsid w:val="0016063F"/>
    <w:rsid w:val="00160A32"/>
    <w:rsid w:val="00160C1D"/>
    <w:rsid w:val="00161F86"/>
    <w:rsid w:val="00162450"/>
    <w:rsid w:val="001743DE"/>
    <w:rsid w:val="00176127"/>
    <w:rsid w:val="0017754E"/>
    <w:rsid w:val="00177EE1"/>
    <w:rsid w:val="00180021"/>
    <w:rsid w:val="0018249C"/>
    <w:rsid w:val="00184242"/>
    <w:rsid w:val="001868B2"/>
    <w:rsid w:val="00192865"/>
    <w:rsid w:val="00193C11"/>
    <w:rsid w:val="00195926"/>
    <w:rsid w:val="0019746B"/>
    <w:rsid w:val="00197FCA"/>
    <w:rsid w:val="001A5F04"/>
    <w:rsid w:val="001A616D"/>
    <w:rsid w:val="001B3622"/>
    <w:rsid w:val="001B49A9"/>
    <w:rsid w:val="001B51D4"/>
    <w:rsid w:val="001B7538"/>
    <w:rsid w:val="001B7F0D"/>
    <w:rsid w:val="001C0A47"/>
    <w:rsid w:val="001C1078"/>
    <w:rsid w:val="001C3E86"/>
    <w:rsid w:val="001C58C6"/>
    <w:rsid w:val="001C6C73"/>
    <w:rsid w:val="001C789E"/>
    <w:rsid w:val="001D0265"/>
    <w:rsid w:val="001D1A52"/>
    <w:rsid w:val="001D5B6A"/>
    <w:rsid w:val="001D7A13"/>
    <w:rsid w:val="001E08F0"/>
    <w:rsid w:val="001E0D06"/>
    <w:rsid w:val="001E2705"/>
    <w:rsid w:val="001E336C"/>
    <w:rsid w:val="001E4F5C"/>
    <w:rsid w:val="00203115"/>
    <w:rsid w:val="0020652E"/>
    <w:rsid w:val="002065E8"/>
    <w:rsid w:val="002112B8"/>
    <w:rsid w:val="00215F5D"/>
    <w:rsid w:val="00217288"/>
    <w:rsid w:val="0022291F"/>
    <w:rsid w:val="00222D65"/>
    <w:rsid w:val="002252C0"/>
    <w:rsid w:val="00226653"/>
    <w:rsid w:val="002310B5"/>
    <w:rsid w:val="002353A5"/>
    <w:rsid w:val="00236187"/>
    <w:rsid w:val="00241691"/>
    <w:rsid w:val="002418B1"/>
    <w:rsid w:val="00241A6A"/>
    <w:rsid w:val="002429C5"/>
    <w:rsid w:val="002442B3"/>
    <w:rsid w:val="00245315"/>
    <w:rsid w:val="00247496"/>
    <w:rsid w:val="00251C06"/>
    <w:rsid w:val="002524DB"/>
    <w:rsid w:val="00254B44"/>
    <w:rsid w:val="002552B0"/>
    <w:rsid w:val="002612C4"/>
    <w:rsid w:val="00261DE5"/>
    <w:rsid w:val="00263329"/>
    <w:rsid w:val="002654F5"/>
    <w:rsid w:val="00266B03"/>
    <w:rsid w:val="00271C11"/>
    <w:rsid w:val="00272747"/>
    <w:rsid w:val="00276C6B"/>
    <w:rsid w:val="0027752F"/>
    <w:rsid w:val="002827BC"/>
    <w:rsid w:val="00284434"/>
    <w:rsid w:val="0028679F"/>
    <w:rsid w:val="002A203E"/>
    <w:rsid w:val="002A5496"/>
    <w:rsid w:val="002A6EB4"/>
    <w:rsid w:val="002A6F1F"/>
    <w:rsid w:val="002B431B"/>
    <w:rsid w:val="002B4576"/>
    <w:rsid w:val="002B6005"/>
    <w:rsid w:val="002C1EB5"/>
    <w:rsid w:val="002D11BC"/>
    <w:rsid w:val="002D2436"/>
    <w:rsid w:val="002D4C7E"/>
    <w:rsid w:val="002D5007"/>
    <w:rsid w:val="002D58BB"/>
    <w:rsid w:val="002D669A"/>
    <w:rsid w:val="002D7063"/>
    <w:rsid w:val="002E0B6F"/>
    <w:rsid w:val="002E1579"/>
    <w:rsid w:val="002E31E4"/>
    <w:rsid w:val="002E5454"/>
    <w:rsid w:val="002F4864"/>
    <w:rsid w:val="002F77A8"/>
    <w:rsid w:val="002F7902"/>
    <w:rsid w:val="0030161B"/>
    <w:rsid w:val="00306D13"/>
    <w:rsid w:val="00307EA7"/>
    <w:rsid w:val="003108CF"/>
    <w:rsid w:val="00312BF6"/>
    <w:rsid w:val="00317735"/>
    <w:rsid w:val="00320268"/>
    <w:rsid w:val="00321152"/>
    <w:rsid w:val="00321510"/>
    <w:rsid w:val="00322731"/>
    <w:rsid w:val="00325E2E"/>
    <w:rsid w:val="00330CF4"/>
    <w:rsid w:val="00332317"/>
    <w:rsid w:val="0033245A"/>
    <w:rsid w:val="00333BE7"/>
    <w:rsid w:val="003354D0"/>
    <w:rsid w:val="00337013"/>
    <w:rsid w:val="003370AC"/>
    <w:rsid w:val="00337FBB"/>
    <w:rsid w:val="00342A5B"/>
    <w:rsid w:val="00342E01"/>
    <w:rsid w:val="00342FEE"/>
    <w:rsid w:val="00343838"/>
    <w:rsid w:val="003443DC"/>
    <w:rsid w:val="003444FD"/>
    <w:rsid w:val="003542AA"/>
    <w:rsid w:val="003551D4"/>
    <w:rsid w:val="00355BB7"/>
    <w:rsid w:val="00355D38"/>
    <w:rsid w:val="00360DCA"/>
    <w:rsid w:val="00360EE5"/>
    <w:rsid w:val="003616E2"/>
    <w:rsid w:val="003634F4"/>
    <w:rsid w:val="003641EE"/>
    <w:rsid w:val="00364C8E"/>
    <w:rsid w:val="00373125"/>
    <w:rsid w:val="00373C44"/>
    <w:rsid w:val="00374295"/>
    <w:rsid w:val="00374A2F"/>
    <w:rsid w:val="00374C81"/>
    <w:rsid w:val="00382D2C"/>
    <w:rsid w:val="00383EAE"/>
    <w:rsid w:val="0038585D"/>
    <w:rsid w:val="00387113"/>
    <w:rsid w:val="003905E9"/>
    <w:rsid w:val="003927A3"/>
    <w:rsid w:val="00394FE4"/>
    <w:rsid w:val="003A05BA"/>
    <w:rsid w:val="003A416F"/>
    <w:rsid w:val="003A4E2F"/>
    <w:rsid w:val="003B196E"/>
    <w:rsid w:val="003B2944"/>
    <w:rsid w:val="003B2FB3"/>
    <w:rsid w:val="003B3723"/>
    <w:rsid w:val="003B4835"/>
    <w:rsid w:val="003B4934"/>
    <w:rsid w:val="003B4C03"/>
    <w:rsid w:val="003C11F0"/>
    <w:rsid w:val="003C13AD"/>
    <w:rsid w:val="003C16ED"/>
    <w:rsid w:val="003C1904"/>
    <w:rsid w:val="003C4386"/>
    <w:rsid w:val="003C7CCD"/>
    <w:rsid w:val="003D0B19"/>
    <w:rsid w:val="003D60FA"/>
    <w:rsid w:val="003E0FBD"/>
    <w:rsid w:val="003E141C"/>
    <w:rsid w:val="003E176E"/>
    <w:rsid w:val="003E258B"/>
    <w:rsid w:val="003E37D1"/>
    <w:rsid w:val="003F3202"/>
    <w:rsid w:val="003F5F9C"/>
    <w:rsid w:val="003F73EB"/>
    <w:rsid w:val="004013DD"/>
    <w:rsid w:val="004068D0"/>
    <w:rsid w:val="004072BD"/>
    <w:rsid w:val="004108B2"/>
    <w:rsid w:val="0042521D"/>
    <w:rsid w:val="00425766"/>
    <w:rsid w:val="0042603E"/>
    <w:rsid w:val="004276E7"/>
    <w:rsid w:val="004276FF"/>
    <w:rsid w:val="00431317"/>
    <w:rsid w:val="00432EC8"/>
    <w:rsid w:val="00434417"/>
    <w:rsid w:val="00437D0F"/>
    <w:rsid w:val="0044144F"/>
    <w:rsid w:val="004441DE"/>
    <w:rsid w:val="00444D48"/>
    <w:rsid w:val="00445CCE"/>
    <w:rsid w:val="00446074"/>
    <w:rsid w:val="0044608C"/>
    <w:rsid w:val="00447444"/>
    <w:rsid w:val="00450E82"/>
    <w:rsid w:val="00456C5B"/>
    <w:rsid w:val="004636EA"/>
    <w:rsid w:val="00463978"/>
    <w:rsid w:val="004639F6"/>
    <w:rsid w:val="00465237"/>
    <w:rsid w:val="004652AF"/>
    <w:rsid w:val="004659A7"/>
    <w:rsid w:val="00470D9E"/>
    <w:rsid w:val="00481782"/>
    <w:rsid w:val="00483BB1"/>
    <w:rsid w:val="0048696C"/>
    <w:rsid w:val="00487F69"/>
    <w:rsid w:val="0049436C"/>
    <w:rsid w:val="00496C42"/>
    <w:rsid w:val="0049715A"/>
    <w:rsid w:val="00497779"/>
    <w:rsid w:val="004A032E"/>
    <w:rsid w:val="004A08E1"/>
    <w:rsid w:val="004A14A5"/>
    <w:rsid w:val="004A1F10"/>
    <w:rsid w:val="004A40E8"/>
    <w:rsid w:val="004A553F"/>
    <w:rsid w:val="004B1278"/>
    <w:rsid w:val="004B7447"/>
    <w:rsid w:val="004C1BEA"/>
    <w:rsid w:val="004C26EA"/>
    <w:rsid w:val="004C6375"/>
    <w:rsid w:val="004C722F"/>
    <w:rsid w:val="004C7BAA"/>
    <w:rsid w:val="004D3D92"/>
    <w:rsid w:val="004D498E"/>
    <w:rsid w:val="004E2765"/>
    <w:rsid w:val="004E2B42"/>
    <w:rsid w:val="004E2B59"/>
    <w:rsid w:val="004E77B5"/>
    <w:rsid w:val="004F3919"/>
    <w:rsid w:val="004F4841"/>
    <w:rsid w:val="004F5FDF"/>
    <w:rsid w:val="005004D2"/>
    <w:rsid w:val="00503252"/>
    <w:rsid w:val="005040FC"/>
    <w:rsid w:val="005103E9"/>
    <w:rsid w:val="00515BBD"/>
    <w:rsid w:val="00517131"/>
    <w:rsid w:val="00526BC3"/>
    <w:rsid w:val="005270F4"/>
    <w:rsid w:val="00531461"/>
    <w:rsid w:val="00536B7B"/>
    <w:rsid w:val="00536C97"/>
    <w:rsid w:val="005374C9"/>
    <w:rsid w:val="00540EFC"/>
    <w:rsid w:val="005460C3"/>
    <w:rsid w:val="00546F0D"/>
    <w:rsid w:val="00547D31"/>
    <w:rsid w:val="0055253B"/>
    <w:rsid w:val="005525CB"/>
    <w:rsid w:val="00553684"/>
    <w:rsid w:val="0055403C"/>
    <w:rsid w:val="00561172"/>
    <w:rsid w:val="00562047"/>
    <w:rsid w:val="0056206C"/>
    <w:rsid w:val="0056530E"/>
    <w:rsid w:val="00567A39"/>
    <w:rsid w:val="0057035C"/>
    <w:rsid w:val="00570942"/>
    <w:rsid w:val="00571523"/>
    <w:rsid w:val="00575158"/>
    <w:rsid w:val="00575648"/>
    <w:rsid w:val="00580D74"/>
    <w:rsid w:val="00581825"/>
    <w:rsid w:val="00581971"/>
    <w:rsid w:val="00583A49"/>
    <w:rsid w:val="0058783B"/>
    <w:rsid w:val="00592739"/>
    <w:rsid w:val="00595B0D"/>
    <w:rsid w:val="00596E04"/>
    <w:rsid w:val="00597315"/>
    <w:rsid w:val="005A09ED"/>
    <w:rsid w:val="005A1701"/>
    <w:rsid w:val="005A3B87"/>
    <w:rsid w:val="005A4BA7"/>
    <w:rsid w:val="005A598D"/>
    <w:rsid w:val="005A6694"/>
    <w:rsid w:val="005A78D0"/>
    <w:rsid w:val="005B305F"/>
    <w:rsid w:val="005C0E82"/>
    <w:rsid w:val="005C38E7"/>
    <w:rsid w:val="005D1233"/>
    <w:rsid w:val="005D4996"/>
    <w:rsid w:val="005E1975"/>
    <w:rsid w:val="005E3F1A"/>
    <w:rsid w:val="005E7CFB"/>
    <w:rsid w:val="005F1F0D"/>
    <w:rsid w:val="005F52EF"/>
    <w:rsid w:val="00600D6D"/>
    <w:rsid w:val="006020AD"/>
    <w:rsid w:val="0060249E"/>
    <w:rsid w:val="006135BB"/>
    <w:rsid w:val="006157F8"/>
    <w:rsid w:val="00617B8D"/>
    <w:rsid w:val="00627B36"/>
    <w:rsid w:val="0063159F"/>
    <w:rsid w:val="00632B1E"/>
    <w:rsid w:val="006362BE"/>
    <w:rsid w:val="00644E39"/>
    <w:rsid w:val="006470AD"/>
    <w:rsid w:val="00652DFE"/>
    <w:rsid w:val="0065334C"/>
    <w:rsid w:val="006556AE"/>
    <w:rsid w:val="006567D7"/>
    <w:rsid w:val="00660F2A"/>
    <w:rsid w:val="00664861"/>
    <w:rsid w:val="006652E8"/>
    <w:rsid w:val="006653C4"/>
    <w:rsid w:val="00665CFA"/>
    <w:rsid w:val="0066680B"/>
    <w:rsid w:val="0067106D"/>
    <w:rsid w:val="00675A22"/>
    <w:rsid w:val="00675CD2"/>
    <w:rsid w:val="006819E7"/>
    <w:rsid w:val="00681D75"/>
    <w:rsid w:val="00681DA3"/>
    <w:rsid w:val="00684006"/>
    <w:rsid w:val="00685382"/>
    <w:rsid w:val="00686AC9"/>
    <w:rsid w:val="00687060"/>
    <w:rsid w:val="00687E67"/>
    <w:rsid w:val="00690269"/>
    <w:rsid w:val="006A6322"/>
    <w:rsid w:val="006A6CCC"/>
    <w:rsid w:val="006A7C3C"/>
    <w:rsid w:val="006B2E14"/>
    <w:rsid w:val="006C261D"/>
    <w:rsid w:val="006C3736"/>
    <w:rsid w:val="006C3A22"/>
    <w:rsid w:val="006C645E"/>
    <w:rsid w:val="006C6977"/>
    <w:rsid w:val="006D1DC4"/>
    <w:rsid w:val="006D28F2"/>
    <w:rsid w:val="006D5357"/>
    <w:rsid w:val="006E1889"/>
    <w:rsid w:val="006E191C"/>
    <w:rsid w:val="006E1AF7"/>
    <w:rsid w:val="006E2A0A"/>
    <w:rsid w:val="006E34DC"/>
    <w:rsid w:val="006E49CE"/>
    <w:rsid w:val="006F33DA"/>
    <w:rsid w:val="006F52AD"/>
    <w:rsid w:val="00701AA6"/>
    <w:rsid w:val="007037C4"/>
    <w:rsid w:val="00703C2A"/>
    <w:rsid w:val="00703D0F"/>
    <w:rsid w:val="00706A16"/>
    <w:rsid w:val="00710538"/>
    <w:rsid w:val="00711E43"/>
    <w:rsid w:val="0071220E"/>
    <w:rsid w:val="00713367"/>
    <w:rsid w:val="007161A3"/>
    <w:rsid w:val="00716FD1"/>
    <w:rsid w:val="00720998"/>
    <w:rsid w:val="00724F49"/>
    <w:rsid w:val="007273EE"/>
    <w:rsid w:val="0072786F"/>
    <w:rsid w:val="00727E72"/>
    <w:rsid w:val="0073123F"/>
    <w:rsid w:val="00731DBE"/>
    <w:rsid w:val="00735474"/>
    <w:rsid w:val="007363B7"/>
    <w:rsid w:val="00740AD5"/>
    <w:rsid w:val="00743A33"/>
    <w:rsid w:val="00745AA9"/>
    <w:rsid w:val="00746A04"/>
    <w:rsid w:val="0075047B"/>
    <w:rsid w:val="00750C4B"/>
    <w:rsid w:val="00750FDF"/>
    <w:rsid w:val="007511FD"/>
    <w:rsid w:val="00751578"/>
    <w:rsid w:val="00752282"/>
    <w:rsid w:val="007539EA"/>
    <w:rsid w:val="00755068"/>
    <w:rsid w:val="007553DA"/>
    <w:rsid w:val="00755823"/>
    <w:rsid w:val="00755EAD"/>
    <w:rsid w:val="00756593"/>
    <w:rsid w:val="00760FE3"/>
    <w:rsid w:val="0076443B"/>
    <w:rsid w:val="007645CB"/>
    <w:rsid w:val="00764F0F"/>
    <w:rsid w:val="007653AF"/>
    <w:rsid w:val="007668E9"/>
    <w:rsid w:val="007679B1"/>
    <w:rsid w:val="00770310"/>
    <w:rsid w:val="00771AF2"/>
    <w:rsid w:val="007803D5"/>
    <w:rsid w:val="007805A8"/>
    <w:rsid w:val="007844AC"/>
    <w:rsid w:val="0078676B"/>
    <w:rsid w:val="00791B9E"/>
    <w:rsid w:val="0079411F"/>
    <w:rsid w:val="007A0840"/>
    <w:rsid w:val="007A4D4E"/>
    <w:rsid w:val="007A6C06"/>
    <w:rsid w:val="007A743E"/>
    <w:rsid w:val="007B4435"/>
    <w:rsid w:val="007C1AF6"/>
    <w:rsid w:val="007C2031"/>
    <w:rsid w:val="007C267E"/>
    <w:rsid w:val="007C3FA8"/>
    <w:rsid w:val="007C792A"/>
    <w:rsid w:val="007D129B"/>
    <w:rsid w:val="007D3C0E"/>
    <w:rsid w:val="007E00F4"/>
    <w:rsid w:val="007E482D"/>
    <w:rsid w:val="007E5D04"/>
    <w:rsid w:val="007E631B"/>
    <w:rsid w:val="007F0705"/>
    <w:rsid w:val="007F251D"/>
    <w:rsid w:val="007F3C71"/>
    <w:rsid w:val="007F72C1"/>
    <w:rsid w:val="00800DD4"/>
    <w:rsid w:val="0080439A"/>
    <w:rsid w:val="00806123"/>
    <w:rsid w:val="00816593"/>
    <w:rsid w:val="0082024A"/>
    <w:rsid w:val="0082216D"/>
    <w:rsid w:val="0082710B"/>
    <w:rsid w:val="00830A77"/>
    <w:rsid w:val="00830F5E"/>
    <w:rsid w:val="008335FA"/>
    <w:rsid w:val="008339FB"/>
    <w:rsid w:val="00837F0B"/>
    <w:rsid w:val="00837F81"/>
    <w:rsid w:val="008400B3"/>
    <w:rsid w:val="00841826"/>
    <w:rsid w:val="00841AA7"/>
    <w:rsid w:val="00843204"/>
    <w:rsid w:val="00843336"/>
    <w:rsid w:val="00845287"/>
    <w:rsid w:val="0084597B"/>
    <w:rsid w:val="00846B03"/>
    <w:rsid w:val="008518FA"/>
    <w:rsid w:val="0085269F"/>
    <w:rsid w:val="0085386C"/>
    <w:rsid w:val="008558C5"/>
    <w:rsid w:val="0086071D"/>
    <w:rsid w:val="00861B35"/>
    <w:rsid w:val="008622E5"/>
    <w:rsid w:val="008673A8"/>
    <w:rsid w:val="008678B1"/>
    <w:rsid w:val="00871369"/>
    <w:rsid w:val="0087369F"/>
    <w:rsid w:val="00873E18"/>
    <w:rsid w:val="00876CD2"/>
    <w:rsid w:val="00891EB6"/>
    <w:rsid w:val="00894765"/>
    <w:rsid w:val="008A03A1"/>
    <w:rsid w:val="008A14B6"/>
    <w:rsid w:val="008A4D32"/>
    <w:rsid w:val="008A5D57"/>
    <w:rsid w:val="008A61F2"/>
    <w:rsid w:val="008B030B"/>
    <w:rsid w:val="008B1416"/>
    <w:rsid w:val="008B1DD2"/>
    <w:rsid w:val="008B2348"/>
    <w:rsid w:val="008B2404"/>
    <w:rsid w:val="008B40D8"/>
    <w:rsid w:val="008B6691"/>
    <w:rsid w:val="008C2BA0"/>
    <w:rsid w:val="008C2BE8"/>
    <w:rsid w:val="008C2D9A"/>
    <w:rsid w:val="008D0965"/>
    <w:rsid w:val="008D1582"/>
    <w:rsid w:val="008D1C6D"/>
    <w:rsid w:val="008D2C31"/>
    <w:rsid w:val="008D5C0F"/>
    <w:rsid w:val="008D7A58"/>
    <w:rsid w:val="008D7E6C"/>
    <w:rsid w:val="008E511C"/>
    <w:rsid w:val="008F1D76"/>
    <w:rsid w:val="009013B6"/>
    <w:rsid w:val="0090221C"/>
    <w:rsid w:val="009105E6"/>
    <w:rsid w:val="00910DCF"/>
    <w:rsid w:val="00911C10"/>
    <w:rsid w:val="00911C54"/>
    <w:rsid w:val="009161D2"/>
    <w:rsid w:val="0091688C"/>
    <w:rsid w:val="00923D5C"/>
    <w:rsid w:val="0092551B"/>
    <w:rsid w:val="00925B60"/>
    <w:rsid w:val="009277BD"/>
    <w:rsid w:val="00935DD0"/>
    <w:rsid w:val="0094151F"/>
    <w:rsid w:val="009442E2"/>
    <w:rsid w:val="00947335"/>
    <w:rsid w:val="00951890"/>
    <w:rsid w:val="00957F02"/>
    <w:rsid w:val="009607B1"/>
    <w:rsid w:val="00962229"/>
    <w:rsid w:val="009622C1"/>
    <w:rsid w:val="00963484"/>
    <w:rsid w:val="00965446"/>
    <w:rsid w:val="00966CB5"/>
    <w:rsid w:val="0096714C"/>
    <w:rsid w:val="0096738E"/>
    <w:rsid w:val="00976484"/>
    <w:rsid w:val="009828CF"/>
    <w:rsid w:val="00985FDF"/>
    <w:rsid w:val="00987AC5"/>
    <w:rsid w:val="009927E4"/>
    <w:rsid w:val="00997A91"/>
    <w:rsid w:val="009A1607"/>
    <w:rsid w:val="009A1904"/>
    <w:rsid w:val="009A3CF5"/>
    <w:rsid w:val="009A516C"/>
    <w:rsid w:val="009A7E99"/>
    <w:rsid w:val="009B0054"/>
    <w:rsid w:val="009B1A71"/>
    <w:rsid w:val="009B3D53"/>
    <w:rsid w:val="009B5491"/>
    <w:rsid w:val="009B5D2A"/>
    <w:rsid w:val="009C0FA1"/>
    <w:rsid w:val="009C1701"/>
    <w:rsid w:val="009C24F1"/>
    <w:rsid w:val="009D050C"/>
    <w:rsid w:val="009D1E1B"/>
    <w:rsid w:val="009D4474"/>
    <w:rsid w:val="009E08D3"/>
    <w:rsid w:val="009E484B"/>
    <w:rsid w:val="009E48D0"/>
    <w:rsid w:val="009E4CE6"/>
    <w:rsid w:val="009E5EB5"/>
    <w:rsid w:val="009E626D"/>
    <w:rsid w:val="009E7338"/>
    <w:rsid w:val="009E743E"/>
    <w:rsid w:val="009F6A02"/>
    <w:rsid w:val="00A006A5"/>
    <w:rsid w:val="00A0374C"/>
    <w:rsid w:val="00A03CF3"/>
    <w:rsid w:val="00A045D7"/>
    <w:rsid w:val="00A04851"/>
    <w:rsid w:val="00A06969"/>
    <w:rsid w:val="00A06F1E"/>
    <w:rsid w:val="00A10CB3"/>
    <w:rsid w:val="00A14474"/>
    <w:rsid w:val="00A15843"/>
    <w:rsid w:val="00A1708A"/>
    <w:rsid w:val="00A221DB"/>
    <w:rsid w:val="00A236E5"/>
    <w:rsid w:val="00A2389C"/>
    <w:rsid w:val="00A24DBD"/>
    <w:rsid w:val="00A251CC"/>
    <w:rsid w:val="00A27B85"/>
    <w:rsid w:val="00A30CC8"/>
    <w:rsid w:val="00A31A74"/>
    <w:rsid w:val="00A44140"/>
    <w:rsid w:val="00A462B0"/>
    <w:rsid w:val="00A468FF"/>
    <w:rsid w:val="00A5192E"/>
    <w:rsid w:val="00A51B91"/>
    <w:rsid w:val="00A52461"/>
    <w:rsid w:val="00A55EAD"/>
    <w:rsid w:val="00A57F29"/>
    <w:rsid w:val="00A6290B"/>
    <w:rsid w:val="00A638BE"/>
    <w:rsid w:val="00A66A01"/>
    <w:rsid w:val="00A7076C"/>
    <w:rsid w:val="00A73113"/>
    <w:rsid w:val="00A743C0"/>
    <w:rsid w:val="00A7574C"/>
    <w:rsid w:val="00A8183C"/>
    <w:rsid w:val="00A8378B"/>
    <w:rsid w:val="00A8398C"/>
    <w:rsid w:val="00A85686"/>
    <w:rsid w:val="00A860C2"/>
    <w:rsid w:val="00A86D79"/>
    <w:rsid w:val="00A90946"/>
    <w:rsid w:val="00A91660"/>
    <w:rsid w:val="00A936A7"/>
    <w:rsid w:val="00A93DE5"/>
    <w:rsid w:val="00AA0DCE"/>
    <w:rsid w:val="00AA116C"/>
    <w:rsid w:val="00AA1701"/>
    <w:rsid w:val="00AA1910"/>
    <w:rsid w:val="00AB1F36"/>
    <w:rsid w:val="00AB52F4"/>
    <w:rsid w:val="00AB5C9D"/>
    <w:rsid w:val="00AB5D09"/>
    <w:rsid w:val="00AC45F8"/>
    <w:rsid w:val="00AC78B3"/>
    <w:rsid w:val="00AD31E0"/>
    <w:rsid w:val="00AD6588"/>
    <w:rsid w:val="00AD7041"/>
    <w:rsid w:val="00AE44FC"/>
    <w:rsid w:val="00AE4F89"/>
    <w:rsid w:val="00AE7524"/>
    <w:rsid w:val="00AF06CD"/>
    <w:rsid w:val="00AF21E4"/>
    <w:rsid w:val="00AF5B5B"/>
    <w:rsid w:val="00AF6315"/>
    <w:rsid w:val="00AF7D98"/>
    <w:rsid w:val="00B025CA"/>
    <w:rsid w:val="00B03AAF"/>
    <w:rsid w:val="00B07044"/>
    <w:rsid w:val="00B20F2C"/>
    <w:rsid w:val="00B20F4C"/>
    <w:rsid w:val="00B25172"/>
    <w:rsid w:val="00B313A8"/>
    <w:rsid w:val="00B32571"/>
    <w:rsid w:val="00B33518"/>
    <w:rsid w:val="00B33F0D"/>
    <w:rsid w:val="00B34C4E"/>
    <w:rsid w:val="00B379F9"/>
    <w:rsid w:val="00B412DE"/>
    <w:rsid w:val="00B4250D"/>
    <w:rsid w:val="00B44D41"/>
    <w:rsid w:val="00B45B5D"/>
    <w:rsid w:val="00B46766"/>
    <w:rsid w:val="00B50866"/>
    <w:rsid w:val="00B51373"/>
    <w:rsid w:val="00B5586A"/>
    <w:rsid w:val="00B55EFB"/>
    <w:rsid w:val="00B57F71"/>
    <w:rsid w:val="00B638E8"/>
    <w:rsid w:val="00B72133"/>
    <w:rsid w:val="00B74A52"/>
    <w:rsid w:val="00B7659D"/>
    <w:rsid w:val="00B8082B"/>
    <w:rsid w:val="00B82B8F"/>
    <w:rsid w:val="00B83323"/>
    <w:rsid w:val="00B85B9A"/>
    <w:rsid w:val="00B86089"/>
    <w:rsid w:val="00B8778F"/>
    <w:rsid w:val="00B903BB"/>
    <w:rsid w:val="00B931B2"/>
    <w:rsid w:val="00B95D6B"/>
    <w:rsid w:val="00B9715B"/>
    <w:rsid w:val="00BA2CFC"/>
    <w:rsid w:val="00BA3311"/>
    <w:rsid w:val="00BA4E35"/>
    <w:rsid w:val="00BB1726"/>
    <w:rsid w:val="00BB2550"/>
    <w:rsid w:val="00BB61FC"/>
    <w:rsid w:val="00BC1037"/>
    <w:rsid w:val="00BC3868"/>
    <w:rsid w:val="00BC5DFD"/>
    <w:rsid w:val="00BC614D"/>
    <w:rsid w:val="00BD191C"/>
    <w:rsid w:val="00BD3268"/>
    <w:rsid w:val="00BD4CFC"/>
    <w:rsid w:val="00BE1320"/>
    <w:rsid w:val="00BE32E2"/>
    <w:rsid w:val="00BE363F"/>
    <w:rsid w:val="00BF21D3"/>
    <w:rsid w:val="00BF321E"/>
    <w:rsid w:val="00BF5797"/>
    <w:rsid w:val="00BF6024"/>
    <w:rsid w:val="00BF6055"/>
    <w:rsid w:val="00C02967"/>
    <w:rsid w:val="00C0489F"/>
    <w:rsid w:val="00C05875"/>
    <w:rsid w:val="00C0633B"/>
    <w:rsid w:val="00C0695B"/>
    <w:rsid w:val="00C06DD3"/>
    <w:rsid w:val="00C07212"/>
    <w:rsid w:val="00C10985"/>
    <w:rsid w:val="00C134C2"/>
    <w:rsid w:val="00C13FC0"/>
    <w:rsid w:val="00C156BD"/>
    <w:rsid w:val="00C216B4"/>
    <w:rsid w:val="00C2453F"/>
    <w:rsid w:val="00C266E9"/>
    <w:rsid w:val="00C27DE8"/>
    <w:rsid w:val="00C317C7"/>
    <w:rsid w:val="00C32AB8"/>
    <w:rsid w:val="00C33A64"/>
    <w:rsid w:val="00C349E0"/>
    <w:rsid w:val="00C35AB8"/>
    <w:rsid w:val="00C35C65"/>
    <w:rsid w:val="00C441E0"/>
    <w:rsid w:val="00C47388"/>
    <w:rsid w:val="00C50FBE"/>
    <w:rsid w:val="00C629E9"/>
    <w:rsid w:val="00C62EC0"/>
    <w:rsid w:val="00C65835"/>
    <w:rsid w:val="00C66A47"/>
    <w:rsid w:val="00C6752B"/>
    <w:rsid w:val="00C675F9"/>
    <w:rsid w:val="00C7424E"/>
    <w:rsid w:val="00C81258"/>
    <w:rsid w:val="00C81BE8"/>
    <w:rsid w:val="00C81EA0"/>
    <w:rsid w:val="00C8275A"/>
    <w:rsid w:val="00C8461F"/>
    <w:rsid w:val="00C84A07"/>
    <w:rsid w:val="00C85D0E"/>
    <w:rsid w:val="00C87B0E"/>
    <w:rsid w:val="00C90F31"/>
    <w:rsid w:val="00C91DC1"/>
    <w:rsid w:val="00C97E85"/>
    <w:rsid w:val="00CA7963"/>
    <w:rsid w:val="00CB0979"/>
    <w:rsid w:val="00CB1AFA"/>
    <w:rsid w:val="00CB2E5F"/>
    <w:rsid w:val="00CB5AE3"/>
    <w:rsid w:val="00CB602F"/>
    <w:rsid w:val="00CB6965"/>
    <w:rsid w:val="00CC06F6"/>
    <w:rsid w:val="00CC0AB7"/>
    <w:rsid w:val="00CC28CA"/>
    <w:rsid w:val="00CC2D5A"/>
    <w:rsid w:val="00CD0E56"/>
    <w:rsid w:val="00CD185C"/>
    <w:rsid w:val="00CD2D16"/>
    <w:rsid w:val="00CD4295"/>
    <w:rsid w:val="00CD4481"/>
    <w:rsid w:val="00CD7A8E"/>
    <w:rsid w:val="00CE0DD3"/>
    <w:rsid w:val="00CE3BDB"/>
    <w:rsid w:val="00CE47A6"/>
    <w:rsid w:val="00CE4E20"/>
    <w:rsid w:val="00CE5D45"/>
    <w:rsid w:val="00CE5D63"/>
    <w:rsid w:val="00CE767A"/>
    <w:rsid w:val="00CE7D7E"/>
    <w:rsid w:val="00CE7EB0"/>
    <w:rsid w:val="00CF15C7"/>
    <w:rsid w:val="00CF1DEC"/>
    <w:rsid w:val="00CF1E28"/>
    <w:rsid w:val="00CF2FE9"/>
    <w:rsid w:val="00CF3A0D"/>
    <w:rsid w:val="00CF3A2F"/>
    <w:rsid w:val="00D0249B"/>
    <w:rsid w:val="00D0419F"/>
    <w:rsid w:val="00D109AE"/>
    <w:rsid w:val="00D10D62"/>
    <w:rsid w:val="00D13168"/>
    <w:rsid w:val="00D138F3"/>
    <w:rsid w:val="00D1455D"/>
    <w:rsid w:val="00D14F76"/>
    <w:rsid w:val="00D15507"/>
    <w:rsid w:val="00D1556F"/>
    <w:rsid w:val="00D20215"/>
    <w:rsid w:val="00D211DD"/>
    <w:rsid w:val="00D2316B"/>
    <w:rsid w:val="00D23669"/>
    <w:rsid w:val="00D26556"/>
    <w:rsid w:val="00D3303D"/>
    <w:rsid w:val="00D433FE"/>
    <w:rsid w:val="00D452FF"/>
    <w:rsid w:val="00D50218"/>
    <w:rsid w:val="00D516CB"/>
    <w:rsid w:val="00D51EE8"/>
    <w:rsid w:val="00D62710"/>
    <w:rsid w:val="00D651BE"/>
    <w:rsid w:val="00D6725C"/>
    <w:rsid w:val="00D67BF7"/>
    <w:rsid w:val="00D70FD4"/>
    <w:rsid w:val="00D77870"/>
    <w:rsid w:val="00D862D4"/>
    <w:rsid w:val="00D87586"/>
    <w:rsid w:val="00DA1045"/>
    <w:rsid w:val="00DA1467"/>
    <w:rsid w:val="00DA1771"/>
    <w:rsid w:val="00DA4BC7"/>
    <w:rsid w:val="00DA64CB"/>
    <w:rsid w:val="00DB033D"/>
    <w:rsid w:val="00DB07F3"/>
    <w:rsid w:val="00DB30B8"/>
    <w:rsid w:val="00DB47A3"/>
    <w:rsid w:val="00DC3C35"/>
    <w:rsid w:val="00DC5AA2"/>
    <w:rsid w:val="00DC70A4"/>
    <w:rsid w:val="00DD041D"/>
    <w:rsid w:val="00DD1C75"/>
    <w:rsid w:val="00DD313F"/>
    <w:rsid w:val="00DD3538"/>
    <w:rsid w:val="00DD6550"/>
    <w:rsid w:val="00DD6D22"/>
    <w:rsid w:val="00DD74C5"/>
    <w:rsid w:val="00DD7A69"/>
    <w:rsid w:val="00DE1DC7"/>
    <w:rsid w:val="00DE23D4"/>
    <w:rsid w:val="00DF071E"/>
    <w:rsid w:val="00DF160E"/>
    <w:rsid w:val="00E002DE"/>
    <w:rsid w:val="00E00918"/>
    <w:rsid w:val="00E016E2"/>
    <w:rsid w:val="00E15234"/>
    <w:rsid w:val="00E1588C"/>
    <w:rsid w:val="00E26157"/>
    <w:rsid w:val="00E26467"/>
    <w:rsid w:val="00E27F18"/>
    <w:rsid w:val="00E33425"/>
    <w:rsid w:val="00E347DB"/>
    <w:rsid w:val="00E36058"/>
    <w:rsid w:val="00E363E8"/>
    <w:rsid w:val="00E37A37"/>
    <w:rsid w:val="00E37C06"/>
    <w:rsid w:val="00E40401"/>
    <w:rsid w:val="00E414A4"/>
    <w:rsid w:val="00E4197D"/>
    <w:rsid w:val="00E42F57"/>
    <w:rsid w:val="00E45124"/>
    <w:rsid w:val="00E4563E"/>
    <w:rsid w:val="00E4747B"/>
    <w:rsid w:val="00E4789A"/>
    <w:rsid w:val="00E506DC"/>
    <w:rsid w:val="00E50E6A"/>
    <w:rsid w:val="00E53052"/>
    <w:rsid w:val="00E5406C"/>
    <w:rsid w:val="00E56465"/>
    <w:rsid w:val="00E6082F"/>
    <w:rsid w:val="00E61647"/>
    <w:rsid w:val="00E630B7"/>
    <w:rsid w:val="00E638B0"/>
    <w:rsid w:val="00E63EF7"/>
    <w:rsid w:val="00E70940"/>
    <w:rsid w:val="00E71AA3"/>
    <w:rsid w:val="00E73B8B"/>
    <w:rsid w:val="00E8029B"/>
    <w:rsid w:val="00E80ECA"/>
    <w:rsid w:val="00E824FA"/>
    <w:rsid w:val="00E82FA7"/>
    <w:rsid w:val="00E84DDB"/>
    <w:rsid w:val="00E879CC"/>
    <w:rsid w:val="00E90BDB"/>
    <w:rsid w:val="00E9180E"/>
    <w:rsid w:val="00E918B6"/>
    <w:rsid w:val="00E9507D"/>
    <w:rsid w:val="00E95417"/>
    <w:rsid w:val="00EA08DA"/>
    <w:rsid w:val="00EA09DA"/>
    <w:rsid w:val="00EA16F8"/>
    <w:rsid w:val="00EA1B56"/>
    <w:rsid w:val="00EA23C3"/>
    <w:rsid w:val="00EA6FF9"/>
    <w:rsid w:val="00EB3EBA"/>
    <w:rsid w:val="00EB4FDC"/>
    <w:rsid w:val="00EC07B4"/>
    <w:rsid w:val="00EC4E22"/>
    <w:rsid w:val="00EC56F4"/>
    <w:rsid w:val="00EC6C0C"/>
    <w:rsid w:val="00EC7609"/>
    <w:rsid w:val="00ED21D2"/>
    <w:rsid w:val="00ED5195"/>
    <w:rsid w:val="00ED5DB4"/>
    <w:rsid w:val="00ED5F71"/>
    <w:rsid w:val="00ED746E"/>
    <w:rsid w:val="00ED78F4"/>
    <w:rsid w:val="00EE058C"/>
    <w:rsid w:val="00EE07AA"/>
    <w:rsid w:val="00EE308B"/>
    <w:rsid w:val="00EE7A75"/>
    <w:rsid w:val="00EF24F4"/>
    <w:rsid w:val="00F02976"/>
    <w:rsid w:val="00F03498"/>
    <w:rsid w:val="00F058B7"/>
    <w:rsid w:val="00F05E9B"/>
    <w:rsid w:val="00F0641C"/>
    <w:rsid w:val="00F10234"/>
    <w:rsid w:val="00F16D5B"/>
    <w:rsid w:val="00F22B9F"/>
    <w:rsid w:val="00F23110"/>
    <w:rsid w:val="00F23BD8"/>
    <w:rsid w:val="00F23C2F"/>
    <w:rsid w:val="00F26EDD"/>
    <w:rsid w:val="00F32137"/>
    <w:rsid w:val="00F330D8"/>
    <w:rsid w:val="00F33D0C"/>
    <w:rsid w:val="00F3443F"/>
    <w:rsid w:val="00F43B35"/>
    <w:rsid w:val="00F447D3"/>
    <w:rsid w:val="00F44CF8"/>
    <w:rsid w:val="00F456D4"/>
    <w:rsid w:val="00F51B53"/>
    <w:rsid w:val="00F5484E"/>
    <w:rsid w:val="00F560D9"/>
    <w:rsid w:val="00F570BB"/>
    <w:rsid w:val="00F61491"/>
    <w:rsid w:val="00F6345F"/>
    <w:rsid w:val="00F63476"/>
    <w:rsid w:val="00F66221"/>
    <w:rsid w:val="00F67990"/>
    <w:rsid w:val="00F67F0B"/>
    <w:rsid w:val="00F757D0"/>
    <w:rsid w:val="00F83287"/>
    <w:rsid w:val="00F835CE"/>
    <w:rsid w:val="00F873F5"/>
    <w:rsid w:val="00F90F04"/>
    <w:rsid w:val="00F932E8"/>
    <w:rsid w:val="00F970E6"/>
    <w:rsid w:val="00FA0D4B"/>
    <w:rsid w:val="00FA1688"/>
    <w:rsid w:val="00FA25EF"/>
    <w:rsid w:val="00FA454C"/>
    <w:rsid w:val="00FC5DCE"/>
    <w:rsid w:val="00FD759A"/>
    <w:rsid w:val="00FE05ED"/>
    <w:rsid w:val="00FE65FA"/>
    <w:rsid w:val="00FE6B5D"/>
    <w:rsid w:val="00FE7631"/>
    <w:rsid w:val="00FE7883"/>
    <w:rsid w:val="00FE7AA8"/>
    <w:rsid w:val="00FF26FE"/>
    <w:rsid w:val="00FF3C8B"/>
    <w:rsid w:val="00FF3F50"/>
    <w:rsid w:val="00FF6AB9"/>
    <w:rsid w:val="55E048D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C76A8"/>
  <w15:docId w15:val="{83D42450-4594-4E03-9E92-987EFF451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GB"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1523"/>
    <w:rPr>
      <w:sz w:val="24"/>
      <w:szCs w:val="22"/>
      <w:lang w:val="sr-Latn-ME" w:eastAsia="en-US"/>
    </w:rPr>
  </w:style>
  <w:style w:type="paragraph" w:styleId="Heading1">
    <w:name w:val="heading 1"/>
    <w:basedOn w:val="Normal"/>
    <w:next w:val="Normal"/>
    <w:link w:val="Heading1Char"/>
    <w:uiPriority w:val="9"/>
    <w:qFormat/>
    <w:rsid w:val="00C65835"/>
    <w:pPr>
      <w:keepNext/>
      <w:keepLines/>
      <w:spacing w:before="400" w:after="40"/>
      <w:outlineLvl w:val="0"/>
    </w:pPr>
    <w:rPr>
      <w:rFonts w:asciiTheme="majorHAnsi" w:eastAsiaTheme="majorEastAsia" w:hAnsiTheme="majorHAnsi" w:cstheme="majorBidi"/>
      <w:b/>
      <w:caps/>
      <w:color w:val="215E99" w:themeColor="text2" w:themeTint="BF"/>
      <w:sz w:val="36"/>
      <w:szCs w:val="36"/>
    </w:rPr>
  </w:style>
  <w:style w:type="paragraph" w:styleId="Heading2">
    <w:name w:val="heading 2"/>
    <w:basedOn w:val="Normal"/>
    <w:next w:val="Normal"/>
    <w:link w:val="Heading2Char"/>
    <w:uiPriority w:val="9"/>
    <w:unhideWhenUsed/>
    <w:qFormat/>
    <w:rsid w:val="000B41E7"/>
    <w:pPr>
      <w:keepNext/>
      <w:keepLines/>
      <w:spacing w:before="240" w:after="120"/>
      <w:outlineLvl w:val="1"/>
    </w:pPr>
    <w:rPr>
      <w:rFonts w:asciiTheme="majorHAnsi" w:eastAsiaTheme="majorEastAsia" w:hAnsiTheme="majorHAnsi" w:cstheme="majorBidi"/>
      <w:b/>
      <w:caps/>
      <w:color w:val="215E99" w:themeColor="text2" w:themeTint="BF"/>
      <w:sz w:val="28"/>
      <w:szCs w:val="28"/>
    </w:rPr>
  </w:style>
  <w:style w:type="paragraph" w:styleId="Heading3">
    <w:name w:val="heading 3"/>
    <w:basedOn w:val="Normal"/>
    <w:next w:val="Normal"/>
    <w:link w:val="Heading3Char"/>
    <w:uiPriority w:val="9"/>
    <w:unhideWhenUsed/>
    <w:qFormat/>
    <w:rsid w:val="0033245A"/>
    <w:pPr>
      <w:keepNext/>
      <w:keepLines/>
      <w:shd w:val="clear" w:color="auto" w:fill="E8E8E8" w:themeFill="background2"/>
      <w:spacing w:before="240" w:after="120"/>
      <w:outlineLvl w:val="2"/>
    </w:pPr>
    <w:rPr>
      <w:rFonts w:eastAsiaTheme="majorEastAsia" w:cstheme="majorBidi"/>
      <w:b/>
      <w:color w:val="153D63" w:themeColor="text2" w:themeTint="E6"/>
      <w:sz w:val="26"/>
      <w:szCs w:val="28"/>
    </w:rPr>
  </w:style>
  <w:style w:type="paragraph" w:styleId="Heading4">
    <w:name w:val="heading 4"/>
    <w:basedOn w:val="Normal"/>
    <w:next w:val="Normal"/>
    <w:link w:val="Heading4Char"/>
    <w:autoRedefine/>
    <w:uiPriority w:val="9"/>
    <w:unhideWhenUsed/>
    <w:qFormat/>
    <w:rsid w:val="0055253B"/>
    <w:pPr>
      <w:keepNext/>
      <w:keepLines/>
      <w:spacing w:before="120"/>
      <w:jc w:val="center"/>
      <w:outlineLvl w:val="3"/>
    </w:pPr>
    <w:rPr>
      <w:rFonts w:eastAsiaTheme="majorEastAsia" w:cstheme="majorBidi"/>
      <w:b/>
      <w:bCs/>
      <w:sz w:val="20"/>
      <w:szCs w:val="20"/>
    </w:rPr>
  </w:style>
  <w:style w:type="paragraph" w:styleId="Heading5">
    <w:name w:val="heading 5"/>
    <w:basedOn w:val="Normal"/>
    <w:next w:val="Normal"/>
    <w:link w:val="Heading5Char"/>
    <w:autoRedefine/>
    <w:uiPriority w:val="9"/>
    <w:unhideWhenUsed/>
    <w:qFormat/>
    <w:rsid w:val="0055253B"/>
    <w:pPr>
      <w:keepNext/>
      <w:keepLines/>
      <w:spacing w:before="120"/>
      <w:outlineLvl w:val="4"/>
    </w:pPr>
    <w:rPr>
      <w:rFonts w:eastAsiaTheme="majorEastAsia" w:cstheme="majorBidi"/>
      <w:b/>
      <w:iCs/>
      <w:sz w:val="20"/>
    </w:rPr>
  </w:style>
  <w:style w:type="paragraph" w:styleId="Heading6">
    <w:name w:val="heading 6"/>
    <w:basedOn w:val="Normal"/>
    <w:next w:val="Normal"/>
    <w:link w:val="Heading6Char"/>
    <w:autoRedefine/>
    <w:uiPriority w:val="9"/>
    <w:unhideWhenUsed/>
    <w:qFormat/>
    <w:rsid w:val="005E3F1A"/>
    <w:pPr>
      <w:keepNext/>
      <w:keepLines/>
      <w:spacing w:before="120"/>
      <w:jc w:val="center"/>
      <w:outlineLvl w:val="5"/>
    </w:pPr>
    <w:rPr>
      <w:rFonts w:eastAsiaTheme="majorEastAsia" w:cstheme="majorBidi"/>
      <w:b/>
      <w:bCs/>
      <w:color w:val="262626" w:themeColor="text1" w:themeTint="D9"/>
      <w:sz w:val="20"/>
      <w:szCs w:val="20"/>
    </w:rPr>
  </w:style>
  <w:style w:type="paragraph" w:styleId="Heading7">
    <w:name w:val="heading 7"/>
    <w:basedOn w:val="Normal"/>
    <w:next w:val="Normal"/>
    <w:link w:val="Heading7Char"/>
    <w:uiPriority w:val="9"/>
    <w:unhideWhenUsed/>
    <w:qFormat/>
    <w:pPr>
      <w:keepNext/>
      <w:keepLines/>
      <w:spacing w:before="12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pPr>
      <w:keepNext/>
      <w:keepLines/>
      <w:spacing w:before="12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pPr>
      <w:keepNext/>
      <w:keepLines/>
      <w:spacing w:before="12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Pr>
      <w:b/>
      <w:bCs/>
      <w:smallCaps/>
      <w:color w:val="595959" w:themeColor="text1" w:themeTint="A6"/>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unhideWhenUsed/>
    <w:qFormat/>
    <w:rPr>
      <w:color w:val="96607D" w:themeColor="followedHyperlink"/>
      <w:u w:val="single"/>
    </w:r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unhideWhenUsed/>
    <w:qFormat/>
    <w:rPr>
      <w:sz w:val="20"/>
      <w:szCs w:val="20"/>
    </w:rPr>
  </w:style>
  <w:style w:type="character" w:styleId="Hyperlink">
    <w:name w:val="Hyperlink"/>
    <w:basedOn w:val="DefaultParagraphFont"/>
    <w:uiPriority w:val="99"/>
    <w:unhideWhenUsed/>
    <w:qFormat/>
    <w:rPr>
      <w:color w:val="467886" w:themeColor="hyperlink"/>
      <w:u w:val="singl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asciiTheme="majorHAnsi" w:eastAsiaTheme="majorEastAsia" w:hAnsiTheme="majorHAnsi" w:cstheme="majorBidi"/>
      <w:smallCaps/>
      <w:color w:val="595959" w:themeColor="text1" w:themeTint="A6"/>
      <w:sz w:val="28"/>
      <w:szCs w:val="2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caps/>
      <w:color w:val="404040" w:themeColor="text1" w:themeTint="BF"/>
      <w:spacing w:val="-10"/>
      <w:sz w:val="72"/>
      <w:szCs w:val="72"/>
    </w:rPr>
  </w:style>
  <w:style w:type="character" w:customStyle="1" w:styleId="Heading1Char">
    <w:name w:val="Heading 1 Char"/>
    <w:basedOn w:val="DefaultParagraphFont"/>
    <w:link w:val="Heading1"/>
    <w:uiPriority w:val="9"/>
    <w:qFormat/>
    <w:rsid w:val="00C65835"/>
    <w:rPr>
      <w:rFonts w:asciiTheme="majorHAnsi" w:eastAsiaTheme="majorEastAsia" w:hAnsiTheme="majorHAnsi" w:cstheme="majorBidi"/>
      <w:b/>
      <w:caps/>
      <w:color w:val="215E99" w:themeColor="text2" w:themeTint="BF"/>
      <w:sz w:val="36"/>
      <w:szCs w:val="36"/>
      <w:lang w:eastAsia="en-US"/>
    </w:rPr>
  </w:style>
  <w:style w:type="character" w:customStyle="1" w:styleId="Heading2Char">
    <w:name w:val="Heading 2 Char"/>
    <w:basedOn w:val="DefaultParagraphFont"/>
    <w:link w:val="Heading2"/>
    <w:uiPriority w:val="9"/>
    <w:qFormat/>
    <w:rsid w:val="000B41E7"/>
    <w:rPr>
      <w:rFonts w:asciiTheme="majorHAnsi" w:eastAsiaTheme="majorEastAsia" w:hAnsiTheme="majorHAnsi" w:cstheme="majorBidi"/>
      <w:b/>
      <w:caps/>
      <w:color w:val="215E99" w:themeColor="text2" w:themeTint="BF"/>
      <w:sz w:val="28"/>
      <w:szCs w:val="28"/>
      <w:lang w:eastAsia="en-US"/>
    </w:rPr>
  </w:style>
  <w:style w:type="character" w:customStyle="1" w:styleId="Heading3Char">
    <w:name w:val="Heading 3 Char"/>
    <w:basedOn w:val="DefaultParagraphFont"/>
    <w:link w:val="Heading3"/>
    <w:uiPriority w:val="9"/>
    <w:qFormat/>
    <w:rsid w:val="0033245A"/>
    <w:rPr>
      <w:rFonts w:eastAsiaTheme="majorEastAsia" w:cstheme="majorBidi"/>
      <w:b/>
      <w:color w:val="153D63" w:themeColor="text2" w:themeTint="E6"/>
      <w:sz w:val="26"/>
      <w:szCs w:val="28"/>
      <w:shd w:val="clear" w:color="auto" w:fill="E8E8E8" w:themeFill="background2"/>
      <w:lang w:eastAsia="en-US"/>
    </w:rPr>
  </w:style>
  <w:style w:type="character" w:customStyle="1" w:styleId="Heading4Char">
    <w:name w:val="Heading 4 Char"/>
    <w:basedOn w:val="DefaultParagraphFont"/>
    <w:link w:val="Heading4"/>
    <w:uiPriority w:val="9"/>
    <w:qFormat/>
    <w:rsid w:val="0055253B"/>
    <w:rPr>
      <w:rFonts w:eastAsiaTheme="majorEastAsia" w:cstheme="majorBidi"/>
      <w:b/>
      <w:bCs/>
      <w:lang w:eastAsia="en-US"/>
    </w:rPr>
  </w:style>
  <w:style w:type="character" w:customStyle="1" w:styleId="Heading5Char">
    <w:name w:val="Heading 5 Char"/>
    <w:basedOn w:val="DefaultParagraphFont"/>
    <w:link w:val="Heading5"/>
    <w:uiPriority w:val="9"/>
    <w:qFormat/>
    <w:rsid w:val="0055253B"/>
    <w:rPr>
      <w:rFonts w:eastAsiaTheme="majorEastAsia" w:cstheme="majorBidi"/>
      <w:b/>
      <w:iCs/>
      <w:szCs w:val="22"/>
      <w:lang w:eastAsia="en-US"/>
    </w:rPr>
  </w:style>
  <w:style w:type="character" w:customStyle="1" w:styleId="Heading6Char">
    <w:name w:val="Heading 6 Char"/>
    <w:basedOn w:val="DefaultParagraphFont"/>
    <w:link w:val="Heading6"/>
    <w:uiPriority w:val="9"/>
    <w:qFormat/>
    <w:rsid w:val="005E3F1A"/>
    <w:rPr>
      <w:rFonts w:eastAsiaTheme="majorEastAsia" w:cstheme="majorBidi"/>
      <w:b/>
      <w:bCs/>
      <w:color w:val="262626" w:themeColor="text1" w:themeTint="D9"/>
      <w:lang w:eastAsia="en-US"/>
    </w:rPr>
  </w:style>
  <w:style w:type="character" w:customStyle="1" w:styleId="Heading7Char">
    <w:name w:val="Heading 7 Char"/>
    <w:basedOn w:val="DefaultParagraphFont"/>
    <w:link w:val="Heading7"/>
    <w:uiPriority w:val="9"/>
    <w:qFormat/>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b/>
      <w:bCs/>
      <w:i/>
      <w:iCs/>
      <w:caps/>
      <w:color w:val="7F7F7F" w:themeColor="text1" w:themeTint="80"/>
      <w:sz w:val="20"/>
      <w:szCs w:val="20"/>
    </w:rPr>
  </w:style>
  <w:style w:type="character" w:customStyle="1" w:styleId="TitleChar">
    <w:name w:val="Title Char"/>
    <w:basedOn w:val="DefaultParagraphFont"/>
    <w:link w:val="Title"/>
    <w:uiPriority w:val="10"/>
    <w:qFormat/>
    <w:rPr>
      <w:rFonts w:asciiTheme="majorHAnsi" w:eastAsiaTheme="majorEastAsia" w:hAnsiTheme="majorHAnsi" w:cstheme="majorBidi"/>
      <w:caps/>
      <w:color w:val="404040" w:themeColor="text1" w:themeTint="BF"/>
      <w:spacing w:val="-10"/>
      <w:sz w:val="72"/>
      <w:szCs w:val="72"/>
    </w:rPr>
  </w:style>
  <w:style w:type="character" w:customStyle="1" w:styleId="SubtitleChar">
    <w:name w:val="Subtitle Char"/>
    <w:basedOn w:val="DefaultParagraphFont"/>
    <w:link w:val="Subtitle"/>
    <w:uiPriority w:val="11"/>
    <w:qFormat/>
    <w:rPr>
      <w:rFonts w:asciiTheme="majorHAnsi" w:eastAsiaTheme="majorEastAsia" w:hAnsiTheme="majorHAnsi" w:cstheme="majorBidi"/>
      <w:smallCaps/>
      <w:color w:val="595959" w:themeColor="text1" w:themeTint="A6"/>
      <w:sz w:val="28"/>
      <w:szCs w:val="28"/>
    </w:rPr>
  </w:style>
  <w:style w:type="paragraph" w:styleId="Quote">
    <w:name w:val="Quote"/>
    <w:basedOn w:val="Normal"/>
    <w:next w:val="Normal"/>
    <w:link w:val="QuoteChar"/>
    <w:uiPriority w:val="29"/>
    <w:qFormat/>
    <w:pPr>
      <w:spacing w:before="160"/>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qFormat/>
    <w:rPr>
      <w:rFonts w:asciiTheme="majorHAnsi" w:eastAsiaTheme="majorEastAsia" w:hAnsiTheme="majorHAnsi" w:cstheme="majorBidi"/>
      <w:sz w:val="25"/>
      <w:szCs w:val="25"/>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b/>
      <w:bCs/>
      <w:i/>
      <w:iCs/>
    </w:rPr>
  </w:style>
  <w:style w:type="paragraph" w:styleId="IntenseQuote">
    <w:name w:val="Intense Quote"/>
    <w:basedOn w:val="Normal"/>
    <w:next w:val="Normal"/>
    <w:link w:val="IntenseQuoteChar"/>
    <w:uiPriority w:val="30"/>
    <w:qFormat/>
    <w:pPr>
      <w:spacing w:before="280" w:after="280"/>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qFormat/>
    <w:rPr>
      <w:color w:val="404040" w:themeColor="text1" w:themeTint="BF"/>
      <w:sz w:val="32"/>
      <w:szCs w:val="32"/>
    </w:rPr>
  </w:style>
  <w:style w:type="character" w:customStyle="1" w:styleId="IntenseReference1">
    <w:name w:val="Intense Reference1"/>
    <w:basedOn w:val="DefaultParagraphFont"/>
    <w:uiPriority w:val="32"/>
    <w:qFormat/>
    <w:rPr>
      <w:b/>
      <w:bCs/>
      <w:smallCaps/>
      <w:color w:val="auto"/>
      <w:spacing w:val="3"/>
      <w:u w:val="single"/>
    </w:rPr>
  </w:style>
  <w:style w:type="paragraph" w:styleId="NoSpacing">
    <w:name w:val="No Spacing"/>
    <w:link w:val="NoSpacingChar"/>
    <w:uiPriority w:val="1"/>
    <w:qFormat/>
    <w:rPr>
      <w:sz w:val="22"/>
      <w:szCs w:val="22"/>
      <w:lang w:eastAsia="en-US"/>
    </w:rPr>
  </w:style>
  <w:style w:type="character" w:customStyle="1" w:styleId="SubtleEmphasis1">
    <w:name w:val="Subtle Emphasis1"/>
    <w:basedOn w:val="DefaultParagraphFont"/>
    <w:uiPriority w:val="19"/>
    <w:qFormat/>
    <w:rPr>
      <w:i/>
      <w:iCs/>
      <w:color w:val="595959" w:themeColor="text1" w:themeTint="A6"/>
    </w:rPr>
  </w:style>
  <w:style w:type="character" w:customStyle="1" w:styleId="SubtleReference1">
    <w:name w:val="Subtle Reference1"/>
    <w:basedOn w:val="DefaultParagraphFont"/>
    <w:uiPriority w:val="31"/>
    <w:qFormat/>
    <w:rPr>
      <w:smallCaps/>
      <w:color w:val="404040" w:themeColor="text1" w:themeTint="BF"/>
      <w:u w:val="single" w:color="7F7F7F" w:themeColor="text1" w:themeTint="80"/>
    </w:rPr>
  </w:style>
  <w:style w:type="character" w:customStyle="1" w:styleId="BookTitle1">
    <w:name w:val="Book Title1"/>
    <w:basedOn w:val="DefaultParagraphFont"/>
    <w:uiPriority w:val="33"/>
    <w:qFormat/>
    <w:rPr>
      <w:b/>
      <w:bCs/>
      <w:smallCaps/>
      <w:spacing w:val="7"/>
    </w:rPr>
  </w:style>
  <w:style w:type="paragraph" w:customStyle="1" w:styleId="TOCHeading1">
    <w:name w:val="TOC Heading1"/>
    <w:basedOn w:val="Heading1"/>
    <w:next w:val="Normal"/>
    <w:uiPriority w:val="39"/>
    <w:semiHidden/>
    <w:unhideWhenUsed/>
    <w:qFormat/>
    <w:pPr>
      <w:outlineLvl w:val="9"/>
    </w:pPr>
  </w:style>
  <w:style w:type="character" w:customStyle="1" w:styleId="FootnoteTextChar">
    <w:name w:val="Footnote Text Char"/>
    <w:basedOn w:val="DefaultParagraphFont"/>
    <w:link w:val="FootnoteText"/>
    <w:uiPriority w:val="99"/>
    <w:qFormat/>
    <w:rPr>
      <w:sz w:val="20"/>
      <w:szCs w:val="20"/>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styleId="CommentReference">
    <w:name w:val="annotation reference"/>
    <w:basedOn w:val="DefaultParagraphFont"/>
    <w:uiPriority w:val="99"/>
    <w:semiHidden/>
    <w:unhideWhenUsed/>
    <w:rsid w:val="00116D3F"/>
    <w:rPr>
      <w:sz w:val="16"/>
      <w:szCs w:val="16"/>
    </w:rPr>
  </w:style>
  <w:style w:type="paragraph" w:styleId="CommentText">
    <w:name w:val="annotation text"/>
    <w:basedOn w:val="Normal"/>
    <w:link w:val="CommentTextChar"/>
    <w:uiPriority w:val="99"/>
    <w:unhideWhenUsed/>
    <w:rsid w:val="00116D3F"/>
    <w:rPr>
      <w:sz w:val="20"/>
      <w:szCs w:val="20"/>
    </w:rPr>
  </w:style>
  <w:style w:type="character" w:customStyle="1" w:styleId="CommentTextChar">
    <w:name w:val="Comment Text Char"/>
    <w:basedOn w:val="DefaultParagraphFont"/>
    <w:link w:val="CommentText"/>
    <w:uiPriority w:val="99"/>
    <w:rsid w:val="00116D3F"/>
    <w:rPr>
      <w:lang w:eastAsia="en-US"/>
    </w:rPr>
  </w:style>
  <w:style w:type="paragraph" w:styleId="CommentSubject">
    <w:name w:val="annotation subject"/>
    <w:basedOn w:val="CommentText"/>
    <w:next w:val="CommentText"/>
    <w:link w:val="CommentSubjectChar"/>
    <w:uiPriority w:val="99"/>
    <w:semiHidden/>
    <w:unhideWhenUsed/>
    <w:rsid w:val="00116D3F"/>
    <w:rPr>
      <w:b/>
      <w:bCs/>
    </w:rPr>
  </w:style>
  <w:style w:type="character" w:customStyle="1" w:styleId="CommentSubjectChar">
    <w:name w:val="Comment Subject Char"/>
    <w:basedOn w:val="CommentTextChar"/>
    <w:link w:val="CommentSubject"/>
    <w:uiPriority w:val="99"/>
    <w:semiHidden/>
    <w:rsid w:val="00116D3F"/>
    <w:rPr>
      <w:b/>
      <w:bCs/>
      <w:lang w:eastAsia="en-US"/>
    </w:rPr>
  </w:style>
  <w:style w:type="table" w:styleId="PlainTable2">
    <w:name w:val="Plain Table 2"/>
    <w:basedOn w:val="TableNormal"/>
    <w:uiPriority w:val="42"/>
    <w:rsid w:val="00C87B0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sonormal0">
    <w:name w:val="msonormal"/>
    <w:basedOn w:val="Normal"/>
    <w:qFormat/>
    <w:rsid w:val="00C87B0E"/>
    <w:pPr>
      <w:spacing w:before="100" w:beforeAutospacing="1" w:after="100" w:afterAutospacing="1"/>
      <w:jc w:val="left"/>
    </w:pPr>
    <w:rPr>
      <w:rFonts w:ascii="Times New Roman" w:eastAsia="Times New Roman" w:hAnsi="Times New Roman" w:cs="Times New Roman"/>
      <w:szCs w:val="24"/>
      <w:lang w:eastAsia="en-GB"/>
    </w:rPr>
  </w:style>
  <w:style w:type="character" w:customStyle="1" w:styleId="10">
    <w:name w:val="10"/>
    <w:basedOn w:val="DefaultParagraphFont"/>
    <w:rsid w:val="00C87B0E"/>
    <w:rPr>
      <w:rFonts w:ascii="Aptos" w:hAnsi="Aptos" w:hint="default"/>
    </w:rPr>
  </w:style>
  <w:style w:type="character" w:customStyle="1" w:styleId="15">
    <w:name w:val="15"/>
    <w:basedOn w:val="DefaultParagraphFont"/>
    <w:rsid w:val="00C87B0E"/>
    <w:rPr>
      <w:rFonts w:ascii="Aptos" w:hAnsi="Aptos" w:hint="default"/>
      <w:vertAlign w:val="superscript"/>
    </w:rPr>
  </w:style>
  <w:style w:type="character" w:customStyle="1" w:styleId="16">
    <w:name w:val="16"/>
    <w:basedOn w:val="DefaultParagraphFont"/>
    <w:rsid w:val="00C87B0E"/>
    <w:rPr>
      <w:rFonts w:ascii="Aptos" w:hAnsi="Aptos" w:hint="default"/>
      <w:color w:val="467886"/>
      <w:u w:val="single"/>
    </w:rPr>
  </w:style>
  <w:style w:type="table" w:customStyle="1" w:styleId="TableGridLight1">
    <w:name w:val="Table Grid Light1"/>
    <w:basedOn w:val="TableNormal"/>
    <w:rsid w:val="00C87B0E"/>
    <w:rPr>
      <w:rFonts w:ascii="Times New Roman" w:eastAsia="Times New Roman" w:hAnsi="Times New Roman" w:cs="Times New Roman"/>
    </w:rPr>
    <w:tblPr>
      <w:tblInd w:w="0" w:type="nil"/>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Pr>
  </w:style>
  <w:style w:type="character" w:styleId="UnresolvedMention">
    <w:name w:val="Unresolved Mention"/>
    <w:basedOn w:val="DefaultParagraphFont"/>
    <w:uiPriority w:val="99"/>
    <w:semiHidden/>
    <w:unhideWhenUsed/>
    <w:rsid w:val="00C87B0E"/>
    <w:rPr>
      <w:color w:val="605E5C"/>
      <w:shd w:val="clear" w:color="auto" w:fill="E1DFDD"/>
    </w:rPr>
  </w:style>
  <w:style w:type="numbering" w:customStyle="1" w:styleId="NoList1">
    <w:name w:val="No List1"/>
    <w:next w:val="NoList"/>
    <w:uiPriority w:val="99"/>
    <w:semiHidden/>
    <w:unhideWhenUsed/>
    <w:rsid w:val="001E4F5C"/>
  </w:style>
  <w:style w:type="paragraph" w:styleId="TOCHeading">
    <w:name w:val="TOC Heading"/>
    <w:basedOn w:val="Heading1"/>
    <w:next w:val="Normal"/>
    <w:uiPriority w:val="39"/>
    <w:unhideWhenUsed/>
    <w:qFormat/>
    <w:rsid w:val="000039EA"/>
    <w:pPr>
      <w:spacing w:before="240" w:after="0" w:line="259" w:lineRule="auto"/>
      <w:jc w:val="left"/>
      <w:outlineLvl w:val="9"/>
    </w:pPr>
    <w:rPr>
      <w:caps w:val="0"/>
      <w:color w:val="0F4761" w:themeColor="accent1" w:themeShade="BF"/>
      <w:sz w:val="32"/>
      <w:szCs w:val="32"/>
      <w:lang w:val="en-US"/>
    </w:rPr>
  </w:style>
  <w:style w:type="paragraph" w:styleId="TOC1">
    <w:name w:val="toc 1"/>
    <w:basedOn w:val="Normal"/>
    <w:next w:val="Normal"/>
    <w:autoRedefine/>
    <w:uiPriority w:val="39"/>
    <w:unhideWhenUsed/>
    <w:rsid w:val="001C58C6"/>
    <w:pPr>
      <w:tabs>
        <w:tab w:val="right" w:leader="dot" w:pos="9016"/>
      </w:tabs>
      <w:spacing w:after="100"/>
    </w:pPr>
  </w:style>
  <w:style w:type="paragraph" w:styleId="TOC2">
    <w:name w:val="toc 2"/>
    <w:basedOn w:val="Normal"/>
    <w:next w:val="Normal"/>
    <w:autoRedefine/>
    <w:uiPriority w:val="39"/>
    <w:unhideWhenUsed/>
    <w:rsid w:val="000039EA"/>
    <w:pPr>
      <w:spacing w:after="100"/>
      <w:ind w:left="240"/>
    </w:pPr>
  </w:style>
  <w:style w:type="character" w:customStyle="1" w:styleId="NoSpacingChar">
    <w:name w:val="No Spacing Char"/>
    <w:basedOn w:val="DefaultParagraphFont"/>
    <w:link w:val="NoSpacing"/>
    <w:uiPriority w:val="1"/>
    <w:rsid w:val="003634F4"/>
    <w:rPr>
      <w:sz w:val="22"/>
      <w:szCs w:val="22"/>
      <w:lang w:eastAsia="en-US"/>
    </w:rPr>
  </w:style>
  <w:style w:type="paragraph" w:styleId="Header">
    <w:name w:val="header"/>
    <w:basedOn w:val="Normal"/>
    <w:link w:val="HeaderChar"/>
    <w:uiPriority w:val="99"/>
    <w:unhideWhenUsed/>
    <w:rsid w:val="00FC5DCE"/>
    <w:pPr>
      <w:tabs>
        <w:tab w:val="center" w:pos="4513"/>
        <w:tab w:val="right" w:pos="9026"/>
      </w:tabs>
    </w:pPr>
  </w:style>
  <w:style w:type="character" w:customStyle="1" w:styleId="HeaderChar">
    <w:name w:val="Header Char"/>
    <w:basedOn w:val="DefaultParagraphFont"/>
    <w:link w:val="Header"/>
    <w:uiPriority w:val="99"/>
    <w:rsid w:val="00FC5DCE"/>
    <w:rPr>
      <w:sz w:val="24"/>
      <w:szCs w:val="22"/>
      <w:lang w:eastAsia="en-US"/>
    </w:rPr>
  </w:style>
  <w:style w:type="paragraph" w:styleId="Footer">
    <w:name w:val="footer"/>
    <w:basedOn w:val="Normal"/>
    <w:link w:val="FooterChar"/>
    <w:uiPriority w:val="99"/>
    <w:unhideWhenUsed/>
    <w:rsid w:val="00FC5DCE"/>
    <w:pPr>
      <w:tabs>
        <w:tab w:val="center" w:pos="4513"/>
        <w:tab w:val="right" w:pos="9026"/>
      </w:tabs>
    </w:pPr>
  </w:style>
  <w:style w:type="character" w:customStyle="1" w:styleId="FooterChar">
    <w:name w:val="Footer Char"/>
    <w:basedOn w:val="DefaultParagraphFont"/>
    <w:link w:val="Footer"/>
    <w:uiPriority w:val="99"/>
    <w:rsid w:val="00FC5DCE"/>
    <w:rPr>
      <w:sz w:val="24"/>
      <w:szCs w:val="22"/>
      <w:lang w:eastAsia="en-US"/>
    </w:rPr>
  </w:style>
  <w:style w:type="paragraph" w:styleId="Revision">
    <w:name w:val="Revision"/>
    <w:hidden/>
    <w:uiPriority w:val="99"/>
    <w:unhideWhenUsed/>
    <w:rsid w:val="00517131"/>
    <w:rPr>
      <w:sz w:val="24"/>
      <w:szCs w:val="22"/>
      <w:lang w:eastAsia="en-US"/>
    </w:rPr>
  </w:style>
  <w:style w:type="table" w:styleId="GridTable1Light-Accent1">
    <w:name w:val="Grid Table 1 Light Accent 1"/>
    <w:basedOn w:val="TableNormal"/>
    <w:uiPriority w:val="46"/>
    <w:rsid w:val="00E95417"/>
    <w:rPr>
      <w:w w:val="90"/>
    </w:r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1743DE"/>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1743DE"/>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TOC3">
    <w:name w:val="toc 3"/>
    <w:basedOn w:val="Normal"/>
    <w:next w:val="Normal"/>
    <w:autoRedefine/>
    <w:uiPriority w:val="39"/>
    <w:unhideWhenUsed/>
    <w:rsid w:val="00E82FA7"/>
    <w:pPr>
      <w:spacing w:after="100"/>
      <w:ind w:left="480"/>
    </w:pPr>
  </w:style>
  <w:style w:type="paragraph" w:styleId="TableofFigures">
    <w:name w:val="table of figures"/>
    <w:basedOn w:val="Normal"/>
    <w:next w:val="Normal"/>
    <w:uiPriority w:val="99"/>
    <w:unhideWhenUsed/>
    <w:rsid w:val="009442E2"/>
  </w:style>
  <w:style w:type="paragraph" w:styleId="NormalWeb">
    <w:name w:val="Normal (Web)"/>
    <w:basedOn w:val="Normal"/>
    <w:uiPriority w:val="99"/>
    <w:semiHidden/>
    <w:unhideWhenUsed/>
    <w:qFormat/>
    <w:rsid w:val="00D14F76"/>
    <w:pPr>
      <w:spacing w:before="100" w:beforeAutospacing="1" w:after="100" w:afterAutospacing="1"/>
      <w:jc w:val="left"/>
    </w:pPr>
    <w:rPr>
      <w:rFonts w:ascii="Times New Roman" w:eastAsia="Times New Roman" w:hAnsi="Times New Roman" w:cs="Times New Roman"/>
      <w:color w:val="333333"/>
      <w:sz w:val="22"/>
      <w:szCs w:val="27"/>
      <w:lang w:val="en-GB" w:eastAsia="en-GB"/>
    </w:rPr>
  </w:style>
  <w:style w:type="paragraph" w:customStyle="1" w:styleId="oj-ti-grseq-1">
    <w:name w:val="oj-ti-grseq-1"/>
    <w:basedOn w:val="Normal"/>
    <w:qFormat/>
    <w:rsid w:val="00D14F76"/>
    <w:pPr>
      <w:spacing w:before="100" w:beforeAutospacing="1" w:after="100" w:afterAutospacing="1"/>
      <w:jc w:val="left"/>
    </w:pPr>
    <w:rPr>
      <w:rFonts w:ascii="Times New Roman" w:eastAsia="Times New Roman" w:hAnsi="Times New Roman" w:cs="Times New Roman"/>
      <w:color w:val="333333"/>
      <w:sz w:val="22"/>
      <w:szCs w:val="27"/>
      <w:lang w:val="en-GB" w:eastAsia="en-GB"/>
    </w:rPr>
  </w:style>
  <w:style w:type="character" w:customStyle="1" w:styleId="oj-bold">
    <w:name w:val="oj-bold"/>
    <w:basedOn w:val="DefaultParagraphFont"/>
    <w:qFormat/>
    <w:rsid w:val="00D14F76"/>
  </w:style>
  <w:style w:type="paragraph" w:customStyle="1" w:styleId="oj-normal">
    <w:name w:val="oj-normal"/>
    <w:basedOn w:val="Normal"/>
    <w:qFormat/>
    <w:rsid w:val="00D14F76"/>
    <w:pPr>
      <w:spacing w:before="100" w:beforeAutospacing="1" w:after="100" w:afterAutospacing="1"/>
      <w:jc w:val="left"/>
    </w:pPr>
    <w:rPr>
      <w:rFonts w:ascii="Times New Roman" w:eastAsia="Times New Roman" w:hAnsi="Times New Roman" w:cs="Times New Roman"/>
      <w:color w:val="333333"/>
      <w:sz w:val="22"/>
      <w:szCs w:val="27"/>
      <w:lang w:val="en-GB" w:eastAsia="en-GB"/>
    </w:rPr>
  </w:style>
  <w:style w:type="character" w:customStyle="1" w:styleId="oj-italic">
    <w:name w:val="oj-italic"/>
    <w:basedOn w:val="DefaultParagraphFont"/>
    <w:qFormat/>
    <w:rsid w:val="00D14F76"/>
  </w:style>
  <w:style w:type="paragraph" w:customStyle="1" w:styleId="oj-tbl-txt">
    <w:name w:val="oj-tbl-txt"/>
    <w:basedOn w:val="Normal"/>
    <w:qFormat/>
    <w:rsid w:val="00D14F76"/>
    <w:pPr>
      <w:spacing w:before="100" w:beforeAutospacing="1" w:after="100" w:afterAutospacing="1"/>
      <w:jc w:val="left"/>
    </w:pPr>
    <w:rPr>
      <w:rFonts w:ascii="Times New Roman" w:eastAsia="Times New Roman" w:hAnsi="Times New Roman" w:cs="Times New Roman"/>
      <w:color w:val="333333"/>
      <w:sz w:val="22"/>
      <w:szCs w:val="27"/>
      <w:lang w:val="en-GB" w:eastAsia="en-GB"/>
    </w:rPr>
  </w:style>
  <w:style w:type="paragraph" w:customStyle="1" w:styleId="oj-tbl-hdr">
    <w:name w:val="oj-tbl-hdr"/>
    <w:basedOn w:val="Normal"/>
    <w:rsid w:val="00D14F76"/>
    <w:pPr>
      <w:spacing w:before="100" w:beforeAutospacing="1" w:after="100" w:afterAutospacing="1"/>
      <w:jc w:val="left"/>
    </w:pPr>
    <w:rPr>
      <w:rFonts w:ascii="Times New Roman" w:eastAsia="Times New Roman" w:hAnsi="Times New Roman" w:cs="Times New Roman"/>
      <w:color w:val="333333"/>
      <w:sz w:val="22"/>
      <w:szCs w:val="27"/>
      <w:lang w:val="en-GB" w:eastAsia="en-GB"/>
    </w:rPr>
  </w:style>
  <w:style w:type="character" w:customStyle="1" w:styleId="oj-sub">
    <w:name w:val="oj-sub"/>
    <w:basedOn w:val="DefaultParagraphFont"/>
    <w:qFormat/>
    <w:rsid w:val="00D14F76"/>
  </w:style>
  <w:style w:type="character" w:customStyle="1" w:styleId="oj-expanded">
    <w:name w:val="oj-expanded"/>
    <w:basedOn w:val="DefaultParagraphFont"/>
    <w:rsid w:val="00D14F76"/>
  </w:style>
  <w:style w:type="character" w:customStyle="1" w:styleId="oj-super">
    <w:name w:val="oj-super"/>
    <w:basedOn w:val="DefaultParagraphFont"/>
    <w:qFormat/>
    <w:rsid w:val="00D14F76"/>
  </w:style>
  <w:style w:type="paragraph" w:styleId="BalloonText">
    <w:name w:val="Balloon Text"/>
    <w:basedOn w:val="Normal"/>
    <w:link w:val="BalloonTextChar"/>
    <w:uiPriority w:val="99"/>
    <w:semiHidden/>
    <w:unhideWhenUsed/>
    <w:rsid w:val="00F67F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7F0B"/>
    <w:rPr>
      <w:rFonts w:ascii="Segoe UI" w:hAnsi="Segoe UI" w:cs="Segoe UI"/>
      <w:sz w:val="18"/>
      <w:szCs w:val="18"/>
      <w:lang w:val="sr-Latn-M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636098">
      <w:bodyDiv w:val="1"/>
      <w:marLeft w:val="0"/>
      <w:marRight w:val="0"/>
      <w:marTop w:val="0"/>
      <w:marBottom w:val="0"/>
      <w:divBdr>
        <w:top w:val="none" w:sz="0" w:space="0" w:color="auto"/>
        <w:left w:val="none" w:sz="0" w:space="0" w:color="auto"/>
        <w:bottom w:val="none" w:sz="0" w:space="0" w:color="auto"/>
        <w:right w:val="none" w:sz="0" w:space="0" w:color="auto"/>
      </w:divBdr>
      <w:divsChild>
        <w:div w:id="2038651553">
          <w:marLeft w:val="0"/>
          <w:marRight w:val="0"/>
          <w:marTop w:val="0"/>
          <w:marBottom w:val="0"/>
          <w:divBdr>
            <w:top w:val="none" w:sz="0" w:space="0" w:color="auto"/>
            <w:left w:val="none" w:sz="0" w:space="0" w:color="auto"/>
            <w:bottom w:val="none" w:sz="0" w:space="0" w:color="auto"/>
            <w:right w:val="none" w:sz="0" w:space="0" w:color="auto"/>
          </w:divBdr>
          <w:divsChild>
            <w:div w:id="218708018">
              <w:marLeft w:val="0"/>
              <w:marRight w:val="0"/>
              <w:marTop w:val="0"/>
              <w:marBottom w:val="0"/>
              <w:divBdr>
                <w:top w:val="none" w:sz="0" w:space="0" w:color="auto"/>
                <w:left w:val="none" w:sz="0" w:space="0" w:color="auto"/>
                <w:bottom w:val="none" w:sz="0" w:space="0" w:color="auto"/>
                <w:right w:val="none" w:sz="0" w:space="0" w:color="auto"/>
              </w:divBdr>
              <w:divsChild>
                <w:div w:id="1576427313">
                  <w:marLeft w:val="0"/>
                  <w:marRight w:val="0"/>
                  <w:marTop w:val="0"/>
                  <w:marBottom w:val="0"/>
                  <w:divBdr>
                    <w:top w:val="none" w:sz="0" w:space="0" w:color="auto"/>
                    <w:left w:val="none" w:sz="0" w:space="0" w:color="auto"/>
                    <w:bottom w:val="none" w:sz="0" w:space="0" w:color="auto"/>
                    <w:right w:val="none" w:sz="0" w:space="0" w:color="auto"/>
                  </w:divBdr>
                  <w:divsChild>
                    <w:div w:id="1567108925">
                      <w:marLeft w:val="0"/>
                      <w:marRight w:val="0"/>
                      <w:marTop w:val="0"/>
                      <w:marBottom w:val="0"/>
                      <w:divBdr>
                        <w:top w:val="none" w:sz="0" w:space="0" w:color="auto"/>
                        <w:left w:val="none" w:sz="0" w:space="0" w:color="auto"/>
                        <w:bottom w:val="none" w:sz="0" w:space="0" w:color="auto"/>
                        <w:right w:val="none" w:sz="0" w:space="0" w:color="auto"/>
                      </w:divBdr>
                      <w:divsChild>
                        <w:div w:id="736974656">
                          <w:marLeft w:val="0"/>
                          <w:marRight w:val="0"/>
                          <w:marTop w:val="0"/>
                          <w:marBottom w:val="0"/>
                          <w:divBdr>
                            <w:top w:val="none" w:sz="0" w:space="0" w:color="auto"/>
                            <w:left w:val="none" w:sz="0" w:space="0" w:color="auto"/>
                            <w:bottom w:val="none" w:sz="0" w:space="0" w:color="auto"/>
                            <w:right w:val="none" w:sz="0" w:space="0" w:color="auto"/>
                          </w:divBdr>
                          <w:divsChild>
                            <w:div w:id="152327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402628">
          <w:marLeft w:val="0"/>
          <w:marRight w:val="0"/>
          <w:marTop w:val="0"/>
          <w:marBottom w:val="0"/>
          <w:divBdr>
            <w:top w:val="none" w:sz="0" w:space="0" w:color="auto"/>
            <w:left w:val="none" w:sz="0" w:space="0" w:color="auto"/>
            <w:bottom w:val="none" w:sz="0" w:space="0" w:color="auto"/>
            <w:right w:val="none" w:sz="0" w:space="0" w:color="auto"/>
          </w:divBdr>
          <w:divsChild>
            <w:div w:id="920527823">
              <w:marLeft w:val="0"/>
              <w:marRight w:val="0"/>
              <w:marTop w:val="0"/>
              <w:marBottom w:val="0"/>
              <w:divBdr>
                <w:top w:val="none" w:sz="0" w:space="0" w:color="auto"/>
                <w:left w:val="none" w:sz="0" w:space="0" w:color="auto"/>
                <w:bottom w:val="none" w:sz="0" w:space="0" w:color="auto"/>
                <w:right w:val="none" w:sz="0" w:space="0" w:color="auto"/>
              </w:divBdr>
              <w:divsChild>
                <w:div w:id="261030390">
                  <w:marLeft w:val="0"/>
                  <w:marRight w:val="0"/>
                  <w:marTop w:val="0"/>
                  <w:marBottom w:val="0"/>
                  <w:divBdr>
                    <w:top w:val="none" w:sz="0" w:space="0" w:color="auto"/>
                    <w:left w:val="none" w:sz="0" w:space="0" w:color="auto"/>
                    <w:bottom w:val="none" w:sz="0" w:space="0" w:color="auto"/>
                    <w:right w:val="none" w:sz="0" w:space="0" w:color="auto"/>
                  </w:divBdr>
                  <w:divsChild>
                    <w:div w:id="720176499">
                      <w:marLeft w:val="0"/>
                      <w:marRight w:val="0"/>
                      <w:marTop w:val="0"/>
                      <w:marBottom w:val="0"/>
                      <w:divBdr>
                        <w:top w:val="none" w:sz="0" w:space="0" w:color="auto"/>
                        <w:left w:val="none" w:sz="0" w:space="0" w:color="auto"/>
                        <w:bottom w:val="none" w:sz="0" w:space="0" w:color="auto"/>
                        <w:right w:val="none" w:sz="0" w:space="0" w:color="auto"/>
                      </w:divBdr>
                      <w:divsChild>
                        <w:div w:id="1981030497">
                          <w:marLeft w:val="0"/>
                          <w:marRight w:val="0"/>
                          <w:marTop w:val="0"/>
                          <w:marBottom w:val="0"/>
                          <w:divBdr>
                            <w:top w:val="none" w:sz="0" w:space="0" w:color="auto"/>
                            <w:left w:val="none" w:sz="0" w:space="0" w:color="auto"/>
                            <w:bottom w:val="none" w:sz="0" w:space="0" w:color="auto"/>
                            <w:right w:val="none" w:sz="0" w:space="0" w:color="auto"/>
                          </w:divBdr>
                          <w:divsChild>
                            <w:div w:id="999236236">
                              <w:marLeft w:val="0"/>
                              <w:marRight w:val="0"/>
                              <w:marTop w:val="0"/>
                              <w:marBottom w:val="0"/>
                              <w:divBdr>
                                <w:top w:val="none" w:sz="0" w:space="0" w:color="auto"/>
                                <w:left w:val="none" w:sz="0" w:space="0" w:color="auto"/>
                                <w:bottom w:val="none" w:sz="0" w:space="0" w:color="auto"/>
                                <w:right w:val="none" w:sz="0" w:space="0" w:color="auto"/>
                              </w:divBdr>
                              <w:divsChild>
                                <w:div w:id="548224940">
                                  <w:marLeft w:val="0"/>
                                  <w:marRight w:val="0"/>
                                  <w:marTop w:val="0"/>
                                  <w:marBottom w:val="0"/>
                                  <w:divBdr>
                                    <w:top w:val="none" w:sz="0" w:space="0" w:color="auto"/>
                                    <w:left w:val="none" w:sz="0" w:space="0" w:color="auto"/>
                                    <w:bottom w:val="none" w:sz="0" w:space="0" w:color="auto"/>
                                    <w:right w:val="none" w:sz="0" w:space="0" w:color="auto"/>
                                  </w:divBdr>
                                  <w:divsChild>
                                    <w:div w:id="1668246580">
                                      <w:marLeft w:val="0"/>
                                      <w:marRight w:val="0"/>
                                      <w:marTop w:val="0"/>
                                      <w:marBottom w:val="0"/>
                                      <w:divBdr>
                                        <w:top w:val="none" w:sz="0" w:space="0" w:color="auto"/>
                                        <w:left w:val="none" w:sz="0" w:space="0" w:color="auto"/>
                                        <w:bottom w:val="none" w:sz="0" w:space="0" w:color="auto"/>
                                        <w:right w:val="none" w:sz="0" w:space="0" w:color="auto"/>
                                      </w:divBdr>
                                      <w:divsChild>
                                        <w:div w:id="975918429">
                                          <w:marLeft w:val="0"/>
                                          <w:marRight w:val="0"/>
                                          <w:marTop w:val="0"/>
                                          <w:marBottom w:val="0"/>
                                          <w:divBdr>
                                            <w:top w:val="none" w:sz="0" w:space="0" w:color="auto"/>
                                            <w:left w:val="none" w:sz="0" w:space="0" w:color="auto"/>
                                            <w:bottom w:val="none" w:sz="0" w:space="0" w:color="auto"/>
                                            <w:right w:val="none" w:sz="0" w:space="0" w:color="auto"/>
                                          </w:divBdr>
                                          <w:divsChild>
                                            <w:div w:id="406658508">
                                              <w:marLeft w:val="0"/>
                                              <w:marRight w:val="0"/>
                                              <w:marTop w:val="0"/>
                                              <w:marBottom w:val="0"/>
                                              <w:divBdr>
                                                <w:top w:val="none" w:sz="0" w:space="0" w:color="auto"/>
                                                <w:left w:val="none" w:sz="0" w:space="0" w:color="auto"/>
                                                <w:bottom w:val="none" w:sz="0" w:space="0" w:color="auto"/>
                                                <w:right w:val="none" w:sz="0" w:space="0" w:color="auto"/>
                                              </w:divBdr>
                                              <w:divsChild>
                                                <w:div w:id="1290941097">
                                                  <w:marLeft w:val="0"/>
                                                  <w:marRight w:val="0"/>
                                                  <w:marTop w:val="0"/>
                                                  <w:marBottom w:val="0"/>
                                                  <w:divBdr>
                                                    <w:top w:val="none" w:sz="0" w:space="0" w:color="auto"/>
                                                    <w:left w:val="none" w:sz="0" w:space="0" w:color="auto"/>
                                                    <w:bottom w:val="none" w:sz="0" w:space="0" w:color="auto"/>
                                                    <w:right w:val="none" w:sz="0" w:space="0" w:color="auto"/>
                                                  </w:divBdr>
                                                  <w:divsChild>
                                                    <w:div w:id="208202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www.eea.europa.eu/en/analysis/publications/harm-to-human-health-from-air-pollution-2024/table-1" TargetMode="External"/><Relationship Id="rId34" Type="http://schemas.openxmlformats.org/officeDocument/2006/relationships/image" Target="media/image14.jpeg"/><Relationship Id="rId42" Type="http://schemas.openxmlformats.org/officeDocument/2006/relationships/image" Target="media/image17.png"/><Relationship Id="rId47" Type="http://schemas.openxmlformats.org/officeDocument/2006/relationships/hyperlink" Target="https://www.gov.me/clanak/151943--plan-kvaliteta-vazduha-za-glavni-grad-podgorica" TargetMode="External"/><Relationship Id="rId50" Type="http://schemas.openxmlformats.org/officeDocument/2006/relationships/hyperlink" Target="https://eur-lex.europa.eu/eli/dir/2016/2284/oj" TargetMode="External"/><Relationship Id="rId55" Type="http://schemas.openxmlformats.org/officeDocument/2006/relationships/hyperlink" Target="https://www.stateofglobalair.org/resources/report/trends-air-quality-and-health-southeast-europe" TargetMode="External"/><Relationship Id="rId63" Type="http://schemas.openxmlformats.org/officeDocument/2006/relationships/image" Target="media/image20.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pa.org.me/vazduh/" TargetMode="External"/><Relationship Id="rId29" Type="http://schemas.openxmlformats.org/officeDocument/2006/relationships/image" Target="media/image10.jpeg"/><Relationship Id="rId11" Type="http://schemas.openxmlformats.org/officeDocument/2006/relationships/chart" Target="charts/chart2.xml"/><Relationship Id="rId24" Type="http://schemas.openxmlformats.org/officeDocument/2006/relationships/header" Target="header1.xml"/><Relationship Id="rId32" Type="http://schemas.openxmlformats.org/officeDocument/2006/relationships/hyperlink" Target="https://www.epa.org.me/vazduh/stanica/1" TargetMode="External"/><Relationship Id="rId37" Type="http://schemas.openxmlformats.org/officeDocument/2006/relationships/image" Target="media/image16.jpeg"/><Relationship Id="rId40" Type="http://schemas.openxmlformats.org/officeDocument/2006/relationships/hyperlink" Target="https://www.gov.me/javne-rasprave" TargetMode="External"/><Relationship Id="rId45" Type="http://schemas.openxmlformats.org/officeDocument/2006/relationships/hyperlink" Target="https://wapi.gov.me/download/1566f0ac-2863-4a2c-aaab-5d05c18ab47d" TargetMode="External"/><Relationship Id="rId53" Type="http://schemas.openxmlformats.org/officeDocument/2006/relationships/hyperlink" Target="https://www.eea.europa.eu/en/analysis/publications/harm-to-human-health-from-air-pollution-2024" TargetMode="External"/><Relationship Id="rId58" Type="http://schemas.openxmlformats.org/officeDocument/2006/relationships/hyperlink" Target="https://www.monstat.org/cg/"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8.emf"/><Relationship Id="rId19" Type="http://schemas.openxmlformats.org/officeDocument/2006/relationships/chart" Target="charts/chart7.xml"/><Relationship Id="rId14" Type="http://schemas.openxmlformats.org/officeDocument/2006/relationships/chart" Target="charts/chart5.xml"/><Relationship Id="rId22" Type="http://schemas.openxmlformats.org/officeDocument/2006/relationships/image" Target="media/image6.jpeg"/><Relationship Id="rId27" Type="http://schemas.openxmlformats.org/officeDocument/2006/relationships/hyperlink" Target="https://www.epa.org.me/vazduh/stanica/4" TargetMode="External"/><Relationship Id="rId30" Type="http://schemas.openxmlformats.org/officeDocument/2006/relationships/image" Target="media/image11.jpeg"/><Relationship Id="rId35" Type="http://schemas.openxmlformats.org/officeDocument/2006/relationships/hyperlink" Target="https://www.epa.org.me/vazduh/stanica/2" TargetMode="External"/><Relationship Id="rId43" Type="http://schemas.openxmlformats.org/officeDocument/2006/relationships/hyperlink" Target="https://eur-lex.europa.eu/legal-content/HR/TXT/?uri=uriserv%3AOJ.L_.2018.256.01.0087.01.HRV&amp;toc=OJ%3AL%3A2018%3A256%3ATOC" TargetMode="External"/><Relationship Id="rId48" Type="http://schemas.openxmlformats.org/officeDocument/2006/relationships/hyperlink" Target="https://wapi.gov.me/download/4c1901cb-fbe3-480d-89c7-27817a25343e" TargetMode="External"/><Relationship Id="rId56" Type="http://schemas.openxmlformats.org/officeDocument/2006/relationships/hyperlink" Target="https://www.epa.org.me" TargetMode="External"/><Relationship Id="rId64" Type="http://schemas.openxmlformats.org/officeDocument/2006/relationships/image" Target="media/image21.emf"/><Relationship Id="rId8" Type="http://schemas.openxmlformats.org/officeDocument/2006/relationships/image" Target="media/image1.png"/><Relationship Id="rId51" Type="http://schemas.openxmlformats.org/officeDocument/2006/relationships/hyperlink" Target="https://eur-lex.europa.eu/eli/dir/2024/2881/oj" TargetMode="Externa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6.xml"/><Relationship Id="rId25" Type="http://schemas.openxmlformats.org/officeDocument/2006/relationships/footer" Target="footer1.xml"/><Relationship Id="rId33" Type="http://schemas.openxmlformats.org/officeDocument/2006/relationships/image" Target="media/image13.jpeg"/><Relationship Id="rId38" Type="http://schemas.openxmlformats.org/officeDocument/2006/relationships/hyperlink" Target="https://leks.canu.ac.me/web/blcg.php?OID=1678" TargetMode="External"/><Relationship Id="rId46" Type="http://schemas.openxmlformats.org/officeDocument/2006/relationships/hyperlink" Target="https://www.gov.me/dokumenta/11674b76-fe5c-4fcc-b0ac-9b3f681e633b" TargetMode="External"/><Relationship Id="rId59" Type="http://schemas.openxmlformats.org/officeDocument/2006/relationships/hyperlink" Target="https://canupub.me/knjiga/atlas-klime-crne-gore/" TargetMode="External"/><Relationship Id="rId20" Type="http://schemas.openxmlformats.org/officeDocument/2006/relationships/image" Target="media/image5.png"/><Relationship Id="rId41" Type="http://schemas.openxmlformats.org/officeDocument/2006/relationships/hyperlink" Target="https://www.gov.me/mers" TargetMode="External"/><Relationship Id="rId54" Type="http://schemas.openxmlformats.org/officeDocument/2006/relationships/hyperlink" Target="https://data.europa.eu/doi/10.2760/1865356" TargetMode="External"/><Relationship Id="rId62"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emf"/><Relationship Id="rId28" Type="http://schemas.openxmlformats.org/officeDocument/2006/relationships/image" Target="media/image9.jpeg"/><Relationship Id="rId36" Type="http://schemas.openxmlformats.org/officeDocument/2006/relationships/image" Target="media/image15.jpeg"/><Relationship Id="rId49" Type="http://schemas.openxmlformats.org/officeDocument/2006/relationships/hyperlink" Target="https://www.eu.me/poglavlje-27-zivotna-sredina-i-klimatske-promjene/" TargetMode="External"/><Relationship Id="rId57" Type="http://schemas.openxmlformats.org/officeDocument/2006/relationships/hyperlink" Target="https://www.ceip.at/status-of-reporting-and-review-results/2024-submission" TargetMode="External"/><Relationship Id="rId10" Type="http://schemas.openxmlformats.org/officeDocument/2006/relationships/chart" Target="charts/chart1.xml"/><Relationship Id="rId31" Type="http://schemas.openxmlformats.org/officeDocument/2006/relationships/image" Target="media/image12.jpeg"/><Relationship Id="rId44" Type="http://schemas.openxmlformats.org/officeDocument/2006/relationships/hyperlink" Target="https://www.gov.me/dokumenta/5278544d-536e-49c6-ad06-a0476ee715ac" TargetMode="External"/><Relationship Id="rId52" Type="http://schemas.openxmlformats.org/officeDocument/2006/relationships/hyperlink" Target="https://www.eea.europa.eu/en/analysis/publications/europes-air-quality-status-2024" TargetMode="External"/><Relationship Id="rId60" Type="http://schemas.openxmlformats.org/officeDocument/2006/relationships/hyperlink" Target="https://leks.canu.ac.me/web/blcg.php"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chart" Target="charts/chart4.xml"/><Relationship Id="rId18" Type="http://schemas.openxmlformats.org/officeDocument/2006/relationships/image" Target="media/image4.png"/><Relationship Id="rId39" Type="http://schemas.openxmlformats.org/officeDocument/2006/relationships/hyperlink" Target="https://www.gov.m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javascript:void(0)" TargetMode="External"/><Relationship Id="rId2" Type="http://schemas.openxmlformats.org/officeDocument/2006/relationships/hyperlink" Target="javascript:void(0)" TargetMode="External"/><Relationship Id="rId1" Type="http://schemas.openxmlformats.org/officeDocument/2006/relationships/hyperlink" Target="javascript:void(0)" TargetMode="External"/><Relationship Id="rId5" Type="http://schemas.openxmlformats.org/officeDocument/2006/relationships/hyperlink" Target="https://www.stateofglobalair.org/resources/report/trends-air-quality-and-health-southeast-europe" TargetMode="External"/><Relationship Id="rId4" Type="http://schemas.openxmlformats.org/officeDocument/2006/relationships/hyperlink" Target="https://www.eea.europa.eu/en/analysis/publications/europes-air-quality-status-2024"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oleObject" Target="file:///C:\Users\ohoo2\OneDrive\Documents\2025\Strategija%20vazduh\AQ%20tabele%202020_20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ohoo2\OneDrive\Documents\2025\Strategija%20vazduh\AQ%20tabele%202020_20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ohoo2\OneDrive\Documents\2025\Strategija%20vazduh\AQ%20tabele%202020_202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ohoo2\OneDrive\Documents\2025\Strategija%20vazduh\AQ%20tabele%202020_202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4bc16e981177d9df/Documents/2025/Zavrseno/UNEP/Brochure/PM2_5%20WB6%20EU27.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GB" sz="1400" b="0" i="0" u="none" strike="noStrike" kern="1200" spc="0" baseline="0">
                <a:solidFill>
                  <a:schemeClr val="tx1">
                    <a:lumMod val="65000"/>
                    <a:lumOff val="35000"/>
                  </a:schemeClr>
                </a:solidFill>
                <a:latin typeface="+mn-lt"/>
                <a:ea typeface="+mn-ea"/>
                <a:cs typeface="+mn-cs"/>
              </a:defRPr>
            </a:pPr>
            <a:r>
              <a:rPr lang="en-GB"/>
              <a:t>NO2</a:t>
            </a:r>
          </a:p>
        </c:rich>
      </c:tx>
      <c:overlay val="0"/>
      <c:spPr>
        <a:noFill/>
        <a:ln>
          <a:noFill/>
        </a:ln>
        <a:effectLst/>
      </c:spPr>
      <c:txPr>
        <a:bodyPr rot="0" spcFirstLastPara="1" vertOverflow="ellipsis" vert="horz" wrap="square" anchor="ctr" anchorCtr="1"/>
        <a:lstStyle/>
        <a:p>
          <a:pPr>
            <a:defRPr lang="en-GB"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'[AQ tabele 2020_2024.xlsx]NO2'!$B$3</c:f>
              <c:strCache>
                <c:ptCount val="1"/>
                <c:pt idx="0">
                  <c:v>Zona Sjever</c:v>
                </c:pt>
              </c:strCache>
            </c:strRef>
          </c:tx>
          <c:spPr>
            <a:ln w="28575" cap="rnd">
              <a:solidFill>
                <a:schemeClr val="accent1"/>
              </a:solidFill>
              <a:round/>
            </a:ln>
            <a:effectLst/>
          </c:spPr>
          <c:marker>
            <c:symbol val="none"/>
          </c:marker>
          <c:cat>
            <c:numRef>
              <c:f>'[AQ tabele 2020_2024.xlsx]NO2'!$C$2:$G$2</c:f>
              <c:numCache>
                <c:formatCode>General</c:formatCode>
                <c:ptCount val="5"/>
                <c:pt idx="0">
                  <c:v>2020</c:v>
                </c:pt>
                <c:pt idx="1">
                  <c:v>2021</c:v>
                </c:pt>
                <c:pt idx="2">
                  <c:v>2022</c:v>
                </c:pt>
                <c:pt idx="3">
                  <c:v>2023</c:v>
                </c:pt>
                <c:pt idx="4">
                  <c:v>2024</c:v>
                </c:pt>
              </c:numCache>
            </c:numRef>
          </c:cat>
          <c:val>
            <c:numRef>
              <c:f>'[AQ tabele 2020_2024.xlsx]NO2'!$C$3:$G$3</c:f>
              <c:numCache>
                <c:formatCode>General</c:formatCode>
                <c:ptCount val="5"/>
                <c:pt idx="0">
                  <c:v>12.7</c:v>
                </c:pt>
                <c:pt idx="1">
                  <c:v>11.5</c:v>
                </c:pt>
                <c:pt idx="2">
                  <c:v>12.1</c:v>
                </c:pt>
                <c:pt idx="3">
                  <c:v>13.8</c:v>
                </c:pt>
                <c:pt idx="4">
                  <c:v>15.97</c:v>
                </c:pt>
              </c:numCache>
            </c:numRef>
          </c:val>
          <c:smooth val="1"/>
          <c:extLst>
            <c:ext xmlns:c16="http://schemas.microsoft.com/office/drawing/2014/chart" uri="{C3380CC4-5D6E-409C-BE32-E72D297353CC}">
              <c16:uniqueId val="{00000000-DA81-406F-A343-3527DA44F251}"/>
            </c:ext>
          </c:extLst>
        </c:ser>
        <c:ser>
          <c:idx val="1"/>
          <c:order val="1"/>
          <c:tx>
            <c:strRef>
              <c:f>'[AQ tabele 2020_2024.xlsx]NO2'!$B$4</c:f>
              <c:strCache>
                <c:ptCount val="1"/>
                <c:pt idx="0">
                  <c:v>Zona Centar</c:v>
                </c:pt>
              </c:strCache>
            </c:strRef>
          </c:tx>
          <c:spPr>
            <a:ln w="28575" cap="rnd">
              <a:solidFill>
                <a:schemeClr val="tx2">
                  <a:lumMod val="50000"/>
                  <a:lumOff val="50000"/>
                </a:schemeClr>
              </a:solidFill>
              <a:round/>
            </a:ln>
            <a:effectLst/>
          </c:spPr>
          <c:marker>
            <c:symbol val="none"/>
          </c:marker>
          <c:cat>
            <c:numRef>
              <c:f>'[AQ tabele 2020_2024.xlsx]NO2'!$C$2:$G$2</c:f>
              <c:numCache>
                <c:formatCode>General</c:formatCode>
                <c:ptCount val="5"/>
                <c:pt idx="0">
                  <c:v>2020</c:v>
                </c:pt>
                <c:pt idx="1">
                  <c:v>2021</c:v>
                </c:pt>
                <c:pt idx="2">
                  <c:v>2022</c:v>
                </c:pt>
                <c:pt idx="3">
                  <c:v>2023</c:v>
                </c:pt>
                <c:pt idx="4">
                  <c:v>2024</c:v>
                </c:pt>
              </c:numCache>
            </c:numRef>
          </c:cat>
          <c:val>
            <c:numRef>
              <c:f>'[AQ tabele 2020_2024.xlsx]NO2'!$C$4:$G$4</c:f>
              <c:numCache>
                <c:formatCode>General</c:formatCode>
                <c:ptCount val="5"/>
                <c:pt idx="0">
                  <c:v>7.1</c:v>
                </c:pt>
                <c:pt idx="1">
                  <c:v>19.399999999999999</c:v>
                </c:pt>
                <c:pt idx="2">
                  <c:v>10.9</c:v>
                </c:pt>
                <c:pt idx="3">
                  <c:v>14.6</c:v>
                </c:pt>
                <c:pt idx="4">
                  <c:v>11.25</c:v>
                </c:pt>
              </c:numCache>
            </c:numRef>
          </c:val>
          <c:smooth val="1"/>
          <c:extLst>
            <c:ext xmlns:c16="http://schemas.microsoft.com/office/drawing/2014/chart" uri="{C3380CC4-5D6E-409C-BE32-E72D297353CC}">
              <c16:uniqueId val="{00000001-DA81-406F-A343-3527DA44F251}"/>
            </c:ext>
          </c:extLst>
        </c:ser>
        <c:ser>
          <c:idx val="2"/>
          <c:order val="2"/>
          <c:tx>
            <c:strRef>
              <c:f>'[AQ tabele 2020_2024.xlsx]NO2'!$B$5</c:f>
              <c:strCache>
                <c:ptCount val="1"/>
                <c:pt idx="0">
                  <c:v>Zona Jug</c:v>
                </c:pt>
              </c:strCache>
            </c:strRef>
          </c:tx>
          <c:spPr>
            <a:ln w="28575" cap="rnd">
              <a:solidFill>
                <a:schemeClr val="accent4">
                  <a:lumMod val="40000"/>
                  <a:lumOff val="60000"/>
                </a:schemeClr>
              </a:solidFill>
              <a:round/>
            </a:ln>
            <a:effectLst/>
          </c:spPr>
          <c:marker>
            <c:symbol val="none"/>
          </c:marker>
          <c:cat>
            <c:numRef>
              <c:f>'[AQ tabele 2020_2024.xlsx]NO2'!$C$2:$G$2</c:f>
              <c:numCache>
                <c:formatCode>General</c:formatCode>
                <c:ptCount val="5"/>
                <c:pt idx="0">
                  <c:v>2020</c:v>
                </c:pt>
                <c:pt idx="1">
                  <c:v>2021</c:v>
                </c:pt>
                <c:pt idx="2">
                  <c:v>2022</c:v>
                </c:pt>
                <c:pt idx="3">
                  <c:v>2023</c:v>
                </c:pt>
                <c:pt idx="4">
                  <c:v>2024</c:v>
                </c:pt>
              </c:numCache>
            </c:numRef>
          </c:cat>
          <c:val>
            <c:numRef>
              <c:f>'[AQ tabele 2020_2024.xlsx]NO2'!$C$5:$G$5</c:f>
              <c:numCache>
                <c:formatCode>General</c:formatCode>
                <c:ptCount val="5"/>
                <c:pt idx="0">
                  <c:v>9.1</c:v>
                </c:pt>
                <c:pt idx="1">
                  <c:v>9.1999999999999993</c:v>
                </c:pt>
                <c:pt idx="2">
                  <c:v>14.17</c:v>
                </c:pt>
                <c:pt idx="3">
                  <c:v>14.5</c:v>
                </c:pt>
                <c:pt idx="4">
                  <c:v>14.87</c:v>
                </c:pt>
              </c:numCache>
            </c:numRef>
          </c:val>
          <c:smooth val="1"/>
          <c:extLst>
            <c:ext xmlns:c16="http://schemas.microsoft.com/office/drawing/2014/chart" uri="{C3380CC4-5D6E-409C-BE32-E72D297353CC}">
              <c16:uniqueId val="{00000002-DA81-406F-A343-3527DA44F251}"/>
            </c:ext>
          </c:extLst>
        </c:ser>
        <c:ser>
          <c:idx val="3"/>
          <c:order val="3"/>
          <c:tx>
            <c:strRef>
              <c:f>'[AQ tabele 2020_2024.xlsx]NO2'!$B$6</c:f>
              <c:strCache>
                <c:ptCount val="1"/>
                <c:pt idx="0">
                  <c:v>GV </c:v>
                </c:pt>
              </c:strCache>
            </c:strRef>
          </c:tx>
          <c:spPr>
            <a:ln w="28575" cap="rnd">
              <a:solidFill>
                <a:srgbClr val="FF0066"/>
              </a:solidFill>
              <a:round/>
            </a:ln>
            <a:effectLst/>
          </c:spPr>
          <c:marker>
            <c:symbol val="none"/>
          </c:marker>
          <c:cat>
            <c:numRef>
              <c:f>'[AQ tabele 2020_2024.xlsx]NO2'!$C$2:$G$2</c:f>
              <c:numCache>
                <c:formatCode>General</c:formatCode>
                <c:ptCount val="5"/>
                <c:pt idx="0">
                  <c:v>2020</c:v>
                </c:pt>
                <c:pt idx="1">
                  <c:v>2021</c:v>
                </c:pt>
                <c:pt idx="2">
                  <c:v>2022</c:v>
                </c:pt>
                <c:pt idx="3">
                  <c:v>2023</c:v>
                </c:pt>
                <c:pt idx="4">
                  <c:v>2024</c:v>
                </c:pt>
              </c:numCache>
            </c:numRef>
          </c:cat>
          <c:val>
            <c:numRef>
              <c:f>'[AQ tabele 2020_2024.xlsx]NO2'!$C$6:$G$6</c:f>
              <c:numCache>
                <c:formatCode>General</c:formatCode>
                <c:ptCount val="5"/>
                <c:pt idx="0">
                  <c:v>40</c:v>
                </c:pt>
                <c:pt idx="1">
                  <c:v>40</c:v>
                </c:pt>
                <c:pt idx="2">
                  <c:v>40</c:v>
                </c:pt>
                <c:pt idx="3">
                  <c:v>40</c:v>
                </c:pt>
                <c:pt idx="4">
                  <c:v>40</c:v>
                </c:pt>
              </c:numCache>
            </c:numRef>
          </c:val>
          <c:smooth val="0"/>
          <c:extLst>
            <c:ext xmlns:c16="http://schemas.microsoft.com/office/drawing/2014/chart" uri="{C3380CC4-5D6E-409C-BE32-E72D297353CC}">
              <c16:uniqueId val="{00000003-DA81-406F-A343-3527DA44F251}"/>
            </c:ext>
          </c:extLst>
        </c:ser>
        <c:ser>
          <c:idx val="4"/>
          <c:order val="4"/>
          <c:tx>
            <c:strRef>
              <c:f>'[AQ tabele 2020_2024.xlsx]NO2'!$B$7</c:f>
              <c:strCache>
                <c:ptCount val="1"/>
                <c:pt idx="0">
                  <c:v>Nova GV</c:v>
                </c:pt>
              </c:strCache>
            </c:strRef>
          </c:tx>
          <c:spPr>
            <a:ln w="28575" cap="rnd">
              <a:solidFill>
                <a:srgbClr val="FF0066"/>
              </a:solidFill>
              <a:round/>
            </a:ln>
            <a:effectLst/>
          </c:spPr>
          <c:marker>
            <c:symbol val="none"/>
          </c:marker>
          <c:cat>
            <c:numRef>
              <c:f>'[AQ tabele 2020_2024.xlsx]NO2'!$C$2:$G$2</c:f>
              <c:numCache>
                <c:formatCode>General</c:formatCode>
                <c:ptCount val="5"/>
                <c:pt idx="0">
                  <c:v>2020</c:v>
                </c:pt>
                <c:pt idx="1">
                  <c:v>2021</c:v>
                </c:pt>
                <c:pt idx="2">
                  <c:v>2022</c:v>
                </c:pt>
                <c:pt idx="3">
                  <c:v>2023</c:v>
                </c:pt>
                <c:pt idx="4">
                  <c:v>2024</c:v>
                </c:pt>
              </c:numCache>
            </c:numRef>
          </c:cat>
          <c:val>
            <c:numRef>
              <c:f>'[AQ tabele 2020_2024.xlsx]NO2'!$C$7:$G$7</c:f>
              <c:numCache>
                <c:formatCode>General</c:formatCode>
                <c:ptCount val="5"/>
                <c:pt idx="0">
                  <c:v>20</c:v>
                </c:pt>
                <c:pt idx="1">
                  <c:v>20</c:v>
                </c:pt>
                <c:pt idx="2">
                  <c:v>20</c:v>
                </c:pt>
                <c:pt idx="3">
                  <c:v>20</c:v>
                </c:pt>
                <c:pt idx="4">
                  <c:v>20</c:v>
                </c:pt>
              </c:numCache>
            </c:numRef>
          </c:val>
          <c:smooth val="0"/>
          <c:extLst>
            <c:ext xmlns:c16="http://schemas.microsoft.com/office/drawing/2014/chart" uri="{C3380CC4-5D6E-409C-BE32-E72D297353CC}">
              <c16:uniqueId val="{00000004-DA81-406F-A343-3527DA44F251}"/>
            </c:ext>
          </c:extLst>
        </c:ser>
        <c:dLbls>
          <c:showLegendKey val="0"/>
          <c:showVal val="0"/>
          <c:showCatName val="0"/>
          <c:showSerName val="0"/>
          <c:showPercent val="0"/>
          <c:showBubbleSize val="0"/>
        </c:dLbls>
        <c:smooth val="0"/>
        <c:axId val="1647307087"/>
        <c:axId val="1647292687"/>
      </c:lineChart>
      <c:catAx>
        <c:axId val="1647307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647292687"/>
        <c:crosses val="autoZero"/>
        <c:auto val="1"/>
        <c:lblAlgn val="ctr"/>
        <c:lblOffset val="100"/>
        <c:noMultiLvlLbl val="0"/>
      </c:catAx>
      <c:valAx>
        <c:axId val="16472926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6473070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de88ec76-3ab2-4aaf-bac6-b0ae4b667415}"/>
      </c:ext>
    </c:extLst>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GB" sz="1400" b="0" i="0" u="none" strike="noStrike" kern="1200" spc="0" baseline="0">
                <a:solidFill>
                  <a:schemeClr val="tx1">
                    <a:lumMod val="65000"/>
                    <a:lumOff val="35000"/>
                  </a:schemeClr>
                </a:solidFill>
                <a:latin typeface="+mn-lt"/>
                <a:ea typeface="+mn-ea"/>
                <a:cs typeface="+mn-cs"/>
              </a:defRPr>
            </a:pPr>
            <a:r>
              <a:rPr lang="en-US"/>
              <a:t>SO2</a:t>
            </a:r>
            <a:r>
              <a:rPr lang="en-US" baseline="0"/>
              <a:t> Pljevlja</a:t>
            </a:r>
            <a:endParaRPr lang="en-US"/>
          </a:p>
        </c:rich>
      </c:tx>
      <c:overlay val="0"/>
      <c:spPr>
        <a:noFill/>
        <a:ln>
          <a:noFill/>
        </a:ln>
        <a:effectLst/>
      </c:spPr>
      <c:txPr>
        <a:bodyPr rot="0" spcFirstLastPara="1" vertOverflow="ellipsis" vert="horz" wrap="square" anchor="ctr" anchorCtr="1"/>
        <a:lstStyle/>
        <a:p>
          <a:pPr>
            <a:defRPr lang="en-GB"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'[AQ tabele 2020_2024.xlsx]SO2'!$B$3</c:f>
              <c:strCache>
                <c:ptCount val="1"/>
                <c:pt idx="0">
                  <c:v>Pljevlja</c:v>
                </c:pt>
              </c:strCache>
            </c:strRef>
          </c:tx>
          <c:spPr>
            <a:ln w="28575" cap="rnd">
              <a:solidFill>
                <a:schemeClr val="accent1"/>
              </a:solidFill>
              <a:round/>
            </a:ln>
            <a:effectLst/>
          </c:spPr>
          <c:marker>
            <c:symbol val="none"/>
          </c:marker>
          <c:cat>
            <c:numRef>
              <c:f>'[AQ tabele 2020_2024.xlsx]SO2'!$C$2:$G$2</c:f>
              <c:numCache>
                <c:formatCode>General</c:formatCode>
                <c:ptCount val="5"/>
                <c:pt idx="0">
                  <c:v>2020</c:v>
                </c:pt>
                <c:pt idx="1">
                  <c:v>2021</c:v>
                </c:pt>
                <c:pt idx="2">
                  <c:v>2022</c:v>
                </c:pt>
                <c:pt idx="3">
                  <c:v>2023</c:v>
                </c:pt>
                <c:pt idx="4">
                  <c:v>2024</c:v>
                </c:pt>
              </c:numCache>
            </c:numRef>
          </c:cat>
          <c:val>
            <c:numRef>
              <c:f>'[AQ tabele 2020_2024.xlsx]SO2'!$C$3:$G$3</c:f>
              <c:numCache>
                <c:formatCode>General</c:formatCode>
                <c:ptCount val="5"/>
                <c:pt idx="0">
                  <c:v>34.799999999999997</c:v>
                </c:pt>
                <c:pt idx="1">
                  <c:v>26.4</c:v>
                </c:pt>
                <c:pt idx="2">
                  <c:v>19.399999999999999</c:v>
                </c:pt>
                <c:pt idx="3">
                  <c:v>21.91</c:v>
                </c:pt>
                <c:pt idx="4">
                  <c:v>23.77</c:v>
                </c:pt>
              </c:numCache>
            </c:numRef>
          </c:val>
          <c:smooth val="1"/>
          <c:extLst>
            <c:ext xmlns:c16="http://schemas.microsoft.com/office/drawing/2014/chart" uri="{C3380CC4-5D6E-409C-BE32-E72D297353CC}">
              <c16:uniqueId val="{00000000-3CE5-4CAA-97CD-E6DC7B638B37}"/>
            </c:ext>
          </c:extLst>
        </c:ser>
        <c:ser>
          <c:idx val="1"/>
          <c:order val="1"/>
          <c:tx>
            <c:strRef>
              <c:f>'[AQ tabele 2020_2024.xlsx]SO2'!$B$4</c:f>
              <c:strCache>
                <c:ptCount val="1"/>
                <c:pt idx="0">
                  <c:v>Nova GV</c:v>
                </c:pt>
              </c:strCache>
            </c:strRef>
          </c:tx>
          <c:spPr>
            <a:ln w="28575" cap="rnd">
              <a:solidFill>
                <a:srgbClr val="FF0066"/>
              </a:solidFill>
              <a:round/>
            </a:ln>
            <a:effectLst/>
          </c:spPr>
          <c:marker>
            <c:symbol val="none"/>
          </c:marker>
          <c:cat>
            <c:numRef>
              <c:f>'[AQ tabele 2020_2024.xlsx]SO2'!$C$2:$G$2</c:f>
              <c:numCache>
                <c:formatCode>General</c:formatCode>
                <c:ptCount val="5"/>
                <c:pt idx="0">
                  <c:v>2020</c:v>
                </c:pt>
                <c:pt idx="1">
                  <c:v>2021</c:v>
                </c:pt>
                <c:pt idx="2">
                  <c:v>2022</c:v>
                </c:pt>
                <c:pt idx="3">
                  <c:v>2023</c:v>
                </c:pt>
                <c:pt idx="4">
                  <c:v>2024</c:v>
                </c:pt>
              </c:numCache>
            </c:numRef>
          </c:cat>
          <c:val>
            <c:numRef>
              <c:f>'[AQ tabele 2020_2024.xlsx]SO2'!$C$4:$G$4</c:f>
              <c:numCache>
                <c:formatCode>General</c:formatCode>
                <c:ptCount val="5"/>
                <c:pt idx="0">
                  <c:v>20</c:v>
                </c:pt>
                <c:pt idx="1">
                  <c:v>20</c:v>
                </c:pt>
                <c:pt idx="2">
                  <c:v>20</c:v>
                </c:pt>
                <c:pt idx="3">
                  <c:v>20</c:v>
                </c:pt>
                <c:pt idx="4">
                  <c:v>20</c:v>
                </c:pt>
              </c:numCache>
            </c:numRef>
          </c:val>
          <c:smooth val="0"/>
          <c:extLst>
            <c:ext xmlns:c16="http://schemas.microsoft.com/office/drawing/2014/chart" uri="{C3380CC4-5D6E-409C-BE32-E72D297353CC}">
              <c16:uniqueId val="{00000001-3CE5-4CAA-97CD-E6DC7B638B37}"/>
            </c:ext>
          </c:extLst>
        </c:ser>
        <c:ser>
          <c:idx val="2"/>
          <c:order val="2"/>
          <c:tx>
            <c:strRef>
              <c:f>'[AQ tabele 2020_2024.xlsx]SO2'!$B$5</c:f>
              <c:strCache>
                <c:ptCount val="1"/>
                <c:pt idx="0">
                  <c:v>Zona sjever</c:v>
                </c:pt>
              </c:strCache>
            </c:strRef>
          </c:tx>
          <c:spPr>
            <a:ln w="28575" cap="rnd">
              <a:solidFill>
                <a:schemeClr val="tx2">
                  <a:lumMod val="50000"/>
                  <a:lumOff val="50000"/>
                </a:schemeClr>
              </a:solidFill>
              <a:round/>
            </a:ln>
            <a:effectLst/>
          </c:spPr>
          <c:marker>
            <c:symbol val="none"/>
          </c:marker>
          <c:val>
            <c:numRef>
              <c:f>'[AQ tabele 2020_2024.xlsx]SO2'!$C$5:$G$5</c:f>
              <c:numCache>
                <c:formatCode>General</c:formatCode>
                <c:ptCount val="5"/>
                <c:pt idx="0">
                  <c:v>23.37</c:v>
                </c:pt>
                <c:pt idx="1">
                  <c:v>16.18</c:v>
                </c:pt>
                <c:pt idx="2">
                  <c:v>12.6</c:v>
                </c:pt>
                <c:pt idx="3">
                  <c:v>13.82</c:v>
                </c:pt>
                <c:pt idx="4">
                  <c:v>13.6</c:v>
                </c:pt>
              </c:numCache>
            </c:numRef>
          </c:val>
          <c:smooth val="0"/>
          <c:extLst>
            <c:ext xmlns:c16="http://schemas.microsoft.com/office/drawing/2014/chart" uri="{C3380CC4-5D6E-409C-BE32-E72D297353CC}">
              <c16:uniqueId val="{00000002-3CE5-4CAA-97CD-E6DC7B638B37}"/>
            </c:ext>
          </c:extLst>
        </c:ser>
        <c:dLbls>
          <c:showLegendKey val="0"/>
          <c:showVal val="0"/>
          <c:showCatName val="0"/>
          <c:showSerName val="0"/>
          <c:showPercent val="0"/>
          <c:showBubbleSize val="0"/>
        </c:dLbls>
        <c:smooth val="0"/>
        <c:axId val="1535949871"/>
        <c:axId val="1535949391"/>
      </c:lineChart>
      <c:catAx>
        <c:axId val="1535949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535949391"/>
        <c:crosses val="autoZero"/>
        <c:auto val="1"/>
        <c:lblAlgn val="ctr"/>
        <c:lblOffset val="100"/>
        <c:noMultiLvlLbl val="0"/>
      </c:catAx>
      <c:valAx>
        <c:axId val="15359493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535949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0a3db62d-28c2-4605-b340-ab745672e5ac}"/>
      </c:ext>
    </c:extLst>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d</a:t>
            </a:r>
            <a:r>
              <a:rPr lang="en-US"/>
              <a:t>e</a:t>
            </a:r>
            <a:r>
              <a:rPr lang="sr-Latn-ME"/>
              <a:t>cembar 2025</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'SO2 Dec 2025 Pljevlja'!$B$1</c:f>
              <c:strCache>
                <c:ptCount val="1"/>
                <c:pt idx="0">
                  <c:v>Pljevlja</c:v>
                </c:pt>
              </c:strCache>
            </c:strRef>
          </c:tx>
          <c:spPr>
            <a:ln w="28575" cap="rnd">
              <a:solidFill>
                <a:schemeClr val="accent1"/>
              </a:solidFill>
              <a:round/>
            </a:ln>
            <a:effectLst/>
          </c:spPr>
          <c:marker>
            <c:symbol val="none"/>
          </c:marker>
          <c:val>
            <c:numRef>
              <c:f>'SO2 Dec 2025 Pljevlja'!$B$2:$B$31</c:f>
              <c:numCache>
                <c:formatCode>General</c:formatCode>
                <c:ptCount val="30"/>
                <c:pt idx="0">
                  <c:v>38.15</c:v>
                </c:pt>
                <c:pt idx="1">
                  <c:v>40.130000000000003</c:v>
                </c:pt>
                <c:pt idx="2">
                  <c:v>44.27</c:v>
                </c:pt>
                <c:pt idx="3">
                  <c:v>64.98</c:v>
                </c:pt>
                <c:pt idx="4">
                  <c:v>68.78</c:v>
                </c:pt>
                <c:pt idx="5">
                  <c:v>41.08</c:v>
                </c:pt>
                <c:pt idx="6">
                  <c:v>35.58</c:v>
                </c:pt>
                <c:pt idx="7">
                  <c:v>50.03</c:v>
                </c:pt>
                <c:pt idx="8">
                  <c:v>124.01</c:v>
                </c:pt>
                <c:pt idx="9">
                  <c:v>86.52</c:v>
                </c:pt>
                <c:pt idx="10">
                  <c:v>162.36000000000001</c:v>
                </c:pt>
                <c:pt idx="11">
                  <c:v>108.62</c:v>
                </c:pt>
                <c:pt idx="12">
                  <c:v>263.2</c:v>
                </c:pt>
                <c:pt idx="13">
                  <c:v>356.57</c:v>
                </c:pt>
                <c:pt idx="14">
                  <c:v>250.3</c:v>
                </c:pt>
                <c:pt idx="15">
                  <c:v>123.46</c:v>
                </c:pt>
                <c:pt idx="16">
                  <c:v>125.71</c:v>
                </c:pt>
                <c:pt idx="17">
                  <c:v>87.82</c:v>
                </c:pt>
                <c:pt idx="18">
                  <c:v>98.25</c:v>
                </c:pt>
                <c:pt idx="19">
                  <c:v>176.43</c:v>
                </c:pt>
                <c:pt idx="20">
                  <c:v>114.53</c:v>
                </c:pt>
                <c:pt idx="21">
                  <c:v>241.64</c:v>
                </c:pt>
                <c:pt idx="22">
                  <c:v>289.93</c:v>
                </c:pt>
                <c:pt idx="23">
                  <c:v>141.76</c:v>
                </c:pt>
                <c:pt idx="24">
                  <c:v>55.25</c:v>
                </c:pt>
                <c:pt idx="25">
                  <c:v>72.959999999999994</c:v>
                </c:pt>
                <c:pt idx="26">
                  <c:v>57.38</c:v>
                </c:pt>
                <c:pt idx="27">
                  <c:v>62.27</c:v>
                </c:pt>
                <c:pt idx="28">
                  <c:v>182.26</c:v>
                </c:pt>
                <c:pt idx="29">
                  <c:v>73.540000000000006</c:v>
                </c:pt>
              </c:numCache>
            </c:numRef>
          </c:val>
          <c:smooth val="1"/>
          <c:extLst>
            <c:ext xmlns:c16="http://schemas.microsoft.com/office/drawing/2014/chart" uri="{C3380CC4-5D6E-409C-BE32-E72D297353CC}">
              <c16:uniqueId val="{00000000-D9E0-4CED-B03A-E1C127C00119}"/>
            </c:ext>
          </c:extLst>
        </c:ser>
        <c:ser>
          <c:idx val="1"/>
          <c:order val="1"/>
          <c:tx>
            <c:strRef>
              <c:f>'SO2 Dec 2025 Pljevlja'!$C$1</c:f>
              <c:strCache>
                <c:ptCount val="1"/>
                <c:pt idx="0">
                  <c:v>Gradina</c:v>
                </c:pt>
              </c:strCache>
            </c:strRef>
          </c:tx>
          <c:spPr>
            <a:ln w="28575" cap="rnd">
              <a:solidFill>
                <a:schemeClr val="accent2"/>
              </a:solidFill>
              <a:round/>
            </a:ln>
            <a:effectLst/>
          </c:spPr>
          <c:marker>
            <c:symbol val="none"/>
          </c:marker>
          <c:val>
            <c:numRef>
              <c:f>'SO2 Dec 2025 Pljevlja'!$C$2:$C$31</c:f>
              <c:numCache>
                <c:formatCode>General</c:formatCode>
                <c:ptCount val="30"/>
                <c:pt idx="0">
                  <c:v>2.4900000000000002</c:v>
                </c:pt>
                <c:pt idx="1">
                  <c:v>1.72</c:v>
                </c:pt>
                <c:pt idx="2">
                  <c:v>1.98</c:v>
                </c:pt>
                <c:pt idx="3">
                  <c:v>1.34</c:v>
                </c:pt>
                <c:pt idx="4">
                  <c:v>1.1599999999999999</c:v>
                </c:pt>
                <c:pt idx="5">
                  <c:v>1.6</c:v>
                </c:pt>
                <c:pt idx="6">
                  <c:v>1.1499999999999999</c:v>
                </c:pt>
                <c:pt idx="7">
                  <c:v>1.71</c:v>
                </c:pt>
                <c:pt idx="10">
                  <c:v>6.12</c:v>
                </c:pt>
                <c:pt idx="11">
                  <c:v>3.85</c:v>
                </c:pt>
                <c:pt idx="12">
                  <c:v>4.16</c:v>
                </c:pt>
                <c:pt idx="13">
                  <c:v>14.7</c:v>
                </c:pt>
                <c:pt idx="14">
                  <c:v>6.16</c:v>
                </c:pt>
                <c:pt idx="15">
                  <c:v>5.6</c:v>
                </c:pt>
                <c:pt idx="16">
                  <c:v>2.2999999999999998</c:v>
                </c:pt>
                <c:pt idx="17">
                  <c:v>3.86</c:v>
                </c:pt>
                <c:pt idx="18">
                  <c:v>3.61</c:v>
                </c:pt>
                <c:pt idx="19">
                  <c:v>3.32</c:v>
                </c:pt>
                <c:pt idx="20">
                  <c:v>10.74</c:v>
                </c:pt>
                <c:pt idx="21">
                  <c:v>5.95</c:v>
                </c:pt>
                <c:pt idx="22">
                  <c:v>23.37</c:v>
                </c:pt>
                <c:pt idx="23">
                  <c:v>2.5299999999999998</c:v>
                </c:pt>
                <c:pt idx="24">
                  <c:v>4.2699999999999996</c:v>
                </c:pt>
                <c:pt idx="25">
                  <c:v>7.21</c:v>
                </c:pt>
                <c:pt idx="26">
                  <c:v>4.38</c:v>
                </c:pt>
                <c:pt idx="27">
                  <c:v>2.93</c:v>
                </c:pt>
                <c:pt idx="28">
                  <c:v>2.09</c:v>
                </c:pt>
                <c:pt idx="29">
                  <c:v>13.45</c:v>
                </c:pt>
              </c:numCache>
            </c:numRef>
          </c:val>
          <c:smooth val="1"/>
          <c:extLst>
            <c:ext xmlns:c16="http://schemas.microsoft.com/office/drawing/2014/chart" uri="{C3380CC4-5D6E-409C-BE32-E72D297353CC}">
              <c16:uniqueId val="{00000001-D9E0-4CED-B03A-E1C127C00119}"/>
            </c:ext>
          </c:extLst>
        </c:ser>
        <c:ser>
          <c:idx val="2"/>
          <c:order val="2"/>
          <c:tx>
            <c:strRef>
              <c:f>'SO2 Dec 2025 Pljevlja'!$D$1</c:f>
              <c:strCache>
                <c:ptCount val="1"/>
                <c:pt idx="0">
                  <c:v>Sjeverna zona </c:v>
                </c:pt>
              </c:strCache>
            </c:strRef>
          </c:tx>
          <c:spPr>
            <a:ln w="28575" cap="rnd">
              <a:solidFill>
                <a:schemeClr val="accent3"/>
              </a:solidFill>
              <a:round/>
            </a:ln>
            <a:effectLst/>
          </c:spPr>
          <c:marker>
            <c:symbol val="none"/>
          </c:marker>
          <c:val>
            <c:numRef>
              <c:f>'SO2 Dec 2025 Pljevlja'!$D$2:$D$31</c:f>
              <c:numCache>
                <c:formatCode>General</c:formatCode>
                <c:ptCount val="30"/>
                <c:pt idx="0">
                  <c:v>20.32</c:v>
                </c:pt>
                <c:pt idx="1">
                  <c:v>20.925000000000001</c:v>
                </c:pt>
                <c:pt idx="2">
                  <c:v>23.125</c:v>
                </c:pt>
                <c:pt idx="3">
                  <c:v>33.160000000000004</c:v>
                </c:pt>
                <c:pt idx="4">
                  <c:v>34.97</c:v>
                </c:pt>
                <c:pt idx="5">
                  <c:v>21.34</c:v>
                </c:pt>
                <c:pt idx="6">
                  <c:v>18.364999999999998</c:v>
                </c:pt>
                <c:pt idx="7">
                  <c:v>25.87</c:v>
                </c:pt>
                <c:pt idx="8">
                  <c:v>124.01</c:v>
                </c:pt>
                <c:pt idx="9">
                  <c:v>86.52</c:v>
                </c:pt>
                <c:pt idx="10">
                  <c:v>84.240000000000009</c:v>
                </c:pt>
                <c:pt idx="11">
                  <c:v>56.234999999999999</c:v>
                </c:pt>
                <c:pt idx="12">
                  <c:v>133.68</c:v>
                </c:pt>
                <c:pt idx="13">
                  <c:v>185.63499999999999</c:v>
                </c:pt>
                <c:pt idx="14">
                  <c:v>128.23000000000002</c:v>
                </c:pt>
                <c:pt idx="15">
                  <c:v>64.53</c:v>
                </c:pt>
                <c:pt idx="16">
                  <c:v>64.004999999999995</c:v>
                </c:pt>
                <c:pt idx="17">
                  <c:v>45.839999999999996</c:v>
                </c:pt>
                <c:pt idx="18">
                  <c:v>50.93</c:v>
                </c:pt>
                <c:pt idx="19">
                  <c:v>89.875</c:v>
                </c:pt>
                <c:pt idx="20">
                  <c:v>62.634999999999998</c:v>
                </c:pt>
                <c:pt idx="21">
                  <c:v>123.79499999999999</c:v>
                </c:pt>
                <c:pt idx="22">
                  <c:v>156.65</c:v>
                </c:pt>
                <c:pt idx="23">
                  <c:v>72.144999999999996</c:v>
                </c:pt>
                <c:pt idx="24">
                  <c:v>29.759999999999998</c:v>
                </c:pt>
                <c:pt idx="25">
                  <c:v>40.084999999999994</c:v>
                </c:pt>
                <c:pt idx="26">
                  <c:v>30.880000000000003</c:v>
                </c:pt>
                <c:pt idx="27">
                  <c:v>32.6</c:v>
                </c:pt>
                <c:pt idx="28">
                  <c:v>92.174999999999997</c:v>
                </c:pt>
                <c:pt idx="29">
                  <c:v>43.495000000000005</c:v>
                </c:pt>
              </c:numCache>
            </c:numRef>
          </c:val>
          <c:smooth val="1"/>
          <c:extLst>
            <c:ext xmlns:c16="http://schemas.microsoft.com/office/drawing/2014/chart" uri="{C3380CC4-5D6E-409C-BE32-E72D297353CC}">
              <c16:uniqueId val="{00000002-D9E0-4CED-B03A-E1C127C00119}"/>
            </c:ext>
          </c:extLst>
        </c:ser>
        <c:ser>
          <c:idx val="3"/>
          <c:order val="3"/>
          <c:tx>
            <c:strRef>
              <c:f>'SO2 Dec 2025 Pljevlja'!$E$1</c:f>
              <c:strCache>
                <c:ptCount val="1"/>
                <c:pt idx="0">
                  <c:v>GV (dnevna)</c:v>
                </c:pt>
              </c:strCache>
            </c:strRef>
          </c:tx>
          <c:spPr>
            <a:ln w="28575" cap="rnd">
              <a:solidFill>
                <a:schemeClr val="accent4"/>
              </a:solidFill>
              <a:round/>
            </a:ln>
            <a:effectLst/>
          </c:spPr>
          <c:marker>
            <c:symbol val="none"/>
          </c:marker>
          <c:val>
            <c:numRef>
              <c:f>'SO2 Dec 2025 Pljevlja'!$E$2:$E$31</c:f>
              <c:numCache>
                <c:formatCode>General</c:formatCode>
                <c:ptCount val="30"/>
                <c:pt idx="0">
                  <c:v>125</c:v>
                </c:pt>
                <c:pt idx="1">
                  <c:v>125</c:v>
                </c:pt>
                <c:pt idx="2">
                  <c:v>125</c:v>
                </c:pt>
                <c:pt idx="3">
                  <c:v>125</c:v>
                </c:pt>
                <c:pt idx="4">
                  <c:v>125</c:v>
                </c:pt>
                <c:pt idx="5">
                  <c:v>125</c:v>
                </c:pt>
                <c:pt idx="6">
                  <c:v>125</c:v>
                </c:pt>
                <c:pt idx="7">
                  <c:v>125</c:v>
                </c:pt>
                <c:pt idx="8">
                  <c:v>125</c:v>
                </c:pt>
                <c:pt idx="9">
                  <c:v>125</c:v>
                </c:pt>
                <c:pt idx="10">
                  <c:v>125</c:v>
                </c:pt>
                <c:pt idx="11">
                  <c:v>125</c:v>
                </c:pt>
                <c:pt idx="12">
                  <c:v>125</c:v>
                </c:pt>
                <c:pt idx="13">
                  <c:v>125</c:v>
                </c:pt>
                <c:pt idx="14">
                  <c:v>125</c:v>
                </c:pt>
                <c:pt idx="15">
                  <c:v>125</c:v>
                </c:pt>
                <c:pt idx="16">
                  <c:v>125</c:v>
                </c:pt>
                <c:pt idx="17">
                  <c:v>125</c:v>
                </c:pt>
                <c:pt idx="18">
                  <c:v>125</c:v>
                </c:pt>
                <c:pt idx="19">
                  <c:v>125</c:v>
                </c:pt>
                <c:pt idx="20">
                  <c:v>125</c:v>
                </c:pt>
                <c:pt idx="21">
                  <c:v>125</c:v>
                </c:pt>
                <c:pt idx="22">
                  <c:v>125</c:v>
                </c:pt>
                <c:pt idx="23">
                  <c:v>125</c:v>
                </c:pt>
                <c:pt idx="24">
                  <c:v>125</c:v>
                </c:pt>
                <c:pt idx="25">
                  <c:v>125</c:v>
                </c:pt>
                <c:pt idx="26">
                  <c:v>125</c:v>
                </c:pt>
                <c:pt idx="27">
                  <c:v>125</c:v>
                </c:pt>
                <c:pt idx="28">
                  <c:v>125</c:v>
                </c:pt>
                <c:pt idx="29">
                  <c:v>125</c:v>
                </c:pt>
              </c:numCache>
            </c:numRef>
          </c:val>
          <c:smooth val="0"/>
          <c:extLst>
            <c:ext xmlns:c16="http://schemas.microsoft.com/office/drawing/2014/chart" uri="{C3380CC4-5D6E-409C-BE32-E72D297353CC}">
              <c16:uniqueId val="{00000003-D9E0-4CED-B03A-E1C127C00119}"/>
            </c:ext>
          </c:extLst>
        </c:ser>
        <c:ser>
          <c:idx val="4"/>
          <c:order val="4"/>
          <c:tx>
            <c:strRef>
              <c:f>'SO2 Dec 2025 Pljevlja'!$F$1</c:f>
              <c:strCache>
                <c:ptCount val="1"/>
                <c:pt idx="0">
                  <c:v>nova GV (dnevna)</c:v>
                </c:pt>
              </c:strCache>
            </c:strRef>
          </c:tx>
          <c:spPr>
            <a:ln w="28575" cap="rnd">
              <a:solidFill>
                <a:schemeClr val="accent5"/>
              </a:solidFill>
              <a:round/>
            </a:ln>
            <a:effectLst/>
          </c:spPr>
          <c:marker>
            <c:symbol val="none"/>
          </c:marker>
          <c:val>
            <c:numRef>
              <c:f>'SO2 Dec 2025 Pljevlja'!$F$2:$F$31</c:f>
              <c:numCache>
                <c:formatCode>General</c:formatCode>
                <c:ptCount val="30"/>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numCache>
            </c:numRef>
          </c:val>
          <c:smooth val="0"/>
          <c:extLst>
            <c:ext xmlns:c16="http://schemas.microsoft.com/office/drawing/2014/chart" uri="{C3380CC4-5D6E-409C-BE32-E72D297353CC}">
              <c16:uniqueId val="{00000004-D9E0-4CED-B03A-E1C127C00119}"/>
            </c:ext>
          </c:extLst>
        </c:ser>
        <c:dLbls>
          <c:showLegendKey val="0"/>
          <c:showVal val="0"/>
          <c:showCatName val="0"/>
          <c:showSerName val="0"/>
          <c:showPercent val="0"/>
          <c:showBubbleSize val="0"/>
        </c:dLbls>
        <c:smooth val="0"/>
        <c:axId val="1203036384"/>
        <c:axId val="1203032064"/>
      </c:lineChart>
      <c:catAx>
        <c:axId val="120303638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3032064"/>
        <c:crosses val="autoZero"/>
        <c:auto val="1"/>
        <c:lblAlgn val="ctr"/>
        <c:lblOffset val="100"/>
        <c:noMultiLvlLbl val="0"/>
      </c:catAx>
      <c:valAx>
        <c:axId val="1203032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3036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GB" sz="1400" b="0" i="0" u="none" strike="noStrike" kern="1200" spc="0" baseline="0">
                <a:solidFill>
                  <a:schemeClr val="tx1">
                    <a:lumMod val="65000"/>
                    <a:lumOff val="35000"/>
                  </a:schemeClr>
                </a:solidFill>
                <a:latin typeface="+mn-lt"/>
                <a:ea typeface="+mn-ea"/>
                <a:cs typeface="+mn-cs"/>
              </a:defRPr>
            </a:pPr>
            <a:r>
              <a:rPr lang="en-US"/>
              <a:t>PM10</a:t>
            </a:r>
          </a:p>
        </c:rich>
      </c:tx>
      <c:overlay val="0"/>
      <c:spPr>
        <a:noFill/>
        <a:ln>
          <a:noFill/>
        </a:ln>
        <a:effectLst/>
      </c:spPr>
      <c:txPr>
        <a:bodyPr rot="0" spcFirstLastPara="1" vertOverflow="ellipsis" vert="horz" wrap="square" anchor="ctr" anchorCtr="1"/>
        <a:lstStyle/>
        <a:p>
          <a:pPr>
            <a:defRPr lang="en-GB"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'[AQ tabele 2020_2024.xlsx]PM10'!$B$3</c:f>
              <c:strCache>
                <c:ptCount val="1"/>
                <c:pt idx="0">
                  <c:v>Zona Sjever</c:v>
                </c:pt>
              </c:strCache>
            </c:strRef>
          </c:tx>
          <c:spPr>
            <a:ln w="28575" cap="rnd">
              <a:solidFill>
                <a:schemeClr val="accent1"/>
              </a:solidFill>
              <a:round/>
            </a:ln>
            <a:effectLst/>
          </c:spPr>
          <c:marker>
            <c:symbol val="none"/>
          </c:marker>
          <c:cat>
            <c:numRef>
              <c:f>'[AQ tabele 2020_2024.xlsx]PM10'!$C$2:$G$2</c:f>
              <c:numCache>
                <c:formatCode>General</c:formatCode>
                <c:ptCount val="5"/>
                <c:pt idx="0">
                  <c:v>2020</c:v>
                </c:pt>
                <c:pt idx="1">
                  <c:v>2021</c:v>
                </c:pt>
                <c:pt idx="2">
                  <c:v>2022</c:v>
                </c:pt>
                <c:pt idx="3">
                  <c:v>2023</c:v>
                </c:pt>
                <c:pt idx="4">
                  <c:v>2024</c:v>
                </c:pt>
              </c:numCache>
            </c:numRef>
          </c:cat>
          <c:val>
            <c:numRef>
              <c:f>'[AQ tabele 2020_2024.xlsx]PM10'!$C$3:$G$3</c:f>
              <c:numCache>
                <c:formatCode>General</c:formatCode>
                <c:ptCount val="5"/>
                <c:pt idx="0">
                  <c:v>50.68</c:v>
                </c:pt>
                <c:pt idx="1">
                  <c:v>46.05</c:v>
                </c:pt>
                <c:pt idx="2">
                  <c:v>47.92</c:v>
                </c:pt>
                <c:pt idx="3">
                  <c:v>40.130000000000003</c:v>
                </c:pt>
                <c:pt idx="4">
                  <c:v>41.6</c:v>
                </c:pt>
              </c:numCache>
            </c:numRef>
          </c:val>
          <c:smooth val="1"/>
          <c:extLst>
            <c:ext xmlns:c16="http://schemas.microsoft.com/office/drawing/2014/chart" uri="{C3380CC4-5D6E-409C-BE32-E72D297353CC}">
              <c16:uniqueId val="{00000000-D4B9-4B2D-821A-F50BDC52F173}"/>
            </c:ext>
          </c:extLst>
        </c:ser>
        <c:ser>
          <c:idx val="1"/>
          <c:order val="1"/>
          <c:tx>
            <c:strRef>
              <c:f>'[AQ tabele 2020_2024.xlsx]PM10'!$B$4</c:f>
              <c:strCache>
                <c:ptCount val="1"/>
                <c:pt idx="0">
                  <c:v>Zona Centar</c:v>
                </c:pt>
              </c:strCache>
            </c:strRef>
          </c:tx>
          <c:spPr>
            <a:ln w="28575" cap="rnd">
              <a:solidFill>
                <a:schemeClr val="tx2">
                  <a:lumMod val="50000"/>
                  <a:lumOff val="50000"/>
                </a:schemeClr>
              </a:solidFill>
              <a:round/>
            </a:ln>
            <a:effectLst/>
          </c:spPr>
          <c:marker>
            <c:symbol val="none"/>
          </c:marker>
          <c:cat>
            <c:numRef>
              <c:f>'[AQ tabele 2020_2024.xlsx]PM10'!$C$2:$G$2</c:f>
              <c:numCache>
                <c:formatCode>General</c:formatCode>
                <c:ptCount val="5"/>
                <c:pt idx="0">
                  <c:v>2020</c:v>
                </c:pt>
                <c:pt idx="1">
                  <c:v>2021</c:v>
                </c:pt>
                <c:pt idx="2">
                  <c:v>2022</c:v>
                </c:pt>
                <c:pt idx="3">
                  <c:v>2023</c:v>
                </c:pt>
                <c:pt idx="4">
                  <c:v>2024</c:v>
                </c:pt>
              </c:numCache>
            </c:numRef>
          </c:cat>
          <c:val>
            <c:numRef>
              <c:f>'[AQ tabele 2020_2024.xlsx]PM10'!$C$4:$G$4</c:f>
              <c:numCache>
                <c:formatCode>General</c:formatCode>
                <c:ptCount val="5"/>
                <c:pt idx="0">
                  <c:v>38.75</c:v>
                </c:pt>
                <c:pt idx="1">
                  <c:v>32.479999999999997</c:v>
                </c:pt>
                <c:pt idx="2">
                  <c:v>31.54</c:v>
                </c:pt>
                <c:pt idx="3">
                  <c:v>31.36</c:v>
                </c:pt>
                <c:pt idx="4">
                  <c:v>30.94</c:v>
                </c:pt>
              </c:numCache>
            </c:numRef>
          </c:val>
          <c:smooth val="1"/>
          <c:extLst>
            <c:ext xmlns:c16="http://schemas.microsoft.com/office/drawing/2014/chart" uri="{C3380CC4-5D6E-409C-BE32-E72D297353CC}">
              <c16:uniqueId val="{00000001-D4B9-4B2D-821A-F50BDC52F173}"/>
            </c:ext>
          </c:extLst>
        </c:ser>
        <c:ser>
          <c:idx val="2"/>
          <c:order val="2"/>
          <c:tx>
            <c:strRef>
              <c:f>'[AQ tabele 2020_2024.xlsx]PM10'!$B$5</c:f>
              <c:strCache>
                <c:ptCount val="1"/>
                <c:pt idx="0">
                  <c:v>Zona Jug</c:v>
                </c:pt>
              </c:strCache>
            </c:strRef>
          </c:tx>
          <c:spPr>
            <a:ln w="28575" cap="rnd">
              <a:solidFill>
                <a:schemeClr val="accent1">
                  <a:lumMod val="20000"/>
                  <a:lumOff val="80000"/>
                </a:schemeClr>
              </a:solidFill>
              <a:round/>
            </a:ln>
            <a:effectLst/>
          </c:spPr>
          <c:marker>
            <c:symbol val="none"/>
          </c:marker>
          <c:cat>
            <c:numRef>
              <c:f>'[AQ tabele 2020_2024.xlsx]PM10'!$C$2:$G$2</c:f>
              <c:numCache>
                <c:formatCode>General</c:formatCode>
                <c:ptCount val="5"/>
                <c:pt idx="0">
                  <c:v>2020</c:v>
                </c:pt>
                <c:pt idx="1">
                  <c:v>2021</c:v>
                </c:pt>
                <c:pt idx="2">
                  <c:v>2022</c:v>
                </c:pt>
                <c:pt idx="3">
                  <c:v>2023</c:v>
                </c:pt>
                <c:pt idx="4">
                  <c:v>2024</c:v>
                </c:pt>
              </c:numCache>
            </c:numRef>
          </c:cat>
          <c:val>
            <c:numRef>
              <c:f>'[AQ tabele 2020_2024.xlsx]PM10'!$C$5:$G$5</c:f>
              <c:numCache>
                <c:formatCode>General</c:formatCode>
                <c:ptCount val="5"/>
                <c:pt idx="0">
                  <c:v>17.54</c:v>
                </c:pt>
                <c:pt idx="1">
                  <c:v>17.63</c:v>
                </c:pt>
                <c:pt idx="2">
                  <c:v>18.010000000000002</c:v>
                </c:pt>
                <c:pt idx="3">
                  <c:v>18.260000000000002</c:v>
                </c:pt>
                <c:pt idx="4">
                  <c:v>18.97</c:v>
                </c:pt>
              </c:numCache>
            </c:numRef>
          </c:val>
          <c:smooth val="1"/>
          <c:extLst>
            <c:ext xmlns:c16="http://schemas.microsoft.com/office/drawing/2014/chart" uri="{C3380CC4-5D6E-409C-BE32-E72D297353CC}">
              <c16:uniqueId val="{00000002-D4B9-4B2D-821A-F50BDC52F173}"/>
            </c:ext>
          </c:extLst>
        </c:ser>
        <c:ser>
          <c:idx val="3"/>
          <c:order val="3"/>
          <c:tx>
            <c:strRef>
              <c:f>'[AQ tabele 2020_2024.xlsx]PM10'!$B$6</c:f>
              <c:strCache>
                <c:ptCount val="1"/>
                <c:pt idx="0">
                  <c:v>GV </c:v>
                </c:pt>
              </c:strCache>
            </c:strRef>
          </c:tx>
          <c:spPr>
            <a:ln w="19050" cap="rnd">
              <a:solidFill>
                <a:srgbClr val="FF0066"/>
              </a:solidFill>
              <a:round/>
            </a:ln>
            <a:effectLst/>
          </c:spPr>
          <c:marker>
            <c:symbol val="none"/>
          </c:marker>
          <c:cat>
            <c:numRef>
              <c:f>'[AQ tabele 2020_2024.xlsx]PM10'!$C$2:$G$2</c:f>
              <c:numCache>
                <c:formatCode>General</c:formatCode>
                <c:ptCount val="5"/>
                <c:pt idx="0">
                  <c:v>2020</c:v>
                </c:pt>
                <c:pt idx="1">
                  <c:v>2021</c:v>
                </c:pt>
                <c:pt idx="2">
                  <c:v>2022</c:v>
                </c:pt>
                <c:pt idx="3">
                  <c:v>2023</c:v>
                </c:pt>
                <c:pt idx="4">
                  <c:v>2024</c:v>
                </c:pt>
              </c:numCache>
            </c:numRef>
          </c:cat>
          <c:val>
            <c:numRef>
              <c:f>'[AQ tabele 2020_2024.xlsx]PM10'!$C$6:$G$6</c:f>
              <c:numCache>
                <c:formatCode>General</c:formatCode>
                <c:ptCount val="5"/>
                <c:pt idx="0">
                  <c:v>40</c:v>
                </c:pt>
                <c:pt idx="1">
                  <c:v>40</c:v>
                </c:pt>
                <c:pt idx="2">
                  <c:v>40</c:v>
                </c:pt>
                <c:pt idx="3">
                  <c:v>40</c:v>
                </c:pt>
                <c:pt idx="4">
                  <c:v>40</c:v>
                </c:pt>
              </c:numCache>
            </c:numRef>
          </c:val>
          <c:smooth val="0"/>
          <c:extLst>
            <c:ext xmlns:c16="http://schemas.microsoft.com/office/drawing/2014/chart" uri="{C3380CC4-5D6E-409C-BE32-E72D297353CC}">
              <c16:uniqueId val="{00000003-D4B9-4B2D-821A-F50BDC52F173}"/>
            </c:ext>
          </c:extLst>
        </c:ser>
        <c:ser>
          <c:idx val="4"/>
          <c:order val="4"/>
          <c:tx>
            <c:strRef>
              <c:f>'[AQ tabele 2020_2024.xlsx]PM10'!$B$7</c:f>
              <c:strCache>
                <c:ptCount val="1"/>
                <c:pt idx="0">
                  <c:v>Nova GV</c:v>
                </c:pt>
              </c:strCache>
            </c:strRef>
          </c:tx>
          <c:spPr>
            <a:ln w="19050" cap="rnd">
              <a:solidFill>
                <a:srgbClr val="FF0066"/>
              </a:solidFill>
              <a:round/>
            </a:ln>
            <a:effectLst/>
          </c:spPr>
          <c:marker>
            <c:symbol val="none"/>
          </c:marker>
          <c:cat>
            <c:numRef>
              <c:f>'[AQ tabele 2020_2024.xlsx]PM10'!$C$2:$G$2</c:f>
              <c:numCache>
                <c:formatCode>General</c:formatCode>
                <c:ptCount val="5"/>
                <c:pt idx="0">
                  <c:v>2020</c:v>
                </c:pt>
                <c:pt idx="1">
                  <c:v>2021</c:v>
                </c:pt>
                <c:pt idx="2">
                  <c:v>2022</c:v>
                </c:pt>
                <c:pt idx="3">
                  <c:v>2023</c:v>
                </c:pt>
                <c:pt idx="4">
                  <c:v>2024</c:v>
                </c:pt>
              </c:numCache>
            </c:numRef>
          </c:cat>
          <c:val>
            <c:numRef>
              <c:f>'[AQ tabele 2020_2024.xlsx]PM10'!$C$7:$G$7</c:f>
              <c:numCache>
                <c:formatCode>General</c:formatCode>
                <c:ptCount val="5"/>
                <c:pt idx="0">
                  <c:v>20</c:v>
                </c:pt>
                <c:pt idx="1">
                  <c:v>20</c:v>
                </c:pt>
                <c:pt idx="2">
                  <c:v>20</c:v>
                </c:pt>
                <c:pt idx="3">
                  <c:v>20</c:v>
                </c:pt>
                <c:pt idx="4">
                  <c:v>20</c:v>
                </c:pt>
              </c:numCache>
            </c:numRef>
          </c:val>
          <c:smooth val="0"/>
          <c:extLst>
            <c:ext xmlns:c16="http://schemas.microsoft.com/office/drawing/2014/chart" uri="{C3380CC4-5D6E-409C-BE32-E72D297353CC}">
              <c16:uniqueId val="{00000004-D4B9-4B2D-821A-F50BDC52F173}"/>
            </c:ext>
          </c:extLst>
        </c:ser>
        <c:dLbls>
          <c:showLegendKey val="0"/>
          <c:showVal val="0"/>
          <c:showCatName val="0"/>
          <c:showSerName val="0"/>
          <c:showPercent val="0"/>
          <c:showBubbleSize val="0"/>
        </c:dLbls>
        <c:smooth val="0"/>
        <c:axId val="1076265359"/>
        <c:axId val="1076267279"/>
      </c:lineChart>
      <c:catAx>
        <c:axId val="1076265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076267279"/>
        <c:crosses val="autoZero"/>
        <c:auto val="1"/>
        <c:lblAlgn val="ctr"/>
        <c:lblOffset val="100"/>
        <c:noMultiLvlLbl val="0"/>
      </c:catAx>
      <c:valAx>
        <c:axId val="10762672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076265359"/>
        <c:crosses val="autoZero"/>
        <c:crossBetween val="between"/>
      </c:valAx>
      <c:spPr>
        <a:noFill/>
        <a:ln>
          <a:solidFill>
            <a:srgbClr val="FF0066"/>
          </a:solidFill>
        </a:ln>
        <a:effectLst/>
      </c:spPr>
    </c:plotArea>
    <c:legend>
      <c:legendPos val="b"/>
      <c:overlay val="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57549553-1cbc-497c-a436-7f6071d8d8e0}"/>
      </c:ext>
    </c:extLst>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GB" sz="1400" b="0" i="0" u="none" strike="noStrike" kern="1200" spc="0" baseline="0">
                <a:solidFill>
                  <a:schemeClr val="tx1">
                    <a:lumMod val="65000"/>
                    <a:lumOff val="35000"/>
                  </a:schemeClr>
                </a:solidFill>
                <a:latin typeface="+mn-lt"/>
                <a:ea typeface="+mn-ea"/>
                <a:cs typeface="+mn-cs"/>
              </a:defRPr>
            </a:pPr>
            <a:r>
              <a:rPr lang="en-GB"/>
              <a:t>PM2.5</a:t>
            </a:r>
          </a:p>
        </c:rich>
      </c:tx>
      <c:overlay val="0"/>
      <c:spPr>
        <a:noFill/>
        <a:ln>
          <a:noFill/>
        </a:ln>
        <a:effectLst/>
      </c:spPr>
      <c:txPr>
        <a:bodyPr rot="0" spcFirstLastPara="1" vertOverflow="ellipsis" vert="horz" wrap="square" anchor="ctr" anchorCtr="1"/>
        <a:lstStyle/>
        <a:p>
          <a:pPr>
            <a:defRPr lang="en-GB"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'[AQ tabele 2020_2024.xlsx]PM2.5'!$B$3</c:f>
              <c:strCache>
                <c:ptCount val="1"/>
                <c:pt idx="0">
                  <c:v>Zona Sjever</c:v>
                </c:pt>
              </c:strCache>
            </c:strRef>
          </c:tx>
          <c:spPr>
            <a:ln w="28575" cap="rnd">
              <a:solidFill>
                <a:schemeClr val="accent1"/>
              </a:solidFill>
              <a:round/>
            </a:ln>
            <a:effectLst/>
          </c:spPr>
          <c:marker>
            <c:symbol val="none"/>
          </c:marker>
          <c:cat>
            <c:numRef>
              <c:f>'[AQ tabele 2020_2024.xlsx]PM2.5'!$C$2:$G$2</c:f>
              <c:numCache>
                <c:formatCode>General</c:formatCode>
                <c:ptCount val="5"/>
                <c:pt idx="0">
                  <c:v>2020</c:v>
                </c:pt>
                <c:pt idx="1">
                  <c:v>2021</c:v>
                </c:pt>
                <c:pt idx="2">
                  <c:v>2022</c:v>
                </c:pt>
                <c:pt idx="3">
                  <c:v>2023</c:v>
                </c:pt>
                <c:pt idx="4">
                  <c:v>2024</c:v>
                </c:pt>
              </c:numCache>
            </c:numRef>
          </c:cat>
          <c:val>
            <c:numRef>
              <c:f>'[AQ tabele 2020_2024.xlsx]PM2.5'!$C$3:$G$3</c:f>
              <c:numCache>
                <c:formatCode>General</c:formatCode>
                <c:ptCount val="5"/>
                <c:pt idx="0">
                  <c:v>38.93</c:v>
                </c:pt>
                <c:pt idx="1">
                  <c:v>34.22</c:v>
                </c:pt>
                <c:pt idx="2">
                  <c:v>45.31</c:v>
                </c:pt>
                <c:pt idx="3">
                  <c:v>29.69</c:v>
                </c:pt>
                <c:pt idx="4">
                  <c:v>31.77</c:v>
                </c:pt>
              </c:numCache>
            </c:numRef>
          </c:val>
          <c:smooth val="1"/>
          <c:extLst>
            <c:ext xmlns:c16="http://schemas.microsoft.com/office/drawing/2014/chart" uri="{C3380CC4-5D6E-409C-BE32-E72D297353CC}">
              <c16:uniqueId val="{00000000-DBD7-4523-B74D-73C2CF0EB245}"/>
            </c:ext>
          </c:extLst>
        </c:ser>
        <c:ser>
          <c:idx val="1"/>
          <c:order val="1"/>
          <c:tx>
            <c:strRef>
              <c:f>'[AQ tabele 2020_2024.xlsx]PM2.5'!$B$4</c:f>
              <c:strCache>
                <c:ptCount val="1"/>
                <c:pt idx="0">
                  <c:v>Zona Centar</c:v>
                </c:pt>
              </c:strCache>
            </c:strRef>
          </c:tx>
          <c:spPr>
            <a:ln w="28575" cap="rnd">
              <a:solidFill>
                <a:schemeClr val="accent1">
                  <a:lumMod val="60000"/>
                  <a:lumOff val="40000"/>
                </a:schemeClr>
              </a:solidFill>
              <a:round/>
            </a:ln>
            <a:effectLst/>
          </c:spPr>
          <c:marker>
            <c:symbol val="none"/>
          </c:marker>
          <c:cat>
            <c:numRef>
              <c:f>'[AQ tabele 2020_2024.xlsx]PM2.5'!$C$2:$G$2</c:f>
              <c:numCache>
                <c:formatCode>General</c:formatCode>
                <c:ptCount val="5"/>
                <c:pt idx="0">
                  <c:v>2020</c:v>
                </c:pt>
                <c:pt idx="1">
                  <c:v>2021</c:v>
                </c:pt>
                <c:pt idx="2">
                  <c:v>2022</c:v>
                </c:pt>
                <c:pt idx="3">
                  <c:v>2023</c:v>
                </c:pt>
                <c:pt idx="4">
                  <c:v>2024</c:v>
                </c:pt>
              </c:numCache>
            </c:numRef>
          </c:cat>
          <c:val>
            <c:numRef>
              <c:f>'[AQ tabele 2020_2024.xlsx]PM2.5'!$C$4:$G$4</c:f>
              <c:numCache>
                <c:formatCode>General</c:formatCode>
                <c:ptCount val="5"/>
                <c:pt idx="0">
                  <c:v>29.76</c:v>
                </c:pt>
                <c:pt idx="1">
                  <c:v>21.95</c:v>
                </c:pt>
                <c:pt idx="2">
                  <c:v>17.25</c:v>
                </c:pt>
                <c:pt idx="3">
                  <c:v>20.73</c:v>
                </c:pt>
                <c:pt idx="4">
                  <c:v>19.5</c:v>
                </c:pt>
              </c:numCache>
            </c:numRef>
          </c:val>
          <c:smooth val="1"/>
          <c:extLst>
            <c:ext xmlns:c16="http://schemas.microsoft.com/office/drawing/2014/chart" uri="{C3380CC4-5D6E-409C-BE32-E72D297353CC}">
              <c16:uniqueId val="{00000001-DBD7-4523-B74D-73C2CF0EB245}"/>
            </c:ext>
          </c:extLst>
        </c:ser>
        <c:ser>
          <c:idx val="2"/>
          <c:order val="2"/>
          <c:tx>
            <c:strRef>
              <c:f>'[AQ tabele 2020_2024.xlsx]PM2.5'!$B$5</c:f>
              <c:strCache>
                <c:ptCount val="1"/>
                <c:pt idx="0">
                  <c:v>Zona Jug</c:v>
                </c:pt>
              </c:strCache>
            </c:strRef>
          </c:tx>
          <c:spPr>
            <a:ln w="28575" cap="rnd">
              <a:solidFill>
                <a:schemeClr val="accent4">
                  <a:lumMod val="40000"/>
                  <a:lumOff val="60000"/>
                </a:schemeClr>
              </a:solidFill>
              <a:round/>
            </a:ln>
            <a:effectLst/>
          </c:spPr>
          <c:marker>
            <c:symbol val="none"/>
          </c:marker>
          <c:cat>
            <c:numRef>
              <c:f>'[AQ tabele 2020_2024.xlsx]PM2.5'!$C$2:$G$2</c:f>
              <c:numCache>
                <c:formatCode>General</c:formatCode>
                <c:ptCount val="5"/>
                <c:pt idx="0">
                  <c:v>2020</c:v>
                </c:pt>
                <c:pt idx="1">
                  <c:v>2021</c:v>
                </c:pt>
                <c:pt idx="2">
                  <c:v>2022</c:v>
                </c:pt>
                <c:pt idx="3">
                  <c:v>2023</c:v>
                </c:pt>
                <c:pt idx="4">
                  <c:v>2024</c:v>
                </c:pt>
              </c:numCache>
            </c:numRef>
          </c:cat>
          <c:val>
            <c:numRef>
              <c:f>'[AQ tabele 2020_2024.xlsx]PM2.5'!$C$5:$G$5</c:f>
              <c:numCache>
                <c:formatCode>General</c:formatCode>
                <c:ptCount val="5"/>
                <c:pt idx="0">
                  <c:v>11.54</c:v>
                </c:pt>
                <c:pt idx="1">
                  <c:v>10.57</c:v>
                </c:pt>
                <c:pt idx="2">
                  <c:v>9.99</c:v>
                </c:pt>
                <c:pt idx="3">
                  <c:v>10.42</c:v>
                </c:pt>
                <c:pt idx="4">
                  <c:v>9.4600000000000009</c:v>
                </c:pt>
              </c:numCache>
            </c:numRef>
          </c:val>
          <c:smooth val="1"/>
          <c:extLst>
            <c:ext xmlns:c16="http://schemas.microsoft.com/office/drawing/2014/chart" uri="{C3380CC4-5D6E-409C-BE32-E72D297353CC}">
              <c16:uniqueId val="{00000002-DBD7-4523-B74D-73C2CF0EB245}"/>
            </c:ext>
          </c:extLst>
        </c:ser>
        <c:ser>
          <c:idx val="3"/>
          <c:order val="3"/>
          <c:tx>
            <c:strRef>
              <c:f>'[AQ tabele 2020_2024.xlsx]PM2.5'!$B$6</c:f>
              <c:strCache>
                <c:ptCount val="1"/>
                <c:pt idx="0">
                  <c:v>GV </c:v>
                </c:pt>
              </c:strCache>
            </c:strRef>
          </c:tx>
          <c:spPr>
            <a:ln w="19050" cap="rnd">
              <a:solidFill>
                <a:srgbClr val="FF0066"/>
              </a:solidFill>
              <a:round/>
            </a:ln>
            <a:effectLst/>
          </c:spPr>
          <c:marker>
            <c:symbol val="none"/>
          </c:marker>
          <c:cat>
            <c:numRef>
              <c:f>'[AQ tabele 2020_2024.xlsx]PM2.5'!$C$2:$G$2</c:f>
              <c:numCache>
                <c:formatCode>General</c:formatCode>
                <c:ptCount val="5"/>
                <c:pt idx="0">
                  <c:v>2020</c:v>
                </c:pt>
                <c:pt idx="1">
                  <c:v>2021</c:v>
                </c:pt>
                <c:pt idx="2">
                  <c:v>2022</c:v>
                </c:pt>
                <c:pt idx="3">
                  <c:v>2023</c:v>
                </c:pt>
                <c:pt idx="4">
                  <c:v>2024</c:v>
                </c:pt>
              </c:numCache>
            </c:numRef>
          </c:cat>
          <c:val>
            <c:numRef>
              <c:f>'[AQ tabele 2020_2024.xlsx]PM2.5'!$C$6:$G$6</c:f>
              <c:numCache>
                <c:formatCode>General</c:formatCode>
                <c:ptCount val="5"/>
                <c:pt idx="0">
                  <c:v>20</c:v>
                </c:pt>
                <c:pt idx="1">
                  <c:v>20</c:v>
                </c:pt>
                <c:pt idx="2">
                  <c:v>20</c:v>
                </c:pt>
                <c:pt idx="3">
                  <c:v>20</c:v>
                </c:pt>
                <c:pt idx="4">
                  <c:v>20</c:v>
                </c:pt>
              </c:numCache>
            </c:numRef>
          </c:val>
          <c:smooth val="0"/>
          <c:extLst>
            <c:ext xmlns:c16="http://schemas.microsoft.com/office/drawing/2014/chart" uri="{C3380CC4-5D6E-409C-BE32-E72D297353CC}">
              <c16:uniqueId val="{00000003-DBD7-4523-B74D-73C2CF0EB245}"/>
            </c:ext>
          </c:extLst>
        </c:ser>
        <c:ser>
          <c:idx val="4"/>
          <c:order val="4"/>
          <c:tx>
            <c:strRef>
              <c:f>'[AQ tabele 2020_2024.xlsx]PM2.5'!$B$7</c:f>
              <c:strCache>
                <c:ptCount val="1"/>
                <c:pt idx="0">
                  <c:v>Nova GV</c:v>
                </c:pt>
              </c:strCache>
            </c:strRef>
          </c:tx>
          <c:spPr>
            <a:ln w="19050" cap="rnd">
              <a:solidFill>
                <a:srgbClr val="FF0066"/>
              </a:solidFill>
              <a:round/>
            </a:ln>
            <a:effectLst/>
          </c:spPr>
          <c:marker>
            <c:symbol val="none"/>
          </c:marker>
          <c:cat>
            <c:numRef>
              <c:f>'[AQ tabele 2020_2024.xlsx]PM2.5'!$C$2:$G$2</c:f>
              <c:numCache>
                <c:formatCode>General</c:formatCode>
                <c:ptCount val="5"/>
                <c:pt idx="0">
                  <c:v>2020</c:v>
                </c:pt>
                <c:pt idx="1">
                  <c:v>2021</c:v>
                </c:pt>
                <c:pt idx="2">
                  <c:v>2022</c:v>
                </c:pt>
                <c:pt idx="3">
                  <c:v>2023</c:v>
                </c:pt>
                <c:pt idx="4">
                  <c:v>2024</c:v>
                </c:pt>
              </c:numCache>
            </c:numRef>
          </c:cat>
          <c:val>
            <c:numRef>
              <c:f>'[AQ tabele 2020_2024.xlsx]PM2.5'!$C$7:$G$7</c:f>
              <c:numCache>
                <c:formatCode>General</c:formatCode>
                <c:ptCount val="5"/>
                <c:pt idx="0">
                  <c:v>10</c:v>
                </c:pt>
                <c:pt idx="1">
                  <c:v>10</c:v>
                </c:pt>
                <c:pt idx="2">
                  <c:v>10</c:v>
                </c:pt>
                <c:pt idx="3">
                  <c:v>10</c:v>
                </c:pt>
                <c:pt idx="4">
                  <c:v>10</c:v>
                </c:pt>
              </c:numCache>
            </c:numRef>
          </c:val>
          <c:smooth val="0"/>
          <c:extLst>
            <c:ext xmlns:c16="http://schemas.microsoft.com/office/drawing/2014/chart" uri="{C3380CC4-5D6E-409C-BE32-E72D297353CC}">
              <c16:uniqueId val="{00000004-DBD7-4523-B74D-73C2CF0EB245}"/>
            </c:ext>
          </c:extLst>
        </c:ser>
        <c:dLbls>
          <c:showLegendKey val="0"/>
          <c:showVal val="0"/>
          <c:showCatName val="0"/>
          <c:showSerName val="0"/>
          <c:showPercent val="0"/>
          <c:showBubbleSize val="0"/>
        </c:dLbls>
        <c:smooth val="0"/>
        <c:axId val="1997794063"/>
        <c:axId val="2000671759"/>
      </c:lineChart>
      <c:catAx>
        <c:axId val="1997794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2000671759"/>
        <c:crosses val="autoZero"/>
        <c:auto val="1"/>
        <c:lblAlgn val="ctr"/>
        <c:lblOffset val="100"/>
        <c:noMultiLvlLbl val="0"/>
      </c:catAx>
      <c:valAx>
        <c:axId val="2000671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9977940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4c850e1d-1b98-41b4-bd5b-2047cec69f45}"/>
      </c:ext>
    </c:extLst>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GB" sz="1400" b="0" i="0" u="none" strike="noStrike" kern="1200" spc="0" baseline="0">
                <a:solidFill>
                  <a:schemeClr val="tx1">
                    <a:lumMod val="65000"/>
                    <a:lumOff val="35000"/>
                  </a:schemeClr>
                </a:solidFill>
                <a:latin typeface="+mn-lt"/>
                <a:ea typeface="+mn-ea"/>
                <a:cs typeface="+mn-cs"/>
              </a:defRPr>
            </a:pPr>
            <a:r>
              <a:rPr lang="en-GB"/>
              <a:t>BaP</a:t>
            </a:r>
          </a:p>
        </c:rich>
      </c:tx>
      <c:overlay val="0"/>
      <c:spPr>
        <a:noFill/>
        <a:ln>
          <a:noFill/>
        </a:ln>
        <a:effectLst/>
      </c:spPr>
      <c:txPr>
        <a:bodyPr rot="0" spcFirstLastPara="1" vertOverflow="ellipsis" vert="horz" wrap="square" anchor="ctr" anchorCtr="1"/>
        <a:lstStyle/>
        <a:p>
          <a:pPr>
            <a:defRPr lang="en-GB"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'[AQ tabele 2020_2024.xlsx]BaP'!$B$3</c:f>
              <c:strCache>
                <c:ptCount val="1"/>
                <c:pt idx="0">
                  <c:v>Zona Sjever</c:v>
                </c:pt>
              </c:strCache>
            </c:strRef>
          </c:tx>
          <c:spPr>
            <a:ln w="28575" cap="rnd">
              <a:solidFill>
                <a:schemeClr val="accent1"/>
              </a:solidFill>
              <a:round/>
            </a:ln>
            <a:effectLst/>
          </c:spPr>
          <c:marker>
            <c:symbol val="none"/>
          </c:marker>
          <c:cat>
            <c:numRef>
              <c:f>'[AQ tabele 2020_2024.xlsx]BaP'!$C$2:$G$2</c:f>
              <c:numCache>
                <c:formatCode>General</c:formatCode>
                <c:ptCount val="5"/>
                <c:pt idx="0">
                  <c:v>2020</c:v>
                </c:pt>
                <c:pt idx="1">
                  <c:v>2021</c:v>
                </c:pt>
                <c:pt idx="2">
                  <c:v>2022</c:v>
                </c:pt>
                <c:pt idx="3">
                  <c:v>2023</c:v>
                </c:pt>
                <c:pt idx="4">
                  <c:v>2024</c:v>
                </c:pt>
              </c:numCache>
            </c:numRef>
          </c:cat>
          <c:val>
            <c:numRef>
              <c:f>'[AQ tabele 2020_2024.xlsx]BaP'!$C$3:$G$3</c:f>
              <c:numCache>
                <c:formatCode>General</c:formatCode>
                <c:ptCount val="5"/>
                <c:pt idx="0">
                  <c:v>4.3</c:v>
                </c:pt>
                <c:pt idx="1">
                  <c:v>3.7</c:v>
                </c:pt>
                <c:pt idx="2">
                  <c:v>4.6500000000000004</c:v>
                </c:pt>
                <c:pt idx="3">
                  <c:v>4.3899999999999997</c:v>
                </c:pt>
                <c:pt idx="4">
                  <c:v>5.08</c:v>
                </c:pt>
              </c:numCache>
            </c:numRef>
          </c:val>
          <c:smooth val="1"/>
          <c:extLst>
            <c:ext xmlns:c16="http://schemas.microsoft.com/office/drawing/2014/chart" uri="{C3380CC4-5D6E-409C-BE32-E72D297353CC}">
              <c16:uniqueId val="{00000000-7CA1-4F10-8CCB-5615CF1DF90C}"/>
            </c:ext>
          </c:extLst>
        </c:ser>
        <c:ser>
          <c:idx val="1"/>
          <c:order val="1"/>
          <c:tx>
            <c:strRef>
              <c:f>'[AQ tabele 2020_2024.xlsx]BaP'!$B$4</c:f>
              <c:strCache>
                <c:ptCount val="1"/>
                <c:pt idx="0">
                  <c:v>Zona Centar</c:v>
                </c:pt>
              </c:strCache>
            </c:strRef>
          </c:tx>
          <c:spPr>
            <a:ln w="28575" cap="rnd">
              <a:solidFill>
                <a:schemeClr val="accent1">
                  <a:lumMod val="60000"/>
                  <a:lumOff val="40000"/>
                </a:schemeClr>
              </a:solidFill>
              <a:round/>
            </a:ln>
            <a:effectLst/>
          </c:spPr>
          <c:marker>
            <c:symbol val="none"/>
          </c:marker>
          <c:cat>
            <c:numRef>
              <c:f>'[AQ tabele 2020_2024.xlsx]BaP'!$C$2:$G$2</c:f>
              <c:numCache>
                <c:formatCode>General</c:formatCode>
                <c:ptCount val="5"/>
                <c:pt idx="0">
                  <c:v>2020</c:v>
                </c:pt>
                <c:pt idx="1">
                  <c:v>2021</c:v>
                </c:pt>
                <c:pt idx="2">
                  <c:v>2022</c:v>
                </c:pt>
                <c:pt idx="3">
                  <c:v>2023</c:v>
                </c:pt>
                <c:pt idx="4">
                  <c:v>2024</c:v>
                </c:pt>
              </c:numCache>
            </c:numRef>
          </c:cat>
          <c:val>
            <c:numRef>
              <c:f>'[AQ tabele 2020_2024.xlsx]BaP'!$C$4:$G$4</c:f>
              <c:numCache>
                <c:formatCode>General</c:formatCode>
                <c:ptCount val="5"/>
                <c:pt idx="0">
                  <c:v>3.14</c:v>
                </c:pt>
                <c:pt idx="1">
                  <c:v>2.08</c:v>
                </c:pt>
                <c:pt idx="2">
                  <c:v>2.4500000000000002</c:v>
                </c:pt>
                <c:pt idx="3">
                  <c:v>2.4300000000000002</c:v>
                </c:pt>
                <c:pt idx="4">
                  <c:v>2.58</c:v>
                </c:pt>
              </c:numCache>
            </c:numRef>
          </c:val>
          <c:smooth val="1"/>
          <c:extLst>
            <c:ext xmlns:c16="http://schemas.microsoft.com/office/drawing/2014/chart" uri="{C3380CC4-5D6E-409C-BE32-E72D297353CC}">
              <c16:uniqueId val="{00000001-7CA1-4F10-8CCB-5615CF1DF90C}"/>
            </c:ext>
          </c:extLst>
        </c:ser>
        <c:ser>
          <c:idx val="2"/>
          <c:order val="2"/>
          <c:tx>
            <c:strRef>
              <c:f>'[AQ tabele 2020_2024.xlsx]BaP'!$B$5</c:f>
              <c:strCache>
                <c:ptCount val="1"/>
                <c:pt idx="0">
                  <c:v>Zona Jug</c:v>
                </c:pt>
              </c:strCache>
            </c:strRef>
          </c:tx>
          <c:spPr>
            <a:ln w="28575" cap="rnd">
              <a:solidFill>
                <a:schemeClr val="accent4">
                  <a:lumMod val="40000"/>
                  <a:lumOff val="60000"/>
                </a:schemeClr>
              </a:solidFill>
              <a:round/>
            </a:ln>
            <a:effectLst/>
          </c:spPr>
          <c:marker>
            <c:symbol val="none"/>
          </c:marker>
          <c:cat>
            <c:numRef>
              <c:f>'[AQ tabele 2020_2024.xlsx]BaP'!$C$2:$G$2</c:f>
              <c:numCache>
                <c:formatCode>General</c:formatCode>
                <c:ptCount val="5"/>
                <c:pt idx="0">
                  <c:v>2020</c:v>
                </c:pt>
                <c:pt idx="1">
                  <c:v>2021</c:v>
                </c:pt>
                <c:pt idx="2">
                  <c:v>2022</c:v>
                </c:pt>
                <c:pt idx="3">
                  <c:v>2023</c:v>
                </c:pt>
                <c:pt idx="4">
                  <c:v>2024</c:v>
                </c:pt>
              </c:numCache>
            </c:numRef>
          </c:cat>
          <c:val>
            <c:numRef>
              <c:f>'[AQ tabele 2020_2024.xlsx]BaP'!$C$5:$G$5</c:f>
              <c:numCache>
                <c:formatCode>General</c:formatCode>
                <c:ptCount val="5"/>
                <c:pt idx="0">
                  <c:v>0.48</c:v>
                </c:pt>
                <c:pt idx="1">
                  <c:v>0.33</c:v>
                </c:pt>
                <c:pt idx="2">
                  <c:v>0.39</c:v>
                </c:pt>
                <c:pt idx="3">
                  <c:v>0.37</c:v>
                </c:pt>
                <c:pt idx="4">
                  <c:v>0.28999999999999998</c:v>
                </c:pt>
              </c:numCache>
            </c:numRef>
          </c:val>
          <c:smooth val="1"/>
          <c:extLst>
            <c:ext xmlns:c16="http://schemas.microsoft.com/office/drawing/2014/chart" uri="{C3380CC4-5D6E-409C-BE32-E72D297353CC}">
              <c16:uniqueId val="{00000002-7CA1-4F10-8CCB-5615CF1DF90C}"/>
            </c:ext>
          </c:extLst>
        </c:ser>
        <c:ser>
          <c:idx val="3"/>
          <c:order val="3"/>
          <c:tx>
            <c:strRef>
              <c:f>'[AQ tabele 2020_2024.xlsx]BaP'!$B$6</c:f>
              <c:strCache>
                <c:ptCount val="1"/>
                <c:pt idx="0">
                  <c:v>TV</c:v>
                </c:pt>
              </c:strCache>
            </c:strRef>
          </c:tx>
          <c:spPr>
            <a:ln w="28575" cap="rnd">
              <a:solidFill>
                <a:srgbClr val="FF0066"/>
              </a:solidFill>
              <a:round/>
            </a:ln>
            <a:effectLst/>
          </c:spPr>
          <c:marker>
            <c:symbol val="none"/>
          </c:marker>
          <c:cat>
            <c:numRef>
              <c:f>'[AQ tabele 2020_2024.xlsx]BaP'!$C$2:$G$2</c:f>
              <c:numCache>
                <c:formatCode>General</c:formatCode>
                <c:ptCount val="5"/>
                <c:pt idx="0">
                  <c:v>2020</c:v>
                </c:pt>
                <c:pt idx="1">
                  <c:v>2021</c:v>
                </c:pt>
                <c:pt idx="2">
                  <c:v>2022</c:v>
                </c:pt>
                <c:pt idx="3">
                  <c:v>2023</c:v>
                </c:pt>
                <c:pt idx="4">
                  <c:v>2024</c:v>
                </c:pt>
              </c:numCache>
            </c:numRef>
          </c:cat>
          <c:val>
            <c:numRef>
              <c:f>'[AQ tabele 2020_2024.xlsx]BaP'!$C$6:$G$6</c:f>
              <c:numCache>
                <c:formatCode>General</c:formatCode>
                <c:ptCount val="5"/>
                <c:pt idx="0">
                  <c:v>1</c:v>
                </c:pt>
                <c:pt idx="1">
                  <c:v>1</c:v>
                </c:pt>
                <c:pt idx="2">
                  <c:v>1</c:v>
                </c:pt>
                <c:pt idx="3">
                  <c:v>1</c:v>
                </c:pt>
                <c:pt idx="4">
                  <c:v>1</c:v>
                </c:pt>
              </c:numCache>
            </c:numRef>
          </c:val>
          <c:smooth val="0"/>
          <c:extLst>
            <c:ext xmlns:c16="http://schemas.microsoft.com/office/drawing/2014/chart" uri="{C3380CC4-5D6E-409C-BE32-E72D297353CC}">
              <c16:uniqueId val="{00000003-7CA1-4F10-8CCB-5615CF1DF90C}"/>
            </c:ext>
          </c:extLst>
        </c:ser>
        <c:dLbls>
          <c:showLegendKey val="0"/>
          <c:showVal val="0"/>
          <c:showCatName val="0"/>
          <c:showSerName val="0"/>
          <c:showPercent val="0"/>
          <c:showBubbleSize val="0"/>
        </c:dLbls>
        <c:smooth val="0"/>
        <c:axId val="2003731615"/>
        <c:axId val="438764127"/>
      </c:lineChart>
      <c:catAx>
        <c:axId val="2003731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438764127"/>
        <c:crosses val="autoZero"/>
        <c:auto val="1"/>
        <c:lblAlgn val="ctr"/>
        <c:lblOffset val="100"/>
        <c:noMultiLvlLbl val="0"/>
      </c:catAx>
      <c:valAx>
        <c:axId val="4387641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2003731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329009b8-b88e-4525-a391-971851f7eca2}"/>
      </c:ext>
    </c:extLst>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WB6_EU27!$C$22</c:f>
              <c:strCache>
                <c:ptCount val="1"/>
                <c:pt idx="0">
                  <c:v>PM2.5 Prosjecna godisnja koncentracija</c:v>
                </c:pt>
              </c:strCache>
            </c:strRef>
          </c:tx>
          <c:spPr>
            <a:solidFill>
              <a:schemeClr val="accent1"/>
            </a:solidFill>
            <a:ln>
              <a:noFill/>
            </a:ln>
            <a:effectLst/>
            <a:sp3d/>
          </c:spPr>
          <c:invertIfNegative val="0"/>
          <c:cat>
            <c:strRef>
              <c:f>WB6_EU27!$B$11:$B$17</c:f>
              <c:strCache>
                <c:ptCount val="7"/>
                <c:pt idx="0">
                  <c:v>Albania</c:v>
                </c:pt>
                <c:pt idx="1">
                  <c:v>Bosnia and Herzegovina</c:v>
                </c:pt>
                <c:pt idx="2">
                  <c:v>Kosovo*</c:v>
                </c:pt>
                <c:pt idx="3">
                  <c:v>Montenegro</c:v>
                </c:pt>
                <c:pt idx="4">
                  <c:v>North Macedonia</c:v>
                </c:pt>
                <c:pt idx="5">
                  <c:v>Serbia </c:v>
                </c:pt>
                <c:pt idx="6">
                  <c:v>EU 27</c:v>
                </c:pt>
              </c:strCache>
            </c:strRef>
          </c:cat>
          <c:val>
            <c:numRef>
              <c:f>WB6_EU27!$C$11:$C$17</c:f>
              <c:numCache>
                <c:formatCode>General</c:formatCode>
                <c:ptCount val="7"/>
                <c:pt idx="0">
                  <c:v>15.8</c:v>
                </c:pt>
                <c:pt idx="1">
                  <c:v>21.1</c:v>
                </c:pt>
                <c:pt idx="2">
                  <c:v>16.5</c:v>
                </c:pt>
                <c:pt idx="3">
                  <c:v>15.1</c:v>
                </c:pt>
                <c:pt idx="4">
                  <c:v>22.8</c:v>
                </c:pt>
                <c:pt idx="5">
                  <c:v>19.100000000000001</c:v>
                </c:pt>
                <c:pt idx="6">
                  <c:v>11.4</c:v>
                </c:pt>
              </c:numCache>
            </c:numRef>
          </c:val>
          <c:extLst>
            <c:ext xmlns:c16="http://schemas.microsoft.com/office/drawing/2014/chart" uri="{C3380CC4-5D6E-409C-BE32-E72D297353CC}">
              <c16:uniqueId val="{00000000-C5B6-479E-BFEF-95578F824914}"/>
            </c:ext>
          </c:extLst>
        </c:ser>
        <c:ser>
          <c:idx val="1"/>
          <c:order val="1"/>
          <c:tx>
            <c:strRef>
              <c:f>WB6_EU27!$E$22</c:f>
              <c:strCache>
                <c:ptCount val="1"/>
                <c:pt idx="0">
                  <c:v>Br. preuranjenih smrti na 100.000 stanovnika</c:v>
                </c:pt>
              </c:strCache>
            </c:strRef>
          </c:tx>
          <c:spPr>
            <a:solidFill>
              <a:schemeClr val="accent2"/>
            </a:solidFill>
            <a:ln>
              <a:noFill/>
            </a:ln>
            <a:effectLst/>
            <a:sp3d/>
          </c:spPr>
          <c:invertIfNegative val="0"/>
          <c:cat>
            <c:strRef>
              <c:f>WB6_EU27!$B$11:$B$17</c:f>
              <c:strCache>
                <c:ptCount val="7"/>
                <c:pt idx="0">
                  <c:v>Albania</c:v>
                </c:pt>
                <c:pt idx="1">
                  <c:v>Bosnia and Herzegovina</c:v>
                </c:pt>
                <c:pt idx="2">
                  <c:v>Kosovo*</c:v>
                </c:pt>
                <c:pt idx="3">
                  <c:v>Montenegro</c:v>
                </c:pt>
                <c:pt idx="4">
                  <c:v>North Macedonia</c:v>
                </c:pt>
                <c:pt idx="5">
                  <c:v>Serbia </c:v>
                </c:pt>
                <c:pt idx="6">
                  <c:v>EU 27</c:v>
                </c:pt>
              </c:strCache>
            </c:strRef>
          </c:cat>
          <c:val>
            <c:numRef>
              <c:f>WB6_EU27!$D$11:$D$17</c:f>
              <c:numCache>
                <c:formatCode>General</c:formatCode>
                <c:ptCount val="7"/>
                <c:pt idx="0">
                  <c:v>200</c:v>
                </c:pt>
                <c:pt idx="1">
                  <c:v>258</c:v>
                </c:pt>
                <c:pt idx="2">
                  <c:v>254</c:v>
                </c:pt>
                <c:pt idx="3">
                  <c:v>182</c:v>
                </c:pt>
                <c:pt idx="4">
                  <c:v>303</c:v>
                </c:pt>
                <c:pt idx="5">
                  <c:v>228</c:v>
                </c:pt>
                <c:pt idx="6">
                  <c:v>78</c:v>
                </c:pt>
              </c:numCache>
            </c:numRef>
          </c:val>
          <c:extLst>
            <c:ext xmlns:c16="http://schemas.microsoft.com/office/drawing/2014/chart" uri="{C3380CC4-5D6E-409C-BE32-E72D297353CC}">
              <c16:uniqueId val="{00000001-C5B6-479E-BFEF-95578F824914}"/>
            </c:ext>
          </c:extLst>
        </c:ser>
        <c:dLbls>
          <c:showLegendKey val="0"/>
          <c:showVal val="0"/>
          <c:showCatName val="0"/>
          <c:showSerName val="0"/>
          <c:showPercent val="0"/>
          <c:showBubbleSize val="0"/>
        </c:dLbls>
        <c:gapWidth val="150"/>
        <c:axId val="2016476447"/>
        <c:axId val="2016475967"/>
      </c:barChart>
      <c:catAx>
        <c:axId val="201647644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2016475967"/>
        <c:crosses val="autoZero"/>
        <c:auto val="1"/>
        <c:lblAlgn val="ctr"/>
        <c:lblOffset val="100"/>
        <c:noMultiLvlLbl val="0"/>
      </c:catAx>
      <c:valAx>
        <c:axId val="201647596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20164764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ec9c1a46-ae4c-456f-b3d1-46aa68b26a91}"/>
      </c:ext>
    </c:extLst>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6C9EB-F852-4596-9D22-393DA361B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51786</Words>
  <Characters>295186</Characters>
  <Application>Microsoft Office Word</Application>
  <DocSecurity>0</DocSecurity>
  <Lines>2459</Lines>
  <Paragraphs>692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Tamara Djurovic;Djordjina Vujovic</dc:creator>
  <cp:lastModifiedBy>Djordjina Vujovic</cp:lastModifiedBy>
  <cp:revision>7</cp:revision>
  <dcterms:created xsi:type="dcterms:W3CDTF">2026-06-29T08:09:00Z</dcterms:created>
  <dcterms:modified xsi:type="dcterms:W3CDTF">2026-06-30T09:42:00Z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2057-12.2.0.23155</vt:lpwstr>
  </property>
  <property fmtid="{D5CDD505-2E9C-101B-9397-08002B2CF9AE}" pid="3" name="ICV">
    <vt:lpwstr>9CE6BA259894443282D7E649B430FDE0_12</vt:lpwstr>
  </property>
</Properties>
</file>