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57F25" w14:textId="77777777" w:rsidR="00F63B89" w:rsidRPr="00DB56D1" w:rsidRDefault="00F63B89" w:rsidP="00F63B8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lang w:val="sr-Latn-ME" w:eastAsia="en-GB"/>
        </w:rPr>
      </w:pPr>
      <w:r w:rsidRPr="00DB56D1">
        <w:rPr>
          <w:rFonts w:ascii="Arial" w:eastAsia="Times New Roman" w:hAnsi="Arial" w:cs="Arial"/>
          <w:b/>
          <w:bCs/>
          <w:lang w:val="sr-Latn-ME" w:eastAsia="en-GB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86"/>
        <w:gridCol w:w="5454"/>
      </w:tblGrid>
      <w:tr w:rsidR="00F63B89" w:rsidRPr="00DB56D1" w14:paraId="392772A6" w14:textId="77777777" w:rsidTr="00E27883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0ACB6D29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IZVJEŠTAJ O SPROVEDENOJ ANALIZI PROCJENE UTICAJA PROPISA</w:t>
            </w:r>
          </w:p>
        </w:tc>
      </w:tr>
      <w:tr w:rsidR="00F63B89" w:rsidRPr="00DB56D1" w14:paraId="128A1927" w14:textId="77777777" w:rsidTr="00E27883">
        <w:tc>
          <w:tcPr>
            <w:tcW w:w="3978" w:type="dxa"/>
            <w:shd w:val="clear" w:color="auto" w:fill="D2EAF1"/>
          </w:tcPr>
          <w:p w14:paraId="39660FFB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14:paraId="1B7FD7E4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>MINISTARSTVO FINANSIJA</w:t>
            </w:r>
          </w:p>
        </w:tc>
      </w:tr>
      <w:tr w:rsidR="00F63B89" w:rsidRPr="00DB56D1" w14:paraId="1A9F304D" w14:textId="77777777" w:rsidTr="00E27883">
        <w:tc>
          <w:tcPr>
            <w:tcW w:w="3978" w:type="dxa"/>
          </w:tcPr>
          <w:p w14:paraId="56F3A00B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NAZIV PROPISA</w:t>
            </w:r>
          </w:p>
        </w:tc>
        <w:tc>
          <w:tcPr>
            <w:tcW w:w="5598" w:type="dxa"/>
          </w:tcPr>
          <w:p w14:paraId="5B4FACA6" w14:textId="45995F9F" w:rsidR="00F63B89" w:rsidRPr="00DB56D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>Nacrt Zakona o sanaciji investicionih društava</w:t>
            </w:r>
            <w:r w:rsidR="00F75F4E" w:rsidRPr="00DB56D1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 xml:space="preserve"> – Komisija za tržište kapitala</w:t>
            </w:r>
          </w:p>
        </w:tc>
      </w:tr>
      <w:tr w:rsidR="00F63B89" w:rsidRPr="00DB56D1" w14:paraId="4B6E5970" w14:textId="77777777" w:rsidTr="00E27883">
        <w:tc>
          <w:tcPr>
            <w:tcW w:w="9576" w:type="dxa"/>
            <w:gridSpan w:val="2"/>
            <w:shd w:val="clear" w:color="auto" w:fill="D2EAF1"/>
          </w:tcPr>
          <w:p w14:paraId="680CC533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1. Definisanje problema</w:t>
            </w:r>
          </w:p>
          <w:p w14:paraId="4CF61D74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Koje probleme  treba da riješi predloženi akt?</w:t>
            </w:r>
          </w:p>
          <w:p w14:paraId="18D4C282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Koji su uzroci problema?</w:t>
            </w:r>
          </w:p>
          <w:p w14:paraId="3536C720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Koje su posljedice problema?</w:t>
            </w:r>
            <w:bookmarkStart w:id="0" w:name="_GoBack"/>
            <w:bookmarkEnd w:id="0"/>
          </w:p>
          <w:p w14:paraId="1181DE8F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Koji su subjekti oštećeni, na koji način i u kojoj mjeri?</w:t>
            </w:r>
          </w:p>
          <w:p w14:paraId="3E43D5D0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Kako bi problem evoluirao bez promjene propisa (“status quo” opcija)?</w:t>
            </w:r>
          </w:p>
        </w:tc>
      </w:tr>
      <w:tr w:rsidR="00F63B89" w:rsidRPr="00DB56D1" w14:paraId="68BA8E2B" w14:textId="77777777" w:rsidTr="00E27883">
        <w:tc>
          <w:tcPr>
            <w:tcW w:w="9576" w:type="dxa"/>
            <w:gridSpan w:val="2"/>
          </w:tcPr>
          <w:p w14:paraId="75606FA8" w14:textId="77777777" w:rsidR="00F63B89" w:rsidRPr="00DB56D1" w:rsidRDefault="0065725D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lang w:val="sr-Latn-ME"/>
              </w:rPr>
            </w:pP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Usvajanjem regulatornog </w:t>
            </w:r>
            <w:r w:rsidR="00F63B89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okvir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a i zakonskih odredbi Nacrta Zakona o sanaciji investicionih društava, koji se </w:t>
            </w:r>
            <w:r w:rsidR="00F63B89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zasn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iva</w:t>
            </w:r>
            <w:r w:rsidR="00F63B89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na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prenošenju odredbi</w:t>
            </w:r>
            <w:r w:rsidR="00F63B89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Direktiv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e (EU)</w:t>
            </w:r>
            <w:r w:rsidR="00F63B89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2014/59 EU o uspostavljanju okvira za oporavak i sanaciju kreditnih institucija i investicionih društava (tzv. BRRD), obezbeđuju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se</w:t>
            </w:r>
            <w:r w:rsidR="00F63B89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instrumenti za 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blagovremenu</w:t>
            </w:r>
            <w:r w:rsidR="00F63B89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intervenciju u investicionom društvu koje je u problemima kako bi se obezbijedio nastavak ključnih finansijskih i ekonomskih funkcija tog investicionog društva, uz istovremeno ograničavanje uticaja propadanja investicionog društva na ekonomski i finansijski 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sistem na najmanju moguću mjeru</w:t>
            </w:r>
            <w:r w:rsidR="00F63B89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. </w:t>
            </w:r>
          </w:p>
          <w:p w14:paraId="0FA88089" w14:textId="77777777" w:rsidR="00BC11A9" w:rsidRPr="00DB56D1" w:rsidRDefault="00BC11A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lang w:val="sr-Latn-ME"/>
              </w:rPr>
            </w:pPr>
          </w:p>
          <w:p w14:paraId="4E57CF07" w14:textId="77777777" w:rsidR="00F63B89" w:rsidRPr="00DB56D1" w:rsidRDefault="00BC11A9" w:rsidP="00BC11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lang w:val="sr-Latn-ME"/>
              </w:rPr>
            </w:pP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Prilikom izrade Nacrta zakona o sanaciji investicionih društava Komisija za tržište kapitala</w:t>
            </w:r>
            <w:r w:rsidR="00B146E8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Crne Gore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je uzela u obzir prirodu posla investicionih društava, njihovu akcionarsku strukturu odnosno udjele njihovih vlasnika, pravni oblik, profil rizičnosti,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veličinu, pravni status kao i međusobnu povezanost s drugim institucijama ili s finan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s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ijskim s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istemom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, obim i složenost njihovih aktivnosti, da li su dio sistema zaštite investitora, pružaju li investicione usluge ili aktivnosti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. </w:t>
            </w:r>
            <w:r w:rsidR="00B146E8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Komisija za tržište kapitala Crne Gore 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je uzela u obzir negativni uticaj koji bi 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propast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investicionih društava imala 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na finan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s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ijska tržišta, druge 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institucije 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u okviru planova oporavka i sanacije,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 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 xml:space="preserve">kao i 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da se admini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strativno opterećenje u pogledu ob</w:t>
            </w:r>
            <w:r w:rsidR="00DA4726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a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veza priprema plana oporavka i sanacije svede na najmanju moguću mjeru.</w:t>
            </w:r>
          </w:p>
          <w:p w14:paraId="53F63108" w14:textId="27F6231E" w:rsidR="00473BBA" w:rsidRPr="00DB56D1" w:rsidRDefault="00473BBA" w:rsidP="00473BB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Nacrt zakona o sanaciji investicionih društava</w:t>
            </w:r>
            <w:r w:rsidRPr="00DB56D1">
              <w:rPr>
                <w:rFonts w:ascii="Arial" w:eastAsia="Times New Roman" w:hAnsi="Arial" w:cs="Arial"/>
                <w:lang w:val="sr-Latn-ME"/>
              </w:rPr>
              <w:t>, usaglašen sa Direktivom EU 2019/879 (BRRD II), bavi se ključnim pitanjem upravljanja rizicima i sanacije u finansijskom sektoru, sa posebnim fokusom na investiciona društva. Ovaj zakon je kreiran kako bi se izb</w:t>
            </w:r>
            <w:r w:rsidR="00085F0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egle ozbiljne posl</w:t>
            </w:r>
            <w:r w:rsidR="00085F0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edice finansijskih kriza, kao i negativni uticaji na subjekte koji su u interakciji sa investicionim </w:t>
            </w:r>
            <w:r w:rsidR="00085F0A" w:rsidRPr="00DB56D1">
              <w:rPr>
                <w:rFonts w:ascii="Arial" w:eastAsia="Times New Roman" w:hAnsi="Arial" w:cs="Arial"/>
                <w:lang w:val="sr-Latn-ME"/>
              </w:rPr>
              <w:t>društvima.</w:t>
            </w:r>
          </w:p>
          <w:p w14:paraId="43851A8C" w14:textId="01092E11" w:rsidR="00473BBA" w:rsidRPr="00DB56D1" w:rsidRDefault="00473BBA" w:rsidP="00085F0A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Problem</w:t>
            </w:r>
            <w:r w:rsidR="00085F0A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: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Direktiva 2019/879/EU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(BRRD II) je usvojena sa ciljem da unapr</w:t>
            </w:r>
            <w:r w:rsidR="00085F0A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edi pravni okvir za sanaciju investicionih društava i kreditnih institucija, kako bi se izb</w:t>
            </w:r>
            <w:r w:rsidR="00085F0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eglo da poreski obveznici</w:t>
            </w:r>
            <w:r w:rsidR="00085F0A" w:rsidRPr="00DB56D1">
              <w:rPr>
                <w:rFonts w:ascii="Arial" w:eastAsia="Times New Roman" w:hAnsi="Arial" w:cs="Arial"/>
                <w:lang w:val="sr-Latn-ME"/>
              </w:rPr>
              <w:t xml:space="preserve"> </w:t>
            </w:r>
            <w:r w:rsidRPr="00DB56D1">
              <w:rPr>
                <w:rFonts w:ascii="Arial" w:eastAsia="Times New Roman" w:hAnsi="Arial" w:cs="Arial"/>
                <w:lang w:val="sr-Latn-ME"/>
              </w:rPr>
              <w:t>budu primarni izvor pomoći u slučaju finansijskog kolapsa tih institucija. Međutim, u situacijama kada investiciono društvo naiđe na finansijske poteškoće, nastaje problem zaštite pov</w:t>
            </w:r>
            <w:r w:rsidR="00085F0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erilaca, investitora i drugih povezanih subjekata. Ovaj nacrt zakona </w:t>
            </w:r>
            <w:r w:rsidR="00085F0A" w:rsidRPr="00DB56D1">
              <w:rPr>
                <w:rFonts w:ascii="Arial" w:eastAsia="Times New Roman" w:hAnsi="Arial" w:cs="Arial"/>
                <w:lang w:val="sr-Latn-ME"/>
              </w:rPr>
              <w:t xml:space="preserve">rješava 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sl</w:t>
            </w:r>
            <w:r w:rsidR="00085F0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edeće izazove:</w:t>
            </w:r>
          </w:p>
          <w:p w14:paraId="6458571B" w14:textId="77777777" w:rsidR="00473BBA" w:rsidRPr="00DB56D1" w:rsidRDefault="00473BBA" w:rsidP="009674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Smanjenje rizika kolapsa</w:t>
            </w:r>
            <w:r w:rsidRPr="00DB56D1">
              <w:rPr>
                <w:rFonts w:ascii="Arial" w:eastAsia="Times New Roman" w:hAnsi="Arial" w:cs="Arial"/>
                <w:lang w:val="sr-Latn-ME"/>
              </w:rPr>
              <w:t>: Investiciona društva mogu naići na gubitke koji ugrožavaju njihovu likvidnost i solventnost. Nedostatak odgovarajućih sanacionih mehanizama vodi do destabilizacije tržišta.</w:t>
            </w:r>
          </w:p>
          <w:p w14:paraId="2C129661" w14:textId="078E90C5" w:rsidR="00473BBA" w:rsidRPr="00DB56D1" w:rsidRDefault="00473BBA" w:rsidP="009674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Zavisnost od javnih sredstava</w:t>
            </w:r>
            <w:r w:rsidRPr="00DB56D1">
              <w:rPr>
                <w:rFonts w:ascii="Arial" w:eastAsia="Times New Roman" w:hAnsi="Arial" w:cs="Arial"/>
                <w:lang w:val="sr-Latn-ME"/>
              </w:rPr>
              <w:t>: Pre krize 2008. godine, banke i finansijske institucije su u velikoj m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eri spasile države, koristeći sredstva poreskih obveznika. Cilj 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zakona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je </w:t>
            </w:r>
            <w:r w:rsidRPr="00DB56D1">
              <w:rPr>
                <w:rFonts w:ascii="Arial" w:eastAsia="Times New Roman" w:hAnsi="Arial" w:cs="Arial"/>
                <w:lang w:val="sr-Latn-ME"/>
              </w:rPr>
              <w:lastRenderedPageBreak/>
              <w:t>da se taj scenario izb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egne kroz unapr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ed utvrđene sanacione planove i kapacitete za pokrivanje gubitaka.</w:t>
            </w:r>
          </w:p>
          <w:p w14:paraId="601FCC78" w14:textId="5529C92D" w:rsidR="00473BBA" w:rsidRPr="00DB56D1" w:rsidRDefault="00473BBA" w:rsidP="009674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Nedostatak kapaciteta za pokrivanje gubitaka</w:t>
            </w:r>
            <w:r w:rsidRPr="00DB56D1">
              <w:rPr>
                <w:rFonts w:ascii="Arial" w:eastAsia="Times New Roman" w:hAnsi="Arial" w:cs="Arial"/>
                <w:lang w:val="sr-Latn-ME"/>
              </w:rPr>
              <w:t>: Mnoge finansijske institucije i investiciona društva ne pos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eduju dovoljne resurse za sopstvenu dokapitalizaciju u slučaju krize, što može dovesti do finansijskog sloma i ugroziti pov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erioce i klijente.</w:t>
            </w:r>
          </w:p>
          <w:p w14:paraId="345049A5" w14:textId="723BA99A" w:rsidR="00473BBA" w:rsidRPr="00DB56D1" w:rsidRDefault="00473BBA" w:rsidP="0096746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Oštećeni subjekti</w:t>
            </w:r>
            <w:r w:rsidR="00967466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: </w:t>
            </w:r>
            <w:r w:rsidRPr="00DB56D1">
              <w:rPr>
                <w:rFonts w:ascii="Arial" w:eastAsia="Times New Roman" w:hAnsi="Arial" w:cs="Arial"/>
                <w:lang w:val="sr-Latn-ME"/>
              </w:rPr>
              <w:t>U slučaju finansijske krize investicionog društva ili njegove nesolventnosti, oštećeni subjekti mogu biti:</w:t>
            </w:r>
          </w:p>
          <w:p w14:paraId="0726193C" w14:textId="75E668CF" w:rsidR="00473BBA" w:rsidRPr="00DB56D1" w:rsidRDefault="00473BBA" w:rsidP="009674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Investitori (klijenti investicionih društava)</w:t>
            </w:r>
            <w:r w:rsidRPr="00DB56D1">
              <w:rPr>
                <w:rFonts w:ascii="Arial" w:eastAsia="Times New Roman" w:hAnsi="Arial" w:cs="Arial"/>
                <w:lang w:val="sr-Latn-ME"/>
              </w:rPr>
              <w:t>: Ovi subjekti su direktno pogođeni nesolventnošću, jer mogu izgubiti svoju imovinu ili uloge koje su investirali u društvo. Ukoliko društvo ne pos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eduje kapacitet da pokrije gubitke, investitori su u opasnosti od značajnih finansijskih gubitaka.</w:t>
            </w:r>
          </w:p>
          <w:p w14:paraId="5BA2C18D" w14:textId="73F246E6" w:rsidR="00473BBA" w:rsidRPr="00DB56D1" w:rsidRDefault="00473BBA" w:rsidP="009674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Pov</w:t>
            </w:r>
            <w:r w:rsidR="00967466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erioci</w:t>
            </w:r>
            <w:r w:rsidRPr="00DB56D1">
              <w:rPr>
                <w:rFonts w:ascii="Arial" w:eastAsia="Times New Roman" w:hAnsi="Arial" w:cs="Arial"/>
                <w:lang w:val="sr-Latn-ME"/>
              </w:rPr>
              <w:t>: Pov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erioci investicionih društava (bilo da su to druge finansijske institucije, pojedinci ili korporacije) mogu pretrpeti gubitke ukoliko društvo postane nesolventno i nije u mogućnosti da izvrši svoje obaveze prema pov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eriocima.</w:t>
            </w:r>
          </w:p>
          <w:p w14:paraId="0DE82541" w14:textId="29E0156F" w:rsidR="00473BBA" w:rsidRPr="00DB56D1" w:rsidRDefault="00473BBA" w:rsidP="009674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Akcionari</w:t>
            </w:r>
            <w:r w:rsidRPr="00DB56D1">
              <w:rPr>
                <w:rFonts w:ascii="Arial" w:eastAsia="Times New Roman" w:hAnsi="Arial" w:cs="Arial"/>
                <w:lang w:val="sr-Latn-ME"/>
              </w:rPr>
              <w:t>: U slučaju sanacije ili likvidacije, akcionari društva su među prvima koji mogu pretrpeti gubitke, jer se imovina društva koristi za pokrivanje dugova prema pov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eriocima pr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 nego što se raspod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eli među akcionarima.</w:t>
            </w:r>
          </w:p>
          <w:p w14:paraId="1DE9D8BA" w14:textId="77777777" w:rsidR="00473BBA" w:rsidRPr="00DB56D1" w:rsidRDefault="00473BBA" w:rsidP="009674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Zaposleni u investicionim društvima</w:t>
            </w:r>
            <w:r w:rsidRPr="00DB56D1">
              <w:rPr>
                <w:rFonts w:ascii="Arial" w:eastAsia="Times New Roman" w:hAnsi="Arial" w:cs="Arial"/>
                <w:lang w:val="sr-Latn-ME"/>
              </w:rPr>
              <w:t>: U slučaju propasti ili sanacije investicionog društva, zaposlenima može biti ugrožen posao, što dalje negativno utiče na njihove prihode i životnu stabilnost.</w:t>
            </w:r>
          </w:p>
          <w:p w14:paraId="48295799" w14:textId="7F9956AD" w:rsidR="00473BBA" w:rsidRPr="00DB56D1" w:rsidRDefault="00473BBA" w:rsidP="00473BB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Širi finansijski sistem i tržište</w:t>
            </w:r>
            <w:r w:rsidRPr="00DB56D1">
              <w:rPr>
                <w:rFonts w:ascii="Arial" w:eastAsia="Times New Roman" w:hAnsi="Arial" w:cs="Arial"/>
                <w:lang w:val="sr-Latn-ME"/>
              </w:rPr>
              <w:t>: Kolaps velikog investicionog društva može izazvati lančanu reakciju na finansijskom tržištu, destabilizovati druge institucije, izazvati pad vr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ednosti hartija od vr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ednosti, kao i smanjenje pov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erenja među investitorima.</w:t>
            </w:r>
          </w:p>
          <w:p w14:paraId="6013FB59" w14:textId="10A5EEEA" w:rsidR="00473BBA" w:rsidRPr="00DB56D1" w:rsidRDefault="00473BBA" w:rsidP="0096746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R</w:t>
            </w:r>
            <w:r w:rsidR="0006642A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ešenja predviđena zakonom</w:t>
            </w:r>
            <w:r w:rsidR="00967466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: </w:t>
            </w:r>
            <w:r w:rsidRPr="00DB56D1">
              <w:rPr>
                <w:rFonts w:ascii="Arial" w:eastAsia="Times New Roman" w:hAnsi="Arial" w:cs="Arial"/>
                <w:lang w:val="sr-Latn-ME"/>
              </w:rPr>
              <w:t>Cilj Nacrta zakona o sanaciji investicionih društava jeste da zaštiti oštećene subjekte kroz:</w:t>
            </w:r>
          </w:p>
          <w:p w14:paraId="799E7D24" w14:textId="58C61FAF" w:rsidR="00473BBA" w:rsidRPr="00DB56D1" w:rsidRDefault="00473BBA" w:rsidP="0096746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Sanacione planove</w:t>
            </w:r>
            <w:r w:rsidRPr="00DB56D1">
              <w:rPr>
                <w:rFonts w:ascii="Arial" w:eastAsia="Times New Roman" w:hAnsi="Arial" w:cs="Arial"/>
                <w:lang w:val="sr-Latn-ME"/>
              </w:rPr>
              <w:t>: Investiciona društva su obavezna da razvijaju planove za sanaciju koji detaljno opisuju kako će se nositi sa kriznim situacijama, smanjujući rizik za investitore i pov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erioce.</w:t>
            </w:r>
          </w:p>
          <w:p w14:paraId="5033B8ED" w14:textId="6288A487" w:rsidR="00473BBA" w:rsidRPr="00DB56D1" w:rsidRDefault="00473BBA" w:rsidP="0096746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Kapacitet pokrivanja gubitaka</w:t>
            </w:r>
            <w:r w:rsidRPr="00DB56D1">
              <w:rPr>
                <w:rFonts w:ascii="Arial" w:eastAsia="Times New Roman" w:hAnsi="Arial" w:cs="Arial"/>
                <w:lang w:val="sr-Latn-ME"/>
              </w:rPr>
              <w:t>: Obavezivanje društava da unapr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ed obezb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ede dovoljno kapitala kako bi mogli apsorbovati eventualne gubitke bez potrebe za državnom intervencijom.</w:t>
            </w:r>
          </w:p>
          <w:p w14:paraId="6B4A36D5" w14:textId="2F88CA80" w:rsidR="00473BBA" w:rsidRPr="00DB56D1" w:rsidRDefault="0006642A" w:rsidP="0096746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Mehanizme</w:t>
            </w:r>
            <w:r w:rsidR="00473BBA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 dokapitalizacije</w:t>
            </w:r>
            <w:r w:rsidR="00473BBA" w:rsidRPr="00DB56D1">
              <w:rPr>
                <w:rFonts w:ascii="Arial" w:eastAsia="Times New Roman" w:hAnsi="Arial" w:cs="Arial"/>
                <w:lang w:val="sr-Latn-ME"/>
              </w:rPr>
              <w:t>: Uvođenje instrumenata koji omogućavaju dokapitalizaciju društava u kriznim situacijama, čime se štite pov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="00473BBA" w:rsidRPr="00DB56D1">
              <w:rPr>
                <w:rFonts w:ascii="Arial" w:eastAsia="Times New Roman" w:hAnsi="Arial" w:cs="Arial"/>
                <w:lang w:val="sr-Latn-ME"/>
              </w:rPr>
              <w:t>erioci i spr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="00473BBA" w:rsidRPr="00DB56D1">
              <w:rPr>
                <w:rFonts w:ascii="Arial" w:eastAsia="Times New Roman" w:hAnsi="Arial" w:cs="Arial"/>
                <w:lang w:val="sr-Latn-ME"/>
              </w:rPr>
              <w:t>ečava finansijski kolaps.</w:t>
            </w:r>
          </w:p>
          <w:p w14:paraId="1926884F" w14:textId="2D75ECDA" w:rsidR="00473BBA" w:rsidRPr="00DB56D1" w:rsidRDefault="00473BBA" w:rsidP="009674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>Nacrt zakona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 xml:space="preserve"> o sanaciji investicionih društava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direktno odgovara na problem zaštite investitora, pov</w:t>
            </w:r>
            <w:r w:rsidR="00967466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erilaca i šireg finansijskog sistema, omogućavajući stabilniji i održiviji finansijski sektor.</w:t>
            </w:r>
          </w:p>
          <w:p w14:paraId="45924779" w14:textId="77777777" w:rsidR="00F63B89" w:rsidRPr="00DB56D1" w:rsidRDefault="0065725D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/>
              </w:rPr>
            </w:pP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Crna Gora, k</w:t>
            </w:r>
            <w:r w:rsidR="00F63B89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ao zemlja kandidat za ulazak u Evropsku uniju, ima obavezu usklađivanja svog zakonodavstva sa Direktivom</w:t>
            </w:r>
            <w:r w:rsidRPr="00DB56D1">
              <w:rPr>
                <w:rFonts w:ascii="Arial" w:hAnsi="Arial" w:cs="Arial"/>
                <w:lang w:val="sr-Latn-ME"/>
              </w:rPr>
              <w:t xml:space="preserve"> </w:t>
            </w:r>
            <w:r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(EU) 2019/879 od 20. maja 2019. godine o izmjeni Direktive 2014/59/EU u pogledu kapaciteta pokrivanja gubitaka i dokapitalizacije kreditnih institucija i investicionih društava kao i Direktive 98/26/EZ (tzv. BRRD II)</w:t>
            </w:r>
            <w:r w:rsidR="00F63B89" w:rsidRPr="00DB56D1">
              <w:rPr>
                <w:rFonts w:ascii="Arial" w:eastAsia="Times New Roman" w:hAnsi="Arial" w:cs="Arial"/>
                <w:bCs/>
                <w:noProof/>
                <w:lang w:val="sr-Latn-ME"/>
              </w:rPr>
              <w:t>. Postupak, instrumenti i ovlašćenja za rješavanje pitanja investicionih društava koje su od sistemskog značaja a koje propadaju ili će propasti, uređeni su Nacrtom Zakona</w:t>
            </w:r>
            <w:r w:rsidR="007E2D0F" w:rsidRPr="00DB56D1">
              <w:rPr>
                <w:rFonts w:ascii="Arial" w:eastAsia="Times New Roman" w:hAnsi="Arial" w:cs="Arial"/>
                <w:bCs/>
                <w:lang w:val="sr-Latn-ME"/>
              </w:rPr>
              <w:t xml:space="preserve"> o sanaciji investici</w:t>
            </w:r>
            <w:r w:rsidR="00F63B89" w:rsidRPr="00DB56D1">
              <w:rPr>
                <w:rFonts w:ascii="Arial" w:eastAsia="Times New Roman" w:hAnsi="Arial" w:cs="Arial"/>
                <w:bCs/>
                <w:lang w:val="sr-Latn-ME"/>
              </w:rPr>
              <w:t xml:space="preserve">onih društava </w:t>
            </w:r>
            <w:r w:rsidR="00F63B89" w:rsidRPr="00DB56D1">
              <w:rPr>
                <w:rFonts w:ascii="Arial" w:eastAsia="Times New Roman" w:hAnsi="Arial" w:cs="Arial"/>
                <w:lang w:val="sr-Latn-ME"/>
              </w:rPr>
              <w:t xml:space="preserve">koji sadrži odredbe koje se odnose na pokretanje postupka sanacije, planove sanacije, postupak sanacije, mjere i instrumente sanacije, sanacioni fond i dr. </w:t>
            </w:r>
          </w:p>
          <w:p w14:paraId="27889F8C" w14:textId="77777777" w:rsidR="00F63B89" w:rsidRPr="00DB56D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lastRenderedPageBreak/>
              <w:t>Komisija za tržište kapitala Crne Gore je pripremila Nacrt zakona o sanaciji investicionih društava u skladu sa Direktivom 2019/879/EU Evropskog parlamanta i Vijeća od 20. maja 2019. godine o izmjeni Direktive 2014/59/EU u pogledu kapaciteta pokrivanja gubitaka i dokapitalizacije kreditnih institucija i investicionih društava kao i Direktive 98/26/EZ (BRRD II).</w:t>
            </w:r>
          </w:p>
          <w:p w14:paraId="3F5D91A1" w14:textId="77777777" w:rsidR="00F63B89" w:rsidRPr="00DB56D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</w:p>
          <w:p w14:paraId="03A8AA2E" w14:textId="77777777" w:rsidR="00F63B89" w:rsidRPr="00DB56D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>Usvajanjem ovog zakona stvoriće se uslovi za primjenu ovlašćenja i instrumenata sanacije koji su propisani izmijenjenom direktivom EU i time značajno unaprijediti regulatorni okvir za rješavanje pitanja investicionih društava koje imaju problema u poslovanju na novim osnovama.</w:t>
            </w:r>
          </w:p>
          <w:p w14:paraId="78954E45" w14:textId="77777777" w:rsidR="00F63B89" w:rsidRPr="00DB56D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</w:p>
          <w:p w14:paraId="12E8A9AD" w14:textId="77777777" w:rsidR="00F63B89" w:rsidRPr="00DB56D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>U cilju potpunog usklađivanja sa relevantnim pravnim okvirom EU, Nacrt zakona o sanaciji investicionih društava sadrži i dio odredaba koje će se primjenjivati nakon pristupanja Crne Gore Evropskoj uniji i kojima se dodatno jača sistem prevencije i sanacije investicionih društava koje su članovi grupe investicionih društava iz Evropske unije.</w:t>
            </w:r>
          </w:p>
          <w:p w14:paraId="02C20806" w14:textId="77777777" w:rsidR="00F63B89" w:rsidRPr="00DB56D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</w:p>
        </w:tc>
      </w:tr>
      <w:tr w:rsidR="00F63B89" w:rsidRPr="00DB56D1" w14:paraId="05203BEA" w14:textId="77777777" w:rsidTr="00E27883">
        <w:tc>
          <w:tcPr>
            <w:tcW w:w="9576" w:type="dxa"/>
            <w:gridSpan w:val="2"/>
            <w:shd w:val="clear" w:color="auto" w:fill="D2EAF1"/>
          </w:tcPr>
          <w:p w14:paraId="57ECE61B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2. Ciljevi</w:t>
            </w:r>
          </w:p>
          <w:p w14:paraId="36448C86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450" w:hanging="180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Koji ciljevi se postižu predloženim propisom?</w:t>
            </w:r>
          </w:p>
          <w:p w14:paraId="7ECFCE09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450" w:hanging="180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Navesti usklađenost ovih ciljeva sa postojećim strategijama ili programima Vlade, ako je primjenljivo.</w:t>
            </w:r>
          </w:p>
        </w:tc>
      </w:tr>
      <w:tr w:rsidR="00F63B89" w:rsidRPr="00DB56D1" w14:paraId="0047975B" w14:textId="77777777" w:rsidTr="00E27883">
        <w:tc>
          <w:tcPr>
            <w:tcW w:w="9576" w:type="dxa"/>
            <w:gridSpan w:val="2"/>
          </w:tcPr>
          <w:p w14:paraId="6918B199" w14:textId="50B52163" w:rsidR="00F63B89" w:rsidRPr="00DB56D1" w:rsidRDefault="00AA13BF" w:rsidP="00F63B89">
            <w:p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>Nacrt zakona o sanaciji investicionih društava, usklađen sa Direktivom 2019/879/EU (BRRD II), ima za cilj postizanje tri ključna cilja:</w:t>
            </w:r>
          </w:p>
          <w:p w14:paraId="73621C83" w14:textId="77777777" w:rsidR="00F63B89" w:rsidRPr="00DB56D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 xml:space="preserve">unaprjeđenje regulatornog okvira iz oblasti sanacije investicionih društava u pravcu njegovog usklađivanja sa propisima EU; </w:t>
            </w:r>
          </w:p>
          <w:p w14:paraId="15ECB6F1" w14:textId="77777777" w:rsidR="00F63B89" w:rsidRPr="00DB56D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 xml:space="preserve">podizanje nivoa kapaciteta za pokrivanje gubitaka i dokapitalizacije od strane investicionih društava, </w:t>
            </w:r>
          </w:p>
          <w:p w14:paraId="691308FE" w14:textId="77777777" w:rsidR="00F63B89" w:rsidRPr="00DB56D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>unaprjeđenje ugovornog priznavanja instrumenta na kojima se može primijeniti instrument interne sanacije.</w:t>
            </w:r>
          </w:p>
          <w:p w14:paraId="77A56569" w14:textId="7E6A048D" w:rsidR="00AA13BF" w:rsidRPr="00DB56D1" w:rsidRDefault="00D76AF8" w:rsidP="00AA13B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 xml:space="preserve">Gore navedeni </w:t>
            </w:r>
            <w:r w:rsidR="00AA13BF" w:rsidRPr="00DB56D1">
              <w:rPr>
                <w:rFonts w:ascii="Arial" w:eastAsia="Times New Roman" w:hAnsi="Arial" w:cs="Arial"/>
                <w:lang w:val="sr-Latn-ME"/>
              </w:rPr>
              <w:t xml:space="preserve">ciljevi 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se </w:t>
            </w:r>
            <w:r w:rsidR="00AA13BF" w:rsidRPr="00DB56D1">
              <w:rPr>
                <w:rFonts w:ascii="Arial" w:eastAsia="Times New Roman" w:hAnsi="Arial" w:cs="Arial"/>
                <w:lang w:val="sr-Latn-ME"/>
              </w:rPr>
              <w:t>postižu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na sljedeći način</w:t>
            </w:r>
            <w:r w:rsidR="00AA13BF" w:rsidRPr="00DB56D1">
              <w:rPr>
                <w:rFonts w:ascii="Arial" w:eastAsia="Times New Roman" w:hAnsi="Arial" w:cs="Arial"/>
                <w:lang w:val="sr-Latn-ME"/>
              </w:rPr>
              <w:t>:</w:t>
            </w:r>
          </w:p>
          <w:p w14:paraId="1F30640F" w14:textId="476EE502" w:rsidR="00AA13BF" w:rsidRPr="00DB56D1" w:rsidRDefault="00AA13BF" w:rsidP="00AA13BF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1. Unaprjeđenje regulatornog okvira iz oblasti sanacije investicionih društava u pravcu njegovog usklađivanja sa propisima EU</w:t>
            </w:r>
          </w:p>
          <w:p w14:paraId="1E7B511E" w14:textId="0B002581" w:rsidR="00AA13BF" w:rsidRPr="00DB56D1" w:rsidRDefault="00AA13BF" w:rsidP="00AA13B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>Cilj je modernizovati pravni i regulatorni okvir kako bi se on u potpunosti uskladio sa evropskim standardima, čime se doprinosi jačanju stabilnosti finansijskog sistema i olakšava integracija u evropsko tržište kapitala. Ovaj cilj će se postići kroz sl</w:t>
            </w:r>
            <w:r w:rsidR="00244E1B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edeće m</w:t>
            </w:r>
            <w:r w:rsidR="00244E1B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ere:</w:t>
            </w:r>
          </w:p>
          <w:p w14:paraId="7BE3B22E" w14:textId="77777777" w:rsidR="00AA13BF" w:rsidRPr="00DB56D1" w:rsidRDefault="00AA13BF" w:rsidP="00AA13B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Implementacija Direktive 2019/879/EU (BRRD II)</w:t>
            </w:r>
            <w:r w:rsidRPr="00DB56D1">
              <w:rPr>
                <w:rFonts w:ascii="Arial" w:eastAsia="Times New Roman" w:hAnsi="Arial" w:cs="Arial"/>
                <w:lang w:val="sr-Latn-ME"/>
              </w:rPr>
              <w:t>: Nacrt zakona sadrži sve relevantne aspekte BRRD II, uključujući obaveze investicionih društava da razvijaju sanacione planove, održavaju minimalne rezerve kapitala i koriste mehanizme interne sanacije. Na ovaj način, Crna Gora usklađuje svoje propise sa najnovijim pravnim okvirima Evropske unije.</w:t>
            </w:r>
          </w:p>
          <w:p w14:paraId="69377715" w14:textId="77777777" w:rsidR="00AA13BF" w:rsidRPr="00DB56D1" w:rsidRDefault="00AA13BF" w:rsidP="00AA13B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Jačanje uloge regulatora</w:t>
            </w:r>
            <w:r w:rsidRPr="00DB56D1">
              <w:rPr>
                <w:rFonts w:ascii="Arial" w:eastAsia="Times New Roman" w:hAnsi="Arial" w:cs="Arial"/>
                <w:lang w:val="sr-Latn-ME"/>
              </w:rPr>
              <w:t>: Komisija za tržište kapitala Crne Gore dobija veća ovlašćenja za nadzor i kontrolu investicionih društava. Regulatori će nadgledati sanacione planove, kapacitet pokrivanja gubitaka i spremnost investicionih društava za krizne situacije, čime se dodatno osigurava efikasnost sanacionih procesa.</w:t>
            </w:r>
          </w:p>
          <w:p w14:paraId="0FE061E2" w14:textId="1072B1EE" w:rsidR="00AA13BF" w:rsidRPr="00DB56D1" w:rsidRDefault="00AA13BF" w:rsidP="00AA13B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Povećanje transparentnosti i odgovornosti</w:t>
            </w:r>
            <w:r w:rsidRPr="00DB56D1">
              <w:rPr>
                <w:rFonts w:ascii="Arial" w:eastAsia="Times New Roman" w:hAnsi="Arial" w:cs="Arial"/>
                <w:lang w:val="sr-Latn-ME"/>
              </w:rPr>
              <w:t>: Propisima se dodatno povećava transparentnost poslovanja investicionih društava, kroz zaht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eve za redovnim </w:t>
            </w:r>
            <w:r w:rsidRPr="00DB56D1">
              <w:rPr>
                <w:rFonts w:ascii="Arial" w:eastAsia="Times New Roman" w:hAnsi="Arial" w:cs="Arial"/>
                <w:lang w:val="sr-Latn-ME"/>
              </w:rPr>
              <w:lastRenderedPageBreak/>
              <w:t>izv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eštavanjem prema nad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ležnim organima.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Time se osigurava bolji nadzor nad finansijskim zdravljem društava i njihovim planovima sanacije.</w:t>
            </w:r>
          </w:p>
          <w:p w14:paraId="2E17DB3E" w14:textId="77777777" w:rsidR="00AA13BF" w:rsidRPr="00DB56D1" w:rsidRDefault="00AA13BF" w:rsidP="00AA13BF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2. Podizanje nivoa kapaciteta za pokrivanje gubitaka i dokapitalizacije od strane investicionih društava</w:t>
            </w:r>
          </w:p>
          <w:p w14:paraId="64429F94" w14:textId="131319AE" w:rsidR="00AA13BF" w:rsidRPr="00DB56D1" w:rsidRDefault="00AA13BF" w:rsidP="00AA13B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>Cilj je osigurati da investiciona društva pos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eduju dovoljno resursa da apsorbuju eventualne gubitke bez ugrožavanja svojih obaveza prema pov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eriocima i investitorima. Ovaj cilj će se ostvariti kroz sl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edeće mehanizme:</w:t>
            </w:r>
          </w:p>
          <w:p w14:paraId="6AF0EA99" w14:textId="0861D4D1" w:rsidR="00AA13BF" w:rsidRPr="00DB56D1" w:rsidRDefault="00AA13BF" w:rsidP="00AA13B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Zaht</w:t>
            </w:r>
            <w:r w:rsidR="008443BA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evi za minimalni kapital (MREL)</w:t>
            </w:r>
            <w:r w:rsidRPr="00DB56D1">
              <w:rPr>
                <w:rFonts w:ascii="Arial" w:eastAsia="Times New Roman" w:hAnsi="Arial" w:cs="Arial"/>
                <w:lang w:val="sr-Latn-ME"/>
              </w:rPr>
              <w:t>: Investiciona društva će biti obavezna da održavaju određeni nivo kapitala i obaveza koje se mogu brzo pretvoriti u kapital kako bi pokrili eventualne gubitke. Ovaj zaht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ev osigurava da društva mogu brzo reagovati u kriznim situacijama, bez potrebe za eksternim finansiranjem.</w:t>
            </w:r>
          </w:p>
          <w:p w14:paraId="3764D6C2" w14:textId="77777777" w:rsidR="00AA13BF" w:rsidRPr="00DB56D1" w:rsidRDefault="00AA13BF" w:rsidP="00AA13B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Dokapitalizacija putem privatnih sredstava</w:t>
            </w:r>
            <w:r w:rsidRPr="00DB56D1">
              <w:rPr>
                <w:rFonts w:ascii="Arial" w:eastAsia="Times New Roman" w:hAnsi="Arial" w:cs="Arial"/>
                <w:lang w:val="sr-Latn-ME"/>
              </w:rPr>
              <w:t>: Zakon predviđa mogućnost dokapitalizacije kroz privatne izvore, bilo putem izdavanja novih akcija ili pretvaranja duga u kapital. Na ovaj način se društva oslanjaju na unutrašnje resurse, čime se smanjuje potreba za javnim sredstvima ili spasilačkim intervencijama države.</w:t>
            </w:r>
          </w:p>
          <w:p w14:paraId="328FAEF6" w14:textId="77777777" w:rsidR="00AA13BF" w:rsidRPr="00DB56D1" w:rsidRDefault="00AA13BF" w:rsidP="00AA13B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Stvaranje sanacionih fondova</w:t>
            </w:r>
            <w:r w:rsidRPr="00DB56D1">
              <w:rPr>
                <w:rFonts w:ascii="Arial" w:eastAsia="Times New Roman" w:hAnsi="Arial" w:cs="Arial"/>
                <w:lang w:val="sr-Latn-ME"/>
              </w:rPr>
              <w:t>: Pored održavanja adekvatnog kapitala, predviđeno je i stvaranje posebnih fondova za sanaciju koje finansiraju sama društva, čime se stvara dodatna rezerva za pokrivanje eventualnih gubitaka.</w:t>
            </w:r>
          </w:p>
          <w:p w14:paraId="4D37EF14" w14:textId="2C2E0FD9" w:rsidR="00AA13BF" w:rsidRPr="00DB56D1" w:rsidRDefault="00AA13BF" w:rsidP="00AA13BF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3. Unapređenje ugovornog priznavanja instrumenta na kojima se može prim</w:t>
            </w:r>
            <w:r w:rsidR="008443BA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eniti instrument interne sanacije</w:t>
            </w:r>
          </w:p>
          <w:p w14:paraId="75DBB8B1" w14:textId="156B8C58" w:rsidR="00AA13BF" w:rsidRPr="00DB56D1" w:rsidRDefault="00AA13BF" w:rsidP="00AA13B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 xml:space="preserve">Cilj je osigurati pravnu validnost i ugovorno priznavanje finansijskih instrumenata na kojima se može primeniti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bail-in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mehanizam (interna sanacija), čime se omogućava efikasnija raspod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ela gubitaka unutar društva. Ovaj cilj će se postići kroz sl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edeće aktivnosti:</w:t>
            </w:r>
          </w:p>
          <w:p w14:paraId="094943C2" w14:textId="7A1DA664" w:rsidR="00AA13BF" w:rsidRPr="00DB56D1" w:rsidRDefault="00AA13BF" w:rsidP="00AA13B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Ugovorno priznavanje bail-in mehanizma</w:t>
            </w:r>
            <w:r w:rsidRPr="00DB56D1">
              <w:rPr>
                <w:rFonts w:ascii="Arial" w:eastAsia="Times New Roman" w:hAnsi="Arial" w:cs="Arial"/>
                <w:lang w:val="sr-Latn-ME"/>
              </w:rPr>
              <w:t>: Nacrt zakona uvodi obavezu da se u svim relevantnim ugovorima i finansijskim instrumentima (kao što su dugoročne obveznice) uključe klauzule o priznavanju mogućnosti bail-in mehanizma. To znači da pov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erioci i vlasnici dugova eksplicitno pristaju na mogućnost konverzije njihovih potraživanja u kapital ili umanjenje vr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ednosti obaveza u slučaju sanacije društva.</w:t>
            </w:r>
          </w:p>
          <w:p w14:paraId="5AB91ADA" w14:textId="36BD80DE" w:rsidR="00AA13BF" w:rsidRPr="00DB56D1" w:rsidRDefault="00AA13BF" w:rsidP="00AA13B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Prim</w:t>
            </w:r>
            <w:r w:rsidR="008443BA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ena na međunarodne ugovore</w:t>
            </w:r>
            <w:r w:rsidRPr="00DB56D1">
              <w:rPr>
                <w:rFonts w:ascii="Arial" w:eastAsia="Times New Roman" w:hAnsi="Arial" w:cs="Arial"/>
                <w:lang w:val="sr-Latn-ME"/>
              </w:rPr>
              <w:t>: Ako su investiciona društva uključena u međunarodne finansijske transakcije, zakon predviđa da se ugovorno priznavanje bail-in mehanizma prim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eni i na strane ugovore. Ovaj mehanizam osigurava da strane koje posluju sa crnogorskim investicionim društvima takođe priznaju ove instrumente sanacije, čime se proširuje zaštita od gubitaka i na međunarodne partnere.</w:t>
            </w:r>
          </w:p>
          <w:p w14:paraId="0A4811F0" w14:textId="329E759D" w:rsidR="00AA13BF" w:rsidRPr="00DB56D1" w:rsidRDefault="00AA13BF" w:rsidP="00AA13B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Standardizacija ugovora</w:t>
            </w:r>
            <w:r w:rsidRPr="00DB56D1">
              <w:rPr>
                <w:rFonts w:ascii="Arial" w:eastAsia="Times New Roman" w:hAnsi="Arial" w:cs="Arial"/>
                <w:lang w:val="sr-Latn-ME"/>
              </w:rPr>
              <w:t>: Zakon podstiče standardizaciju ugovora u finansijskom sektoru, kako bi se osiguralo da svi ugovori i instrumenti koji su predmet bail-in mehanizama budu dosl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edno prim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enjivani i priznati u pravnom sistemu Crne Gore i EU.</w:t>
            </w:r>
          </w:p>
          <w:p w14:paraId="2B2CA6B1" w14:textId="618A55E7" w:rsidR="00AA13BF" w:rsidRPr="00DB56D1" w:rsidRDefault="00AA13BF" w:rsidP="00AA13B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>Sva tri cilja Nacrta zakona o sanaciji investicionih društava — unapređenje regulatornog okvira, povećanje kapaciteta za pokrivanje gubitaka i dokapitalizaciju, te unapređenje ugovornog priznavanja instrumenta interne sanacije — značajno doprinose stabilnosti finansijskog sistema. Kroz efikasnu implementaciju ovih m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era, investiciona društva će biti bolje pripremljena za krizne situacije, dok će pravni okvir biti potpuno usklađen sa EU standardima, osiguravajući veću zaštitu investitora i pov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erilaca.</w:t>
            </w:r>
          </w:p>
          <w:p w14:paraId="4A21D99F" w14:textId="77777777" w:rsidR="00AA13BF" w:rsidRPr="00DB56D1" w:rsidRDefault="00AA13BF" w:rsidP="00AA13BF">
            <w:p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</w:p>
          <w:p w14:paraId="3532FE03" w14:textId="07C5CBA3" w:rsidR="00F75F4E" w:rsidRPr="00DB56D1" w:rsidRDefault="00F75F4E" w:rsidP="00AA13BF">
            <w:p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</w:p>
        </w:tc>
      </w:tr>
      <w:tr w:rsidR="00F63B89" w:rsidRPr="00DB56D1" w14:paraId="54DA8EF1" w14:textId="77777777" w:rsidTr="00E27883">
        <w:tc>
          <w:tcPr>
            <w:tcW w:w="9576" w:type="dxa"/>
            <w:gridSpan w:val="2"/>
            <w:shd w:val="clear" w:color="auto" w:fill="D2EAF1"/>
          </w:tcPr>
          <w:p w14:paraId="55861E80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3. Opcije</w:t>
            </w:r>
          </w:p>
          <w:p w14:paraId="154D074B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471D9499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Obrazložiti preferiranu opciju?</w:t>
            </w:r>
          </w:p>
        </w:tc>
      </w:tr>
      <w:tr w:rsidR="00F63B89" w:rsidRPr="00DB56D1" w14:paraId="342D3E11" w14:textId="77777777" w:rsidTr="00E27883">
        <w:tc>
          <w:tcPr>
            <w:tcW w:w="9576" w:type="dxa"/>
            <w:gridSpan w:val="2"/>
          </w:tcPr>
          <w:p w14:paraId="2EDC3189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Cs/>
                <w:lang w:val="sr-Latn-ME" w:eastAsia="en-GB"/>
              </w:rPr>
              <w:t xml:space="preserve">Ovim zakonom, izvršiće se unapređenje regulatornog i nadzornog okvira, što će doprinijeti smanjenju vjerovatnoće nastanka budućih kriza i povećanju otpornosti investicionih društava na ekonomski stres, bilo da je on uzrokovan sistemskim poremećajima ili događajima koji su specifični za pojedinačnu instituciju, ali se time ne može u potpunosti spriječiti da te institucije zapadnu u teškoće. </w:t>
            </w:r>
          </w:p>
          <w:p w14:paraId="50650E3D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4FE02036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Cs/>
                <w:lang w:val="sr-Latn-ME" w:eastAsia="en-GB"/>
              </w:rPr>
              <w:t>U slučaju opcije “status quo” izostalo bi dodatno regulisanje mehanizama kojima će se obezbijediti sledeće:</w:t>
            </w:r>
          </w:p>
          <w:p w14:paraId="6440A097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1E5DAD0E" w14:textId="77777777" w:rsidR="00F63B89" w:rsidRPr="00DB56D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>obezbjeđivanje kontinuiteta u obavljanju ključnih funkcija investicionih društava;</w:t>
            </w:r>
          </w:p>
          <w:p w14:paraId="0AC4B0A8" w14:textId="77777777" w:rsidR="00F63B89" w:rsidRPr="00DB56D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>dodatno definisanje uslova za minimalni zahtjev za regulatornim kapitalom i kvalifikovanim obavezama (</w:t>
            </w:r>
            <w:r w:rsidR="0014404A" w:rsidRPr="00DB56D1">
              <w:rPr>
                <w:rFonts w:ascii="Arial" w:eastAsia="MS Mincho" w:hAnsi="Arial" w:cs="Arial"/>
                <w:noProof/>
                <w:lang w:val="sr-Latn-ME"/>
              </w:rPr>
              <w:t xml:space="preserve">u daljem tekstu skraćeno: </w:t>
            </w:r>
            <w:r w:rsidRPr="00DB56D1">
              <w:rPr>
                <w:rFonts w:ascii="Arial" w:eastAsia="MS Mincho" w:hAnsi="Arial" w:cs="Arial"/>
                <w:noProof/>
                <w:lang w:val="sr-Latn-ME"/>
              </w:rPr>
              <w:t>MREL), odnosno utvrđivanje kriterijum</w:t>
            </w:r>
            <w:r w:rsidR="00DA4726" w:rsidRPr="00DB56D1">
              <w:rPr>
                <w:rFonts w:ascii="Arial" w:eastAsia="MS Mincho" w:hAnsi="Arial" w:cs="Arial"/>
                <w:noProof/>
                <w:lang w:val="sr-Latn-ME"/>
              </w:rPr>
              <w:t>a</w:t>
            </w:r>
            <w:r w:rsidRPr="00DB56D1">
              <w:rPr>
                <w:rFonts w:ascii="Arial" w:eastAsia="MS Mincho" w:hAnsi="Arial" w:cs="Arial"/>
                <w:noProof/>
                <w:lang w:val="sr-Latn-ME"/>
              </w:rPr>
              <w:t xml:space="preserve"> pod kojima organ za sanaciju mora da osigura da se zadovoljavaju uslovi za MREL, uz sagledavanje strukture vlasnika MREL instrumenata sa aspekta vrste investitora i utvrđivanje uslova za usklađenost investicionih društava sa zahtjevima za MREL, čak i ako ta investiciona društva nisu subjekti sanacije, što bi u određenim slučajevima sanacije investicionih društava ili stečaja, moglo imati uticaja na stabilnost finansijskog sistema Crne Gore;</w:t>
            </w:r>
          </w:p>
          <w:p w14:paraId="36B9C3D8" w14:textId="77777777" w:rsidR="00F63B89" w:rsidRPr="00DB56D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>izbjegavanje znatnog negativnog uticaja na stabilnost finansijskog sistema, naročito sprečavanja širenja negativnih uticaja na finansijski sistem, uključujući i njihovo širenje na tržišnu infrastrukturu i održavanje tržišne discipline, kroz implementaciju EU standarda u zakonodavstvo Crne Gore za kontinuirano održavanje dovoljnog iznosa obaveza za pokriće gubitaka i dokapitalizaciju investicionog društva u sanaciji;</w:t>
            </w:r>
          </w:p>
          <w:p w14:paraId="0F9B12C2" w14:textId="77777777" w:rsidR="00F63B89" w:rsidRPr="00DB56D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>ograničenje raspodjela, ako</w:t>
            </w:r>
            <w:r w:rsidRPr="00DB56D1">
              <w:rPr>
                <w:rFonts w:ascii="Arial" w:eastAsia="MS Mincho" w:hAnsi="Arial" w:cs="Arial"/>
                <w:lang w:val="sr-Latn-ME"/>
              </w:rPr>
              <w:t xml:space="preserve"> </w:t>
            </w:r>
            <w:r w:rsidRPr="00DB56D1">
              <w:rPr>
                <w:rFonts w:ascii="Arial" w:eastAsia="MS Mincho" w:hAnsi="Arial" w:cs="Arial"/>
                <w:noProof/>
                <w:lang w:val="sr-Latn-ME"/>
              </w:rPr>
              <w:t>institucija ne ispunjava zahtjev za kombinovanim baferom kada se isti uzima u obzir kao dodatak uz minimalni zahtjev za regulatornim kapitalom i kvalifikovanim obavezama;</w:t>
            </w:r>
          </w:p>
          <w:p w14:paraId="4B2B556C" w14:textId="77777777" w:rsidR="00F63B89" w:rsidRPr="00DB56D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>zaštita malih investitora;</w:t>
            </w:r>
          </w:p>
          <w:p w14:paraId="5878EBDF" w14:textId="77777777" w:rsidR="00F63B89" w:rsidRPr="00DB56D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>zaštita investitora koji imaju garantovane depozite položene u fond za zaštitu investitora; i</w:t>
            </w:r>
          </w:p>
          <w:p w14:paraId="31FDA979" w14:textId="77777777" w:rsidR="00F63B89" w:rsidRPr="00DB56D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>zaštita novčanih sredstava, finansijskih instrumenata i druge imovine klijenata.</w:t>
            </w:r>
          </w:p>
          <w:p w14:paraId="6B5B4A2A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025A5AB5" w14:textId="77777777" w:rsidR="00F63B89" w:rsidRPr="00DB56D1" w:rsidRDefault="00F63B89" w:rsidP="00B14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Cs/>
                <w:lang w:val="sr-Latn-ME" w:eastAsia="en-GB"/>
              </w:rPr>
              <w:t>Ovi mehanizmi će Komisiji</w:t>
            </w:r>
            <w:r w:rsidR="00B146E8" w:rsidRPr="00DB56D1">
              <w:rPr>
                <w:rFonts w:ascii="Arial" w:hAnsi="Arial" w:cs="Arial"/>
                <w:lang w:val="sr-Latn-ME"/>
              </w:rPr>
              <w:t xml:space="preserve"> </w:t>
            </w:r>
            <w:r w:rsidR="00B146E8" w:rsidRPr="00DB56D1">
              <w:rPr>
                <w:rFonts w:ascii="Arial" w:eastAsia="Times New Roman" w:hAnsi="Arial" w:cs="Arial"/>
                <w:bCs/>
                <w:lang w:val="sr-Latn-ME" w:eastAsia="en-GB"/>
              </w:rPr>
              <w:t>za tržište kapitala Crne Gore</w:t>
            </w:r>
            <w:r w:rsidRPr="00DB56D1">
              <w:rPr>
                <w:rFonts w:ascii="Arial" w:eastAsia="Times New Roman" w:hAnsi="Arial" w:cs="Arial"/>
                <w:bCs/>
                <w:lang w:val="sr-Latn-ME" w:eastAsia="en-GB"/>
              </w:rPr>
              <w:t xml:space="preserve"> pružiti dodatne mogućnosti efikasnijeg bavljenja problemima investicionih društava koje propadaju ili kojima prijeti propadanje, uvođenjem skupa instrumenata za blagovremenu intervenciju u takvim investicionim društvima kako bi se obezbijedio nastavak obavljanja njihovih ključnih finansijskih funkcija, uz istovremeno ograničavanje negativnog uticaja propadanja </w:t>
            </w:r>
            <w:r w:rsidRPr="00DB56D1">
              <w:rPr>
                <w:rFonts w:ascii="Arial" w:eastAsia="Times New Roman" w:hAnsi="Arial" w:cs="Arial"/>
                <w:lang w:val="sr-Latn-ME" w:eastAsia="en-GB"/>
              </w:rPr>
              <w:t xml:space="preserve">investicionog društva </w:t>
            </w:r>
            <w:r w:rsidRPr="00DB56D1">
              <w:rPr>
                <w:rFonts w:ascii="Arial" w:eastAsia="Times New Roman" w:hAnsi="Arial" w:cs="Arial"/>
                <w:bCs/>
                <w:lang w:val="sr-Latn-ME" w:eastAsia="en-GB"/>
              </w:rPr>
              <w:t>na ekonomski i finansijski sistem na najmanju moguću mjeru.</w:t>
            </w:r>
          </w:p>
          <w:p w14:paraId="28392AD7" w14:textId="0FA68574" w:rsidR="00F75F4E" w:rsidRPr="00DB56D1" w:rsidRDefault="00F75F4E" w:rsidP="00B14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</w:tc>
      </w:tr>
      <w:tr w:rsidR="00F63B89" w:rsidRPr="00DB56D1" w14:paraId="308CA2A8" w14:textId="77777777" w:rsidTr="00E27883">
        <w:tc>
          <w:tcPr>
            <w:tcW w:w="9576" w:type="dxa"/>
            <w:gridSpan w:val="2"/>
            <w:shd w:val="clear" w:color="auto" w:fill="D2EAF1"/>
          </w:tcPr>
          <w:p w14:paraId="46B2E259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4. Analiza uticaja</w:t>
            </w:r>
          </w:p>
          <w:p w14:paraId="57A257CF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Na koga će i kako će najvjerovatnije uticati rješenja u propisu - nabrojati pozitivne i negativne uticaje, direktne i indirektne.</w:t>
            </w:r>
          </w:p>
          <w:p w14:paraId="0A0F741F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Koje troškove će primjena propisa izazvati građanima i privredi (naročito malim i srednjim preduzećima).</w:t>
            </w:r>
          </w:p>
          <w:p w14:paraId="0DE68D86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Da li pozitivne posljedice donošenja propisa opravdavaju troškove koje će on stvoriti.</w:t>
            </w:r>
          </w:p>
          <w:p w14:paraId="60D0135C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Da li se propisom podržava stvaranje novih privrednih subjekata na tržištu i tržišna konkurencija.</w:t>
            </w:r>
          </w:p>
          <w:p w14:paraId="2983ADC7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Uključiti procjenu administrativnih opterećenja i biznis barijera.</w:t>
            </w:r>
          </w:p>
          <w:p w14:paraId="3BAE80B6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</w:tc>
      </w:tr>
      <w:tr w:rsidR="00F63B89" w:rsidRPr="00DB56D1" w14:paraId="0A450057" w14:textId="77777777" w:rsidTr="00E27883">
        <w:tc>
          <w:tcPr>
            <w:tcW w:w="9576" w:type="dxa"/>
            <w:gridSpan w:val="2"/>
          </w:tcPr>
          <w:p w14:paraId="1E48C706" w14:textId="77777777" w:rsidR="00A45F37" w:rsidRPr="00DB56D1" w:rsidRDefault="00A45F37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lastRenderedPageBreak/>
              <w:t xml:space="preserve">Ovaj Nacrt zakona se odnosi na poslovanje investicionih društava koja imaju dozvolu za rad izdatu od strane </w:t>
            </w:r>
            <w:r w:rsidR="00B146E8" w:rsidRPr="00DB56D1">
              <w:rPr>
                <w:rFonts w:ascii="Arial" w:eastAsia="MS Mincho" w:hAnsi="Arial" w:cs="Arial"/>
                <w:noProof/>
                <w:lang w:val="sr-Latn-ME"/>
              </w:rPr>
              <w:t>Komisije za tržište kapitala Crne Gore</w:t>
            </w:r>
            <w:r w:rsidRPr="00DB56D1">
              <w:rPr>
                <w:rFonts w:ascii="Arial" w:eastAsia="MS Mincho" w:hAnsi="Arial" w:cs="Arial"/>
                <w:noProof/>
                <w:lang w:val="sr-Latn-ME"/>
              </w:rPr>
              <w:t>, kao i na subjekte sa sjedištem u Crnoj Gori koji predstavljaju dio grupe na koju se primjenjuje kontrola na konsolidovanoj osnovi u skladu sa zakonom kojim se uređuje tržište kapitala.</w:t>
            </w:r>
          </w:p>
          <w:p w14:paraId="6907E94C" w14:textId="77777777" w:rsidR="00A45F37" w:rsidRPr="00DB56D1" w:rsidRDefault="00A45F37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</w:p>
          <w:p w14:paraId="6F8E0AAF" w14:textId="77777777" w:rsidR="00F63B89" w:rsidRPr="00DB56D1" w:rsidRDefault="00A45F37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 xml:space="preserve">Usaglašavanjem teksta Nacrta Zakona o sanaciji investicionih društava sa </w:t>
            </w:r>
            <w:r w:rsidR="00F63B89" w:rsidRPr="00DB56D1">
              <w:rPr>
                <w:rFonts w:ascii="Arial" w:eastAsia="MS Mincho" w:hAnsi="Arial" w:cs="Arial"/>
                <w:noProof/>
                <w:lang w:val="sr-Latn-ME"/>
              </w:rPr>
              <w:t>BRRD II Direktiv</w:t>
            </w:r>
            <w:r w:rsidRPr="00DB56D1">
              <w:rPr>
                <w:rFonts w:ascii="Arial" w:eastAsia="MS Mincho" w:hAnsi="Arial" w:cs="Arial"/>
                <w:noProof/>
                <w:lang w:val="sr-Latn-ME"/>
              </w:rPr>
              <w:t>om</w:t>
            </w:r>
            <w:r w:rsidR="00F63B89" w:rsidRPr="00DB56D1">
              <w:rPr>
                <w:rFonts w:ascii="Arial" w:eastAsia="MS Mincho" w:hAnsi="Arial" w:cs="Arial"/>
                <w:noProof/>
                <w:lang w:val="sr-Latn-ME"/>
              </w:rPr>
              <w:t xml:space="preserve"> </w:t>
            </w:r>
            <w:r w:rsidRPr="00DB56D1">
              <w:rPr>
                <w:rFonts w:ascii="Arial" w:eastAsia="MS Mincho" w:hAnsi="Arial" w:cs="Arial"/>
                <w:noProof/>
                <w:lang w:val="sr-Latn-ME"/>
              </w:rPr>
              <w:t xml:space="preserve">za rezultat ima </w:t>
            </w:r>
            <w:r w:rsidR="00F63B89" w:rsidRPr="00DB56D1">
              <w:rPr>
                <w:rFonts w:ascii="Arial" w:eastAsia="MS Mincho" w:hAnsi="Arial" w:cs="Arial"/>
                <w:noProof/>
                <w:lang w:val="sr-Latn-ME"/>
              </w:rPr>
              <w:t xml:space="preserve">postojanje usklađenih pravila u Evropskoj uniji </w:t>
            </w:r>
            <w:r w:rsidRPr="00DB56D1">
              <w:rPr>
                <w:rFonts w:ascii="Arial" w:eastAsia="MS Mincho" w:hAnsi="Arial" w:cs="Arial"/>
                <w:noProof/>
                <w:lang w:val="sr-Latn-ME"/>
              </w:rPr>
              <w:t xml:space="preserve">čime se </w:t>
            </w:r>
            <w:r w:rsidR="00F63B89" w:rsidRPr="00DB56D1">
              <w:rPr>
                <w:rFonts w:ascii="Arial" w:eastAsia="MS Mincho" w:hAnsi="Arial" w:cs="Arial"/>
                <w:noProof/>
                <w:lang w:val="sr-Latn-ME"/>
              </w:rPr>
              <w:t>smanjuju troškovi i pravna nesigurnost kao i olakšava primjena instrumenta interne sanacije za prekogranične institucije i subjekte. Takođe, sprječava se narušavanje konkurencije na unutrašnjem tržištu, s obzirom da bi se bez usklađivanja zakonodavstva troškovi za institucije, kao i ostale subjekte kojima je naloženo ispunjavanje minimalnog zahtjeva za regulatornim kapitalom i kvalifikovanim obavezama, u pogledu usklađivanja s postojećim zahtjevima, mogli znatno razlikovati širom Evropske unije.</w:t>
            </w:r>
          </w:p>
          <w:p w14:paraId="373CC201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color w:val="FF0000"/>
                <w:lang w:val="sr-Latn-ME"/>
              </w:rPr>
            </w:pPr>
          </w:p>
          <w:p w14:paraId="30EB5F87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 xml:space="preserve">Takođe, ojačavaju se preventivni mehanizmi, kao što je već pomenuto, dodatnim definisanjem uslova za minimalni zahtjev za regulatornim kapitalom i kvalifikovanim obavezama (MREL), odnosno utvrđivanjem kriterijuma pod kojima </w:t>
            </w:r>
            <w:r w:rsidR="00B146E8" w:rsidRPr="00DB56D1">
              <w:rPr>
                <w:rFonts w:ascii="Arial" w:eastAsia="MS Mincho" w:hAnsi="Arial" w:cs="Arial"/>
                <w:noProof/>
                <w:lang w:val="sr-Latn-ME"/>
              </w:rPr>
              <w:t>Komisija za tržište kapitala Crne Gore</w:t>
            </w:r>
            <w:r w:rsidRPr="00DB56D1">
              <w:rPr>
                <w:rFonts w:ascii="Arial" w:eastAsia="MS Mincho" w:hAnsi="Arial" w:cs="Arial"/>
                <w:noProof/>
                <w:lang w:val="sr-Latn-ME"/>
              </w:rPr>
              <w:t xml:space="preserve"> mora da osigura da se zadovoljavaju uslovi za MREL, uz sagledavanje strukture vlasnika MREL instrumenata sa aspekta vrste investitora, kao i utvrđivanje uslova za usklađenost investicionih društava sa zahtjevima za MREL, čak i ako ta investiciona društva nisu subjekti sanacije. </w:t>
            </w:r>
          </w:p>
          <w:p w14:paraId="50BC9C9A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highlight w:val="yellow"/>
                <w:lang w:val="sr-Latn-ME"/>
              </w:rPr>
            </w:pPr>
          </w:p>
          <w:p w14:paraId="6ED0A2A0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 xml:space="preserve">U cilju ispunjavanja minimalnog zahtjeva za regulatornim kapitalom i kvalifikovanim obavezama, Nacrtom zakona o sanaciji investicionih društava predlaže se da u slučaju svakog neispunjavanja tih zahtjeva, </w:t>
            </w:r>
            <w:r w:rsidR="00B146E8" w:rsidRPr="00DB56D1">
              <w:rPr>
                <w:rFonts w:ascii="Arial" w:eastAsia="MS Mincho" w:hAnsi="Arial" w:cs="Arial"/>
                <w:noProof/>
                <w:lang w:val="sr-Latn-ME"/>
              </w:rPr>
              <w:t>Komisija za tržište kapitala Crne Gore</w:t>
            </w:r>
            <w:r w:rsidRPr="00DB56D1">
              <w:rPr>
                <w:rFonts w:ascii="Arial" w:eastAsia="MS Mincho" w:hAnsi="Arial" w:cs="Arial"/>
                <w:noProof/>
                <w:lang w:val="sr-Latn-ME"/>
              </w:rPr>
              <w:t xml:space="preserve"> preduzme odgovarajuću mjeru</w:t>
            </w:r>
            <w:r w:rsidR="0049408D" w:rsidRPr="00DB56D1">
              <w:rPr>
                <w:rFonts w:ascii="Arial" w:eastAsia="MS Mincho" w:hAnsi="Arial" w:cs="Arial"/>
                <w:noProof/>
                <w:lang w:val="sr-Latn-ME"/>
              </w:rPr>
              <w:t xml:space="preserve">. </w:t>
            </w:r>
            <w:r w:rsidRPr="00DB56D1">
              <w:rPr>
                <w:rFonts w:ascii="Arial" w:eastAsia="MS Mincho" w:hAnsi="Arial" w:cs="Arial"/>
                <w:noProof/>
                <w:lang w:val="sr-Latn-ME"/>
              </w:rPr>
              <w:t>Takođe, kako bi se obezbijedila transparentna primjena minimalnog zahtjeva za regulatornim kapitalom i kvalifikovanim obavezama Nacrtom zakona o sanaciji investicionih društava predlaže se obaveza investicionih društava da dostavljaju izvještaje o iznosu regulatornog kapitala i ostalih obaveza prihvatljivih za instrument interne sanacije.</w:t>
            </w:r>
          </w:p>
          <w:p w14:paraId="54FBB66E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</w:p>
          <w:p w14:paraId="3B61F60C" w14:textId="60099479" w:rsidR="008443BA" w:rsidRPr="00DB56D1" w:rsidRDefault="00B146E8" w:rsidP="008443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DB56D1">
              <w:rPr>
                <w:rFonts w:ascii="Arial" w:eastAsia="MS Mincho" w:hAnsi="Arial" w:cs="Arial"/>
                <w:noProof/>
                <w:lang w:val="sr-Latn-ME"/>
              </w:rPr>
              <w:t>Komisija za tržište kapitala Crne Gore</w:t>
            </w:r>
            <w:r w:rsidR="00F63B89" w:rsidRPr="00DB56D1">
              <w:rPr>
                <w:rFonts w:ascii="Arial" w:eastAsia="MS Mincho" w:hAnsi="Arial" w:cs="Arial"/>
                <w:noProof/>
                <w:lang w:val="sr-Latn-ME"/>
              </w:rPr>
              <w:t xml:space="preserve"> smatra da </w:t>
            </w:r>
            <w:r w:rsidR="008443BA" w:rsidRPr="00DB56D1">
              <w:rPr>
                <w:rFonts w:ascii="Arial" w:eastAsia="MS Mincho" w:hAnsi="Arial" w:cs="Arial"/>
                <w:noProof/>
                <w:lang w:val="sr-Latn-ME"/>
              </w:rPr>
              <w:t xml:space="preserve">primjena </w:t>
            </w:r>
            <w:r w:rsidR="00F63B89" w:rsidRPr="00DB56D1">
              <w:rPr>
                <w:rFonts w:ascii="Arial" w:eastAsia="MS Mincho" w:hAnsi="Arial" w:cs="Arial"/>
                <w:noProof/>
                <w:lang w:val="sr-Latn-ME"/>
              </w:rPr>
              <w:t>Nacrt</w:t>
            </w:r>
            <w:r w:rsidR="008443BA" w:rsidRPr="00DB56D1">
              <w:rPr>
                <w:rFonts w:ascii="Arial" w:eastAsia="MS Mincho" w:hAnsi="Arial" w:cs="Arial"/>
                <w:noProof/>
                <w:lang w:val="sr-Latn-ME"/>
              </w:rPr>
              <w:t>a</w:t>
            </w:r>
            <w:r w:rsidR="00F63B89" w:rsidRPr="00DB56D1">
              <w:rPr>
                <w:rFonts w:ascii="Arial" w:eastAsia="MS Mincho" w:hAnsi="Arial" w:cs="Arial"/>
                <w:noProof/>
                <w:lang w:val="sr-Latn-ME"/>
              </w:rPr>
              <w:t xml:space="preserve"> zakona o sanaciji investicionih društava neće dovesti do stvaranja administrativnih opterećenja i biznis barijera, kao i da su troškovi koje će investiciona društva imati za primjenu ovog zakona neznatni i neće imati matarijalan uticaj na ukupne troškove, profitabilnost i kapital investicionih društava.</w:t>
            </w:r>
            <w:r w:rsidR="008443BA" w:rsidRPr="00DB56D1">
              <w:rPr>
                <w:rFonts w:ascii="Arial" w:eastAsia="MS Mincho" w:hAnsi="Arial" w:cs="Arial"/>
                <w:noProof/>
                <w:lang w:val="sr-Latn-ME"/>
              </w:rPr>
              <w:t xml:space="preserve"> </w:t>
            </w:r>
            <w:r w:rsidR="008443BA" w:rsidRPr="00DB56D1">
              <w:rPr>
                <w:rFonts w:ascii="Arial" w:eastAsia="Times New Roman" w:hAnsi="Arial" w:cs="Arial"/>
                <w:lang w:val="sr-Latn-ME"/>
              </w:rPr>
              <w:t>Ipak, zakon nameće određene minimalne obaveze koje mogu izazvati određene troškove. Ti troškovi, iako neznatni, odnose se na sljedeće oblasti:</w:t>
            </w:r>
          </w:p>
          <w:p w14:paraId="36275787" w14:textId="250CA1B1" w:rsidR="008443BA" w:rsidRPr="00DB56D1" w:rsidRDefault="008443BA" w:rsidP="008443BA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1. Troškovi pripreme i ažuriranja sanacionih planova </w:t>
            </w:r>
            <w:r w:rsidRPr="00DB56D1">
              <w:rPr>
                <w:rFonts w:ascii="Arial" w:eastAsia="Times New Roman" w:hAnsi="Arial" w:cs="Arial"/>
                <w:bCs/>
                <w:lang w:val="sr-Latn-ME"/>
              </w:rPr>
              <w:t>jer će i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nvesticiona društva morati da izrade sanacione planove u skladu sa novom regulativom. Ovi planovi uključuju strategije za reagovanje u kriznim situacijama, kako bi se osigurala njihova finansijska stabilnost. Planovi moraju biti redovno ažurirani i dostavljani regulatorima.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Troškovi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: Potreba za stručnim uslugama (pravnicima, finansijskim konsultantima, specijalistima za rizike) kako bi se izradili sanacioni planovi. Troškovi se odnose na inicijalnu izradu, kao i povremeno ažuriranje ovih </w:t>
            </w:r>
            <w:r w:rsidRPr="00DB56D1">
              <w:rPr>
                <w:rFonts w:ascii="Arial" w:eastAsia="Times New Roman" w:hAnsi="Arial" w:cs="Arial"/>
                <w:lang w:val="sr-Latn-ME"/>
              </w:rPr>
              <w:lastRenderedPageBreak/>
              <w:t xml:space="preserve">planova.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Procjena</w:t>
            </w:r>
            <w:r w:rsidRPr="00DB56D1">
              <w:rPr>
                <w:rFonts w:ascii="Arial" w:eastAsia="Times New Roman" w:hAnsi="Arial" w:cs="Arial"/>
                <w:lang w:val="sr-Latn-ME"/>
              </w:rPr>
              <w:t>: Neznatni u odnosu na ukupne operativne troškove društava, jer mnogi veći učesnici na tržištu već posjeduju interne resurse za upravljanje rizicima i sanaciju.</w:t>
            </w:r>
          </w:p>
          <w:p w14:paraId="6D47CB32" w14:textId="41272DD6" w:rsidR="008443BA" w:rsidRPr="00DB56D1" w:rsidRDefault="008443BA" w:rsidP="008443BA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2. Troškovi usklađivanja kapitalne strukture (MREL zahtjevi) </w:t>
            </w:r>
            <w:r w:rsidRPr="00DB56D1">
              <w:rPr>
                <w:rFonts w:ascii="Arial" w:eastAsia="Times New Roman" w:hAnsi="Arial" w:cs="Arial"/>
                <w:bCs/>
                <w:lang w:val="sr-Latn-ME"/>
              </w:rPr>
              <w:t>jer će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 d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ruštva morati da obezbijede dovoljan nivo kapitala i obaveza koje se mogu pretvoriti u kapital kako bi ispunili minimalne zahtjeve za pokrivanje gubitaka (MREL). Ovi zahtjevi su već standardna praksa za veće finansijske institucije, ali će zahtijevati određeno prilagođavanje kod manjih učesnika.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Troškovi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: Mogući troškovi dokapitalizacije, izdavanja obveznica ili drugih instrumenata koji zadovoljavaju MREL zahtjeve. Takođe, troškovi mogu nastati iz potrebe za prikupljanjem dodatnog kapitala ukoliko društvo ne ispunjava minimalne zahtjeve.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Procjena</w:t>
            </w:r>
            <w:r w:rsidRPr="00DB56D1">
              <w:rPr>
                <w:rFonts w:ascii="Arial" w:eastAsia="Times New Roman" w:hAnsi="Arial" w:cs="Arial"/>
                <w:lang w:val="sr-Latn-ME"/>
              </w:rPr>
              <w:t>: Očekuje se da će se ovi troškovi uklopiti u tekuće troškove poslovanja većine društava i neće imati materijalni uticaj na profitabilnost, jer većina investicionih društava već posluje sa odgovarajućim nivoom kapitala.</w:t>
            </w:r>
          </w:p>
          <w:p w14:paraId="0159931D" w14:textId="5E5F1E89" w:rsidR="008443BA" w:rsidRPr="00DB56D1" w:rsidRDefault="008443BA" w:rsidP="008443BA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3. Troškovi povezani sa ugovornim priznavanjem bail-in instrumenata </w:t>
            </w:r>
            <w:r w:rsidRPr="00DB56D1">
              <w:rPr>
                <w:rFonts w:ascii="Arial" w:eastAsia="Times New Roman" w:hAnsi="Arial" w:cs="Arial"/>
                <w:bCs/>
                <w:lang w:val="sr-Latn-ME"/>
              </w:rPr>
              <w:t>jer će i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nvesticiona društva morati da uključe klauzule o priznavanju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bail-in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mehanizama u relevantne ugovore i finansijske instrumente. To može podrazumijevati pravne izmjene postojećih ugovora i standardizaciju novih.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Troškovi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: Pravne usluge i revizija ugovora kako bi se osigurala usklađenost sa novim propisima. Ovi troškovi mogu uključivati jednokratne troškove konsultacija sa pravnicima, kao i troškove prilagođavanja šablona ugovora.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Procjena</w:t>
            </w:r>
            <w:r w:rsidRPr="00DB56D1">
              <w:rPr>
                <w:rFonts w:ascii="Arial" w:eastAsia="Times New Roman" w:hAnsi="Arial" w:cs="Arial"/>
                <w:lang w:val="sr-Latn-ME"/>
              </w:rPr>
              <w:t>: Ovi troškovi su mali i jednokratni, uglavnom povezani sa troškovima pravnog usklađivanja i prilagođavanja postojećih ugovora.</w:t>
            </w:r>
          </w:p>
          <w:p w14:paraId="49E0C763" w14:textId="702FDDE1" w:rsidR="008443BA" w:rsidRPr="00DB56D1" w:rsidRDefault="008443BA" w:rsidP="00783050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4. Troškovi izvještavanja i nadzora </w:t>
            </w:r>
            <w:r w:rsidRPr="00DB56D1">
              <w:rPr>
                <w:rFonts w:ascii="Arial" w:eastAsia="Times New Roman" w:hAnsi="Arial" w:cs="Arial"/>
                <w:bCs/>
                <w:lang w:val="sr-Latn-ME"/>
              </w:rPr>
              <w:t>jer će i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nvesticiona društva morati da dostavljaju redovne izvještaje Komisiji za tržište kapitala u vezi sa njihovim finansijskim stanjem, sanacionim planovima i kapacitetom za pokrivanje gubitaka.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Troškovi</w:t>
            </w:r>
            <w:r w:rsidRPr="00DB56D1">
              <w:rPr>
                <w:rFonts w:ascii="Arial" w:eastAsia="Times New Roman" w:hAnsi="Arial" w:cs="Arial"/>
                <w:lang w:val="sr-Latn-ME"/>
              </w:rPr>
              <w:t>: Održavanje internih sistema za izvještavanje i eventualna prilagođavanja softvera za praćenje rizika. Takođe, mogući su manji administrativni troškovi u vezi sa pripremom i slanjem izv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eštaja regulatornim 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>organima</w:t>
            </w:r>
            <w:r w:rsidRPr="00DB56D1">
              <w:rPr>
                <w:rFonts w:ascii="Arial" w:eastAsia="Times New Roman" w:hAnsi="Arial" w:cs="Arial"/>
                <w:lang w:val="sr-Latn-ME"/>
              </w:rPr>
              <w:t>.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 xml:space="preserve">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Proc</w:t>
            </w:r>
            <w:r w:rsidR="00783050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ena</w:t>
            </w:r>
            <w:r w:rsidRPr="00DB56D1">
              <w:rPr>
                <w:rFonts w:ascii="Arial" w:eastAsia="Times New Roman" w:hAnsi="Arial" w:cs="Arial"/>
                <w:lang w:val="sr-Latn-ME"/>
              </w:rPr>
              <w:t>: Minimalni troškovi jer većina investicionih društava već pos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eduje sisteme za praćenje i izv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eštavanje, te prilagođavanja neće značajno povećati operativne troškove.</w:t>
            </w:r>
          </w:p>
          <w:p w14:paraId="72E53562" w14:textId="33280655" w:rsidR="008443BA" w:rsidRPr="00DB56D1" w:rsidRDefault="008443BA" w:rsidP="00783050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5. Troškovi internih obuka i usklađivanja sa novim propisima</w:t>
            </w:r>
            <w:r w:rsidR="00783050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 xml:space="preserve"> </w:t>
            </w:r>
            <w:r w:rsidR="00783050" w:rsidRPr="00DB56D1">
              <w:rPr>
                <w:rFonts w:ascii="Arial" w:eastAsia="Times New Roman" w:hAnsi="Arial" w:cs="Arial"/>
                <w:bCs/>
                <w:lang w:val="sr-Latn-ME"/>
              </w:rPr>
              <w:t>jer će d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ruštva morati da sprovedu interne obuke za rukovodstvo i 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>zaposlene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kako bi se osiguralo da svi zaposleni razum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u nove obaveze koje donosi zakon, posebno u vezi sa sanacionim planovima i kapacitetom za pokrivanje gubitaka.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 xml:space="preserve">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Troškovi</w:t>
            </w:r>
            <w:r w:rsidRPr="00DB56D1">
              <w:rPr>
                <w:rFonts w:ascii="Arial" w:eastAsia="Times New Roman" w:hAnsi="Arial" w:cs="Arial"/>
                <w:lang w:val="sr-Latn-ME"/>
              </w:rPr>
              <w:t>: Troškovi obuka, seminara i eventualno angažovanje eksternih konsultanta za edukaciju zaposlenih.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 xml:space="preserve"> 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Proc</w:t>
            </w:r>
            <w:r w:rsidR="00783050"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b/>
                <w:bCs/>
                <w:lang w:val="sr-Latn-ME"/>
              </w:rPr>
              <w:t>ena</w:t>
            </w:r>
            <w:r w:rsidRPr="00DB56D1">
              <w:rPr>
                <w:rFonts w:ascii="Arial" w:eastAsia="Times New Roman" w:hAnsi="Arial" w:cs="Arial"/>
                <w:lang w:val="sr-Latn-ME"/>
              </w:rPr>
              <w:t>: Ovi troškovi su jednokratni i relativno niski, jer se odnose na osnovne obuke koje većina društava redovno organizuje.</w:t>
            </w:r>
          </w:p>
          <w:p w14:paraId="71F0F372" w14:textId="77777777" w:rsidR="00F63B89" w:rsidRPr="00DB56D1" w:rsidRDefault="008443BA" w:rsidP="00F75F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>Svi navedeni troškovi su relativno mali u poređenju sa ukupnim operativnim troškovima i neće imati značajan uticaj na profitabilnost investicionih društava. Ovi troškovi su uglavnom jednokratni (kao što su troškovi izrade sanacionih planova i prilagođavanja ugovora), dok se drugi, poput izv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eštavanja i održavanja kapitalne strukture, već smatraju d</w:t>
            </w:r>
            <w:r w:rsidR="00783050" w:rsidRPr="00DB56D1">
              <w:rPr>
                <w:rFonts w:ascii="Arial" w:eastAsia="Times New Roman" w:hAnsi="Arial" w:cs="Arial"/>
                <w:lang w:val="sr-Latn-ME"/>
              </w:rPr>
              <w:t>ij</w:t>
            </w:r>
            <w:r w:rsidRPr="00DB56D1">
              <w:rPr>
                <w:rFonts w:ascii="Arial" w:eastAsia="Times New Roman" w:hAnsi="Arial" w:cs="Arial"/>
                <w:lang w:val="sr-Latn-ME"/>
              </w:rPr>
              <w:t>elom standardnog poslovanja finansijskih institucija.</w:t>
            </w:r>
          </w:p>
          <w:p w14:paraId="2A3D3C74" w14:textId="14B80052" w:rsidR="00F75F4E" w:rsidRPr="00DB56D1" w:rsidRDefault="00F75F4E" w:rsidP="00F75F4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</w:p>
        </w:tc>
      </w:tr>
      <w:tr w:rsidR="00F63B89" w:rsidRPr="00DB56D1" w14:paraId="4AA59295" w14:textId="77777777" w:rsidTr="00E27883">
        <w:tc>
          <w:tcPr>
            <w:tcW w:w="9576" w:type="dxa"/>
            <w:gridSpan w:val="2"/>
            <w:shd w:val="clear" w:color="auto" w:fill="D2EAF1"/>
          </w:tcPr>
          <w:p w14:paraId="142AC70D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5. Procjena fiskalnog uticaja</w:t>
            </w:r>
          </w:p>
          <w:p w14:paraId="4822EF1A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Da li je potrebno obezbjeđenje finansijskih sredstava iz budžeta Crne Gore za implementaciju propisa i u kom iznosu?</w:t>
            </w:r>
          </w:p>
          <w:p w14:paraId="7F3B86D1" w14:textId="77777777" w:rsidR="00F63B89" w:rsidRPr="00DB56D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Da li je obezbjeđenje finansijskih sredstava jednokratno, ili tokom određenog vremenskog perioda?  Obrazložiti.</w:t>
            </w:r>
          </w:p>
          <w:p w14:paraId="29AFFFFB" w14:textId="77777777" w:rsidR="00F63B89" w:rsidRPr="00DB56D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Da li implementacijom propisa proizilaze međunarodne finansijske obaveze? Obrazložiti.</w:t>
            </w:r>
          </w:p>
          <w:p w14:paraId="5FFC03FE" w14:textId="77777777" w:rsidR="00F63B89" w:rsidRPr="00DB56D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Da li su neophodna finansijska sredstva obezbijeđena u budžetu za tekuću fiskalnu godinu, odnosno da li su planirana u budžetu za narednu fiskanu godinu?</w:t>
            </w:r>
          </w:p>
          <w:p w14:paraId="62320FDF" w14:textId="77777777" w:rsidR="00F63B89" w:rsidRPr="00DB56D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Da li je usvajanjem propisa predviđeno donošenje podzakonskih akata iz kojih će proisteći finansijske obaveze?</w:t>
            </w:r>
          </w:p>
          <w:p w14:paraId="3597CDBB" w14:textId="77777777" w:rsidR="00F63B89" w:rsidRPr="00DB56D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Da li će se implementacijom propisa ostvariti prihod za budžet Crne Gore?</w:t>
            </w:r>
          </w:p>
          <w:p w14:paraId="1BBC521B" w14:textId="77777777" w:rsidR="00F63B89" w:rsidRPr="00DB56D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Obrazložiti metodologiju koja je korišćenja prilikom obračuna finansijskih izdataka/prihoda.</w:t>
            </w:r>
          </w:p>
          <w:p w14:paraId="22A6A11D" w14:textId="77777777" w:rsidR="00F63B89" w:rsidRPr="00DB56D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Da li su postojali problemi u preciznom obračunu finansijskih izdataka/prihoda? Obrazložiti.</w:t>
            </w:r>
          </w:p>
          <w:p w14:paraId="6D7F9E10" w14:textId="77777777" w:rsidR="00F63B89" w:rsidRPr="00DB56D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Da li su postojale sugestije Ministarstva finansija na nacrt/predlog propisa?</w:t>
            </w:r>
          </w:p>
          <w:p w14:paraId="53DFC56C" w14:textId="77777777" w:rsidR="00F63B89" w:rsidRPr="00DB56D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Da li su dobijene primjedbe uključene u tekst propisa? Obrazložiti.</w:t>
            </w:r>
          </w:p>
        </w:tc>
      </w:tr>
      <w:tr w:rsidR="00F63B89" w:rsidRPr="00DB56D1" w14:paraId="1EF274A8" w14:textId="77777777" w:rsidTr="00E27883">
        <w:tc>
          <w:tcPr>
            <w:tcW w:w="9576" w:type="dxa"/>
            <w:gridSpan w:val="2"/>
          </w:tcPr>
          <w:p w14:paraId="43A1C1B2" w14:textId="43B85C51" w:rsidR="00F63B89" w:rsidRPr="00DB56D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Cs/>
                <w:lang w:val="sr-Latn-ME" w:eastAsia="en-GB"/>
              </w:rPr>
              <w:lastRenderedPageBreak/>
              <w:t>Za sprovođenje ovog zakona i podzakonskih akata koji će biti donijeti po osnovu ovog zakona nije potrebno obezbjeđenje finansijskih sredstava iz budžeta Crne Gore, niti iz zakona i podzakonskih akata proizilaze međunarodne finansijske obaveze.</w:t>
            </w:r>
          </w:p>
          <w:p w14:paraId="2F909C50" w14:textId="77777777" w:rsidR="00F63B89" w:rsidRPr="00DB56D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Cs/>
                <w:lang w:val="sr-Latn-ME" w:eastAsia="en-GB"/>
              </w:rPr>
              <w:t>Implementacijom propisa neće se direktno ostvariti prihodi za budžet Crne Gore.</w:t>
            </w:r>
          </w:p>
          <w:p w14:paraId="59C969F3" w14:textId="77777777" w:rsidR="00F63B89" w:rsidRPr="00DB56D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</w:tc>
      </w:tr>
      <w:tr w:rsidR="00F63B89" w:rsidRPr="00DB56D1" w14:paraId="26E74D1D" w14:textId="77777777" w:rsidTr="00E27883">
        <w:tc>
          <w:tcPr>
            <w:tcW w:w="9576" w:type="dxa"/>
            <w:gridSpan w:val="2"/>
            <w:shd w:val="clear" w:color="auto" w:fill="D2EAF1"/>
          </w:tcPr>
          <w:p w14:paraId="567221A7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 xml:space="preserve">6. </w:t>
            </w:r>
            <w:r w:rsidRPr="00DB56D1">
              <w:rPr>
                <w:rFonts w:ascii="Arial" w:eastAsia="Times New Roman" w:hAnsi="Arial" w:cs="Arial"/>
                <w:lang w:val="sr-Latn-ME" w:eastAsia="en-GB"/>
              </w:rPr>
              <w:t>K</w:t>
            </w: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onsultacije zainteresovanih strana</w:t>
            </w:r>
          </w:p>
          <w:p w14:paraId="7381EE96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Naznačiti da li je korišćena eksterna ekspertska podrška i ako da, kako.</w:t>
            </w:r>
          </w:p>
          <w:p w14:paraId="5AAAF869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Naznačiti koje su grupe zainteresovanih strana konsultovane, u kojoj fazi RIA procesa i kako (javne ili ciljane konsultacije).</w:t>
            </w:r>
          </w:p>
          <w:p w14:paraId="6C08C12A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F63B89" w:rsidRPr="00DB56D1" w14:paraId="6B4D9FC1" w14:textId="77777777" w:rsidTr="00E27883">
        <w:tc>
          <w:tcPr>
            <w:tcW w:w="9576" w:type="dxa"/>
            <w:gridSpan w:val="2"/>
          </w:tcPr>
          <w:p w14:paraId="14C1233D" w14:textId="77777777" w:rsidR="00F75F4E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Cs/>
                <w:lang w:val="sr-Latn-ME" w:eastAsia="en-GB"/>
              </w:rPr>
              <w:t xml:space="preserve">Prilikom izrade Nacrta zakona o izmjenama i dopunama Zakona o sanaciji investicionih društava, nije korišćena ekspertska podrška. Komisija za tržište kapitala Crne Gore je ostvarila komunikaciju sa Centralnom bankom Crne Gore u dosadašnjoj implementaciji Zakona o sanaciji kreditnih institucija, pa su se uzeli u obzir njihovi komentari i sugestije. </w:t>
            </w:r>
          </w:p>
          <w:p w14:paraId="32A4706B" w14:textId="77777777" w:rsidR="00F75F4E" w:rsidRPr="00DB56D1" w:rsidRDefault="00F75F4E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3D4F752C" w14:textId="5071A3C4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Cs/>
                <w:lang w:val="sr-Latn-ME" w:eastAsia="en-GB"/>
              </w:rPr>
              <w:t xml:space="preserve">Dodatno, Nacrt zakona o  sanaciji investicionih društava se objavljuje na javnu raspravu, nakon koje će se uzeti u obzir i ti komentari i sugestije i utvrditi konačan tekst. </w:t>
            </w:r>
          </w:p>
          <w:p w14:paraId="189F9657" w14:textId="36E51E6B" w:rsidR="00927CF3" w:rsidRPr="00DB56D1" w:rsidRDefault="00927CF3" w:rsidP="003A24A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>Komisija za tržište kapitala Crne Gore nije sprovela konsultacije sa investicionim društvima prije izrade Nacrta zakona o sanaciji investicionih društava. Donošenje zakona o sanaciji investicionih društava ima za cilj usklađivanje crnogorskog pravnog okvira sa regulativama Evropske unije, posebno u svjetlu Direktive 2019/879/EU (BRRD II). Ova direktiva se fokusira na poboljšanje kapaciteta za sanaciju i pokrivanje gubitaka u kreditnim institucijama i investicionim društvima.</w:t>
            </w:r>
            <w:r w:rsidR="003A24AC" w:rsidRPr="00DB56D1">
              <w:rPr>
                <w:rFonts w:ascii="Arial" w:hAnsi="Arial" w:cs="Arial"/>
                <w:lang w:val="sr-Latn-ME"/>
              </w:rPr>
              <w:t xml:space="preserve"> </w:t>
            </w:r>
            <w:r w:rsidR="0054132D" w:rsidRPr="00DB56D1">
              <w:rPr>
                <w:rFonts w:ascii="Arial" w:eastAsia="Times New Roman" w:hAnsi="Arial" w:cs="Arial"/>
                <w:lang w:val="sr-Latn-ME"/>
              </w:rPr>
              <w:t>Zakon je di</w:t>
            </w:r>
            <w:r w:rsidR="003A24AC" w:rsidRPr="00DB56D1">
              <w:rPr>
                <w:rFonts w:ascii="Arial" w:eastAsia="Times New Roman" w:hAnsi="Arial" w:cs="Arial"/>
                <w:lang w:val="sr-Latn-ME"/>
              </w:rPr>
              <w:t>o procesa harmonizacije crnogorskog zakonodavstva sa regulativama EU, što je ključno za integraciju u evropsko finansijsko tržište i povećanje stabilnosti. Donošenjem zakona stvara se pravni okvir koji jasno definiše procedure i mehanizme za sanaciju investicionih društava, čime se obezbjeđuje pravna sigurnost i efikasnost u kriznim situacijama. Uvođenje jasnih pravila o sanaciji pomaže u jačanju povjerenja investitora i drugih učesnika na tržištu, jer se obezbjeđuje transparentnost u vezi sa procesima sanacije. Zakon ima za cilj poboljšanje otpornosti investicionih društava na finansijske šokove i krize, čime se doprinosi stabilnosti cijelog finansijskog sistema.</w:t>
            </w:r>
          </w:p>
          <w:p w14:paraId="0C390CDF" w14:textId="60A2A8FA" w:rsidR="00927CF3" w:rsidRPr="00DB56D1" w:rsidRDefault="00927CF3" w:rsidP="00927CF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DB56D1">
              <w:rPr>
                <w:rFonts w:ascii="Arial" w:eastAsia="Times New Roman" w:hAnsi="Arial" w:cs="Arial"/>
                <w:lang w:val="sr-Latn-ME"/>
              </w:rPr>
              <w:t xml:space="preserve">Iako </w:t>
            </w:r>
            <w:r w:rsidR="003A24AC" w:rsidRPr="00DB56D1">
              <w:rPr>
                <w:rFonts w:ascii="Arial" w:eastAsia="Times New Roman" w:hAnsi="Arial" w:cs="Arial"/>
                <w:lang w:val="sr-Latn-ME"/>
              </w:rPr>
              <w:t xml:space="preserve">u ovoj fazi 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Komisija za tržište kapitala Crne Gore nije obavila konsultacije sa investicionim društvima, uvođenje Nacrta zakona o sanaciji investicionih društava </w:t>
            </w:r>
            <w:r w:rsidR="003A24AC" w:rsidRPr="00DB56D1">
              <w:rPr>
                <w:rFonts w:ascii="Arial" w:eastAsia="Times New Roman" w:hAnsi="Arial" w:cs="Arial"/>
                <w:lang w:val="sr-Latn-ME"/>
              </w:rPr>
              <w:t xml:space="preserve">podrazumijeva </w:t>
            </w:r>
            <w:r w:rsidRPr="00DB56D1">
              <w:rPr>
                <w:rFonts w:ascii="Arial" w:eastAsia="Times New Roman" w:hAnsi="Arial" w:cs="Arial"/>
                <w:lang w:val="sr-Latn-ME"/>
              </w:rPr>
              <w:t>efikasn</w:t>
            </w:r>
            <w:r w:rsidR="003A24AC" w:rsidRPr="00DB56D1">
              <w:rPr>
                <w:rFonts w:ascii="Arial" w:eastAsia="Times New Roman" w:hAnsi="Arial" w:cs="Arial"/>
                <w:lang w:val="sr-Latn-ME"/>
              </w:rPr>
              <w:t>u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</w:t>
            </w:r>
            <w:r w:rsidRPr="00DB56D1">
              <w:rPr>
                <w:rFonts w:ascii="Arial" w:eastAsia="Times New Roman" w:hAnsi="Arial" w:cs="Arial"/>
                <w:lang w:val="sr-Latn-ME"/>
              </w:rPr>
              <w:lastRenderedPageBreak/>
              <w:t>implementacij</w:t>
            </w:r>
            <w:r w:rsidR="003A24AC" w:rsidRPr="00DB56D1">
              <w:rPr>
                <w:rFonts w:ascii="Arial" w:eastAsia="Times New Roman" w:hAnsi="Arial" w:cs="Arial"/>
                <w:lang w:val="sr-Latn-ME"/>
              </w:rPr>
              <w:t>u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zakona</w:t>
            </w:r>
            <w:r w:rsidR="003A24AC" w:rsidRPr="00DB56D1">
              <w:rPr>
                <w:rFonts w:ascii="Arial" w:eastAsia="Times New Roman" w:hAnsi="Arial" w:cs="Arial"/>
                <w:lang w:val="sr-Latn-ME"/>
              </w:rPr>
              <w:t xml:space="preserve"> i </w:t>
            </w:r>
            <w:r w:rsidRPr="00DB56D1">
              <w:rPr>
                <w:rFonts w:ascii="Arial" w:eastAsia="Times New Roman" w:hAnsi="Arial" w:cs="Arial"/>
                <w:lang w:val="sr-Latn-ME"/>
              </w:rPr>
              <w:t>transparent</w:t>
            </w:r>
            <w:r w:rsidR="003A24AC" w:rsidRPr="00DB56D1">
              <w:rPr>
                <w:rFonts w:ascii="Arial" w:eastAsia="Times New Roman" w:hAnsi="Arial" w:cs="Arial"/>
                <w:lang w:val="sr-Latn-ME"/>
              </w:rPr>
              <w:t>an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dijalog između regulatora i </w:t>
            </w:r>
            <w:r w:rsidR="003A24AC" w:rsidRPr="00DB56D1">
              <w:rPr>
                <w:rFonts w:ascii="Arial" w:eastAsia="Times New Roman" w:hAnsi="Arial" w:cs="Arial"/>
                <w:lang w:val="sr-Latn-ME"/>
              </w:rPr>
              <w:t>investicionih društava</w:t>
            </w:r>
            <w:r w:rsidRPr="00DB56D1">
              <w:rPr>
                <w:rFonts w:ascii="Arial" w:eastAsia="Times New Roman" w:hAnsi="Arial" w:cs="Arial"/>
                <w:lang w:val="sr-Latn-ME"/>
              </w:rPr>
              <w:t xml:space="preserve"> kako bi se osigurala prim</w:t>
            </w:r>
            <w:r w:rsidR="003A24AC" w:rsidRPr="00DB56D1">
              <w:rPr>
                <w:rFonts w:ascii="Arial" w:eastAsia="Times New Roman" w:hAnsi="Arial" w:cs="Arial"/>
                <w:lang w:val="sr-Latn-ME"/>
              </w:rPr>
              <w:t>j</w:t>
            </w:r>
            <w:r w:rsidRPr="00DB56D1">
              <w:rPr>
                <w:rFonts w:ascii="Arial" w:eastAsia="Times New Roman" w:hAnsi="Arial" w:cs="Arial"/>
                <w:lang w:val="sr-Latn-ME"/>
              </w:rPr>
              <w:t>ena koja je u najboljem interesu svih aktera na tržištu.</w:t>
            </w:r>
          </w:p>
          <w:p w14:paraId="2C4EEFAE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</w:tc>
      </w:tr>
      <w:tr w:rsidR="00F63B89" w:rsidRPr="00DB56D1" w14:paraId="43E7AE50" w14:textId="77777777" w:rsidTr="00E27883">
        <w:tc>
          <w:tcPr>
            <w:tcW w:w="9576" w:type="dxa"/>
            <w:gridSpan w:val="2"/>
            <w:shd w:val="clear" w:color="auto" w:fill="D2EAF1"/>
          </w:tcPr>
          <w:p w14:paraId="1BF69C23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7. Monitoring i evaluacija</w:t>
            </w:r>
          </w:p>
          <w:p w14:paraId="5ED0A947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 xml:space="preserve">Koje su potencijalne prepreke za implementaciju propisa? </w:t>
            </w:r>
          </w:p>
          <w:p w14:paraId="05FAFC56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Koje će mjere biti preduzete tokom primjene propisa da bi se ispunili ciljevi?</w:t>
            </w:r>
          </w:p>
          <w:p w14:paraId="08AF262B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Koji su glavni indikatori prema kojima će se mjeriti ispunjenje ciljeva?</w:t>
            </w:r>
          </w:p>
          <w:p w14:paraId="4257F891" w14:textId="77777777" w:rsidR="00F63B89" w:rsidRPr="00DB56D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b/>
                <w:lang w:val="sr-Latn-ME" w:eastAsia="en-GB"/>
              </w:rPr>
              <w:t>Ko će biti zadužen za sprovođenje monitoringa i evaluacije primjene propisa?</w:t>
            </w:r>
          </w:p>
        </w:tc>
      </w:tr>
      <w:tr w:rsidR="00F63B89" w:rsidRPr="00DB56D1" w14:paraId="6039866E" w14:textId="77777777" w:rsidTr="00E27883">
        <w:tc>
          <w:tcPr>
            <w:tcW w:w="9576" w:type="dxa"/>
            <w:gridSpan w:val="2"/>
          </w:tcPr>
          <w:p w14:paraId="586E3F0B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lang w:val="sr-Latn-ME" w:eastAsia="en-GB"/>
              </w:rPr>
              <w:t xml:space="preserve">Ne postoje potencijalne prepreke za implementaciju ovog zakona. </w:t>
            </w:r>
          </w:p>
          <w:p w14:paraId="18757352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6CD5E0F6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lang w:val="sr-Latn-ME" w:eastAsia="en-GB"/>
              </w:rPr>
              <w:t>Osnovni indikatori za mjerenje ispunjenja ciljeva predloženog zakona mogu biti: kvalitet pripremljenih planova sanacije i nivo regulatornog kapitala i kvalifikovanih obaveza u sistemu.</w:t>
            </w:r>
          </w:p>
          <w:p w14:paraId="642424D7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val="sr-Latn-ME" w:eastAsia="en-GB"/>
              </w:rPr>
            </w:pPr>
          </w:p>
          <w:p w14:paraId="59A64676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DB56D1">
              <w:rPr>
                <w:rFonts w:ascii="Arial" w:eastAsia="Times New Roman" w:hAnsi="Arial" w:cs="Arial"/>
                <w:lang w:val="sr-Latn-ME" w:eastAsia="en-GB"/>
              </w:rPr>
              <w:t>Za monitoring primjene ovog zakona biće zadužena Komisija za tržište kapitala Crne Gore kao organ za sanaciju, ovlašćen da primjenjuje instrumente sanacije i da izvršava druga sanaciona ovlašćenja iz ovog zakona.</w:t>
            </w:r>
          </w:p>
          <w:p w14:paraId="5AEA0E75" w14:textId="77777777" w:rsidR="00F63B89" w:rsidRPr="00DB56D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</w:tc>
      </w:tr>
    </w:tbl>
    <w:p w14:paraId="19E70154" w14:textId="77777777" w:rsidR="00F63B89" w:rsidRPr="00DB56D1" w:rsidRDefault="00F63B89" w:rsidP="00F6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 w:eastAsia="en-GB"/>
        </w:rPr>
      </w:pPr>
    </w:p>
    <w:p w14:paraId="59E43B70" w14:textId="6DF68D72" w:rsidR="00F63B89" w:rsidRPr="00DB56D1" w:rsidRDefault="00F63B89" w:rsidP="00F63B89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Latn-ME" w:eastAsia="en-GB"/>
        </w:rPr>
      </w:pPr>
      <w:r w:rsidRPr="00DB56D1">
        <w:rPr>
          <w:rFonts w:ascii="Arial" w:eastAsia="Times New Roman" w:hAnsi="Arial" w:cs="Arial"/>
          <w:b/>
          <w:bCs/>
          <w:lang w:val="sr-Latn-ME" w:eastAsia="en-GB"/>
        </w:rPr>
        <w:t xml:space="preserve">  </w:t>
      </w:r>
      <w:r w:rsidR="00F75F4E" w:rsidRPr="00DB56D1">
        <w:rPr>
          <w:rFonts w:ascii="Arial" w:eastAsia="Times New Roman" w:hAnsi="Arial" w:cs="Arial"/>
          <w:b/>
          <w:bCs/>
          <w:lang w:val="sr-Latn-ME" w:eastAsia="en-GB"/>
        </w:rPr>
        <w:t xml:space="preserve">  </w:t>
      </w:r>
      <w:r w:rsidRPr="00DB56D1">
        <w:rPr>
          <w:rFonts w:ascii="Arial" w:eastAsia="Times New Roman" w:hAnsi="Arial" w:cs="Arial"/>
          <w:b/>
          <w:bCs/>
          <w:lang w:val="sr-Latn-ME" w:eastAsia="en-GB"/>
        </w:rPr>
        <w:t xml:space="preserve">  Datum i mjesto</w:t>
      </w:r>
      <w:r w:rsidRPr="00DB56D1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DB56D1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DB56D1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DB56D1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DB56D1">
        <w:rPr>
          <w:rFonts w:ascii="Arial" w:eastAsia="Times New Roman" w:hAnsi="Arial" w:cs="Arial"/>
          <w:b/>
          <w:bCs/>
          <w:lang w:val="sr-Latn-ME" w:eastAsia="en-GB"/>
        </w:rPr>
        <w:tab/>
      </w:r>
      <w:r w:rsidR="00F75F4E" w:rsidRPr="00DB56D1">
        <w:rPr>
          <w:rFonts w:ascii="Arial" w:eastAsia="Times New Roman" w:hAnsi="Arial" w:cs="Arial"/>
          <w:b/>
          <w:bCs/>
          <w:lang w:val="sr-Latn-ME" w:eastAsia="en-GB"/>
        </w:rPr>
        <w:t xml:space="preserve">       </w:t>
      </w:r>
      <w:r w:rsidRPr="00DB56D1">
        <w:rPr>
          <w:rFonts w:ascii="Arial" w:eastAsia="Times New Roman" w:hAnsi="Arial" w:cs="Arial"/>
          <w:b/>
          <w:bCs/>
          <w:lang w:val="sr-Latn-ME" w:eastAsia="en-GB"/>
        </w:rPr>
        <w:t xml:space="preserve">  Starješina </w:t>
      </w:r>
    </w:p>
    <w:p w14:paraId="23C91FEA" w14:textId="77777777" w:rsidR="00F63B89" w:rsidRPr="00DB56D1" w:rsidRDefault="00F63B89" w:rsidP="00F63B89">
      <w:pPr>
        <w:spacing w:after="0" w:line="240" w:lineRule="auto"/>
        <w:jc w:val="both"/>
        <w:rPr>
          <w:rFonts w:ascii="Arial" w:eastAsia="Times New Roman" w:hAnsi="Arial" w:cs="Arial"/>
          <w:bCs/>
          <w:lang w:val="sr-Latn-ME" w:eastAsia="en-GB"/>
        </w:rPr>
      </w:pPr>
    </w:p>
    <w:p w14:paraId="75DA20E2" w14:textId="097A705F" w:rsidR="007E562E" w:rsidRPr="00DB56D1" w:rsidRDefault="00CA457E" w:rsidP="00CA457E">
      <w:pPr>
        <w:ind w:left="6570" w:hanging="6570"/>
        <w:rPr>
          <w:rFonts w:ascii="Arial" w:hAnsi="Arial" w:cs="Arial"/>
          <w:lang w:val="sr-Latn-ME"/>
        </w:rPr>
      </w:pPr>
      <w:r w:rsidRPr="00DB56D1">
        <w:rPr>
          <w:rFonts w:ascii="Arial" w:eastAsia="Times New Roman" w:hAnsi="Arial" w:cs="Arial"/>
          <w:bCs/>
          <w:lang w:val="sr-Latn-ME" w:eastAsia="en-GB"/>
        </w:rPr>
        <w:t xml:space="preserve">Podgorica, </w:t>
      </w:r>
      <w:r w:rsidR="00F75F4E" w:rsidRPr="00DB56D1">
        <w:rPr>
          <w:rFonts w:ascii="Arial" w:eastAsia="Times New Roman" w:hAnsi="Arial" w:cs="Arial"/>
          <w:bCs/>
          <w:lang w:val="sr-Latn-ME" w:eastAsia="en-GB"/>
        </w:rPr>
        <w:t>05.11</w:t>
      </w:r>
      <w:r w:rsidRPr="00DB56D1">
        <w:rPr>
          <w:rFonts w:ascii="Arial" w:eastAsia="Times New Roman" w:hAnsi="Arial" w:cs="Arial"/>
          <w:bCs/>
          <w:lang w:val="sr-Latn-ME" w:eastAsia="en-GB"/>
        </w:rPr>
        <w:t>.2024. godine</w:t>
      </w:r>
      <w:r w:rsidR="005C7BE5" w:rsidRPr="00DB56D1">
        <w:rPr>
          <w:rFonts w:ascii="Arial" w:eastAsia="Times New Roman" w:hAnsi="Arial" w:cs="Arial"/>
          <w:bCs/>
          <w:lang w:val="sr-Latn-ME" w:eastAsia="en-GB"/>
        </w:rPr>
        <w:t xml:space="preserve">       </w:t>
      </w:r>
      <w:r w:rsidRPr="00DB56D1">
        <w:rPr>
          <w:rFonts w:ascii="Arial" w:eastAsia="Times New Roman" w:hAnsi="Arial" w:cs="Arial"/>
          <w:bCs/>
          <w:lang w:val="sr-Latn-ME" w:eastAsia="en-GB"/>
        </w:rPr>
        <w:t xml:space="preserve">                    </w:t>
      </w:r>
      <w:r w:rsidR="00F75F4E" w:rsidRPr="00DB56D1">
        <w:rPr>
          <w:rFonts w:ascii="Arial" w:eastAsia="Times New Roman" w:hAnsi="Arial" w:cs="Arial"/>
          <w:bCs/>
          <w:lang w:val="sr-Latn-ME" w:eastAsia="en-GB"/>
        </w:rPr>
        <w:t xml:space="preserve">  </w:t>
      </w:r>
      <w:r w:rsidRPr="00DB56D1">
        <w:rPr>
          <w:rFonts w:ascii="Arial" w:eastAsia="Times New Roman" w:hAnsi="Arial" w:cs="Arial"/>
          <w:bCs/>
          <w:lang w:val="sr-Latn-ME" w:eastAsia="en-GB"/>
        </w:rPr>
        <w:t xml:space="preserve">      </w:t>
      </w:r>
      <w:r w:rsidR="00F75F4E" w:rsidRPr="00DB56D1">
        <w:rPr>
          <w:rFonts w:ascii="Arial" w:eastAsia="Times New Roman" w:hAnsi="Arial" w:cs="Arial"/>
          <w:bCs/>
          <w:lang w:val="sr-Latn-ME" w:eastAsia="en-GB"/>
        </w:rPr>
        <w:t>____________________</w:t>
      </w:r>
    </w:p>
    <w:sectPr w:rsidR="007E562E" w:rsidRPr="00DB56D1" w:rsidSect="00D372A1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C9728" w14:textId="77777777" w:rsidR="00586223" w:rsidRDefault="00586223">
      <w:pPr>
        <w:spacing w:after="0" w:line="240" w:lineRule="auto"/>
      </w:pPr>
      <w:r>
        <w:separator/>
      </w:r>
    </w:p>
  </w:endnote>
  <w:endnote w:type="continuationSeparator" w:id="0">
    <w:p w14:paraId="20592E04" w14:textId="77777777" w:rsidR="00586223" w:rsidRDefault="0058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08A03" w14:textId="77777777" w:rsidR="00D372A1" w:rsidRDefault="00753AD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15C7">
      <w:rPr>
        <w:noProof/>
      </w:rPr>
      <w:t>13</w:t>
    </w:r>
    <w:r>
      <w:rPr>
        <w:noProof/>
      </w:rPr>
      <w:fldChar w:fldCharType="end"/>
    </w:r>
  </w:p>
  <w:p w14:paraId="4E5B8D93" w14:textId="77777777" w:rsidR="00D372A1" w:rsidRDefault="00586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D5478" w14:textId="77777777" w:rsidR="00586223" w:rsidRDefault="00586223">
      <w:pPr>
        <w:spacing w:after="0" w:line="240" w:lineRule="auto"/>
      </w:pPr>
      <w:r>
        <w:separator/>
      </w:r>
    </w:p>
  </w:footnote>
  <w:footnote w:type="continuationSeparator" w:id="0">
    <w:p w14:paraId="473CAF05" w14:textId="77777777" w:rsidR="00586223" w:rsidRDefault="0058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9209" w14:textId="77777777" w:rsidR="003A74FA" w:rsidRDefault="00F63B8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CA033F3" wp14:editId="78F5A68C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254000" cy="237490"/>
              <wp:effectExtent l="254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07FFB" w14:textId="77777777" w:rsidR="003A74FA" w:rsidRPr="00785639" w:rsidRDefault="00586223" w:rsidP="007856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033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2pt;margin-top:18pt;width:20pt;height:18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" o:allowincell="f" stroked="f">
              <v:textbox style="mso-fit-shape-to-text:t">
                <w:txbxContent>
                  <w:p w14:paraId="41F07FFB" w14:textId="77777777" w:rsidR="003A74FA" w:rsidRPr="00785639" w:rsidRDefault="007E38E2" w:rsidP="00785639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8905" w14:textId="77777777" w:rsidR="003A74FA" w:rsidRDefault="00F63B8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3034EAF" wp14:editId="30EE52F0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254000" cy="237490"/>
              <wp:effectExtent l="254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29624" w14:textId="77777777" w:rsidR="003A74FA" w:rsidRPr="00785639" w:rsidRDefault="00586223" w:rsidP="006C4F23">
                          <w:pP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34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31.2pt;margin-top:18pt;width:20pt;height:18.7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" o:allowincell="f" stroked="f">
              <v:textbox style="mso-fit-shape-to-text:t">
                <w:txbxContent>
                  <w:p w14:paraId="0D929624" w14:textId="77777777" w:rsidR="003A74FA" w:rsidRPr="00785639" w:rsidRDefault="007E38E2" w:rsidP="006C4F23">
                    <w:pPr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A3E"/>
    <w:multiLevelType w:val="multilevel"/>
    <w:tmpl w:val="CC58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A6B40"/>
    <w:multiLevelType w:val="multilevel"/>
    <w:tmpl w:val="707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A472B"/>
    <w:multiLevelType w:val="multilevel"/>
    <w:tmpl w:val="22D2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F264A"/>
    <w:multiLevelType w:val="hybridMultilevel"/>
    <w:tmpl w:val="33B8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5F34"/>
    <w:multiLevelType w:val="multilevel"/>
    <w:tmpl w:val="4272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85C72"/>
    <w:multiLevelType w:val="multilevel"/>
    <w:tmpl w:val="8D9C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12B0F"/>
    <w:multiLevelType w:val="multilevel"/>
    <w:tmpl w:val="2D7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D26A4"/>
    <w:multiLevelType w:val="multilevel"/>
    <w:tmpl w:val="34C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B3654"/>
    <w:multiLevelType w:val="multilevel"/>
    <w:tmpl w:val="06DE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2C17251"/>
    <w:multiLevelType w:val="multilevel"/>
    <w:tmpl w:val="E018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824A3"/>
    <w:multiLevelType w:val="multilevel"/>
    <w:tmpl w:val="894E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B1A75"/>
    <w:multiLevelType w:val="multilevel"/>
    <w:tmpl w:val="769A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52D91"/>
    <w:multiLevelType w:val="multilevel"/>
    <w:tmpl w:val="8BBC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7C7B9D"/>
    <w:multiLevelType w:val="multilevel"/>
    <w:tmpl w:val="0C8C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1"/>
  </w:num>
  <w:num w:numId="8">
    <w:abstractNumId w:val="13"/>
  </w:num>
  <w:num w:numId="9">
    <w:abstractNumId w:val="12"/>
  </w:num>
  <w:num w:numId="10">
    <w:abstractNumId w:val="14"/>
  </w:num>
  <w:num w:numId="11">
    <w:abstractNumId w:val="7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2F"/>
    <w:rsid w:val="000540CD"/>
    <w:rsid w:val="0006642A"/>
    <w:rsid w:val="00085F0A"/>
    <w:rsid w:val="000C0A31"/>
    <w:rsid w:val="0014404A"/>
    <w:rsid w:val="001D3503"/>
    <w:rsid w:val="00244E1B"/>
    <w:rsid w:val="003441B8"/>
    <w:rsid w:val="0039265C"/>
    <w:rsid w:val="003A24AC"/>
    <w:rsid w:val="00473BBA"/>
    <w:rsid w:val="0049408D"/>
    <w:rsid w:val="004A4599"/>
    <w:rsid w:val="004D4E1D"/>
    <w:rsid w:val="0054132D"/>
    <w:rsid w:val="0056733B"/>
    <w:rsid w:val="00586223"/>
    <w:rsid w:val="005C7BE5"/>
    <w:rsid w:val="0065725D"/>
    <w:rsid w:val="006F12E6"/>
    <w:rsid w:val="00753ADC"/>
    <w:rsid w:val="00783050"/>
    <w:rsid w:val="007E2D0F"/>
    <w:rsid w:val="007E38E2"/>
    <w:rsid w:val="007E562E"/>
    <w:rsid w:val="00824789"/>
    <w:rsid w:val="008443BA"/>
    <w:rsid w:val="00885B1B"/>
    <w:rsid w:val="00927CF3"/>
    <w:rsid w:val="00937E55"/>
    <w:rsid w:val="00967466"/>
    <w:rsid w:val="009A15C7"/>
    <w:rsid w:val="00A45F37"/>
    <w:rsid w:val="00AA13BF"/>
    <w:rsid w:val="00AA6BE5"/>
    <w:rsid w:val="00B146E8"/>
    <w:rsid w:val="00BC11A9"/>
    <w:rsid w:val="00CA457E"/>
    <w:rsid w:val="00D76AF8"/>
    <w:rsid w:val="00DA4726"/>
    <w:rsid w:val="00DB56D1"/>
    <w:rsid w:val="00DD742F"/>
    <w:rsid w:val="00E6123F"/>
    <w:rsid w:val="00E92C9D"/>
    <w:rsid w:val="00F24F5E"/>
    <w:rsid w:val="00F335D9"/>
    <w:rsid w:val="00F529D8"/>
    <w:rsid w:val="00F63B89"/>
    <w:rsid w:val="00F7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2072"/>
  <w15:chartTrackingRefBased/>
  <w15:docId w15:val="{052E7C45-1D91-41CD-A5CE-1F577210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B89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63B89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63B89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63B89"/>
    <w:rPr>
      <w:rFonts w:ascii="Garamond" w:eastAsia="Times New Roman" w:hAnsi="Garamond" w:cs="Times New Roman"/>
      <w:bCs/>
      <w:sz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2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2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 Sabovic</dc:creator>
  <cp:keywords/>
  <dc:description/>
  <cp:lastModifiedBy>User </cp:lastModifiedBy>
  <cp:revision>15</cp:revision>
  <dcterms:created xsi:type="dcterms:W3CDTF">2024-10-17T07:41:00Z</dcterms:created>
  <dcterms:modified xsi:type="dcterms:W3CDTF">2024-11-07T11:25:00Z</dcterms:modified>
</cp:coreProperties>
</file>