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1523" w:rsidRDefault="00465104">
      <w:pPr>
        <w:jc w:val="center"/>
        <w:rPr>
          <w:rFonts w:cs="Calibri"/>
          <w:b/>
          <w:bCs/>
          <w:sz w:val="28"/>
          <w:szCs w:val="28"/>
        </w:rPr>
      </w:pPr>
      <w:bookmarkStart w:id="0" w:name="_Toc289784007"/>
      <w:bookmarkStart w:id="1" w:name="_GoBack"/>
      <w:bookmarkEnd w:id="1"/>
      <w:r>
        <w:rPr>
          <w:rFonts w:cs="Calibri"/>
          <w:b/>
          <w:bCs/>
          <w:sz w:val="28"/>
          <w:szCs w:val="28"/>
        </w:rPr>
        <w:t>Tehničke karakteristike i cijene termoizolazije fasade u okviru programa "Energetski efikasan Dom"</w:t>
      </w:r>
    </w:p>
    <w:p w:rsidR="006A1523" w:rsidRDefault="006A1523">
      <w:pPr>
        <w:pStyle w:val="Standard"/>
        <w:spacing w:after="120"/>
        <w:rPr>
          <w:rFonts w:ascii="Verdana" w:hAnsi="Verdana"/>
        </w:rPr>
      </w:pPr>
    </w:p>
    <w:tbl>
      <w:tblPr>
        <w:tblW w:w="14137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88"/>
        <w:gridCol w:w="10430"/>
        <w:gridCol w:w="1276"/>
        <w:gridCol w:w="850"/>
        <w:gridCol w:w="993"/>
      </w:tblGrid>
      <w:tr w:rsidR="006A1523">
        <w:tblPrEx>
          <w:tblCellMar>
            <w:top w:w="0" w:type="dxa"/>
            <w:bottom w:w="0" w:type="dxa"/>
          </w:tblCellMar>
        </w:tblPrEx>
        <w:trPr>
          <w:trHeight w:val="813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1523" w:rsidRDefault="00465104">
            <w:pPr>
              <w:pStyle w:val="Standard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Br</w:t>
            </w:r>
          </w:p>
        </w:tc>
        <w:tc>
          <w:tcPr>
            <w:tcW w:w="10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1523" w:rsidRDefault="00465104">
            <w:pPr>
              <w:pStyle w:val="Standard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Stavka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1523" w:rsidRDefault="00465104">
            <w:pPr>
              <w:pStyle w:val="Standard"/>
              <w:jc w:val="center"/>
              <w:rPr>
                <w:rFonts w:ascii="Century Gothic" w:hAnsi="Century Gothic" w:cs="Arial"/>
                <w:sz w:val="16"/>
                <w:szCs w:val="20"/>
              </w:rPr>
            </w:pPr>
            <w:r>
              <w:rPr>
                <w:rFonts w:ascii="Century Gothic" w:hAnsi="Century Gothic" w:cs="Arial"/>
                <w:sz w:val="16"/>
                <w:szCs w:val="20"/>
              </w:rPr>
              <w:t>Jedinica mjere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1523" w:rsidRDefault="00465104">
            <w:pPr>
              <w:pStyle w:val="Standard"/>
              <w:jc w:val="center"/>
              <w:rPr>
                <w:rFonts w:ascii="Century Gothic" w:hAnsi="Century Gothic" w:cs="Arial"/>
                <w:sz w:val="16"/>
                <w:szCs w:val="18"/>
              </w:rPr>
            </w:pPr>
            <w:r>
              <w:rPr>
                <w:rFonts w:ascii="Century Gothic" w:hAnsi="Century Gothic" w:cs="Arial"/>
                <w:sz w:val="16"/>
                <w:szCs w:val="18"/>
              </w:rPr>
              <w:t>Količina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1523" w:rsidRDefault="00465104">
            <w:pPr>
              <w:pStyle w:val="Standard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Jed. Cijena sa PDV-om</w:t>
            </w:r>
          </w:p>
          <w:p w:rsidR="006A1523" w:rsidRDefault="00465104">
            <w:pPr>
              <w:pStyle w:val="Standard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21%</w:t>
            </w:r>
          </w:p>
        </w:tc>
      </w:tr>
      <w:tr w:rsidR="006A1523">
        <w:tblPrEx>
          <w:tblCellMar>
            <w:top w:w="0" w:type="dxa"/>
            <w:bottom w:w="0" w:type="dxa"/>
          </w:tblCellMar>
        </w:tblPrEx>
        <w:trPr>
          <w:trHeight w:val="280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A1523" w:rsidRDefault="006A1523">
            <w:pPr>
              <w:pStyle w:val="Standard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0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1523" w:rsidRDefault="00465104">
            <w:pPr>
              <w:pStyle w:val="Standard"/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MIKROMONT D.O.O BIJELO</w:t>
            </w:r>
            <w:r>
              <w:rPr>
                <w:b/>
                <w:i/>
                <w:sz w:val="20"/>
                <w:szCs w:val="20"/>
              </w:rPr>
              <w:t xml:space="preserve"> POLJE</w:t>
            </w:r>
          </w:p>
          <w:p w:rsidR="006A1523" w:rsidRDefault="006A1523">
            <w:pPr>
              <w:pStyle w:val="Standard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1523" w:rsidRDefault="006A1523">
            <w:pPr>
              <w:pStyle w:val="Standard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1523" w:rsidRDefault="006A1523">
            <w:pPr>
              <w:pStyle w:val="Standard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A1523" w:rsidRDefault="006A1523">
            <w:pPr>
              <w:pStyle w:val="Standard"/>
              <w:rPr>
                <w:sz w:val="20"/>
                <w:szCs w:val="20"/>
              </w:rPr>
            </w:pPr>
          </w:p>
        </w:tc>
      </w:tr>
      <w:tr w:rsidR="006A1523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A1523" w:rsidRDefault="00465104">
            <w:pPr>
              <w:pStyle w:val="Standard"/>
              <w:jc w:val="center"/>
              <w:rPr>
                <w:rFonts w:ascii="Century Gothic" w:hAnsi="Century Gothic" w:cs="Arial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 w:cs="Arial"/>
                <w:b/>
                <w:bCs/>
                <w:sz w:val="20"/>
                <w:szCs w:val="20"/>
              </w:rPr>
              <w:t>I</w:t>
            </w:r>
          </w:p>
        </w:tc>
        <w:tc>
          <w:tcPr>
            <w:tcW w:w="10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A1523" w:rsidRDefault="00465104">
            <w:pPr>
              <w:pStyle w:val="Standard"/>
              <w:rPr>
                <w:rFonts w:ascii="Century Gothic" w:hAnsi="Century Gothic" w:cs="Arial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 w:cs="Arial"/>
                <w:b/>
                <w:bCs/>
                <w:sz w:val="20"/>
                <w:szCs w:val="20"/>
              </w:rPr>
              <w:t>PRIPREMNI RADOVI I RADOVI NA DEMONTAŽI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6A1523" w:rsidRDefault="006A1523">
            <w:pPr>
              <w:pStyle w:val="Standard"/>
              <w:rPr>
                <w:rFonts w:ascii="Century Gothic" w:hAnsi="Century Gothic" w:cs="Arial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6A1523" w:rsidRDefault="006A1523">
            <w:pPr>
              <w:pStyle w:val="Standard"/>
              <w:rPr>
                <w:rFonts w:ascii="Century Gothic" w:hAnsi="Century Gothic" w:cs="Arial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A1523" w:rsidRDefault="006A1523">
            <w:pPr>
              <w:pStyle w:val="Standard"/>
              <w:rPr>
                <w:sz w:val="20"/>
                <w:szCs w:val="20"/>
              </w:rPr>
            </w:pPr>
          </w:p>
        </w:tc>
      </w:tr>
      <w:tr w:rsidR="006A1523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A1523" w:rsidRDefault="006A1523">
            <w:pPr>
              <w:pStyle w:val="Standard"/>
              <w:rPr>
                <w:sz w:val="20"/>
                <w:szCs w:val="20"/>
              </w:rPr>
            </w:pPr>
          </w:p>
        </w:tc>
        <w:tc>
          <w:tcPr>
            <w:tcW w:w="10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A1523" w:rsidRDefault="006A1523">
            <w:pPr>
              <w:pStyle w:val="Standard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A1523" w:rsidRDefault="006A1523">
            <w:pPr>
              <w:pStyle w:val="Standard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A1523" w:rsidRDefault="006A1523">
            <w:pPr>
              <w:pStyle w:val="Standard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A1523" w:rsidRDefault="006A1523">
            <w:pPr>
              <w:pStyle w:val="Standard"/>
              <w:rPr>
                <w:sz w:val="20"/>
                <w:szCs w:val="20"/>
              </w:rPr>
            </w:pPr>
          </w:p>
        </w:tc>
      </w:tr>
      <w:tr w:rsidR="006A1523">
        <w:tblPrEx>
          <w:tblCellMar>
            <w:top w:w="0" w:type="dxa"/>
            <w:bottom w:w="0" w:type="dxa"/>
          </w:tblCellMar>
        </w:tblPrEx>
        <w:trPr>
          <w:trHeight w:val="1719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523" w:rsidRDefault="00465104">
            <w:pPr>
              <w:pStyle w:val="Standard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1</w:t>
            </w:r>
          </w:p>
        </w:tc>
        <w:tc>
          <w:tcPr>
            <w:tcW w:w="104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523" w:rsidRDefault="00465104">
            <w:pPr>
              <w:pStyle w:val="Standard"/>
            </w:pPr>
            <w:r>
              <w:rPr>
                <w:rFonts w:ascii="Century Gothic" w:hAnsi="Century Gothic" w:cs="Arial"/>
                <w:b/>
                <w:bCs/>
                <w:sz w:val="20"/>
                <w:szCs w:val="20"/>
              </w:rPr>
              <w:t>Priprema podloge fasadnih zidova.</w:t>
            </w:r>
            <w:r>
              <w:rPr>
                <w:rFonts w:ascii="Century Gothic" w:hAnsi="Century Gothic" w:cs="Arial"/>
                <w:sz w:val="20"/>
                <w:szCs w:val="20"/>
              </w:rPr>
              <w:br/>
            </w:r>
            <w:r>
              <w:rPr>
                <w:rFonts w:ascii="Century Gothic" w:hAnsi="Century Gothic" w:cs="Arial"/>
                <w:sz w:val="20"/>
                <w:szCs w:val="20"/>
              </w:rPr>
              <w:t>Ćišćenje fasade od neĉistoća, mahovine i</w:t>
            </w:r>
            <w:r>
              <w:rPr>
                <w:rFonts w:ascii="Century Gothic" w:hAnsi="Century Gothic" w:cs="Arial"/>
                <w:sz w:val="20"/>
                <w:szCs w:val="20"/>
              </w:rPr>
              <w:br/>
            </w:r>
            <w:r>
              <w:rPr>
                <w:rFonts w:ascii="Century Gothic" w:hAnsi="Century Gothic" w:cs="Arial"/>
                <w:sz w:val="20"/>
                <w:szCs w:val="20"/>
              </w:rPr>
              <w:t>prašine. Ĉišćenje izvršiti mehaniĉkim ili</w:t>
            </w:r>
            <w:r>
              <w:rPr>
                <w:rFonts w:ascii="Century Gothic" w:hAnsi="Century Gothic" w:cs="Arial"/>
                <w:sz w:val="20"/>
                <w:szCs w:val="20"/>
              </w:rPr>
              <w:br/>
            </w:r>
            <w:r>
              <w:rPr>
                <w:rFonts w:ascii="Century Gothic" w:hAnsi="Century Gothic" w:cs="Arial"/>
                <w:sz w:val="20"/>
                <w:szCs w:val="20"/>
              </w:rPr>
              <w:t>hemijskim putem. Prilikom ĉišćenja voditi</w:t>
            </w:r>
            <w:r>
              <w:rPr>
                <w:rFonts w:ascii="Century Gothic" w:hAnsi="Century Gothic" w:cs="Arial"/>
                <w:sz w:val="20"/>
                <w:szCs w:val="20"/>
              </w:rPr>
              <w:br/>
            </w:r>
            <w:r>
              <w:rPr>
                <w:rFonts w:ascii="Century Gothic" w:hAnsi="Century Gothic" w:cs="Arial"/>
                <w:sz w:val="20"/>
                <w:szCs w:val="20"/>
              </w:rPr>
              <w:t>raĉuna da se ne ošteti podloga i</w:t>
            </w:r>
            <w:r>
              <w:rPr>
                <w:rFonts w:ascii="Century Gothic" w:hAnsi="Century Gothic" w:cs="Arial"/>
                <w:sz w:val="20"/>
                <w:szCs w:val="20"/>
              </w:rPr>
              <w:t xml:space="preserve"> arhitektonska</w:t>
            </w:r>
            <w:r>
              <w:rPr>
                <w:rFonts w:ascii="Century Gothic" w:hAnsi="Century Gothic" w:cs="Arial"/>
                <w:sz w:val="20"/>
                <w:szCs w:val="20"/>
              </w:rPr>
              <w:br/>
            </w:r>
            <w:r>
              <w:rPr>
                <w:rFonts w:ascii="Century Gothic" w:hAnsi="Century Gothic" w:cs="Arial"/>
                <w:sz w:val="20"/>
                <w:szCs w:val="20"/>
              </w:rPr>
              <w:t>dekoracija. Potrebno je obezbijediti ĉvrstoću i apsorpciju podloge, uprljana, vlažna i nenosiva podloga prethodno mora biti sanirana.</w:t>
            </w:r>
            <w:r>
              <w:rPr>
                <w:rFonts w:ascii="Century Gothic" w:hAnsi="Century Gothic" w:cs="Arial"/>
                <w:sz w:val="20"/>
                <w:szCs w:val="20"/>
              </w:rPr>
              <w:br/>
            </w:r>
            <w:r>
              <w:rPr>
                <w:rFonts w:ascii="Century Gothic" w:hAnsi="Century Gothic" w:cs="Arial"/>
                <w:sz w:val="20"/>
                <w:szCs w:val="20"/>
              </w:rPr>
              <w:t>Radovi koji moraju biti odrađeni u zavisnosti od stanja podloge:</w:t>
            </w:r>
            <w:r>
              <w:rPr>
                <w:rFonts w:ascii="Century Gothic" w:hAnsi="Century Gothic" w:cs="Arial"/>
                <w:sz w:val="20"/>
                <w:szCs w:val="20"/>
              </w:rPr>
              <w:br/>
            </w:r>
            <w:r>
              <w:rPr>
                <w:rFonts w:ascii="Century Gothic" w:hAnsi="Century Gothic" w:cs="Arial"/>
                <w:sz w:val="20"/>
                <w:szCs w:val="20"/>
              </w:rPr>
              <w:t>- glatke površine razbrazdati,</w:t>
            </w:r>
            <w:r>
              <w:rPr>
                <w:rFonts w:ascii="Century Gothic" w:hAnsi="Century Gothic" w:cs="Arial"/>
                <w:sz w:val="20"/>
                <w:szCs w:val="20"/>
              </w:rPr>
              <w:br/>
            </w:r>
            <w:r>
              <w:rPr>
                <w:rFonts w:ascii="Century Gothic" w:hAnsi="Century Gothic" w:cs="Arial"/>
                <w:sz w:val="20"/>
                <w:szCs w:val="20"/>
              </w:rPr>
              <w:t>- mjehuravo</w:t>
            </w:r>
            <w:r>
              <w:rPr>
                <w:rFonts w:ascii="Century Gothic" w:hAnsi="Century Gothic" w:cs="Arial"/>
                <w:sz w:val="20"/>
                <w:szCs w:val="20"/>
              </w:rPr>
              <w:t>st suvo iščetkati,</w:t>
            </w:r>
            <w:r>
              <w:rPr>
                <w:rFonts w:ascii="Century Gothic" w:hAnsi="Century Gothic" w:cs="Arial"/>
                <w:sz w:val="20"/>
                <w:szCs w:val="20"/>
              </w:rPr>
              <w:br/>
            </w:r>
            <w:r>
              <w:rPr>
                <w:rFonts w:ascii="Century Gothic" w:hAnsi="Century Gothic" w:cs="Arial"/>
                <w:sz w:val="20"/>
                <w:szCs w:val="20"/>
              </w:rPr>
              <w:t>- vlažne površine osušiti i zaštititi,</w:t>
            </w:r>
            <w:r>
              <w:rPr>
                <w:rFonts w:ascii="Century Gothic" w:hAnsi="Century Gothic" w:cs="Arial"/>
                <w:sz w:val="20"/>
                <w:szCs w:val="20"/>
              </w:rPr>
              <w:br/>
            </w:r>
            <w:r>
              <w:rPr>
                <w:rFonts w:ascii="Century Gothic" w:hAnsi="Century Gothic" w:cs="Arial"/>
                <w:sz w:val="20"/>
                <w:szCs w:val="20"/>
              </w:rPr>
              <w:t>- vezane maltere očistiti i premazati,</w:t>
            </w:r>
            <w:r>
              <w:rPr>
                <w:rFonts w:ascii="Century Gothic" w:hAnsi="Century Gothic" w:cs="Arial"/>
                <w:sz w:val="20"/>
                <w:szCs w:val="20"/>
              </w:rPr>
              <w:br/>
            </w:r>
            <w:r>
              <w:rPr>
                <w:rFonts w:ascii="Century Gothic" w:hAnsi="Century Gothic" w:cs="Arial"/>
                <w:sz w:val="20"/>
                <w:szCs w:val="20"/>
              </w:rPr>
              <w:t>fleksibilnim i bezcementnim lijepkovima,</w:t>
            </w:r>
            <w:r>
              <w:rPr>
                <w:rFonts w:ascii="Century Gothic" w:hAnsi="Century Gothic" w:cs="Arial"/>
                <w:sz w:val="20"/>
                <w:szCs w:val="20"/>
              </w:rPr>
              <w:br/>
            </w:r>
            <w:r>
              <w:rPr>
                <w:rFonts w:ascii="Century Gothic" w:hAnsi="Century Gothic" w:cs="Arial"/>
                <w:sz w:val="20"/>
                <w:szCs w:val="20"/>
              </w:rPr>
              <w:t>-prašnjavu podlogu četkati, očistiti pod visokim pritiskom, sprati vodom i osušiti,</w:t>
            </w:r>
            <w:r>
              <w:rPr>
                <w:rFonts w:ascii="Century Gothic" w:hAnsi="Century Gothic" w:cs="Arial"/>
                <w:sz w:val="20"/>
                <w:szCs w:val="20"/>
              </w:rPr>
              <w:br/>
            </w:r>
            <w:r>
              <w:rPr>
                <w:rFonts w:ascii="Century Gothic" w:hAnsi="Century Gothic" w:cs="Arial"/>
                <w:sz w:val="20"/>
                <w:szCs w:val="20"/>
              </w:rPr>
              <w:t>- šuplje slojeve maltera treba ods</w:t>
            </w:r>
            <w:r>
              <w:rPr>
                <w:rFonts w:ascii="Century Gothic" w:hAnsi="Century Gothic" w:cs="Arial"/>
                <w:sz w:val="20"/>
                <w:szCs w:val="20"/>
              </w:rPr>
              <w:t>traniti,</w:t>
            </w:r>
            <w:r>
              <w:rPr>
                <w:rFonts w:ascii="Century Gothic" w:hAnsi="Century Gothic" w:cs="Arial"/>
                <w:sz w:val="20"/>
                <w:szCs w:val="20"/>
              </w:rPr>
              <w:br/>
            </w:r>
            <w:r>
              <w:rPr>
                <w:rFonts w:ascii="Century Gothic" w:hAnsi="Century Gothic" w:cs="Arial"/>
                <w:sz w:val="20"/>
                <w:szCs w:val="20"/>
              </w:rPr>
              <w:t>- završne maltere koji se ljušte i labave</w:t>
            </w:r>
            <w:r>
              <w:rPr>
                <w:rFonts w:ascii="Century Gothic" w:hAnsi="Century Gothic" w:cs="Arial"/>
                <w:sz w:val="20"/>
                <w:szCs w:val="20"/>
              </w:rPr>
              <w:br/>
            </w:r>
            <w:r>
              <w:rPr>
                <w:rFonts w:ascii="Century Gothic" w:hAnsi="Century Gothic" w:cs="Arial"/>
                <w:sz w:val="20"/>
                <w:szCs w:val="20"/>
              </w:rPr>
              <w:t>premaze treba sastrugati,</w:t>
            </w:r>
            <w:r>
              <w:rPr>
                <w:rFonts w:ascii="Century Gothic" w:hAnsi="Century Gothic" w:cs="Arial"/>
                <w:sz w:val="20"/>
                <w:szCs w:val="20"/>
              </w:rPr>
              <w:br/>
            </w:r>
            <w:r>
              <w:rPr>
                <w:rFonts w:ascii="Century Gothic" w:hAnsi="Century Gothic" w:cs="Arial"/>
                <w:sz w:val="20"/>
                <w:szCs w:val="20"/>
              </w:rPr>
              <w:t>- neupojne podloge treba ohrapaviti,</w:t>
            </w:r>
            <w:r>
              <w:rPr>
                <w:rFonts w:ascii="Century Gothic" w:hAnsi="Century Gothic" w:cs="Arial"/>
                <w:sz w:val="20"/>
                <w:szCs w:val="20"/>
              </w:rPr>
              <w:br/>
            </w:r>
            <w:r>
              <w:rPr>
                <w:rFonts w:ascii="Century Gothic" w:hAnsi="Century Gothic" w:cs="Arial"/>
                <w:sz w:val="20"/>
                <w:szCs w:val="20"/>
              </w:rPr>
              <w:t>- podloge s kojih se troši pijesak ili na dodir</w:t>
            </w:r>
            <w:r>
              <w:rPr>
                <w:rFonts w:ascii="Century Gothic" w:hAnsi="Century Gothic" w:cs="Arial"/>
                <w:sz w:val="20"/>
                <w:szCs w:val="20"/>
              </w:rPr>
              <w:br/>
            </w:r>
            <w:r>
              <w:rPr>
                <w:rFonts w:ascii="Century Gothic" w:hAnsi="Century Gothic" w:cs="Arial"/>
                <w:sz w:val="20"/>
                <w:szCs w:val="20"/>
              </w:rPr>
              <w:t>ostavljaju bijeli trag poput krede treba otprašiti</w:t>
            </w:r>
            <w:r>
              <w:rPr>
                <w:rFonts w:ascii="Century Gothic" w:hAnsi="Century Gothic" w:cs="Arial"/>
                <w:sz w:val="20"/>
                <w:szCs w:val="20"/>
              </w:rPr>
              <w:br/>
            </w:r>
            <w:r>
              <w:rPr>
                <w:rFonts w:ascii="Century Gothic" w:hAnsi="Century Gothic" w:cs="Arial"/>
                <w:sz w:val="20"/>
                <w:szCs w:val="20"/>
              </w:rPr>
              <w:t>metlom,</w:t>
            </w:r>
            <w:r>
              <w:rPr>
                <w:rFonts w:ascii="Century Gothic" w:hAnsi="Century Gothic" w:cs="Arial"/>
                <w:sz w:val="20"/>
                <w:szCs w:val="20"/>
              </w:rPr>
              <w:br/>
            </w:r>
            <w:r>
              <w:rPr>
                <w:rFonts w:ascii="Century Gothic" w:hAnsi="Century Gothic" w:cs="Arial"/>
                <w:sz w:val="20"/>
                <w:szCs w:val="20"/>
              </w:rPr>
              <w:t>- jako upojne podloge prethodno pre</w:t>
            </w:r>
            <w:r>
              <w:rPr>
                <w:rFonts w:ascii="Century Gothic" w:hAnsi="Century Gothic" w:cs="Arial"/>
                <w:sz w:val="20"/>
                <w:szCs w:val="20"/>
              </w:rPr>
              <w:t>mazati</w:t>
            </w:r>
            <w:r>
              <w:rPr>
                <w:rFonts w:ascii="Century Gothic" w:hAnsi="Century Gothic" w:cs="Arial"/>
                <w:sz w:val="20"/>
                <w:szCs w:val="20"/>
              </w:rPr>
              <w:br/>
            </w:r>
            <w:r>
              <w:rPr>
                <w:rFonts w:ascii="Century Gothic" w:hAnsi="Century Gothic" w:cs="Arial"/>
                <w:sz w:val="20"/>
                <w:szCs w:val="20"/>
              </w:rPr>
              <w:t>prikladnim dubinskim predpremazom</w:t>
            </w:r>
            <w:r>
              <w:rPr>
                <w:rFonts w:ascii="Century Gothic" w:hAnsi="Century Gothic" w:cs="Arial"/>
                <w:sz w:val="20"/>
                <w:szCs w:val="20"/>
              </w:rPr>
              <w:br/>
            </w:r>
            <w:r>
              <w:rPr>
                <w:rFonts w:ascii="Century Gothic" w:hAnsi="Century Gothic" w:cs="Arial"/>
                <w:sz w:val="20"/>
                <w:szCs w:val="20"/>
              </w:rPr>
              <w:t>- prije ugradnje završnog maltera obratiti pažnjuda li treba nanijeti odgovarajuće predpremaze,</w:t>
            </w:r>
            <w:r>
              <w:rPr>
                <w:rFonts w:ascii="Century Gothic" w:hAnsi="Century Gothic" w:cs="Arial"/>
                <w:sz w:val="20"/>
                <w:szCs w:val="20"/>
              </w:rPr>
              <w:br/>
            </w:r>
            <w:r>
              <w:rPr>
                <w:rFonts w:ascii="Century Gothic" w:hAnsi="Century Gothic" w:cs="Arial"/>
                <w:sz w:val="20"/>
                <w:szCs w:val="20"/>
              </w:rPr>
              <w:t>- ukoliko postoji više različitih građevinskih</w:t>
            </w:r>
            <w:r>
              <w:rPr>
                <w:rFonts w:ascii="Century Gothic" w:hAnsi="Century Gothic" w:cs="Arial"/>
                <w:sz w:val="20"/>
                <w:szCs w:val="20"/>
              </w:rPr>
              <w:br/>
            </w:r>
            <w:r>
              <w:rPr>
                <w:rFonts w:ascii="Century Gothic" w:hAnsi="Century Gothic" w:cs="Arial"/>
                <w:sz w:val="20"/>
                <w:szCs w:val="20"/>
              </w:rPr>
              <w:t>materijala na površini zida koje treba</w:t>
            </w:r>
            <w:r>
              <w:rPr>
                <w:rFonts w:ascii="Century Gothic" w:hAnsi="Century Gothic" w:cs="Arial"/>
                <w:sz w:val="20"/>
                <w:szCs w:val="20"/>
              </w:rPr>
              <w:br/>
            </w:r>
            <w:r>
              <w:rPr>
                <w:rFonts w:ascii="Century Gothic" w:hAnsi="Century Gothic" w:cs="Arial"/>
                <w:sz w:val="20"/>
                <w:szCs w:val="20"/>
              </w:rPr>
              <w:t>omalterisati, radi ograniĉenja pu</w:t>
            </w:r>
            <w:r>
              <w:rPr>
                <w:rFonts w:ascii="Century Gothic" w:hAnsi="Century Gothic" w:cs="Arial"/>
                <w:sz w:val="20"/>
                <w:szCs w:val="20"/>
              </w:rPr>
              <w:t>kotina, treba</w:t>
            </w:r>
            <w:r>
              <w:rPr>
                <w:rFonts w:ascii="Century Gothic" w:hAnsi="Century Gothic" w:cs="Arial"/>
                <w:sz w:val="20"/>
                <w:szCs w:val="20"/>
              </w:rPr>
              <w:br/>
            </w:r>
            <w:r>
              <w:rPr>
                <w:rFonts w:ascii="Century Gothic" w:hAnsi="Century Gothic" w:cs="Arial"/>
                <w:sz w:val="20"/>
                <w:szCs w:val="20"/>
              </w:rPr>
              <w:t>ugraditi vezivni most za maltere / vezivni most</w:t>
            </w:r>
            <w:r>
              <w:rPr>
                <w:rFonts w:ascii="Century Gothic" w:hAnsi="Century Gothic" w:cs="Arial"/>
                <w:sz w:val="20"/>
                <w:szCs w:val="20"/>
              </w:rPr>
              <w:br/>
            </w:r>
            <w:r>
              <w:rPr>
                <w:rFonts w:ascii="Century Gothic" w:hAnsi="Century Gothic" w:cs="Arial"/>
                <w:sz w:val="20"/>
                <w:szCs w:val="20"/>
              </w:rPr>
              <w:t>za premoštavanje pukotina, injektirati ili nakon</w:t>
            </w:r>
            <w:r>
              <w:rPr>
                <w:rFonts w:ascii="Century Gothic" w:hAnsi="Century Gothic" w:cs="Arial"/>
                <w:sz w:val="20"/>
                <w:szCs w:val="20"/>
              </w:rPr>
              <w:br/>
            </w:r>
            <w:r>
              <w:rPr>
                <w:rFonts w:ascii="Century Gothic" w:hAnsi="Century Gothic" w:cs="Arial"/>
                <w:sz w:val="20"/>
                <w:szCs w:val="20"/>
              </w:rPr>
              <w:lastRenderedPageBreak/>
              <w:t>malterisanja armirati površinu.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A1523" w:rsidRDefault="006A1523">
            <w:pPr>
              <w:pStyle w:val="Standard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A1523" w:rsidRDefault="006A1523">
            <w:pPr>
              <w:pStyle w:val="Standard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A1523" w:rsidRDefault="006A1523">
            <w:pPr>
              <w:pStyle w:val="Standard"/>
              <w:rPr>
                <w:sz w:val="20"/>
                <w:szCs w:val="20"/>
              </w:rPr>
            </w:pPr>
          </w:p>
        </w:tc>
      </w:tr>
      <w:tr w:rsidR="006A1523">
        <w:tblPrEx>
          <w:tblCellMar>
            <w:top w:w="0" w:type="dxa"/>
            <w:bottom w:w="0" w:type="dxa"/>
          </w:tblCellMar>
        </w:tblPrEx>
        <w:trPr>
          <w:trHeight w:val="2580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523" w:rsidRDefault="006A1523">
            <w:pPr>
              <w:pStyle w:val="Standard"/>
              <w:rPr>
                <w:sz w:val="20"/>
                <w:szCs w:val="20"/>
              </w:rPr>
            </w:pPr>
          </w:p>
        </w:tc>
        <w:tc>
          <w:tcPr>
            <w:tcW w:w="104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523" w:rsidRDefault="006A1523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A1523" w:rsidRDefault="006A1523">
            <w:pPr>
              <w:pStyle w:val="Standard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A1523" w:rsidRDefault="006A1523">
            <w:pPr>
              <w:pStyle w:val="Standard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A1523" w:rsidRDefault="006A1523">
            <w:pPr>
              <w:pStyle w:val="Standard"/>
              <w:rPr>
                <w:sz w:val="20"/>
                <w:szCs w:val="20"/>
              </w:rPr>
            </w:pPr>
          </w:p>
        </w:tc>
      </w:tr>
      <w:tr w:rsidR="006A1523">
        <w:tblPrEx>
          <w:tblCellMar>
            <w:top w:w="0" w:type="dxa"/>
            <w:bottom w:w="0" w:type="dxa"/>
          </w:tblCellMar>
        </w:tblPrEx>
        <w:trPr>
          <w:trHeight w:val="600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523" w:rsidRDefault="006A1523">
            <w:pPr>
              <w:pStyle w:val="Standard"/>
              <w:rPr>
                <w:sz w:val="20"/>
                <w:szCs w:val="20"/>
              </w:rPr>
            </w:pPr>
          </w:p>
        </w:tc>
        <w:tc>
          <w:tcPr>
            <w:tcW w:w="10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1523" w:rsidRDefault="00465104">
            <w:pPr>
              <w:pStyle w:val="Standard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Obračun po m2 očišćene površine, ortogonalne projekcije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1523" w:rsidRDefault="00465104">
            <w:pPr>
              <w:pStyle w:val="Standard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m2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1523" w:rsidRDefault="00465104">
            <w:pPr>
              <w:pStyle w:val="Standard"/>
              <w:rPr>
                <w:rFonts w:ascii="Century Gothic" w:hAnsi="Century Gothic" w:cs="Arial"/>
                <w:color w:val="FF0000"/>
                <w:sz w:val="20"/>
                <w:szCs w:val="20"/>
              </w:rPr>
            </w:pPr>
            <w:r>
              <w:rPr>
                <w:rFonts w:ascii="Century Gothic" w:hAnsi="Century Gothic" w:cs="Arial"/>
                <w:color w:val="FF0000"/>
                <w:sz w:val="20"/>
                <w:szCs w:val="20"/>
              </w:rPr>
              <w:t xml:space="preserve">    1,00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1523" w:rsidRDefault="00465104">
            <w:pPr>
              <w:pStyle w:val="Standard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4.23</w:t>
            </w:r>
          </w:p>
        </w:tc>
      </w:tr>
      <w:tr w:rsidR="006A1523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A1523" w:rsidRDefault="006A1523">
            <w:pPr>
              <w:pStyle w:val="Standard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0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A1523" w:rsidRDefault="006A1523">
            <w:pPr>
              <w:pStyle w:val="Standard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A1523" w:rsidRDefault="006A1523">
            <w:pPr>
              <w:pStyle w:val="Standard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A1523" w:rsidRDefault="006A1523">
            <w:pPr>
              <w:pStyle w:val="Standard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A1523" w:rsidRDefault="006A1523">
            <w:pPr>
              <w:pStyle w:val="Standard"/>
              <w:rPr>
                <w:sz w:val="20"/>
                <w:szCs w:val="20"/>
              </w:rPr>
            </w:pPr>
          </w:p>
        </w:tc>
      </w:tr>
      <w:tr w:rsidR="006A1523">
        <w:tblPrEx>
          <w:tblCellMar>
            <w:top w:w="0" w:type="dxa"/>
            <w:bottom w:w="0" w:type="dxa"/>
          </w:tblCellMar>
        </w:tblPrEx>
        <w:trPr>
          <w:trHeight w:val="1311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523" w:rsidRDefault="00465104">
            <w:pPr>
              <w:pStyle w:val="Standard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2</w:t>
            </w:r>
          </w:p>
        </w:tc>
        <w:tc>
          <w:tcPr>
            <w:tcW w:w="10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523" w:rsidRDefault="00465104">
            <w:pPr>
              <w:pStyle w:val="Standard"/>
            </w:pPr>
            <w:r>
              <w:rPr>
                <w:rFonts w:ascii="Century Gothic" w:hAnsi="Century Gothic" w:cs="Arial"/>
                <w:b/>
                <w:bCs/>
                <w:sz w:val="20"/>
                <w:szCs w:val="20"/>
              </w:rPr>
              <w:t xml:space="preserve">Obijanje oštećenog </w:t>
            </w:r>
            <w:r>
              <w:rPr>
                <w:rFonts w:ascii="Century Gothic" w:hAnsi="Century Gothic" w:cs="Arial"/>
                <w:b/>
                <w:bCs/>
                <w:sz w:val="20"/>
                <w:szCs w:val="20"/>
              </w:rPr>
              <w:t>maltera</w:t>
            </w:r>
            <w:r>
              <w:rPr>
                <w:rFonts w:ascii="Century Gothic" w:hAnsi="Century Gothic" w:cs="Arial"/>
                <w:sz w:val="20"/>
                <w:szCs w:val="20"/>
              </w:rPr>
              <w:t xml:space="preserve"> (paušalno 10% od ukupne površine malterisane fasade) na</w:t>
            </w:r>
            <w:r>
              <w:rPr>
                <w:rFonts w:ascii="Century Gothic" w:hAnsi="Century Gothic" w:cs="Arial"/>
                <w:sz w:val="20"/>
                <w:szCs w:val="20"/>
              </w:rPr>
              <w:br/>
            </w:r>
            <w:r>
              <w:rPr>
                <w:rFonts w:ascii="Century Gothic" w:hAnsi="Century Gothic" w:cs="Arial"/>
                <w:sz w:val="20"/>
                <w:szCs w:val="20"/>
              </w:rPr>
              <w:t xml:space="preserve">postojećim fasadnim zidovima. Po obijanju maltera klamfama očistiti spojnice do dubine 2 cm, a površinu fasadnih zidova očistiti čeličnim četkama i oprati vodom. </w:t>
            </w:r>
            <w:r>
              <w:rPr>
                <w:rFonts w:ascii="Century Gothic" w:hAnsi="Century Gothic" w:cs="Arial"/>
                <w:sz w:val="20"/>
                <w:szCs w:val="20"/>
              </w:rPr>
              <w:br/>
            </w:r>
            <w:r>
              <w:rPr>
                <w:rFonts w:ascii="Century Gothic" w:hAnsi="Century Gothic" w:cs="Arial"/>
                <w:sz w:val="20"/>
                <w:szCs w:val="20"/>
              </w:rPr>
              <w:t>Napomena: Pozicije sa kojih s</w:t>
            </w:r>
            <w:r>
              <w:rPr>
                <w:rFonts w:ascii="Century Gothic" w:hAnsi="Century Gothic" w:cs="Arial"/>
                <w:sz w:val="20"/>
                <w:szCs w:val="20"/>
              </w:rPr>
              <w:t>e obija malter</w:t>
            </w:r>
            <w:r>
              <w:rPr>
                <w:rFonts w:ascii="Century Gothic" w:hAnsi="Century Gothic" w:cs="Arial"/>
                <w:sz w:val="20"/>
                <w:szCs w:val="20"/>
              </w:rPr>
              <w:br/>
            </w:r>
            <w:r>
              <w:rPr>
                <w:rFonts w:ascii="Century Gothic" w:hAnsi="Century Gothic" w:cs="Arial"/>
                <w:sz w:val="20"/>
                <w:szCs w:val="20"/>
              </w:rPr>
              <w:t>odrediti u dogovoru sa Investitorom.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A1523" w:rsidRDefault="006A1523">
            <w:pPr>
              <w:pStyle w:val="Standard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A1523" w:rsidRDefault="006A1523">
            <w:pPr>
              <w:pStyle w:val="Standard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A1523" w:rsidRDefault="006A1523">
            <w:pPr>
              <w:pStyle w:val="Standard"/>
              <w:rPr>
                <w:sz w:val="20"/>
                <w:szCs w:val="20"/>
              </w:rPr>
            </w:pPr>
          </w:p>
        </w:tc>
      </w:tr>
      <w:tr w:rsidR="006A1523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523" w:rsidRDefault="006A1523">
            <w:pPr>
              <w:pStyle w:val="Standard"/>
              <w:rPr>
                <w:sz w:val="20"/>
                <w:szCs w:val="20"/>
              </w:rPr>
            </w:pPr>
          </w:p>
        </w:tc>
        <w:tc>
          <w:tcPr>
            <w:tcW w:w="10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1523" w:rsidRDefault="00465104">
            <w:pPr>
              <w:pStyle w:val="Standard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Obračun po m2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1523" w:rsidRDefault="00465104">
            <w:pPr>
              <w:pStyle w:val="Standard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m2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1523" w:rsidRDefault="00465104">
            <w:pPr>
              <w:pStyle w:val="Standard"/>
              <w:rPr>
                <w:rFonts w:ascii="Century Gothic" w:hAnsi="Century Gothic" w:cs="Arial"/>
                <w:color w:val="FF0000"/>
                <w:sz w:val="20"/>
                <w:szCs w:val="20"/>
              </w:rPr>
            </w:pPr>
            <w:r>
              <w:rPr>
                <w:rFonts w:ascii="Century Gothic" w:hAnsi="Century Gothic" w:cs="Arial"/>
                <w:color w:val="FF0000"/>
                <w:sz w:val="20"/>
                <w:szCs w:val="20"/>
              </w:rPr>
              <w:t xml:space="preserve">    1,00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1523" w:rsidRDefault="00465104">
            <w:pPr>
              <w:pStyle w:val="Standard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3.87 </w:t>
            </w:r>
          </w:p>
        </w:tc>
      </w:tr>
      <w:tr w:rsidR="006A1523">
        <w:tblPrEx>
          <w:tblCellMar>
            <w:top w:w="0" w:type="dxa"/>
            <w:bottom w:w="0" w:type="dxa"/>
          </w:tblCellMar>
        </w:tblPrEx>
        <w:trPr>
          <w:trHeight w:val="210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523" w:rsidRDefault="006A1523">
            <w:pPr>
              <w:pStyle w:val="Standard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0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1523" w:rsidRDefault="006A1523">
            <w:pPr>
              <w:pStyle w:val="Standard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1523" w:rsidRDefault="006A1523">
            <w:pPr>
              <w:pStyle w:val="Standard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1523" w:rsidRDefault="006A1523">
            <w:pPr>
              <w:pStyle w:val="Standard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A1523" w:rsidRDefault="006A1523">
            <w:pPr>
              <w:pStyle w:val="Standard"/>
              <w:rPr>
                <w:sz w:val="20"/>
                <w:szCs w:val="20"/>
              </w:rPr>
            </w:pPr>
          </w:p>
        </w:tc>
      </w:tr>
      <w:tr w:rsidR="006A1523">
        <w:tblPrEx>
          <w:tblCellMar>
            <w:top w:w="0" w:type="dxa"/>
            <w:bottom w:w="0" w:type="dxa"/>
          </w:tblCellMar>
        </w:tblPrEx>
        <w:trPr>
          <w:trHeight w:val="786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523" w:rsidRDefault="00465104">
            <w:pPr>
              <w:pStyle w:val="Standard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3</w:t>
            </w:r>
          </w:p>
        </w:tc>
        <w:tc>
          <w:tcPr>
            <w:tcW w:w="10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523" w:rsidRDefault="00465104">
            <w:pPr>
              <w:pStyle w:val="Standard"/>
            </w:pPr>
            <w:r>
              <w:rPr>
                <w:rFonts w:ascii="Century Gothic" w:hAnsi="Century Gothic" w:cs="Arial"/>
                <w:b/>
                <w:bCs/>
                <w:sz w:val="20"/>
                <w:szCs w:val="20"/>
              </w:rPr>
              <w:t>Pažljiva demontaža i ponovna montaža spoljašnjih klima jedinica</w:t>
            </w:r>
            <w:r>
              <w:rPr>
                <w:rFonts w:ascii="Century Gothic" w:hAnsi="Century Gothic" w:cs="Arial"/>
                <w:sz w:val="20"/>
                <w:szCs w:val="20"/>
              </w:rPr>
              <w:t xml:space="preserve">.  Nakon demontaže jedinice očistiti i odložiti radi ponovnog postavljanja nakon završetka </w:t>
            </w:r>
            <w:r>
              <w:rPr>
                <w:rFonts w:ascii="Century Gothic" w:hAnsi="Century Gothic" w:cs="Arial"/>
                <w:sz w:val="20"/>
                <w:szCs w:val="20"/>
              </w:rPr>
              <w:t>fasade što je uračunatu u jediničnu cijenu. Obračun po komadu.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A1523" w:rsidRDefault="006A1523">
            <w:pPr>
              <w:pStyle w:val="Standard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A1523" w:rsidRDefault="006A1523">
            <w:pPr>
              <w:pStyle w:val="Standard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A1523" w:rsidRDefault="006A1523">
            <w:pPr>
              <w:pStyle w:val="Standard"/>
              <w:rPr>
                <w:sz w:val="20"/>
                <w:szCs w:val="20"/>
              </w:rPr>
            </w:pPr>
          </w:p>
        </w:tc>
      </w:tr>
      <w:tr w:rsidR="006A1523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523" w:rsidRDefault="006A1523">
            <w:pPr>
              <w:pStyle w:val="Standard"/>
              <w:rPr>
                <w:sz w:val="20"/>
                <w:szCs w:val="20"/>
              </w:rPr>
            </w:pPr>
          </w:p>
        </w:tc>
        <w:tc>
          <w:tcPr>
            <w:tcW w:w="10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1523" w:rsidRDefault="00465104">
            <w:pPr>
              <w:pStyle w:val="Standard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Obračun po komadu.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1523" w:rsidRDefault="00465104">
            <w:pPr>
              <w:pStyle w:val="Standard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kom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1523" w:rsidRDefault="00465104">
            <w:pPr>
              <w:pStyle w:val="Standard"/>
              <w:rPr>
                <w:rFonts w:ascii="Century Gothic" w:hAnsi="Century Gothic" w:cs="Arial"/>
                <w:color w:val="FF0000"/>
                <w:sz w:val="20"/>
                <w:szCs w:val="20"/>
              </w:rPr>
            </w:pPr>
            <w:r>
              <w:rPr>
                <w:rFonts w:ascii="Century Gothic" w:hAnsi="Century Gothic" w:cs="Arial"/>
                <w:color w:val="FF0000"/>
                <w:sz w:val="20"/>
                <w:szCs w:val="20"/>
              </w:rPr>
              <w:t xml:space="preserve">    1,00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1523" w:rsidRDefault="00465104">
            <w:pPr>
              <w:pStyle w:val="Standard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102.85</w:t>
            </w:r>
          </w:p>
        </w:tc>
      </w:tr>
      <w:tr w:rsidR="006A1523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523" w:rsidRDefault="006A1523">
            <w:pPr>
              <w:pStyle w:val="Standard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0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1523" w:rsidRDefault="006A1523">
            <w:pPr>
              <w:pStyle w:val="Standard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1523" w:rsidRDefault="006A1523">
            <w:pPr>
              <w:pStyle w:val="Standard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1523" w:rsidRDefault="006A1523">
            <w:pPr>
              <w:pStyle w:val="Standard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A1523" w:rsidRDefault="006A1523">
            <w:pPr>
              <w:pStyle w:val="Standard"/>
              <w:rPr>
                <w:sz w:val="20"/>
                <w:szCs w:val="20"/>
              </w:rPr>
            </w:pPr>
          </w:p>
        </w:tc>
      </w:tr>
      <w:tr w:rsidR="006A1523">
        <w:tblPrEx>
          <w:tblCellMar>
            <w:top w:w="0" w:type="dxa"/>
            <w:bottom w:w="0" w:type="dxa"/>
          </w:tblCellMar>
        </w:tblPrEx>
        <w:trPr>
          <w:trHeight w:val="956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523" w:rsidRDefault="00465104">
            <w:pPr>
              <w:pStyle w:val="Standard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4</w:t>
            </w:r>
          </w:p>
        </w:tc>
        <w:tc>
          <w:tcPr>
            <w:tcW w:w="10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523" w:rsidRDefault="00465104">
            <w:pPr>
              <w:pStyle w:val="Standard"/>
            </w:pPr>
            <w:r>
              <w:rPr>
                <w:rFonts w:ascii="Century Gothic" w:hAnsi="Century Gothic" w:cs="Arial"/>
                <w:b/>
                <w:bCs/>
                <w:sz w:val="20"/>
                <w:szCs w:val="20"/>
              </w:rPr>
              <w:t>Pažljiva demontaža gromobranske instalacije</w:t>
            </w:r>
            <w:r>
              <w:rPr>
                <w:rFonts w:ascii="Century Gothic" w:hAnsi="Century Gothic" w:cs="Arial"/>
                <w:sz w:val="20"/>
                <w:szCs w:val="20"/>
              </w:rPr>
              <w:t xml:space="preserve"> sa pakovanjem, odnošenjem i skladištenjem radi ponovnog postavljanja nakon izrade fasade. U </w:t>
            </w:r>
            <w:r>
              <w:rPr>
                <w:rFonts w:ascii="Century Gothic" w:hAnsi="Century Gothic" w:cs="Arial"/>
                <w:sz w:val="20"/>
                <w:szCs w:val="20"/>
              </w:rPr>
              <w:t>cijenu uračunati i ponovnu postavku instalacije sa prilagođenim dužinama držača novoj situaciji (debljina termo fasade 5-10cm). Obračun po m1 instalacije.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A1523" w:rsidRDefault="006A1523">
            <w:pPr>
              <w:pStyle w:val="Standard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A1523" w:rsidRDefault="006A1523">
            <w:pPr>
              <w:pStyle w:val="Standard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A1523" w:rsidRDefault="006A1523">
            <w:pPr>
              <w:pStyle w:val="Standard"/>
              <w:rPr>
                <w:sz w:val="20"/>
                <w:szCs w:val="20"/>
              </w:rPr>
            </w:pPr>
          </w:p>
        </w:tc>
      </w:tr>
      <w:tr w:rsidR="006A1523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523" w:rsidRDefault="006A1523">
            <w:pPr>
              <w:pStyle w:val="Standard"/>
              <w:rPr>
                <w:sz w:val="20"/>
                <w:szCs w:val="20"/>
              </w:rPr>
            </w:pPr>
          </w:p>
        </w:tc>
        <w:tc>
          <w:tcPr>
            <w:tcW w:w="10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1523" w:rsidRDefault="00465104">
            <w:pPr>
              <w:pStyle w:val="Standard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Obračun paušal za komplet poziciju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1523" w:rsidRDefault="00465104">
            <w:pPr>
              <w:pStyle w:val="Standard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paušal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1523" w:rsidRDefault="00465104">
            <w:pPr>
              <w:pStyle w:val="Standard"/>
              <w:rPr>
                <w:rFonts w:ascii="Century Gothic" w:hAnsi="Century Gothic" w:cs="Arial"/>
                <w:color w:val="FF0000"/>
                <w:sz w:val="20"/>
                <w:szCs w:val="20"/>
              </w:rPr>
            </w:pPr>
            <w:r>
              <w:rPr>
                <w:rFonts w:ascii="Century Gothic" w:hAnsi="Century Gothic" w:cs="Arial"/>
                <w:color w:val="FF0000"/>
                <w:sz w:val="20"/>
                <w:szCs w:val="20"/>
              </w:rPr>
              <w:t xml:space="preserve">    1,00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1523" w:rsidRDefault="00465104">
            <w:pPr>
              <w:pStyle w:val="Standard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60.50</w:t>
            </w:r>
          </w:p>
        </w:tc>
      </w:tr>
      <w:tr w:rsidR="006A1523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523" w:rsidRDefault="006A1523">
            <w:pPr>
              <w:pStyle w:val="Standard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0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1523" w:rsidRDefault="006A1523">
            <w:pPr>
              <w:pStyle w:val="Standard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1523" w:rsidRDefault="006A1523">
            <w:pPr>
              <w:pStyle w:val="Standard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1523" w:rsidRDefault="006A1523">
            <w:pPr>
              <w:pStyle w:val="Standard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A1523" w:rsidRDefault="006A1523">
            <w:pPr>
              <w:pStyle w:val="Standard"/>
              <w:rPr>
                <w:sz w:val="20"/>
                <w:szCs w:val="20"/>
              </w:rPr>
            </w:pPr>
          </w:p>
        </w:tc>
      </w:tr>
      <w:tr w:rsidR="006A1523">
        <w:tblPrEx>
          <w:tblCellMar>
            <w:top w:w="0" w:type="dxa"/>
            <w:bottom w:w="0" w:type="dxa"/>
          </w:tblCellMar>
        </w:tblPrEx>
        <w:trPr>
          <w:trHeight w:val="1220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523" w:rsidRDefault="00465104">
            <w:pPr>
              <w:pStyle w:val="Standard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5</w:t>
            </w:r>
          </w:p>
        </w:tc>
        <w:tc>
          <w:tcPr>
            <w:tcW w:w="10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523" w:rsidRDefault="00465104">
            <w:pPr>
              <w:pStyle w:val="Standard"/>
            </w:pPr>
            <w:r>
              <w:rPr>
                <w:rFonts w:ascii="Century Gothic" w:hAnsi="Century Gothic" w:cs="Arial"/>
                <w:b/>
                <w:bCs/>
                <w:sz w:val="20"/>
                <w:szCs w:val="20"/>
              </w:rPr>
              <w:t>Demontaža oluka</w:t>
            </w:r>
            <w:r>
              <w:rPr>
                <w:rFonts w:ascii="Century Gothic" w:hAnsi="Century Gothic" w:cs="Arial"/>
                <w:sz w:val="20"/>
                <w:szCs w:val="20"/>
              </w:rPr>
              <w:t xml:space="preserve">, olučnih </w:t>
            </w:r>
            <w:r>
              <w:rPr>
                <w:rFonts w:ascii="Century Gothic" w:hAnsi="Century Gothic" w:cs="Arial"/>
                <w:sz w:val="20"/>
                <w:szCs w:val="20"/>
              </w:rPr>
              <w:t>vertikala, svih opšivki (uključujući i opšivke atike u slučaju ravnih krovova) i drugih elemenata. Limariju demontirati, upakovati, utovariti u kamion i odvesti na deponiju koju odredi investitor udaljenu do 15km. Obračun izvesti paušalno za komplet pozici</w:t>
            </w:r>
            <w:r>
              <w:rPr>
                <w:rFonts w:ascii="Century Gothic" w:hAnsi="Century Gothic" w:cs="Arial"/>
                <w:sz w:val="20"/>
                <w:szCs w:val="20"/>
              </w:rPr>
              <w:t>ju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A1523" w:rsidRDefault="006A1523">
            <w:pPr>
              <w:pStyle w:val="Standard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A1523" w:rsidRDefault="006A1523">
            <w:pPr>
              <w:pStyle w:val="Standard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A1523" w:rsidRDefault="006A1523">
            <w:pPr>
              <w:pStyle w:val="Standard"/>
              <w:rPr>
                <w:sz w:val="20"/>
                <w:szCs w:val="20"/>
              </w:rPr>
            </w:pPr>
          </w:p>
        </w:tc>
      </w:tr>
      <w:tr w:rsidR="006A1523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523" w:rsidRDefault="006A1523">
            <w:pPr>
              <w:pStyle w:val="Standard"/>
              <w:rPr>
                <w:sz w:val="20"/>
                <w:szCs w:val="20"/>
              </w:rPr>
            </w:pPr>
          </w:p>
        </w:tc>
        <w:tc>
          <w:tcPr>
            <w:tcW w:w="10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1523" w:rsidRDefault="00465104">
            <w:pPr>
              <w:pStyle w:val="Standard"/>
            </w:pPr>
            <w:r>
              <w:rPr>
                <w:rFonts w:ascii="Century Gothic" w:hAnsi="Century Gothic" w:cs="Arial"/>
                <w:sz w:val="20"/>
                <w:szCs w:val="20"/>
              </w:rPr>
              <w:t>Obračun paušal za komplet poziciju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1523" w:rsidRDefault="00465104">
            <w:pPr>
              <w:pStyle w:val="Standard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paušal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1523" w:rsidRDefault="00465104">
            <w:pPr>
              <w:pStyle w:val="Standard"/>
              <w:rPr>
                <w:rFonts w:ascii="Century Gothic" w:hAnsi="Century Gothic" w:cs="Arial"/>
                <w:color w:val="FF0000"/>
                <w:sz w:val="20"/>
                <w:szCs w:val="20"/>
              </w:rPr>
            </w:pPr>
            <w:r>
              <w:rPr>
                <w:rFonts w:ascii="Century Gothic" w:hAnsi="Century Gothic" w:cs="Arial"/>
                <w:color w:val="FF0000"/>
                <w:sz w:val="20"/>
                <w:szCs w:val="20"/>
              </w:rPr>
              <w:t xml:space="preserve">    1,00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1523" w:rsidRDefault="00465104">
            <w:pPr>
              <w:pStyle w:val="Standard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 72.60</w:t>
            </w:r>
          </w:p>
        </w:tc>
      </w:tr>
      <w:tr w:rsidR="006A1523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523" w:rsidRDefault="006A1523">
            <w:pPr>
              <w:pStyle w:val="Standard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0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1523" w:rsidRDefault="006A1523">
            <w:pPr>
              <w:pStyle w:val="Standard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1523" w:rsidRDefault="006A1523">
            <w:pPr>
              <w:pStyle w:val="Standard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1523" w:rsidRDefault="006A1523">
            <w:pPr>
              <w:pStyle w:val="Standard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A1523" w:rsidRDefault="006A1523">
            <w:pPr>
              <w:pStyle w:val="Standard"/>
              <w:rPr>
                <w:sz w:val="20"/>
                <w:szCs w:val="20"/>
              </w:rPr>
            </w:pPr>
          </w:p>
        </w:tc>
      </w:tr>
      <w:tr w:rsidR="006A1523">
        <w:tblPrEx>
          <w:tblCellMar>
            <w:top w:w="0" w:type="dxa"/>
            <w:bottom w:w="0" w:type="dxa"/>
          </w:tblCellMar>
        </w:tblPrEx>
        <w:trPr>
          <w:trHeight w:val="1412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523" w:rsidRDefault="00465104">
            <w:pPr>
              <w:pStyle w:val="Standard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6</w:t>
            </w:r>
          </w:p>
        </w:tc>
        <w:tc>
          <w:tcPr>
            <w:tcW w:w="10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523" w:rsidRDefault="00465104">
            <w:pPr>
              <w:pStyle w:val="Standard"/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Pažljiva demontaža i ponovna montaža vertikalnih oluka. </w:t>
            </w:r>
            <w:r>
              <w:rPr>
                <w:rFonts w:ascii="Century Gothic" w:hAnsi="Century Gothic" w:cs="Arial"/>
                <w:b/>
                <w:bCs/>
                <w:sz w:val="20"/>
                <w:szCs w:val="20"/>
              </w:rPr>
              <w:t xml:space="preserve">Ova pozicija se može obračunavati ukoliko je tehnički moguće postojeće oluke ponovo ugraditi tj ako su postojeći oluci u </w:t>
            </w:r>
            <w:r>
              <w:rPr>
                <w:rFonts w:ascii="Century Gothic" w:hAnsi="Century Gothic" w:cs="Arial"/>
                <w:b/>
                <w:bCs/>
                <w:sz w:val="20"/>
                <w:szCs w:val="20"/>
              </w:rPr>
              <w:t>tehnički ispravnom stanju da se mogu ponovo montirati</w:t>
            </w:r>
            <w:r>
              <w:rPr>
                <w:rFonts w:ascii="Century Gothic" w:hAnsi="Century Gothic" w:cs="Arial"/>
                <w:sz w:val="20"/>
                <w:szCs w:val="20"/>
              </w:rPr>
              <w:t xml:space="preserve">. Stavka uključuje ispouku i ugradnju svog potrebnog sitnom montažnog materijala. Demontairanu  limariju pažljivo demontirati i lagerovati na mjesto koje definiše investitor kako bi se ista mogla ponovo </w:t>
            </w:r>
            <w:r>
              <w:rPr>
                <w:rFonts w:ascii="Century Gothic" w:hAnsi="Century Gothic" w:cs="Arial"/>
                <w:sz w:val="20"/>
                <w:szCs w:val="20"/>
              </w:rPr>
              <w:t>namontirati. Obračun izvesti paušalno za komplet poziciju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A1523" w:rsidRDefault="006A1523">
            <w:pPr>
              <w:pStyle w:val="Standard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A1523" w:rsidRDefault="006A1523">
            <w:pPr>
              <w:pStyle w:val="Standard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A1523" w:rsidRDefault="006A1523">
            <w:pPr>
              <w:pStyle w:val="Standard"/>
              <w:rPr>
                <w:sz w:val="20"/>
                <w:szCs w:val="20"/>
              </w:rPr>
            </w:pPr>
          </w:p>
        </w:tc>
      </w:tr>
      <w:tr w:rsidR="006A1523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523" w:rsidRDefault="006A1523">
            <w:pPr>
              <w:pStyle w:val="Standard"/>
              <w:rPr>
                <w:sz w:val="20"/>
                <w:szCs w:val="20"/>
              </w:rPr>
            </w:pPr>
          </w:p>
        </w:tc>
        <w:tc>
          <w:tcPr>
            <w:tcW w:w="10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1523" w:rsidRDefault="00465104">
            <w:pPr>
              <w:pStyle w:val="Standard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Obračun paušal za komplet poziciju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1523" w:rsidRDefault="00465104">
            <w:pPr>
              <w:pStyle w:val="Standard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paušal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1523" w:rsidRDefault="00465104">
            <w:pPr>
              <w:pStyle w:val="Standard"/>
              <w:rPr>
                <w:rFonts w:ascii="Century Gothic" w:hAnsi="Century Gothic" w:cs="Arial"/>
                <w:color w:val="FF0000"/>
                <w:sz w:val="20"/>
                <w:szCs w:val="20"/>
              </w:rPr>
            </w:pPr>
            <w:r>
              <w:rPr>
                <w:rFonts w:ascii="Century Gothic" w:hAnsi="Century Gothic" w:cs="Arial"/>
                <w:color w:val="FF0000"/>
                <w:sz w:val="20"/>
                <w:szCs w:val="20"/>
              </w:rPr>
              <w:t xml:space="preserve">    1,00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1523" w:rsidRDefault="00465104">
            <w:pPr>
              <w:pStyle w:val="Standard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 145.20</w:t>
            </w:r>
          </w:p>
        </w:tc>
      </w:tr>
      <w:tr w:rsidR="006A1523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523" w:rsidRDefault="006A1523">
            <w:pPr>
              <w:pStyle w:val="Standard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0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1523" w:rsidRDefault="006A1523">
            <w:pPr>
              <w:pStyle w:val="Standard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1523" w:rsidRDefault="006A1523">
            <w:pPr>
              <w:pStyle w:val="Standard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1523" w:rsidRDefault="006A1523">
            <w:pPr>
              <w:pStyle w:val="Standard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A1523" w:rsidRDefault="006A1523">
            <w:pPr>
              <w:pStyle w:val="Standard"/>
              <w:rPr>
                <w:sz w:val="20"/>
                <w:szCs w:val="20"/>
              </w:rPr>
            </w:pPr>
          </w:p>
        </w:tc>
      </w:tr>
      <w:tr w:rsidR="006A1523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523" w:rsidRDefault="00465104">
            <w:pPr>
              <w:pStyle w:val="Standard"/>
              <w:jc w:val="center"/>
              <w:rPr>
                <w:rFonts w:ascii="Century Gothic" w:hAnsi="Century Gothic" w:cs="Arial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 w:cs="Arial"/>
                <w:b/>
                <w:bCs/>
                <w:sz w:val="20"/>
                <w:szCs w:val="20"/>
              </w:rPr>
              <w:t>II</w:t>
            </w:r>
          </w:p>
        </w:tc>
        <w:tc>
          <w:tcPr>
            <w:tcW w:w="10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523" w:rsidRDefault="00465104">
            <w:pPr>
              <w:pStyle w:val="Standard"/>
              <w:rPr>
                <w:rFonts w:ascii="Century Gothic" w:hAnsi="Century Gothic" w:cs="Arial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 w:cs="Arial"/>
                <w:b/>
                <w:bCs/>
                <w:sz w:val="20"/>
                <w:szCs w:val="20"/>
              </w:rPr>
              <w:t>LIMARSKI RADOVI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A1523" w:rsidRDefault="006A1523">
            <w:pPr>
              <w:pStyle w:val="Standard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A1523" w:rsidRDefault="006A1523">
            <w:pPr>
              <w:pStyle w:val="Standard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A1523" w:rsidRDefault="006A1523">
            <w:pPr>
              <w:pStyle w:val="Standard"/>
              <w:rPr>
                <w:sz w:val="20"/>
                <w:szCs w:val="20"/>
              </w:rPr>
            </w:pPr>
          </w:p>
        </w:tc>
      </w:tr>
      <w:tr w:rsidR="006A1523">
        <w:tblPrEx>
          <w:tblCellMar>
            <w:top w:w="0" w:type="dxa"/>
            <w:bottom w:w="0" w:type="dxa"/>
          </w:tblCellMar>
        </w:tblPrEx>
        <w:trPr>
          <w:trHeight w:val="150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523" w:rsidRDefault="006A1523">
            <w:pPr>
              <w:pStyle w:val="Standard"/>
              <w:rPr>
                <w:sz w:val="20"/>
                <w:szCs w:val="20"/>
              </w:rPr>
            </w:pPr>
          </w:p>
        </w:tc>
        <w:tc>
          <w:tcPr>
            <w:tcW w:w="10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523" w:rsidRDefault="006A1523">
            <w:pPr>
              <w:pStyle w:val="Standard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A1523" w:rsidRDefault="006A1523">
            <w:pPr>
              <w:pStyle w:val="Standard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A1523" w:rsidRDefault="006A1523">
            <w:pPr>
              <w:pStyle w:val="Standard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A1523" w:rsidRDefault="006A1523">
            <w:pPr>
              <w:pStyle w:val="Standard"/>
              <w:rPr>
                <w:sz w:val="20"/>
                <w:szCs w:val="20"/>
              </w:rPr>
            </w:pPr>
          </w:p>
        </w:tc>
      </w:tr>
      <w:tr w:rsidR="006A1523">
        <w:tblPrEx>
          <w:tblCellMar>
            <w:top w:w="0" w:type="dxa"/>
            <w:bottom w:w="0" w:type="dxa"/>
          </w:tblCellMar>
        </w:tblPrEx>
        <w:trPr>
          <w:trHeight w:val="767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523" w:rsidRDefault="00465104">
            <w:pPr>
              <w:pStyle w:val="Standard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1</w:t>
            </w:r>
          </w:p>
        </w:tc>
        <w:tc>
          <w:tcPr>
            <w:tcW w:w="10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523" w:rsidRDefault="00465104">
            <w:pPr>
              <w:pStyle w:val="Standard"/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Opšivanje atike pocinkovanim limom, razvijene širine (RŠ) 15-90 cm, debljine 0,60 mm. Okapnicu </w:t>
            </w:r>
            <w:r>
              <w:rPr>
                <w:rFonts w:ascii="Century Gothic" w:hAnsi="Century Gothic" w:cs="Arial"/>
                <w:sz w:val="20"/>
                <w:szCs w:val="20"/>
              </w:rPr>
              <w:t>prepustiti za 3 cm. Opšivanje izvesti po detaljima i uputstvu projektanta. Ispod lima postaviti sloj ter papira, koji ulazi u cijenu opšivanja. Obračun po m1 atike. U cijenu uračunata i sva spojna sredstva.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A1523" w:rsidRDefault="006A1523">
            <w:pPr>
              <w:pStyle w:val="Standard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A1523" w:rsidRDefault="006A1523">
            <w:pPr>
              <w:pStyle w:val="Standard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A1523" w:rsidRDefault="006A1523">
            <w:pPr>
              <w:pStyle w:val="Standard"/>
              <w:rPr>
                <w:sz w:val="20"/>
                <w:szCs w:val="20"/>
              </w:rPr>
            </w:pPr>
          </w:p>
        </w:tc>
      </w:tr>
      <w:tr w:rsidR="006A1523">
        <w:tblPrEx>
          <w:tblCellMar>
            <w:top w:w="0" w:type="dxa"/>
            <w:bottom w:w="0" w:type="dxa"/>
          </w:tblCellMar>
        </w:tblPrEx>
        <w:trPr>
          <w:trHeight w:val="405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523" w:rsidRDefault="006A1523">
            <w:pPr>
              <w:pStyle w:val="Standard"/>
              <w:rPr>
                <w:sz w:val="20"/>
                <w:szCs w:val="20"/>
              </w:rPr>
            </w:pPr>
          </w:p>
        </w:tc>
        <w:tc>
          <w:tcPr>
            <w:tcW w:w="10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1523" w:rsidRDefault="00465104">
            <w:pPr>
              <w:pStyle w:val="Standard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(RŠ) 15-30cm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1523" w:rsidRDefault="00465104">
            <w:pPr>
              <w:pStyle w:val="Standard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m1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1523" w:rsidRDefault="00465104">
            <w:pPr>
              <w:pStyle w:val="Standard"/>
              <w:rPr>
                <w:rFonts w:ascii="Century Gothic" w:hAnsi="Century Gothic" w:cs="Arial"/>
                <w:color w:val="FF0000"/>
                <w:sz w:val="20"/>
                <w:szCs w:val="20"/>
              </w:rPr>
            </w:pPr>
            <w:r>
              <w:rPr>
                <w:rFonts w:ascii="Century Gothic" w:hAnsi="Century Gothic" w:cs="Arial"/>
                <w:color w:val="FF0000"/>
                <w:sz w:val="20"/>
                <w:szCs w:val="20"/>
              </w:rPr>
              <w:t xml:space="preserve">    1,00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1523" w:rsidRDefault="00465104">
            <w:pPr>
              <w:pStyle w:val="Standard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 12.10</w:t>
            </w:r>
          </w:p>
        </w:tc>
      </w:tr>
      <w:tr w:rsidR="006A1523">
        <w:tblPrEx>
          <w:tblCellMar>
            <w:top w:w="0" w:type="dxa"/>
            <w:bottom w:w="0" w:type="dxa"/>
          </w:tblCellMar>
        </w:tblPrEx>
        <w:trPr>
          <w:trHeight w:val="405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523" w:rsidRDefault="006A1523">
            <w:pPr>
              <w:pStyle w:val="Standard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0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1523" w:rsidRDefault="00465104">
            <w:pPr>
              <w:pStyle w:val="Standard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(RŠ) </w:t>
            </w:r>
            <w:r>
              <w:rPr>
                <w:rFonts w:ascii="Century Gothic" w:hAnsi="Century Gothic" w:cs="Arial"/>
                <w:sz w:val="20"/>
                <w:szCs w:val="20"/>
              </w:rPr>
              <w:t>30-45cm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1523" w:rsidRDefault="00465104">
            <w:pPr>
              <w:pStyle w:val="Standard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m1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1523" w:rsidRDefault="00465104">
            <w:pPr>
              <w:pStyle w:val="Standard"/>
              <w:rPr>
                <w:rFonts w:ascii="Century Gothic" w:hAnsi="Century Gothic" w:cs="Arial"/>
                <w:color w:val="FF0000"/>
                <w:sz w:val="20"/>
                <w:szCs w:val="20"/>
              </w:rPr>
            </w:pPr>
            <w:r>
              <w:rPr>
                <w:rFonts w:ascii="Century Gothic" w:hAnsi="Century Gothic" w:cs="Arial"/>
                <w:color w:val="FF0000"/>
                <w:sz w:val="20"/>
                <w:szCs w:val="20"/>
              </w:rPr>
              <w:t xml:space="preserve">    1,00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1523" w:rsidRDefault="00465104">
            <w:pPr>
              <w:pStyle w:val="Standard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 13.91</w:t>
            </w:r>
          </w:p>
        </w:tc>
      </w:tr>
      <w:tr w:rsidR="006A1523">
        <w:tblPrEx>
          <w:tblCellMar>
            <w:top w:w="0" w:type="dxa"/>
            <w:bottom w:w="0" w:type="dxa"/>
          </w:tblCellMar>
        </w:tblPrEx>
        <w:trPr>
          <w:trHeight w:val="405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523" w:rsidRDefault="006A1523">
            <w:pPr>
              <w:pStyle w:val="Standard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0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1523" w:rsidRDefault="00465104">
            <w:pPr>
              <w:pStyle w:val="Standard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(RŠ) 45-60cm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1523" w:rsidRDefault="00465104">
            <w:pPr>
              <w:pStyle w:val="Standard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m1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1523" w:rsidRDefault="00465104">
            <w:pPr>
              <w:pStyle w:val="Standard"/>
              <w:rPr>
                <w:rFonts w:ascii="Century Gothic" w:hAnsi="Century Gothic" w:cs="Arial"/>
                <w:color w:val="FF0000"/>
                <w:sz w:val="20"/>
                <w:szCs w:val="20"/>
              </w:rPr>
            </w:pPr>
            <w:r>
              <w:rPr>
                <w:rFonts w:ascii="Century Gothic" w:hAnsi="Century Gothic" w:cs="Arial"/>
                <w:color w:val="FF0000"/>
                <w:sz w:val="20"/>
                <w:szCs w:val="20"/>
              </w:rPr>
              <w:t xml:space="preserve">    1,00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1523" w:rsidRDefault="00465104">
            <w:pPr>
              <w:pStyle w:val="Standard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 15.73</w:t>
            </w:r>
          </w:p>
        </w:tc>
      </w:tr>
      <w:tr w:rsidR="006A1523">
        <w:tblPrEx>
          <w:tblCellMar>
            <w:top w:w="0" w:type="dxa"/>
            <w:bottom w:w="0" w:type="dxa"/>
          </w:tblCellMar>
        </w:tblPrEx>
        <w:trPr>
          <w:trHeight w:val="405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523" w:rsidRDefault="006A1523">
            <w:pPr>
              <w:pStyle w:val="Standard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0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1523" w:rsidRDefault="00465104">
            <w:pPr>
              <w:pStyle w:val="Standard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(RŠ) 60-75cm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1523" w:rsidRDefault="00465104">
            <w:pPr>
              <w:pStyle w:val="Standard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m1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1523" w:rsidRDefault="00465104">
            <w:pPr>
              <w:pStyle w:val="Standard"/>
              <w:rPr>
                <w:rFonts w:ascii="Century Gothic" w:hAnsi="Century Gothic" w:cs="Arial"/>
                <w:color w:val="FF0000"/>
                <w:sz w:val="20"/>
                <w:szCs w:val="20"/>
              </w:rPr>
            </w:pPr>
            <w:r>
              <w:rPr>
                <w:rFonts w:ascii="Century Gothic" w:hAnsi="Century Gothic" w:cs="Arial"/>
                <w:color w:val="FF0000"/>
                <w:sz w:val="20"/>
                <w:szCs w:val="20"/>
              </w:rPr>
              <w:t xml:space="preserve">    1,00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1523" w:rsidRDefault="00465104">
            <w:pPr>
              <w:pStyle w:val="Standard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 18.15</w:t>
            </w:r>
          </w:p>
        </w:tc>
      </w:tr>
      <w:tr w:rsidR="006A1523">
        <w:tblPrEx>
          <w:tblCellMar>
            <w:top w:w="0" w:type="dxa"/>
            <w:bottom w:w="0" w:type="dxa"/>
          </w:tblCellMar>
        </w:tblPrEx>
        <w:trPr>
          <w:trHeight w:val="405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523" w:rsidRDefault="006A1523">
            <w:pPr>
              <w:pStyle w:val="Standard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0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1523" w:rsidRDefault="00465104">
            <w:pPr>
              <w:pStyle w:val="Standard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(RŠ) 75-90cm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1523" w:rsidRDefault="00465104">
            <w:pPr>
              <w:pStyle w:val="Standard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m1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1523" w:rsidRDefault="00465104">
            <w:pPr>
              <w:pStyle w:val="Standard"/>
              <w:rPr>
                <w:rFonts w:ascii="Century Gothic" w:hAnsi="Century Gothic" w:cs="Arial"/>
                <w:color w:val="FF0000"/>
                <w:sz w:val="20"/>
                <w:szCs w:val="20"/>
              </w:rPr>
            </w:pPr>
            <w:r>
              <w:rPr>
                <w:rFonts w:ascii="Century Gothic" w:hAnsi="Century Gothic" w:cs="Arial"/>
                <w:color w:val="FF0000"/>
                <w:sz w:val="20"/>
                <w:szCs w:val="20"/>
              </w:rPr>
              <w:t xml:space="preserve">    1,00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1523" w:rsidRDefault="00465104">
            <w:pPr>
              <w:pStyle w:val="Standard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 21.78</w:t>
            </w:r>
          </w:p>
        </w:tc>
      </w:tr>
      <w:tr w:rsidR="006A1523">
        <w:tblPrEx>
          <w:tblCellMar>
            <w:top w:w="0" w:type="dxa"/>
            <w:bottom w:w="0" w:type="dxa"/>
          </w:tblCellMar>
        </w:tblPrEx>
        <w:trPr>
          <w:trHeight w:val="771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523" w:rsidRDefault="00465104">
            <w:pPr>
              <w:pStyle w:val="Standard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2</w:t>
            </w:r>
          </w:p>
        </w:tc>
        <w:tc>
          <w:tcPr>
            <w:tcW w:w="10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523" w:rsidRDefault="00465104">
            <w:pPr>
              <w:pStyle w:val="Standard"/>
            </w:pPr>
            <w:r>
              <w:rPr>
                <w:rFonts w:ascii="Century Gothic" w:hAnsi="Century Gothic" w:cs="Arial"/>
                <w:sz w:val="20"/>
                <w:szCs w:val="20"/>
              </w:rPr>
              <w:t>Opšivanje krovnih prepusta, sterha, kotala, nadstrešnica i slično, a sve u cilju zaštite od prodora vode u zoni nove "demit"</w:t>
            </w:r>
            <w:r>
              <w:rPr>
                <w:rFonts w:ascii="Century Gothic" w:hAnsi="Century Gothic" w:cs="Arial"/>
                <w:sz w:val="20"/>
                <w:szCs w:val="20"/>
              </w:rPr>
              <w:t xml:space="preserve"> fasade, pocinkovanim limom, razvijene širine (RŠ) 15-120 cm, debljine 0,60 mm. Obračun po m1 opšivke. U cijenu uračunata i sva spojna sredstva.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A1523" w:rsidRDefault="006A1523">
            <w:pPr>
              <w:pStyle w:val="Standard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A1523" w:rsidRDefault="006A1523">
            <w:pPr>
              <w:pStyle w:val="Standard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A1523" w:rsidRDefault="006A1523">
            <w:pPr>
              <w:pStyle w:val="Standard"/>
              <w:rPr>
                <w:sz w:val="20"/>
                <w:szCs w:val="20"/>
              </w:rPr>
            </w:pPr>
          </w:p>
        </w:tc>
      </w:tr>
      <w:tr w:rsidR="006A1523">
        <w:tblPrEx>
          <w:tblCellMar>
            <w:top w:w="0" w:type="dxa"/>
            <w:bottom w:w="0" w:type="dxa"/>
          </w:tblCellMar>
        </w:tblPrEx>
        <w:trPr>
          <w:trHeight w:val="405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523" w:rsidRDefault="006A1523">
            <w:pPr>
              <w:pStyle w:val="Standard"/>
              <w:rPr>
                <w:sz w:val="20"/>
                <w:szCs w:val="20"/>
              </w:rPr>
            </w:pPr>
          </w:p>
        </w:tc>
        <w:tc>
          <w:tcPr>
            <w:tcW w:w="10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1523" w:rsidRDefault="00465104">
            <w:pPr>
              <w:pStyle w:val="Standard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(RŠ) 15-30cm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1523" w:rsidRDefault="00465104">
            <w:pPr>
              <w:pStyle w:val="Standard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m1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1523" w:rsidRDefault="00465104">
            <w:pPr>
              <w:pStyle w:val="Standard"/>
              <w:rPr>
                <w:rFonts w:ascii="Century Gothic" w:hAnsi="Century Gothic" w:cs="Arial"/>
                <w:color w:val="FF0000"/>
                <w:sz w:val="20"/>
                <w:szCs w:val="20"/>
              </w:rPr>
            </w:pPr>
            <w:r>
              <w:rPr>
                <w:rFonts w:ascii="Century Gothic" w:hAnsi="Century Gothic" w:cs="Arial"/>
                <w:color w:val="FF0000"/>
                <w:sz w:val="20"/>
                <w:szCs w:val="20"/>
              </w:rPr>
              <w:t xml:space="preserve">    1,00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1523" w:rsidRDefault="00465104">
            <w:pPr>
              <w:pStyle w:val="Standard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 12.10</w:t>
            </w:r>
          </w:p>
        </w:tc>
      </w:tr>
      <w:tr w:rsidR="006A1523">
        <w:tblPrEx>
          <w:tblCellMar>
            <w:top w:w="0" w:type="dxa"/>
            <w:bottom w:w="0" w:type="dxa"/>
          </w:tblCellMar>
        </w:tblPrEx>
        <w:trPr>
          <w:trHeight w:val="405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523" w:rsidRDefault="006A1523">
            <w:pPr>
              <w:pStyle w:val="Standard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0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1523" w:rsidRDefault="00465104">
            <w:pPr>
              <w:pStyle w:val="Standard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(RŠ) 30-45cm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1523" w:rsidRDefault="00465104">
            <w:pPr>
              <w:pStyle w:val="Standard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m1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1523" w:rsidRDefault="00465104">
            <w:pPr>
              <w:pStyle w:val="Standard"/>
              <w:rPr>
                <w:rFonts w:ascii="Century Gothic" w:hAnsi="Century Gothic" w:cs="Arial"/>
                <w:color w:val="FF0000"/>
                <w:sz w:val="20"/>
                <w:szCs w:val="20"/>
              </w:rPr>
            </w:pPr>
            <w:r>
              <w:rPr>
                <w:rFonts w:ascii="Century Gothic" w:hAnsi="Century Gothic" w:cs="Arial"/>
                <w:color w:val="FF0000"/>
                <w:sz w:val="20"/>
                <w:szCs w:val="20"/>
              </w:rPr>
              <w:t xml:space="preserve">    1,00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1523" w:rsidRDefault="00465104">
            <w:pPr>
              <w:pStyle w:val="Standard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 13.91</w:t>
            </w:r>
          </w:p>
        </w:tc>
      </w:tr>
      <w:tr w:rsidR="006A1523">
        <w:tblPrEx>
          <w:tblCellMar>
            <w:top w:w="0" w:type="dxa"/>
            <w:bottom w:w="0" w:type="dxa"/>
          </w:tblCellMar>
        </w:tblPrEx>
        <w:trPr>
          <w:trHeight w:val="405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523" w:rsidRDefault="006A1523">
            <w:pPr>
              <w:pStyle w:val="Standard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0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1523" w:rsidRDefault="00465104">
            <w:pPr>
              <w:pStyle w:val="Standard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(RŠ) 45-60cm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1523" w:rsidRDefault="00465104">
            <w:pPr>
              <w:pStyle w:val="Standard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m1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1523" w:rsidRDefault="00465104">
            <w:pPr>
              <w:pStyle w:val="Standard"/>
              <w:rPr>
                <w:rFonts w:ascii="Century Gothic" w:hAnsi="Century Gothic" w:cs="Arial"/>
                <w:color w:val="FF0000"/>
                <w:sz w:val="20"/>
                <w:szCs w:val="20"/>
              </w:rPr>
            </w:pPr>
            <w:r>
              <w:rPr>
                <w:rFonts w:ascii="Century Gothic" w:hAnsi="Century Gothic" w:cs="Arial"/>
                <w:color w:val="FF0000"/>
                <w:sz w:val="20"/>
                <w:szCs w:val="20"/>
              </w:rPr>
              <w:t xml:space="preserve">    1,00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1523" w:rsidRDefault="00465104">
            <w:pPr>
              <w:pStyle w:val="Standard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 15.73</w:t>
            </w:r>
          </w:p>
        </w:tc>
      </w:tr>
      <w:tr w:rsidR="006A1523">
        <w:tblPrEx>
          <w:tblCellMar>
            <w:top w:w="0" w:type="dxa"/>
            <w:bottom w:w="0" w:type="dxa"/>
          </w:tblCellMar>
        </w:tblPrEx>
        <w:trPr>
          <w:trHeight w:val="405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523" w:rsidRDefault="006A1523">
            <w:pPr>
              <w:pStyle w:val="Standard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0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1523" w:rsidRDefault="00465104">
            <w:pPr>
              <w:pStyle w:val="Standard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(RŠ)</w:t>
            </w:r>
            <w:r>
              <w:rPr>
                <w:rFonts w:ascii="Century Gothic" w:hAnsi="Century Gothic" w:cs="Arial"/>
                <w:sz w:val="20"/>
                <w:szCs w:val="20"/>
              </w:rPr>
              <w:t xml:space="preserve"> 60-75cm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1523" w:rsidRDefault="00465104">
            <w:pPr>
              <w:pStyle w:val="Standard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m1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1523" w:rsidRDefault="00465104">
            <w:pPr>
              <w:pStyle w:val="Standard"/>
              <w:rPr>
                <w:rFonts w:ascii="Century Gothic" w:hAnsi="Century Gothic" w:cs="Arial"/>
                <w:color w:val="FF0000"/>
                <w:sz w:val="20"/>
                <w:szCs w:val="20"/>
              </w:rPr>
            </w:pPr>
            <w:r>
              <w:rPr>
                <w:rFonts w:ascii="Century Gothic" w:hAnsi="Century Gothic" w:cs="Arial"/>
                <w:color w:val="FF0000"/>
                <w:sz w:val="20"/>
                <w:szCs w:val="20"/>
              </w:rPr>
              <w:t xml:space="preserve">    1,00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1523" w:rsidRDefault="00465104">
            <w:pPr>
              <w:pStyle w:val="Standard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 17.54</w:t>
            </w:r>
          </w:p>
        </w:tc>
      </w:tr>
      <w:tr w:rsidR="006A1523">
        <w:tblPrEx>
          <w:tblCellMar>
            <w:top w:w="0" w:type="dxa"/>
            <w:bottom w:w="0" w:type="dxa"/>
          </w:tblCellMar>
        </w:tblPrEx>
        <w:trPr>
          <w:trHeight w:val="405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523" w:rsidRDefault="006A1523">
            <w:pPr>
              <w:pStyle w:val="Standard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0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1523" w:rsidRDefault="00465104">
            <w:pPr>
              <w:pStyle w:val="Standard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(RŠ) 75-90cm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1523" w:rsidRDefault="00465104">
            <w:pPr>
              <w:pStyle w:val="Standard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m1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1523" w:rsidRDefault="00465104">
            <w:pPr>
              <w:pStyle w:val="Standard"/>
              <w:rPr>
                <w:rFonts w:ascii="Century Gothic" w:hAnsi="Century Gothic" w:cs="Arial"/>
                <w:color w:val="FF0000"/>
                <w:sz w:val="20"/>
                <w:szCs w:val="20"/>
              </w:rPr>
            </w:pPr>
            <w:r>
              <w:rPr>
                <w:rFonts w:ascii="Century Gothic" w:hAnsi="Century Gothic" w:cs="Arial"/>
                <w:color w:val="FF0000"/>
                <w:sz w:val="20"/>
                <w:szCs w:val="20"/>
              </w:rPr>
              <w:t xml:space="preserve">    1,00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1523" w:rsidRDefault="00465104">
            <w:pPr>
              <w:pStyle w:val="Standard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 19.36</w:t>
            </w:r>
          </w:p>
        </w:tc>
      </w:tr>
      <w:tr w:rsidR="006A1523">
        <w:tblPrEx>
          <w:tblCellMar>
            <w:top w:w="0" w:type="dxa"/>
            <w:bottom w:w="0" w:type="dxa"/>
          </w:tblCellMar>
        </w:tblPrEx>
        <w:trPr>
          <w:trHeight w:val="405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523" w:rsidRDefault="006A1523">
            <w:pPr>
              <w:pStyle w:val="Standard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0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1523" w:rsidRDefault="00465104">
            <w:pPr>
              <w:pStyle w:val="Standard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(RŠ) 90-105cm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1523" w:rsidRDefault="00465104">
            <w:pPr>
              <w:pStyle w:val="Standard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m1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1523" w:rsidRDefault="00465104">
            <w:pPr>
              <w:pStyle w:val="Standard"/>
              <w:rPr>
                <w:rFonts w:ascii="Century Gothic" w:hAnsi="Century Gothic" w:cs="Arial"/>
                <w:color w:val="FF0000"/>
                <w:sz w:val="20"/>
                <w:szCs w:val="20"/>
              </w:rPr>
            </w:pPr>
            <w:r>
              <w:rPr>
                <w:rFonts w:ascii="Century Gothic" w:hAnsi="Century Gothic" w:cs="Arial"/>
                <w:color w:val="FF0000"/>
                <w:sz w:val="20"/>
                <w:szCs w:val="20"/>
              </w:rPr>
              <w:t xml:space="preserve">    1,00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1523" w:rsidRDefault="00465104">
            <w:pPr>
              <w:pStyle w:val="Standard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 24.20</w:t>
            </w:r>
          </w:p>
        </w:tc>
      </w:tr>
      <w:tr w:rsidR="006A1523">
        <w:tblPrEx>
          <w:tblCellMar>
            <w:top w:w="0" w:type="dxa"/>
            <w:bottom w:w="0" w:type="dxa"/>
          </w:tblCellMar>
        </w:tblPrEx>
        <w:trPr>
          <w:trHeight w:val="405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523" w:rsidRDefault="006A1523">
            <w:pPr>
              <w:pStyle w:val="Standard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0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1523" w:rsidRDefault="00465104">
            <w:pPr>
              <w:pStyle w:val="Standard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(RŠ) 105-120cm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1523" w:rsidRDefault="00465104">
            <w:pPr>
              <w:pStyle w:val="Standard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m1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1523" w:rsidRDefault="00465104">
            <w:pPr>
              <w:pStyle w:val="Standard"/>
              <w:rPr>
                <w:rFonts w:ascii="Century Gothic" w:hAnsi="Century Gothic" w:cs="Arial"/>
                <w:color w:val="FF0000"/>
                <w:sz w:val="20"/>
                <w:szCs w:val="20"/>
              </w:rPr>
            </w:pPr>
            <w:r>
              <w:rPr>
                <w:rFonts w:ascii="Century Gothic" w:hAnsi="Century Gothic" w:cs="Arial"/>
                <w:color w:val="FF0000"/>
                <w:sz w:val="20"/>
                <w:szCs w:val="20"/>
              </w:rPr>
              <w:t xml:space="preserve">    1,00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1523" w:rsidRDefault="00465104">
            <w:pPr>
              <w:pStyle w:val="Standard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 26.62</w:t>
            </w:r>
          </w:p>
        </w:tc>
      </w:tr>
      <w:tr w:rsidR="006A1523">
        <w:tblPrEx>
          <w:tblCellMar>
            <w:top w:w="0" w:type="dxa"/>
            <w:bottom w:w="0" w:type="dxa"/>
          </w:tblCellMar>
        </w:tblPrEx>
        <w:trPr>
          <w:trHeight w:val="1075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523" w:rsidRDefault="00465104">
            <w:pPr>
              <w:pStyle w:val="Standard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lastRenderedPageBreak/>
              <w:t>3</w:t>
            </w:r>
          </w:p>
        </w:tc>
        <w:tc>
          <w:tcPr>
            <w:tcW w:w="10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523" w:rsidRDefault="00465104">
            <w:pPr>
              <w:pStyle w:val="Standard"/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Izrada horizontalnih visećih oluka sa pripadajućom maskom i nosačima od fabrički bojenog pocinčanog plastificiranog </w:t>
            </w:r>
            <w:r>
              <w:rPr>
                <w:rFonts w:ascii="Century Gothic" w:hAnsi="Century Gothic" w:cs="Arial"/>
                <w:sz w:val="20"/>
                <w:szCs w:val="20"/>
              </w:rPr>
              <w:t>lima, debljine d=0.70 mm, boja po izboru Naručioca. Razvijena širina rš=50-100 cm. Pozicija obuhvata pripremu podloge i vezivanje kompletno prema normativu. Obračun po m1 ugrađenog oluka kompletno sa svim veznim i spojnim materijalom.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A1523" w:rsidRDefault="006A1523">
            <w:pPr>
              <w:pStyle w:val="Standard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A1523" w:rsidRDefault="006A1523">
            <w:pPr>
              <w:pStyle w:val="Standard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A1523" w:rsidRDefault="006A1523">
            <w:pPr>
              <w:pStyle w:val="Standard"/>
              <w:rPr>
                <w:sz w:val="20"/>
                <w:szCs w:val="20"/>
              </w:rPr>
            </w:pPr>
          </w:p>
        </w:tc>
      </w:tr>
      <w:tr w:rsidR="006A1523">
        <w:tblPrEx>
          <w:tblCellMar>
            <w:top w:w="0" w:type="dxa"/>
            <w:bottom w:w="0" w:type="dxa"/>
          </w:tblCellMar>
        </w:tblPrEx>
        <w:trPr>
          <w:trHeight w:val="405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523" w:rsidRDefault="006A1523">
            <w:pPr>
              <w:pStyle w:val="Standard"/>
              <w:rPr>
                <w:sz w:val="20"/>
                <w:szCs w:val="20"/>
              </w:rPr>
            </w:pPr>
          </w:p>
        </w:tc>
        <w:tc>
          <w:tcPr>
            <w:tcW w:w="10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1523" w:rsidRDefault="00465104">
            <w:pPr>
              <w:pStyle w:val="Standard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(RŠ) 50-60cm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1523" w:rsidRDefault="00465104">
            <w:pPr>
              <w:pStyle w:val="Standard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m1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1523" w:rsidRDefault="00465104">
            <w:pPr>
              <w:pStyle w:val="Standard"/>
              <w:rPr>
                <w:rFonts w:ascii="Century Gothic" w:hAnsi="Century Gothic" w:cs="Arial"/>
                <w:color w:val="FF0000"/>
                <w:sz w:val="20"/>
                <w:szCs w:val="20"/>
              </w:rPr>
            </w:pPr>
            <w:r>
              <w:rPr>
                <w:rFonts w:ascii="Century Gothic" w:hAnsi="Century Gothic" w:cs="Arial"/>
                <w:color w:val="FF0000"/>
                <w:sz w:val="20"/>
                <w:szCs w:val="20"/>
              </w:rPr>
              <w:t xml:space="preserve">    1,00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1523" w:rsidRDefault="00465104">
            <w:pPr>
              <w:pStyle w:val="Standard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 19.36</w:t>
            </w:r>
          </w:p>
        </w:tc>
      </w:tr>
      <w:tr w:rsidR="006A1523">
        <w:tblPrEx>
          <w:tblCellMar>
            <w:top w:w="0" w:type="dxa"/>
            <w:bottom w:w="0" w:type="dxa"/>
          </w:tblCellMar>
        </w:tblPrEx>
        <w:trPr>
          <w:trHeight w:val="405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523" w:rsidRDefault="006A1523">
            <w:pPr>
              <w:pStyle w:val="Standard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0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1523" w:rsidRDefault="00465104">
            <w:pPr>
              <w:pStyle w:val="Standard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(RŠ) 60-70cm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1523" w:rsidRDefault="00465104">
            <w:pPr>
              <w:pStyle w:val="Standard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m1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1523" w:rsidRDefault="00465104">
            <w:pPr>
              <w:pStyle w:val="Standard"/>
              <w:rPr>
                <w:rFonts w:ascii="Century Gothic" w:hAnsi="Century Gothic" w:cs="Arial"/>
                <w:color w:val="FF0000"/>
                <w:sz w:val="20"/>
                <w:szCs w:val="20"/>
              </w:rPr>
            </w:pPr>
            <w:r>
              <w:rPr>
                <w:rFonts w:ascii="Century Gothic" w:hAnsi="Century Gothic" w:cs="Arial"/>
                <w:color w:val="FF0000"/>
                <w:sz w:val="20"/>
                <w:szCs w:val="20"/>
              </w:rPr>
              <w:t xml:space="preserve">    1,00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1523" w:rsidRDefault="00465104">
            <w:pPr>
              <w:pStyle w:val="Standard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 21.17</w:t>
            </w:r>
          </w:p>
        </w:tc>
      </w:tr>
      <w:tr w:rsidR="006A1523">
        <w:tblPrEx>
          <w:tblCellMar>
            <w:top w:w="0" w:type="dxa"/>
            <w:bottom w:w="0" w:type="dxa"/>
          </w:tblCellMar>
        </w:tblPrEx>
        <w:trPr>
          <w:trHeight w:val="405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523" w:rsidRDefault="006A1523">
            <w:pPr>
              <w:pStyle w:val="Standard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0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1523" w:rsidRDefault="00465104">
            <w:pPr>
              <w:pStyle w:val="Standard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(RŠ) 70-80cm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1523" w:rsidRDefault="00465104">
            <w:pPr>
              <w:pStyle w:val="Standard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m1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1523" w:rsidRDefault="00465104">
            <w:pPr>
              <w:pStyle w:val="Standard"/>
              <w:rPr>
                <w:rFonts w:ascii="Century Gothic" w:hAnsi="Century Gothic" w:cs="Arial"/>
                <w:color w:val="FF0000"/>
                <w:sz w:val="20"/>
                <w:szCs w:val="20"/>
              </w:rPr>
            </w:pPr>
            <w:r>
              <w:rPr>
                <w:rFonts w:ascii="Century Gothic" w:hAnsi="Century Gothic" w:cs="Arial"/>
                <w:color w:val="FF0000"/>
                <w:sz w:val="20"/>
                <w:szCs w:val="20"/>
              </w:rPr>
              <w:t xml:space="preserve">    1,00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1523" w:rsidRDefault="00465104">
            <w:pPr>
              <w:pStyle w:val="Standard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 22.99</w:t>
            </w:r>
          </w:p>
        </w:tc>
      </w:tr>
      <w:tr w:rsidR="006A1523">
        <w:tblPrEx>
          <w:tblCellMar>
            <w:top w:w="0" w:type="dxa"/>
            <w:bottom w:w="0" w:type="dxa"/>
          </w:tblCellMar>
        </w:tblPrEx>
        <w:trPr>
          <w:trHeight w:val="405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523" w:rsidRDefault="006A1523">
            <w:pPr>
              <w:pStyle w:val="Standard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0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1523" w:rsidRDefault="00465104">
            <w:pPr>
              <w:pStyle w:val="Standard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(RŠ) 80-90cm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1523" w:rsidRDefault="00465104">
            <w:pPr>
              <w:pStyle w:val="Standard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m1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1523" w:rsidRDefault="00465104">
            <w:pPr>
              <w:pStyle w:val="Standard"/>
              <w:rPr>
                <w:rFonts w:ascii="Century Gothic" w:hAnsi="Century Gothic" w:cs="Arial"/>
                <w:color w:val="FF0000"/>
                <w:sz w:val="20"/>
                <w:szCs w:val="20"/>
              </w:rPr>
            </w:pPr>
            <w:r>
              <w:rPr>
                <w:rFonts w:ascii="Century Gothic" w:hAnsi="Century Gothic" w:cs="Arial"/>
                <w:color w:val="FF0000"/>
                <w:sz w:val="20"/>
                <w:szCs w:val="20"/>
              </w:rPr>
              <w:t xml:space="preserve">    1,00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1523" w:rsidRDefault="00465104">
            <w:pPr>
              <w:pStyle w:val="Standard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 24.20</w:t>
            </w:r>
          </w:p>
        </w:tc>
      </w:tr>
      <w:tr w:rsidR="006A1523">
        <w:tblPrEx>
          <w:tblCellMar>
            <w:top w:w="0" w:type="dxa"/>
            <w:bottom w:w="0" w:type="dxa"/>
          </w:tblCellMar>
        </w:tblPrEx>
        <w:trPr>
          <w:trHeight w:val="405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523" w:rsidRDefault="006A1523">
            <w:pPr>
              <w:pStyle w:val="Standard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0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1523" w:rsidRDefault="00465104">
            <w:pPr>
              <w:pStyle w:val="Standard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(RŠ) 90-100cm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1523" w:rsidRDefault="00465104">
            <w:pPr>
              <w:pStyle w:val="Standard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m1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1523" w:rsidRDefault="00465104">
            <w:pPr>
              <w:pStyle w:val="Standard"/>
              <w:rPr>
                <w:rFonts w:ascii="Century Gothic" w:hAnsi="Century Gothic" w:cs="Arial"/>
                <w:color w:val="FF0000"/>
                <w:sz w:val="20"/>
                <w:szCs w:val="20"/>
              </w:rPr>
            </w:pPr>
            <w:r>
              <w:rPr>
                <w:rFonts w:ascii="Century Gothic" w:hAnsi="Century Gothic" w:cs="Arial"/>
                <w:color w:val="FF0000"/>
                <w:sz w:val="20"/>
                <w:szCs w:val="20"/>
              </w:rPr>
              <w:t xml:space="preserve">    1,00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1523" w:rsidRDefault="00465104">
            <w:pPr>
              <w:pStyle w:val="Standard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 25.41</w:t>
            </w:r>
          </w:p>
        </w:tc>
      </w:tr>
      <w:tr w:rsidR="006A1523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523" w:rsidRDefault="006A1523">
            <w:pPr>
              <w:pStyle w:val="Standard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0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523" w:rsidRDefault="006A1523">
            <w:pPr>
              <w:pStyle w:val="Standard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A1523" w:rsidRDefault="006A1523">
            <w:pPr>
              <w:pStyle w:val="Standard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A1523" w:rsidRDefault="006A1523">
            <w:pPr>
              <w:pStyle w:val="Standard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A1523" w:rsidRDefault="006A1523">
            <w:pPr>
              <w:pStyle w:val="Standard"/>
              <w:rPr>
                <w:sz w:val="20"/>
                <w:szCs w:val="20"/>
              </w:rPr>
            </w:pPr>
          </w:p>
        </w:tc>
      </w:tr>
      <w:tr w:rsidR="006A1523">
        <w:tblPrEx>
          <w:tblCellMar>
            <w:top w:w="0" w:type="dxa"/>
            <w:bottom w:w="0" w:type="dxa"/>
          </w:tblCellMar>
        </w:tblPrEx>
        <w:trPr>
          <w:trHeight w:val="1120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523" w:rsidRDefault="00465104">
            <w:pPr>
              <w:pStyle w:val="Standard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4</w:t>
            </w:r>
          </w:p>
        </w:tc>
        <w:tc>
          <w:tcPr>
            <w:tcW w:w="10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523" w:rsidRDefault="00465104">
            <w:pPr>
              <w:pStyle w:val="Standard"/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Izrada i montaža olučnih vertikala kvadratnog presjeka 80/80 mm - 140/140 mm od fabrički </w:t>
            </w:r>
            <w:r>
              <w:rPr>
                <w:rFonts w:ascii="Century Gothic" w:hAnsi="Century Gothic" w:cs="Arial"/>
                <w:sz w:val="20"/>
                <w:szCs w:val="20"/>
              </w:rPr>
              <w:t>bojenog pocinčanog plastificiranog lima, boja po izboru projektanta. Olučne cijevi potrebno je izvesti sa svim potrebnim ankerima i obujmicama, sa svim potrebnim veznim i spojnim materijalom. Obračun po m1 izvedenog oluka, kompletno sa svim veznim i spojni</w:t>
            </w:r>
            <w:r>
              <w:rPr>
                <w:rFonts w:ascii="Century Gothic" w:hAnsi="Century Gothic" w:cs="Arial"/>
                <w:sz w:val="20"/>
                <w:szCs w:val="20"/>
              </w:rPr>
              <w:t>m materijalom.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A1523" w:rsidRDefault="006A1523">
            <w:pPr>
              <w:pStyle w:val="Standard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A1523" w:rsidRDefault="006A1523">
            <w:pPr>
              <w:pStyle w:val="Standard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A1523" w:rsidRDefault="006A1523">
            <w:pPr>
              <w:pStyle w:val="Standard"/>
              <w:rPr>
                <w:sz w:val="20"/>
                <w:szCs w:val="20"/>
              </w:rPr>
            </w:pPr>
          </w:p>
        </w:tc>
      </w:tr>
      <w:tr w:rsidR="006A1523">
        <w:tblPrEx>
          <w:tblCellMar>
            <w:top w:w="0" w:type="dxa"/>
            <w:bottom w:w="0" w:type="dxa"/>
          </w:tblCellMar>
        </w:tblPrEx>
        <w:trPr>
          <w:trHeight w:val="405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523" w:rsidRDefault="006A1523">
            <w:pPr>
              <w:pStyle w:val="Standard"/>
              <w:rPr>
                <w:sz w:val="20"/>
                <w:szCs w:val="20"/>
              </w:rPr>
            </w:pPr>
          </w:p>
        </w:tc>
        <w:tc>
          <w:tcPr>
            <w:tcW w:w="10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1523" w:rsidRDefault="00465104">
            <w:pPr>
              <w:pStyle w:val="Standard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80/80 mm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1523" w:rsidRDefault="00465104">
            <w:pPr>
              <w:pStyle w:val="Standard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m1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1523" w:rsidRDefault="00465104">
            <w:pPr>
              <w:pStyle w:val="Standard"/>
              <w:rPr>
                <w:rFonts w:ascii="Century Gothic" w:hAnsi="Century Gothic" w:cs="Arial"/>
                <w:color w:val="FF0000"/>
                <w:sz w:val="20"/>
                <w:szCs w:val="20"/>
              </w:rPr>
            </w:pPr>
            <w:r>
              <w:rPr>
                <w:rFonts w:ascii="Century Gothic" w:hAnsi="Century Gothic" w:cs="Arial"/>
                <w:color w:val="FF0000"/>
                <w:sz w:val="20"/>
                <w:szCs w:val="20"/>
              </w:rPr>
              <w:t xml:space="preserve">    1,00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1523" w:rsidRDefault="00465104">
            <w:pPr>
              <w:pStyle w:val="Standard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 14.52</w:t>
            </w:r>
          </w:p>
        </w:tc>
      </w:tr>
      <w:tr w:rsidR="006A1523">
        <w:tblPrEx>
          <w:tblCellMar>
            <w:top w:w="0" w:type="dxa"/>
            <w:bottom w:w="0" w:type="dxa"/>
          </w:tblCellMar>
        </w:tblPrEx>
        <w:trPr>
          <w:trHeight w:val="405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523" w:rsidRDefault="006A1523">
            <w:pPr>
              <w:pStyle w:val="Standard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0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1523" w:rsidRDefault="00465104">
            <w:pPr>
              <w:pStyle w:val="Standard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90/90 mm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1523" w:rsidRDefault="00465104">
            <w:pPr>
              <w:pStyle w:val="Standard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m1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1523" w:rsidRDefault="00465104">
            <w:pPr>
              <w:pStyle w:val="Standard"/>
              <w:rPr>
                <w:rFonts w:ascii="Century Gothic" w:hAnsi="Century Gothic" w:cs="Arial"/>
                <w:color w:val="FF0000"/>
                <w:sz w:val="20"/>
                <w:szCs w:val="20"/>
              </w:rPr>
            </w:pPr>
            <w:r>
              <w:rPr>
                <w:rFonts w:ascii="Century Gothic" w:hAnsi="Century Gothic" w:cs="Arial"/>
                <w:color w:val="FF0000"/>
                <w:sz w:val="20"/>
                <w:szCs w:val="20"/>
              </w:rPr>
              <w:t xml:space="preserve">    1,00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1523" w:rsidRDefault="00465104">
            <w:pPr>
              <w:pStyle w:val="Standard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 15.73</w:t>
            </w:r>
          </w:p>
        </w:tc>
      </w:tr>
      <w:tr w:rsidR="006A1523">
        <w:tblPrEx>
          <w:tblCellMar>
            <w:top w:w="0" w:type="dxa"/>
            <w:bottom w:w="0" w:type="dxa"/>
          </w:tblCellMar>
        </w:tblPrEx>
        <w:trPr>
          <w:trHeight w:val="405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523" w:rsidRDefault="006A1523">
            <w:pPr>
              <w:pStyle w:val="Standard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0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1523" w:rsidRDefault="00465104">
            <w:pPr>
              <w:pStyle w:val="Standard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100/100 mm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1523" w:rsidRDefault="00465104">
            <w:pPr>
              <w:pStyle w:val="Standard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m1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1523" w:rsidRDefault="00465104">
            <w:pPr>
              <w:pStyle w:val="Standard"/>
              <w:rPr>
                <w:rFonts w:ascii="Century Gothic" w:hAnsi="Century Gothic" w:cs="Arial"/>
                <w:color w:val="FF0000"/>
                <w:sz w:val="20"/>
                <w:szCs w:val="20"/>
              </w:rPr>
            </w:pPr>
            <w:r>
              <w:rPr>
                <w:rFonts w:ascii="Century Gothic" w:hAnsi="Century Gothic" w:cs="Arial"/>
                <w:color w:val="FF0000"/>
                <w:sz w:val="20"/>
                <w:szCs w:val="20"/>
              </w:rPr>
              <w:t xml:space="preserve">    1,00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1523" w:rsidRDefault="00465104">
            <w:pPr>
              <w:pStyle w:val="Standard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 16.94</w:t>
            </w:r>
          </w:p>
        </w:tc>
      </w:tr>
      <w:tr w:rsidR="006A1523">
        <w:tblPrEx>
          <w:tblCellMar>
            <w:top w:w="0" w:type="dxa"/>
            <w:bottom w:w="0" w:type="dxa"/>
          </w:tblCellMar>
        </w:tblPrEx>
        <w:trPr>
          <w:trHeight w:val="405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523" w:rsidRDefault="006A1523">
            <w:pPr>
              <w:pStyle w:val="Standard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0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1523" w:rsidRDefault="00465104">
            <w:pPr>
              <w:pStyle w:val="Standard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110/110 mm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1523" w:rsidRDefault="00465104">
            <w:pPr>
              <w:pStyle w:val="Standard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m1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1523" w:rsidRDefault="00465104">
            <w:pPr>
              <w:pStyle w:val="Standard"/>
              <w:rPr>
                <w:rFonts w:ascii="Century Gothic" w:hAnsi="Century Gothic" w:cs="Arial"/>
                <w:color w:val="FF0000"/>
                <w:sz w:val="20"/>
                <w:szCs w:val="20"/>
              </w:rPr>
            </w:pPr>
            <w:r>
              <w:rPr>
                <w:rFonts w:ascii="Century Gothic" w:hAnsi="Century Gothic" w:cs="Arial"/>
                <w:color w:val="FF0000"/>
                <w:sz w:val="20"/>
                <w:szCs w:val="20"/>
              </w:rPr>
              <w:t xml:space="preserve">    1,00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1523" w:rsidRDefault="00465104">
            <w:pPr>
              <w:pStyle w:val="Standard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 18.15</w:t>
            </w:r>
          </w:p>
        </w:tc>
      </w:tr>
      <w:tr w:rsidR="006A1523">
        <w:tblPrEx>
          <w:tblCellMar>
            <w:top w:w="0" w:type="dxa"/>
            <w:bottom w:w="0" w:type="dxa"/>
          </w:tblCellMar>
        </w:tblPrEx>
        <w:trPr>
          <w:trHeight w:val="405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523" w:rsidRDefault="006A1523">
            <w:pPr>
              <w:pStyle w:val="Standard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0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1523" w:rsidRDefault="00465104">
            <w:pPr>
              <w:pStyle w:val="Standard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120/120 mm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1523" w:rsidRDefault="00465104">
            <w:pPr>
              <w:pStyle w:val="Standard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m1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1523" w:rsidRDefault="00465104">
            <w:pPr>
              <w:pStyle w:val="Standard"/>
              <w:rPr>
                <w:rFonts w:ascii="Century Gothic" w:hAnsi="Century Gothic" w:cs="Arial"/>
                <w:color w:val="FF0000"/>
                <w:sz w:val="20"/>
                <w:szCs w:val="20"/>
              </w:rPr>
            </w:pPr>
            <w:r>
              <w:rPr>
                <w:rFonts w:ascii="Century Gothic" w:hAnsi="Century Gothic" w:cs="Arial"/>
                <w:color w:val="FF0000"/>
                <w:sz w:val="20"/>
                <w:szCs w:val="20"/>
              </w:rPr>
              <w:t xml:space="preserve">    1,00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1523" w:rsidRDefault="00465104">
            <w:pPr>
              <w:pStyle w:val="Standard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 19.36</w:t>
            </w:r>
          </w:p>
        </w:tc>
      </w:tr>
      <w:tr w:rsidR="006A1523">
        <w:tblPrEx>
          <w:tblCellMar>
            <w:top w:w="0" w:type="dxa"/>
            <w:bottom w:w="0" w:type="dxa"/>
          </w:tblCellMar>
        </w:tblPrEx>
        <w:trPr>
          <w:trHeight w:val="405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523" w:rsidRDefault="006A1523">
            <w:pPr>
              <w:pStyle w:val="Standard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0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1523" w:rsidRDefault="00465104">
            <w:pPr>
              <w:pStyle w:val="Standard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130/130 mm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1523" w:rsidRDefault="00465104">
            <w:pPr>
              <w:pStyle w:val="Standard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m1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1523" w:rsidRDefault="00465104">
            <w:pPr>
              <w:pStyle w:val="Standard"/>
              <w:rPr>
                <w:rFonts w:ascii="Century Gothic" w:hAnsi="Century Gothic" w:cs="Arial"/>
                <w:color w:val="FF0000"/>
                <w:sz w:val="20"/>
                <w:szCs w:val="20"/>
              </w:rPr>
            </w:pPr>
            <w:r>
              <w:rPr>
                <w:rFonts w:ascii="Century Gothic" w:hAnsi="Century Gothic" w:cs="Arial"/>
                <w:color w:val="FF0000"/>
                <w:sz w:val="20"/>
                <w:szCs w:val="20"/>
              </w:rPr>
              <w:t xml:space="preserve">    1,00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1523" w:rsidRDefault="00465104">
            <w:pPr>
              <w:pStyle w:val="Standard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 20.57</w:t>
            </w:r>
          </w:p>
        </w:tc>
      </w:tr>
      <w:tr w:rsidR="006A1523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523" w:rsidRDefault="006A1523">
            <w:pPr>
              <w:pStyle w:val="Standard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0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1523" w:rsidRDefault="00465104">
            <w:pPr>
              <w:pStyle w:val="Standard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140/140 mm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1523" w:rsidRDefault="00465104">
            <w:pPr>
              <w:pStyle w:val="Standard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m1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1523" w:rsidRDefault="00465104">
            <w:pPr>
              <w:pStyle w:val="Standard"/>
              <w:rPr>
                <w:rFonts w:ascii="Century Gothic" w:hAnsi="Century Gothic" w:cs="Arial"/>
                <w:color w:val="FF0000"/>
                <w:sz w:val="20"/>
                <w:szCs w:val="20"/>
              </w:rPr>
            </w:pPr>
            <w:r>
              <w:rPr>
                <w:rFonts w:ascii="Century Gothic" w:hAnsi="Century Gothic" w:cs="Arial"/>
                <w:color w:val="FF0000"/>
                <w:sz w:val="20"/>
                <w:szCs w:val="20"/>
              </w:rPr>
              <w:t xml:space="preserve">    1,00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1523" w:rsidRDefault="00465104">
            <w:pPr>
              <w:pStyle w:val="Standard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 21.78</w:t>
            </w:r>
          </w:p>
        </w:tc>
      </w:tr>
      <w:tr w:rsidR="006A1523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523" w:rsidRDefault="006A1523">
            <w:pPr>
              <w:pStyle w:val="Standard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0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523" w:rsidRDefault="006A1523">
            <w:pPr>
              <w:pStyle w:val="Standard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A1523" w:rsidRDefault="006A1523">
            <w:pPr>
              <w:pStyle w:val="Standard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A1523" w:rsidRDefault="006A1523">
            <w:pPr>
              <w:pStyle w:val="Standard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A1523" w:rsidRDefault="006A1523">
            <w:pPr>
              <w:pStyle w:val="Standard"/>
              <w:rPr>
                <w:sz w:val="20"/>
                <w:szCs w:val="20"/>
              </w:rPr>
            </w:pPr>
          </w:p>
        </w:tc>
      </w:tr>
      <w:tr w:rsidR="006A1523">
        <w:tblPrEx>
          <w:tblCellMar>
            <w:top w:w="0" w:type="dxa"/>
            <w:bottom w:w="0" w:type="dxa"/>
          </w:tblCellMar>
        </w:tblPrEx>
        <w:trPr>
          <w:trHeight w:val="740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523" w:rsidRDefault="00465104">
            <w:pPr>
              <w:pStyle w:val="Standard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5</w:t>
            </w:r>
          </w:p>
        </w:tc>
        <w:tc>
          <w:tcPr>
            <w:tcW w:w="10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523" w:rsidRDefault="00465104">
            <w:pPr>
              <w:pStyle w:val="Standard"/>
            </w:pPr>
            <w:r>
              <w:rPr>
                <w:rFonts w:ascii="Century Gothic" w:hAnsi="Century Gothic" w:cs="Arial"/>
                <w:sz w:val="20"/>
                <w:szCs w:val="20"/>
              </w:rPr>
              <w:t>Nabavka i</w:t>
            </w:r>
            <w:r>
              <w:rPr>
                <w:rFonts w:ascii="Century Gothic" w:hAnsi="Century Gothic" w:cs="Arial"/>
                <w:sz w:val="20"/>
                <w:szCs w:val="20"/>
              </w:rPr>
              <w:t xml:space="preserve"> montaža vodokotlića (prelaz između horizontalnih i vertikalnih oluka) od fabrički bojenog plastificiranog pocinkovnog lima d=0,70 mm.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A1523" w:rsidRDefault="006A1523">
            <w:pPr>
              <w:pStyle w:val="Standard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A1523" w:rsidRDefault="006A1523">
            <w:pPr>
              <w:pStyle w:val="Standard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A1523" w:rsidRDefault="006A1523">
            <w:pPr>
              <w:pStyle w:val="Standard"/>
              <w:rPr>
                <w:sz w:val="20"/>
                <w:szCs w:val="20"/>
              </w:rPr>
            </w:pPr>
          </w:p>
        </w:tc>
      </w:tr>
      <w:tr w:rsidR="006A1523">
        <w:tblPrEx>
          <w:tblCellMar>
            <w:top w:w="0" w:type="dxa"/>
            <w:bottom w:w="0" w:type="dxa"/>
          </w:tblCellMar>
        </w:tblPrEx>
        <w:trPr>
          <w:trHeight w:val="405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523" w:rsidRDefault="006A1523">
            <w:pPr>
              <w:pStyle w:val="Standard"/>
              <w:rPr>
                <w:sz w:val="20"/>
                <w:szCs w:val="20"/>
              </w:rPr>
            </w:pPr>
          </w:p>
        </w:tc>
        <w:tc>
          <w:tcPr>
            <w:tcW w:w="10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1523" w:rsidRDefault="00465104">
            <w:pPr>
              <w:pStyle w:val="Standard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Obračun po komadu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1523" w:rsidRDefault="00465104">
            <w:pPr>
              <w:pStyle w:val="Standard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kom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1523" w:rsidRDefault="00465104">
            <w:pPr>
              <w:pStyle w:val="Standard"/>
              <w:rPr>
                <w:rFonts w:ascii="Century Gothic" w:hAnsi="Century Gothic" w:cs="Arial"/>
                <w:color w:val="FF0000"/>
                <w:sz w:val="20"/>
                <w:szCs w:val="20"/>
              </w:rPr>
            </w:pPr>
            <w:r>
              <w:rPr>
                <w:rFonts w:ascii="Century Gothic" w:hAnsi="Century Gothic" w:cs="Arial"/>
                <w:color w:val="FF0000"/>
                <w:sz w:val="20"/>
                <w:szCs w:val="20"/>
              </w:rPr>
              <w:t xml:space="preserve">    1,00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1523" w:rsidRDefault="00465104">
            <w:pPr>
              <w:pStyle w:val="Standard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33.88 </w:t>
            </w:r>
          </w:p>
        </w:tc>
      </w:tr>
      <w:tr w:rsidR="006A1523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523" w:rsidRDefault="006A1523">
            <w:pPr>
              <w:pStyle w:val="Standard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0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523" w:rsidRDefault="006A1523">
            <w:pPr>
              <w:pStyle w:val="Standard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A1523" w:rsidRDefault="006A1523">
            <w:pPr>
              <w:pStyle w:val="Standard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A1523" w:rsidRDefault="006A1523">
            <w:pPr>
              <w:pStyle w:val="Standard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A1523" w:rsidRDefault="006A1523">
            <w:pPr>
              <w:pStyle w:val="Standard"/>
              <w:rPr>
                <w:sz w:val="20"/>
                <w:szCs w:val="20"/>
              </w:rPr>
            </w:pPr>
          </w:p>
        </w:tc>
      </w:tr>
      <w:tr w:rsidR="006A1523">
        <w:tblPrEx>
          <w:tblCellMar>
            <w:top w:w="0" w:type="dxa"/>
            <w:bottom w:w="0" w:type="dxa"/>
          </w:tblCellMar>
        </w:tblPrEx>
        <w:trPr>
          <w:trHeight w:val="435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1523" w:rsidRDefault="00465104">
            <w:pPr>
              <w:pStyle w:val="Standard"/>
              <w:jc w:val="center"/>
              <w:rPr>
                <w:rFonts w:ascii="Century Gothic" w:hAnsi="Century Gothic" w:cs="Arial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 w:cs="Arial"/>
                <w:b/>
                <w:bCs/>
                <w:sz w:val="20"/>
                <w:szCs w:val="20"/>
              </w:rPr>
              <w:t>IV</w:t>
            </w:r>
          </w:p>
        </w:tc>
        <w:tc>
          <w:tcPr>
            <w:tcW w:w="10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1523" w:rsidRDefault="00465104">
            <w:pPr>
              <w:pStyle w:val="Standard"/>
              <w:rPr>
                <w:rFonts w:ascii="Century Gothic" w:hAnsi="Century Gothic" w:cs="Arial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 w:cs="Arial"/>
                <w:b/>
                <w:bCs/>
                <w:sz w:val="20"/>
                <w:szCs w:val="20"/>
              </w:rPr>
              <w:t>FASADERSKI RADOVI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A1523" w:rsidRDefault="006A1523">
            <w:pPr>
              <w:pStyle w:val="Standard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A1523" w:rsidRDefault="006A1523">
            <w:pPr>
              <w:pStyle w:val="Standard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A1523" w:rsidRDefault="006A1523">
            <w:pPr>
              <w:pStyle w:val="Standard"/>
              <w:rPr>
                <w:sz w:val="20"/>
                <w:szCs w:val="20"/>
              </w:rPr>
            </w:pPr>
          </w:p>
        </w:tc>
      </w:tr>
      <w:tr w:rsidR="006A1523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1523" w:rsidRDefault="006A1523">
            <w:pPr>
              <w:pStyle w:val="Standard"/>
              <w:rPr>
                <w:sz w:val="20"/>
                <w:szCs w:val="20"/>
              </w:rPr>
            </w:pPr>
          </w:p>
        </w:tc>
        <w:tc>
          <w:tcPr>
            <w:tcW w:w="10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1523" w:rsidRDefault="006A1523">
            <w:pPr>
              <w:pStyle w:val="Standard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A1523" w:rsidRDefault="006A1523">
            <w:pPr>
              <w:pStyle w:val="Standard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A1523" w:rsidRDefault="006A1523">
            <w:pPr>
              <w:pStyle w:val="Standard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A1523" w:rsidRDefault="006A1523">
            <w:pPr>
              <w:pStyle w:val="Standard"/>
              <w:rPr>
                <w:sz w:val="20"/>
                <w:szCs w:val="20"/>
              </w:rPr>
            </w:pPr>
          </w:p>
        </w:tc>
      </w:tr>
      <w:tr w:rsidR="006A1523">
        <w:tblPrEx>
          <w:tblCellMar>
            <w:top w:w="0" w:type="dxa"/>
            <w:bottom w:w="0" w:type="dxa"/>
          </w:tblCellMar>
        </w:tblPrEx>
        <w:trPr>
          <w:trHeight w:val="1541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523" w:rsidRDefault="00465104">
            <w:pPr>
              <w:pStyle w:val="Standard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lastRenderedPageBreak/>
              <w:t>1</w:t>
            </w:r>
          </w:p>
        </w:tc>
        <w:tc>
          <w:tcPr>
            <w:tcW w:w="10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523" w:rsidRDefault="00465104">
            <w:pPr>
              <w:pStyle w:val="Standard"/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Nabavka materijala i izrada </w:t>
            </w:r>
            <w:r>
              <w:rPr>
                <w:rFonts w:ascii="Century Gothic" w:hAnsi="Century Gothic" w:cs="Arial"/>
                <w:sz w:val="20"/>
                <w:szCs w:val="20"/>
              </w:rPr>
              <w:t xml:space="preserve">termoizolacione "demit" fasade. Fasada se izvodi lijepljenjem </w:t>
            </w:r>
            <w:r>
              <w:rPr>
                <w:rFonts w:ascii="Century Gothic" w:hAnsi="Century Gothic" w:cs="Arial"/>
                <w:sz w:val="20"/>
                <w:szCs w:val="20"/>
                <w:u w:val="single"/>
              </w:rPr>
              <w:t>sa ekspandiranim polistirenom koeficijenta toplotne provodljivosti λmax = 0,04 W/mK i debljine δmin = 5-10 cm (na špaletnama 3cm) ili ekstrudiranim polistirenom (zavisno od odabira), koji je pro</w:t>
            </w:r>
            <w:r>
              <w:rPr>
                <w:rFonts w:ascii="Century Gothic" w:hAnsi="Century Gothic" w:cs="Arial"/>
                <w:sz w:val="20"/>
                <w:szCs w:val="20"/>
                <w:u w:val="single"/>
              </w:rPr>
              <w:t>izveden po odgovarajućim EN standardima.Kompozitni sistem spoljašnje termoizolacije (ETICS) mora imati ETAG sertifikat.Sistem spoljašnje toplotne izolacije treba da ima Evropsku tehničku dozvolu (ETA) prema ETAG 004 (Evropsko tehničko odobrenje Smjernica 0</w:t>
            </w:r>
            <w:r>
              <w:rPr>
                <w:rFonts w:ascii="Century Gothic" w:hAnsi="Century Gothic" w:cs="Arial"/>
                <w:sz w:val="20"/>
                <w:szCs w:val="20"/>
                <w:u w:val="single"/>
              </w:rPr>
              <w:t>04).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A1523" w:rsidRDefault="006A1523">
            <w:pPr>
              <w:pStyle w:val="Standard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A1523" w:rsidRDefault="006A1523">
            <w:pPr>
              <w:pStyle w:val="Standard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A1523" w:rsidRDefault="006A1523">
            <w:pPr>
              <w:pStyle w:val="Standard"/>
              <w:rPr>
                <w:sz w:val="20"/>
                <w:szCs w:val="20"/>
              </w:rPr>
            </w:pPr>
          </w:p>
        </w:tc>
      </w:tr>
      <w:tr w:rsidR="006A1523">
        <w:tblPrEx>
          <w:tblCellMar>
            <w:top w:w="0" w:type="dxa"/>
            <w:bottom w:w="0" w:type="dxa"/>
          </w:tblCellMar>
        </w:tblPrEx>
        <w:trPr>
          <w:trHeight w:val="1235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523" w:rsidRDefault="006A1523">
            <w:pPr>
              <w:pStyle w:val="Standard"/>
              <w:rPr>
                <w:sz w:val="20"/>
                <w:szCs w:val="20"/>
              </w:rPr>
            </w:pPr>
          </w:p>
        </w:tc>
        <w:tc>
          <w:tcPr>
            <w:tcW w:w="10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523" w:rsidRDefault="00465104">
            <w:pPr>
              <w:pStyle w:val="Standard"/>
            </w:pPr>
            <w:r>
              <w:rPr>
                <w:rFonts w:ascii="Century Gothic" w:hAnsi="Century Gothic" w:cs="Arial"/>
                <w:sz w:val="20"/>
                <w:szCs w:val="20"/>
              </w:rPr>
              <w:t>Preko stiropora se nanosi ljepilo u dva sloja sa umetanjem PVC mrežice. Završni sloj je dekorativni zaribani malter  -</w:t>
            </w:r>
            <w:r>
              <w:rPr>
                <w:rFonts w:ascii="Century Gothic" w:hAnsi="Century Gothic" w:cs="Arial"/>
                <w:b/>
                <w:bCs/>
                <w:sz w:val="20"/>
                <w:szCs w:val="20"/>
              </w:rPr>
              <w:t xml:space="preserve"> bavalit</w:t>
            </w:r>
            <w:r>
              <w:rPr>
                <w:rFonts w:ascii="Century Gothic" w:hAnsi="Century Gothic" w:cs="Arial"/>
                <w:sz w:val="20"/>
                <w:szCs w:val="20"/>
              </w:rPr>
              <w:t xml:space="preserve">. * prvi sloj-oplemenjeni malter na bazi cementnog veziva,mineralnih agregata i dodataka za poboljšanje elastičnosti i </w:t>
            </w:r>
            <w:r>
              <w:rPr>
                <w:rFonts w:ascii="Century Gothic" w:hAnsi="Century Gothic" w:cs="Arial"/>
                <w:sz w:val="20"/>
                <w:szCs w:val="20"/>
              </w:rPr>
              <w:t>vodoodbojnosti. Površina na koju se nanosi ovaj sloj maltera mora biti ravna i glatka. Eventualne neravnine na spojevima postavljenih polistiren ploča se ispunjavaju poliuretanskom pjenom.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A1523" w:rsidRDefault="006A1523">
            <w:pPr>
              <w:pStyle w:val="Standard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A1523" w:rsidRDefault="006A1523">
            <w:pPr>
              <w:pStyle w:val="Standard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A1523" w:rsidRDefault="006A1523">
            <w:pPr>
              <w:pStyle w:val="Standard"/>
              <w:rPr>
                <w:sz w:val="20"/>
                <w:szCs w:val="20"/>
              </w:rPr>
            </w:pPr>
          </w:p>
        </w:tc>
      </w:tr>
      <w:tr w:rsidR="006A1523">
        <w:tblPrEx>
          <w:tblCellMar>
            <w:top w:w="0" w:type="dxa"/>
            <w:bottom w:w="0" w:type="dxa"/>
          </w:tblCellMar>
        </w:tblPrEx>
        <w:trPr>
          <w:trHeight w:val="822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523" w:rsidRDefault="006A1523">
            <w:pPr>
              <w:pStyle w:val="Standard"/>
              <w:rPr>
                <w:sz w:val="20"/>
                <w:szCs w:val="20"/>
              </w:rPr>
            </w:pPr>
          </w:p>
        </w:tc>
        <w:tc>
          <w:tcPr>
            <w:tcW w:w="10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523" w:rsidRDefault="00465104">
            <w:pPr>
              <w:pStyle w:val="Standard"/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U svježi sloj ovog maltera polaže se armirana mreža sa </w:t>
            </w:r>
            <w:r>
              <w:rPr>
                <w:rFonts w:ascii="Century Gothic" w:hAnsi="Century Gothic" w:cs="Arial"/>
                <w:sz w:val="20"/>
                <w:szCs w:val="20"/>
              </w:rPr>
              <w:t>odgovarajućim preklopom i dodatom zaštitom na otvorima i uglovima. U slučaju potrebe za dodatnim mehaničkim sidrenjem, to izvesti sa udarnim vijcima kroz armiranu mrežu 24 sata po nanosu ovog sloja.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A1523" w:rsidRDefault="006A1523">
            <w:pPr>
              <w:pStyle w:val="Standard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A1523" w:rsidRDefault="006A1523">
            <w:pPr>
              <w:pStyle w:val="Standard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A1523" w:rsidRDefault="006A1523">
            <w:pPr>
              <w:pStyle w:val="Standard"/>
              <w:rPr>
                <w:sz w:val="20"/>
                <w:szCs w:val="20"/>
              </w:rPr>
            </w:pPr>
          </w:p>
        </w:tc>
      </w:tr>
      <w:tr w:rsidR="006A1523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523" w:rsidRDefault="006A1523">
            <w:pPr>
              <w:pStyle w:val="Standard"/>
              <w:rPr>
                <w:sz w:val="20"/>
                <w:szCs w:val="20"/>
              </w:rPr>
            </w:pPr>
          </w:p>
        </w:tc>
        <w:tc>
          <w:tcPr>
            <w:tcW w:w="10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523" w:rsidRDefault="00465104">
            <w:pPr>
              <w:pStyle w:val="Standard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* armirana mrežica,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A1523" w:rsidRDefault="006A1523">
            <w:pPr>
              <w:pStyle w:val="Standard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A1523" w:rsidRDefault="006A1523">
            <w:pPr>
              <w:pStyle w:val="Standard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A1523" w:rsidRDefault="006A1523">
            <w:pPr>
              <w:pStyle w:val="Standard"/>
              <w:rPr>
                <w:sz w:val="20"/>
                <w:szCs w:val="20"/>
              </w:rPr>
            </w:pPr>
          </w:p>
        </w:tc>
      </w:tr>
      <w:tr w:rsidR="006A1523">
        <w:tblPrEx>
          <w:tblCellMar>
            <w:top w:w="0" w:type="dxa"/>
            <w:bottom w:w="0" w:type="dxa"/>
          </w:tblCellMar>
        </w:tblPrEx>
        <w:trPr>
          <w:trHeight w:val="760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523" w:rsidRDefault="006A1523">
            <w:pPr>
              <w:pStyle w:val="Standard"/>
              <w:rPr>
                <w:sz w:val="20"/>
                <w:szCs w:val="20"/>
              </w:rPr>
            </w:pPr>
          </w:p>
        </w:tc>
        <w:tc>
          <w:tcPr>
            <w:tcW w:w="10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523" w:rsidRDefault="00465104">
            <w:pPr>
              <w:pStyle w:val="Standard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* drugi sloj maltera, u </w:t>
            </w:r>
            <w:r>
              <w:rPr>
                <w:rFonts w:ascii="Century Gothic" w:hAnsi="Century Gothic" w:cs="Arial"/>
                <w:sz w:val="20"/>
                <w:szCs w:val="20"/>
              </w:rPr>
              <w:t>svemu izrađen kao prvi sloj. Ovaj malter se nanosi na dobro osušeni prvi sloj i nakon toga glača ravnjačom.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A1523" w:rsidRDefault="006A1523">
            <w:pPr>
              <w:pStyle w:val="Standard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A1523" w:rsidRDefault="006A1523">
            <w:pPr>
              <w:pStyle w:val="Standard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A1523" w:rsidRDefault="006A1523">
            <w:pPr>
              <w:pStyle w:val="Standard"/>
              <w:rPr>
                <w:sz w:val="20"/>
                <w:szCs w:val="20"/>
              </w:rPr>
            </w:pPr>
          </w:p>
        </w:tc>
      </w:tr>
      <w:tr w:rsidR="006A1523">
        <w:tblPrEx>
          <w:tblCellMar>
            <w:top w:w="0" w:type="dxa"/>
            <w:bottom w:w="0" w:type="dxa"/>
          </w:tblCellMar>
        </w:tblPrEx>
        <w:trPr>
          <w:trHeight w:val="703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523" w:rsidRDefault="006A1523">
            <w:pPr>
              <w:pStyle w:val="Standard"/>
              <w:rPr>
                <w:sz w:val="20"/>
                <w:szCs w:val="20"/>
              </w:rPr>
            </w:pPr>
          </w:p>
        </w:tc>
        <w:tc>
          <w:tcPr>
            <w:tcW w:w="10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523" w:rsidRDefault="00465104">
            <w:pPr>
              <w:pStyle w:val="Standard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* kontaktni premaz, izrađen na osnovu emulzije vještačkih smola i vodenog stakla, kao sredstva za impregnaciju osušenog armiranog maltera.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A1523" w:rsidRDefault="006A1523">
            <w:pPr>
              <w:pStyle w:val="Standard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A1523" w:rsidRDefault="006A1523">
            <w:pPr>
              <w:pStyle w:val="Standard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A1523" w:rsidRDefault="006A1523">
            <w:pPr>
              <w:pStyle w:val="Standard"/>
              <w:rPr>
                <w:sz w:val="20"/>
                <w:szCs w:val="20"/>
              </w:rPr>
            </w:pPr>
          </w:p>
        </w:tc>
      </w:tr>
      <w:tr w:rsidR="006A1523">
        <w:tblPrEx>
          <w:tblCellMar>
            <w:top w:w="0" w:type="dxa"/>
            <w:bottom w:w="0" w:type="dxa"/>
          </w:tblCellMar>
        </w:tblPrEx>
        <w:trPr>
          <w:trHeight w:val="928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523" w:rsidRDefault="006A1523">
            <w:pPr>
              <w:pStyle w:val="Standard"/>
              <w:rPr>
                <w:sz w:val="20"/>
                <w:szCs w:val="20"/>
              </w:rPr>
            </w:pPr>
          </w:p>
        </w:tc>
        <w:tc>
          <w:tcPr>
            <w:tcW w:w="10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523" w:rsidRDefault="00465104">
            <w:pPr>
              <w:pStyle w:val="Standard"/>
            </w:pPr>
            <w:r>
              <w:rPr>
                <w:rFonts w:ascii="Century Gothic" w:hAnsi="Century Gothic" w:cs="Arial"/>
                <w:sz w:val="20"/>
                <w:szCs w:val="20"/>
              </w:rPr>
              <w:t>* završni sloj, izrađen na osnovu mineralnih veziva, vodoodbojnih dodataka, sredstava za poboljšanje elastičnosti i otpornosti na alge i plijesni. Ovaj sloj uraditi u zrnastoj i glatkoj strukturi, bojiti u tonu po izboru Naručioca.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A1523" w:rsidRDefault="006A1523">
            <w:pPr>
              <w:pStyle w:val="Standard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A1523" w:rsidRDefault="006A1523">
            <w:pPr>
              <w:pStyle w:val="Standard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A1523" w:rsidRDefault="006A1523">
            <w:pPr>
              <w:pStyle w:val="Standard"/>
              <w:rPr>
                <w:sz w:val="20"/>
                <w:szCs w:val="20"/>
              </w:rPr>
            </w:pPr>
          </w:p>
        </w:tc>
      </w:tr>
      <w:tr w:rsidR="006A1523">
        <w:tblPrEx>
          <w:tblCellMar>
            <w:top w:w="0" w:type="dxa"/>
            <w:bottom w:w="0" w:type="dxa"/>
          </w:tblCellMar>
        </w:tblPrEx>
        <w:trPr>
          <w:trHeight w:val="874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523" w:rsidRDefault="006A1523">
            <w:pPr>
              <w:pStyle w:val="Standard"/>
              <w:rPr>
                <w:sz w:val="20"/>
                <w:szCs w:val="20"/>
              </w:rPr>
            </w:pPr>
          </w:p>
        </w:tc>
        <w:tc>
          <w:tcPr>
            <w:tcW w:w="10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523" w:rsidRDefault="00465104">
            <w:pPr>
              <w:pStyle w:val="Standard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Prije postavljanja</w:t>
            </w:r>
            <w:r>
              <w:rPr>
                <w:rFonts w:ascii="Century Gothic" w:hAnsi="Century Gothic" w:cs="Arial"/>
                <w:sz w:val="20"/>
                <w:szCs w:val="20"/>
              </w:rPr>
              <w:t xml:space="preserve"> novih slojeva termofasade nanijeti prajmer koji je iz asortimana odabranog proizvođača fasadnih sistema i koji odgovara postojećem završnom sloju fasade objekta.Dužina ankera za fasadu mora biti takva da penetrira kroz postojeći malter i ulazi u zid minim</w:t>
            </w:r>
            <w:r>
              <w:rPr>
                <w:rFonts w:ascii="Century Gothic" w:hAnsi="Century Gothic" w:cs="Arial"/>
                <w:sz w:val="20"/>
                <w:szCs w:val="20"/>
              </w:rPr>
              <w:t>alno 5cm.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A1523" w:rsidRDefault="006A1523">
            <w:pPr>
              <w:pStyle w:val="Standard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A1523" w:rsidRDefault="006A1523">
            <w:pPr>
              <w:pStyle w:val="Standard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A1523" w:rsidRDefault="006A1523">
            <w:pPr>
              <w:pStyle w:val="Standard"/>
              <w:rPr>
                <w:sz w:val="20"/>
                <w:szCs w:val="20"/>
              </w:rPr>
            </w:pPr>
          </w:p>
        </w:tc>
      </w:tr>
      <w:tr w:rsidR="006A1523">
        <w:tblPrEx>
          <w:tblCellMar>
            <w:top w:w="0" w:type="dxa"/>
            <w:bottom w:w="0" w:type="dxa"/>
          </w:tblCellMar>
        </w:tblPrEx>
        <w:trPr>
          <w:trHeight w:val="1675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523" w:rsidRDefault="006A1523">
            <w:pPr>
              <w:pStyle w:val="Standard"/>
              <w:rPr>
                <w:sz w:val="20"/>
                <w:szCs w:val="20"/>
              </w:rPr>
            </w:pPr>
          </w:p>
        </w:tc>
        <w:tc>
          <w:tcPr>
            <w:tcW w:w="10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523" w:rsidRDefault="00465104">
            <w:pPr>
              <w:pStyle w:val="Standard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Prije početka postavljanja termo ploča moraju biti završeni sledeći radovi:</w:t>
            </w:r>
            <w:r>
              <w:rPr>
                <w:rFonts w:ascii="Century Gothic" w:hAnsi="Century Gothic" w:cs="Arial"/>
                <w:sz w:val="20"/>
                <w:szCs w:val="20"/>
              </w:rPr>
              <w:br/>
            </w:r>
            <w:r>
              <w:rPr>
                <w:rFonts w:ascii="Century Gothic" w:hAnsi="Century Gothic" w:cs="Arial"/>
                <w:sz w:val="20"/>
                <w:szCs w:val="20"/>
              </w:rPr>
              <w:t>* Svi radovi na ravnim i kosim krovovima, uključujući i pokrivanje i limarske radove,</w:t>
            </w:r>
            <w:r>
              <w:rPr>
                <w:rFonts w:ascii="Century Gothic" w:hAnsi="Century Gothic" w:cs="Arial"/>
                <w:sz w:val="20"/>
                <w:szCs w:val="20"/>
              </w:rPr>
              <w:br/>
            </w:r>
            <w:r>
              <w:rPr>
                <w:rFonts w:ascii="Century Gothic" w:hAnsi="Century Gothic" w:cs="Arial"/>
                <w:sz w:val="20"/>
                <w:szCs w:val="20"/>
              </w:rPr>
              <w:t>* Zamjena fasadne stolarije,</w:t>
            </w:r>
            <w:r>
              <w:rPr>
                <w:rFonts w:ascii="Century Gothic" w:hAnsi="Century Gothic" w:cs="Arial"/>
                <w:sz w:val="20"/>
                <w:szCs w:val="20"/>
              </w:rPr>
              <w:br/>
            </w:r>
            <w:r>
              <w:rPr>
                <w:rFonts w:ascii="Century Gothic" w:hAnsi="Century Gothic" w:cs="Arial"/>
                <w:sz w:val="20"/>
                <w:szCs w:val="20"/>
              </w:rPr>
              <w:t>*Betonske pločnike,</w:t>
            </w:r>
            <w:r>
              <w:rPr>
                <w:rFonts w:ascii="Century Gothic" w:hAnsi="Century Gothic" w:cs="Arial"/>
                <w:sz w:val="20"/>
                <w:szCs w:val="20"/>
              </w:rPr>
              <w:br/>
            </w:r>
            <w:r>
              <w:rPr>
                <w:rFonts w:ascii="Century Gothic" w:hAnsi="Century Gothic" w:cs="Arial"/>
                <w:sz w:val="20"/>
                <w:szCs w:val="20"/>
              </w:rPr>
              <w:t xml:space="preserve">*Ugradnja svih predviđenih </w:t>
            </w:r>
            <w:r>
              <w:rPr>
                <w:rFonts w:ascii="Century Gothic" w:hAnsi="Century Gothic" w:cs="Arial"/>
                <w:sz w:val="20"/>
                <w:szCs w:val="20"/>
              </w:rPr>
              <w:t>instalacija na fasadi,</w:t>
            </w:r>
            <w:r>
              <w:rPr>
                <w:rFonts w:ascii="Century Gothic" w:hAnsi="Century Gothic" w:cs="Arial"/>
                <w:sz w:val="20"/>
                <w:szCs w:val="20"/>
              </w:rPr>
              <w:br/>
            </w:r>
            <w:r>
              <w:rPr>
                <w:rFonts w:ascii="Century Gothic" w:hAnsi="Century Gothic" w:cs="Arial"/>
                <w:sz w:val="20"/>
                <w:szCs w:val="20"/>
              </w:rPr>
              <w:t>*Pokriti i zaštititi sve površine koje su ostale neobrađene – stakla, aluminijum...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A1523" w:rsidRDefault="006A1523">
            <w:pPr>
              <w:pStyle w:val="Standard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A1523" w:rsidRDefault="006A1523">
            <w:pPr>
              <w:pStyle w:val="Standard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A1523" w:rsidRDefault="006A1523">
            <w:pPr>
              <w:pStyle w:val="Standard"/>
              <w:rPr>
                <w:sz w:val="20"/>
                <w:szCs w:val="20"/>
              </w:rPr>
            </w:pPr>
          </w:p>
        </w:tc>
      </w:tr>
      <w:tr w:rsidR="006A1523">
        <w:tblPrEx>
          <w:tblCellMar>
            <w:top w:w="0" w:type="dxa"/>
            <w:bottom w:w="0" w:type="dxa"/>
          </w:tblCellMar>
        </w:tblPrEx>
        <w:trPr>
          <w:trHeight w:val="1385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523" w:rsidRDefault="006A1523">
            <w:pPr>
              <w:pStyle w:val="Standard"/>
              <w:rPr>
                <w:sz w:val="20"/>
                <w:szCs w:val="20"/>
              </w:rPr>
            </w:pPr>
          </w:p>
        </w:tc>
        <w:tc>
          <w:tcPr>
            <w:tcW w:w="10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523" w:rsidRDefault="00465104">
            <w:pPr>
              <w:pStyle w:val="Standard"/>
            </w:pPr>
            <w:r>
              <w:rPr>
                <w:rFonts w:ascii="Century Gothic" w:hAnsi="Century Gothic" w:cs="Arial"/>
                <w:sz w:val="20"/>
                <w:szCs w:val="20"/>
              </w:rPr>
              <w:t>*Provjera postojeće podloge na objektu:</w:t>
            </w:r>
            <w:r>
              <w:rPr>
                <w:rFonts w:ascii="Century Gothic" w:hAnsi="Century Gothic" w:cs="Arial"/>
                <w:sz w:val="20"/>
                <w:szCs w:val="20"/>
              </w:rPr>
              <w:br/>
            </w:r>
            <w:r>
              <w:rPr>
                <w:rFonts w:ascii="Century Gothic" w:hAnsi="Century Gothic" w:cs="Arial"/>
                <w:sz w:val="20"/>
                <w:szCs w:val="20"/>
              </w:rPr>
              <w:t>Na najkritičnijim mjestima na objektu treba premazati sredstvom za impregniranje – osnovni premaz. Nakon</w:t>
            </w:r>
            <w:r>
              <w:rPr>
                <w:rFonts w:ascii="Century Gothic" w:hAnsi="Century Gothic" w:cs="Arial"/>
                <w:sz w:val="20"/>
                <w:szCs w:val="20"/>
              </w:rPr>
              <w:t xml:space="preserve"> što se osuši osnovni premaz treba zalijepiti test tablu minimalnih  dimenzija 10x10 cm, i to lijepkom za stiropor. Nakon što lijepak potpuno očvrsne, minimum 3 dana ukoliko su uslovi za rad adekvatni, rukom pokušati odvojiti kocku.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A1523" w:rsidRDefault="006A1523">
            <w:pPr>
              <w:pStyle w:val="Standard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A1523" w:rsidRDefault="006A1523">
            <w:pPr>
              <w:pStyle w:val="Standard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A1523" w:rsidRDefault="006A1523">
            <w:pPr>
              <w:pStyle w:val="Standard"/>
              <w:rPr>
                <w:sz w:val="20"/>
                <w:szCs w:val="20"/>
              </w:rPr>
            </w:pPr>
          </w:p>
        </w:tc>
      </w:tr>
      <w:tr w:rsidR="006A1523">
        <w:tblPrEx>
          <w:tblCellMar>
            <w:top w:w="0" w:type="dxa"/>
            <w:bottom w:w="0" w:type="dxa"/>
          </w:tblCellMar>
        </w:tblPrEx>
        <w:trPr>
          <w:trHeight w:val="1540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523" w:rsidRDefault="006A1523">
            <w:pPr>
              <w:pStyle w:val="Standard"/>
              <w:rPr>
                <w:sz w:val="20"/>
                <w:szCs w:val="20"/>
              </w:rPr>
            </w:pPr>
          </w:p>
        </w:tc>
        <w:tc>
          <w:tcPr>
            <w:tcW w:w="10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523" w:rsidRDefault="00465104">
            <w:pPr>
              <w:pStyle w:val="Standard"/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Ukoliko se </w:t>
            </w:r>
            <w:r>
              <w:rPr>
                <w:rFonts w:ascii="Century Gothic" w:hAnsi="Century Gothic" w:cs="Arial"/>
                <w:sz w:val="20"/>
                <w:szCs w:val="20"/>
              </w:rPr>
              <w:t>prilikom odvajanja stiropora sa njim odvoji samo lijepak, a ne djelovi podloge – podloga je dovoljno nosiva, čvrsta i postojana.</w:t>
            </w:r>
            <w:r>
              <w:rPr>
                <w:rFonts w:ascii="Century Gothic" w:hAnsi="Century Gothic" w:cs="Arial"/>
                <w:sz w:val="20"/>
                <w:szCs w:val="20"/>
              </w:rPr>
              <w:br/>
            </w:r>
            <w:r>
              <w:rPr>
                <w:rFonts w:ascii="Century Gothic" w:hAnsi="Century Gothic" w:cs="Arial"/>
                <w:sz w:val="20"/>
                <w:szCs w:val="20"/>
              </w:rPr>
              <w:t>Ukoliko se prilikom odvajanja stiropora sa njim ne odvoji sav lijepak, tj. ostane dio lijepka na zidu a dio na stiroporu – to j</w:t>
            </w:r>
            <w:r>
              <w:rPr>
                <w:rFonts w:ascii="Century Gothic" w:hAnsi="Century Gothic" w:cs="Arial"/>
                <w:sz w:val="20"/>
                <w:szCs w:val="20"/>
              </w:rPr>
              <w:t>e znak da je i lijepak koji je odabran adekvatan i čvrst.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A1523" w:rsidRDefault="006A1523">
            <w:pPr>
              <w:pStyle w:val="Standard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A1523" w:rsidRDefault="006A1523">
            <w:pPr>
              <w:pStyle w:val="Standard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A1523" w:rsidRDefault="006A1523">
            <w:pPr>
              <w:pStyle w:val="Standard"/>
              <w:rPr>
                <w:sz w:val="20"/>
                <w:szCs w:val="20"/>
              </w:rPr>
            </w:pPr>
          </w:p>
        </w:tc>
      </w:tr>
      <w:tr w:rsidR="006A1523">
        <w:tblPrEx>
          <w:tblCellMar>
            <w:top w:w="0" w:type="dxa"/>
            <w:bottom w:w="0" w:type="dxa"/>
          </w:tblCellMar>
        </w:tblPrEx>
        <w:trPr>
          <w:trHeight w:val="987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523" w:rsidRDefault="006A1523">
            <w:pPr>
              <w:pStyle w:val="Standard"/>
              <w:rPr>
                <w:sz w:val="20"/>
                <w:szCs w:val="20"/>
              </w:rPr>
            </w:pPr>
          </w:p>
        </w:tc>
        <w:tc>
          <w:tcPr>
            <w:tcW w:w="10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523" w:rsidRDefault="00465104">
            <w:pPr>
              <w:pStyle w:val="Standard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Ukoliko se prilikom odvajanja stiropora sa njim odvoji lijepak i djelovi podloge – to je znak da podloga nije dovoljno čvrsta i da neće izdržati novi sloj termoizolacije.</w:t>
            </w:r>
            <w:r>
              <w:rPr>
                <w:rFonts w:ascii="Century Gothic" w:hAnsi="Century Gothic" w:cs="Arial"/>
                <w:sz w:val="20"/>
                <w:szCs w:val="20"/>
              </w:rPr>
              <w:br/>
            </w:r>
            <w:r>
              <w:rPr>
                <w:rFonts w:ascii="Century Gothic" w:hAnsi="Century Gothic" w:cs="Arial"/>
                <w:sz w:val="20"/>
                <w:szCs w:val="20"/>
              </w:rPr>
              <w:t xml:space="preserve">Uglove i špaletne </w:t>
            </w:r>
            <w:r>
              <w:rPr>
                <w:rFonts w:ascii="Century Gothic" w:hAnsi="Century Gothic" w:cs="Arial"/>
                <w:sz w:val="20"/>
                <w:szCs w:val="20"/>
              </w:rPr>
              <w:t>zidnih otvora izvoditi sa armiranom mrežom ili sa upotrebom ugaonih profila.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A1523" w:rsidRDefault="006A1523">
            <w:pPr>
              <w:pStyle w:val="Standard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A1523" w:rsidRDefault="006A1523">
            <w:pPr>
              <w:pStyle w:val="Standard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A1523" w:rsidRDefault="006A1523">
            <w:pPr>
              <w:pStyle w:val="Standard"/>
              <w:rPr>
                <w:sz w:val="20"/>
                <w:szCs w:val="20"/>
              </w:rPr>
            </w:pPr>
          </w:p>
        </w:tc>
      </w:tr>
      <w:tr w:rsidR="006A1523">
        <w:tblPrEx>
          <w:tblCellMar>
            <w:top w:w="0" w:type="dxa"/>
            <w:bottom w:w="0" w:type="dxa"/>
          </w:tblCellMar>
        </w:tblPrEx>
        <w:trPr>
          <w:trHeight w:val="844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523" w:rsidRDefault="006A1523">
            <w:pPr>
              <w:pStyle w:val="Standard"/>
              <w:rPr>
                <w:sz w:val="20"/>
                <w:szCs w:val="20"/>
              </w:rPr>
            </w:pPr>
          </w:p>
        </w:tc>
        <w:tc>
          <w:tcPr>
            <w:tcW w:w="10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523" w:rsidRDefault="00465104">
            <w:pPr>
              <w:pStyle w:val="Standard"/>
              <w:rPr>
                <w:rFonts w:ascii="Century Gothic" w:hAnsi="Century Gothic" w:cs="Arial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 w:cs="Arial"/>
                <w:b/>
                <w:bCs/>
                <w:sz w:val="20"/>
                <w:szCs w:val="20"/>
              </w:rPr>
              <w:t xml:space="preserve">Ukoliko je test negativan, primijeniće se unapređene procedure koje će odrediti Investitora i novo testiranje će biti urađeno. Montaža "Demit" fasade ne smije početi prije </w:t>
            </w:r>
            <w:r>
              <w:rPr>
                <w:rFonts w:ascii="Century Gothic" w:hAnsi="Century Gothic" w:cs="Arial"/>
                <w:b/>
                <w:bCs/>
                <w:sz w:val="20"/>
                <w:szCs w:val="20"/>
              </w:rPr>
              <w:t>odobrenja metode rada od strane Investitora.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A1523" w:rsidRDefault="006A1523">
            <w:pPr>
              <w:pStyle w:val="Standard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A1523" w:rsidRDefault="006A1523">
            <w:pPr>
              <w:pStyle w:val="Standard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A1523" w:rsidRDefault="006A1523">
            <w:pPr>
              <w:pStyle w:val="Standard"/>
              <w:rPr>
                <w:sz w:val="20"/>
                <w:szCs w:val="20"/>
              </w:rPr>
            </w:pPr>
          </w:p>
        </w:tc>
      </w:tr>
      <w:tr w:rsidR="006A1523">
        <w:tblPrEx>
          <w:tblCellMar>
            <w:top w:w="0" w:type="dxa"/>
            <w:bottom w:w="0" w:type="dxa"/>
          </w:tblCellMar>
        </w:tblPrEx>
        <w:trPr>
          <w:trHeight w:val="842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523" w:rsidRDefault="006A1523">
            <w:pPr>
              <w:pStyle w:val="Standard"/>
              <w:rPr>
                <w:sz w:val="20"/>
                <w:szCs w:val="20"/>
              </w:rPr>
            </w:pPr>
          </w:p>
        </w:tc>
        <w:tc>
          <w:tcPr>
            <w:tcW w:w="10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523" w:rsidRDefault="00465104">
            <w:pPr>
              <w:pStyle w:val="Standard"/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Uglove i špaletne zidnih otvora izvoditi sa armiranom mrežom ili sa upotrebom ugaonih profila. Završetak fasade duž sokle izvesti sa armiranim slojem i sa ugradnjom početne U profil lajsne prilagođene </w:t>
            </w:r>
            <w:r>
              <w:rPr>
                <w:rFonts w:ascii="Century Gothic" w:hAnsi="Century Gothic" w:cs="Arial"/>
                <w:sz w:val="20"/>
                <w:szCs w:val="20"/>
              </w:rPr>
              <w:t>debljini termo ploče.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A1523" w:rsidRDefault="006A1523">
            <w:pPr>
              <w:pStyle w:val="Standard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A1523" w:rsidRDefault="006A1523">
            <w:pPr>
              <w:pStyle w:val="Standard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A1523" w:rsidRDefault="006A1523">
            <w:pPr>
              <w:pStyle w:val="Standard"/>
              <w:rPr>
                <w:sz w:val="20"/>
                <w:szCs w:val="20"/>
              </w:rPr>
            </w:pPr>
          </w:p>
        </w:tc>
      </w:tr>
      <w:tr w:rsidR="006A1523">
        <w:tblPrEx>
          <w:tblCellMar>
            <w:top w:w="0" w:type="dxa"/>
            <w:bottom w:w="0" w:type="dxa"/>
          </w:tblCellMar>
        </w:tblPrEx>
        <w:trPr>
          <w:trHeight w:val="982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523" w:rsidRDefault="006A1523">
            <w:pPr>
              <w:pStyle w:val="Standard"/>
              <w:rPr>
                <w:sz w:val="20"/>
                <w:szCs w:val="20"/>
              </w:rPr>
            </w:pPr>
          </w:p>
        </w:tc>
        <w:tc>
          <w:tcPr>
            <w:tcW w:w="10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523" w:rsidRDefault="00465104">
            <w:pPr>
              <w:pStyle w:val="Standard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Prije postavljanja ploča fasadnu podlogu dobro očistiti od prašine, masnih naslaga i maltera. U toku izvođenja fasade temperatura vazduha, podloge i ljepila ne smije biti ispod +5°C niti iznad +25°C. Malteri se ne smiju nanositi </w:t>
            </w:r>
            <w:r>
              <w:rPr>
                <w:rFonts w:ascii="Century Gothic" w:hAnsi="Century Gothic" w:cs="Arial"/>
                <w:sz w:val="20"/>
                <w:szCs w:val="20"/>
              </w:rPr>
              <w:t>u uslovima jakog vjetra, kiše ili magle.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A1523" w:rsidRDefault="006A1523">
            <w:pPr>
              <w:pStyle w:val="Standard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A1523" w:rsidRDefault="006A1523">
            <w:pPr>
              <w:pStyle w:val="Standard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A1523" w:rsidRDefault="006A1523">
            <w:pPr>
              <w:pStyle w:val="Standard"/>
              <w:rPr>
                <w:sz w:val="20"/>
                <w:szCs w:val="20"/>
              </w:rPr>
            </w:pPr>
          </w:p>
        </w:tc>
      </w:tr>
      <w:tr w:rsidR="006A1523">
        <w:tblPrEx>
          <w:tblCellMar>
            <w:top w:w="0" w:type="dxa"/>
            <w:bottom w:w="0" w:type="dxa"/>
          </w:tblCellMar>
        </w:tblPrEx>
        <w:trPr>
          <w:trHeight w:val="697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523" w:rsidRDefault="006A1523">
            <w:pPr>
              <w:pStyle w:val="Standard"/>
              <w:rPr>
                <w:sz w:val="20"/>
                <w:szCs w:val="20"/>
              </w:rPr>
            </w:pPr>
          </w:p>
        </w:tc>
        <w:tc>
          <w:tcPr>
            <w:tcW w:w="10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523" w:rsidRDefault="00465104">
            <w:pPr>
              <w:pStyle w:val="Standard"/>
            </w:pPr>
            <w:r>
              <w:rPr>
                <w:rFonts w:ascii="Century Gothic" w:hAnsi="Century Gothic" w:cs="Arial"/>
                <w:sz w:val="20"/>
                <w:szCs w:val="20"/>
              </w:rPr>
              <w:t>U jediničnu cijenu uračunata nabavka, ugradnja komplet materijala, pripremne radnje, priprema podloge, izrada termo fasade u opisanim slojevima . Obračun po m2 izvedene fasade.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A1523" w:rsidRDefault="006A1523">
            <w:pPr>
              <w:pStyle w:val="Standard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A1523" w:rsidRDefault="006A1523">
            <w:pPr>
              <w:pStyle w:val="Standard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A1523" w:rsidRDefault="006A1523">
            <w:pPr>
              <w:pStyle w:val="Standard"/>
              <w:rPr>
                <w:sz w:val="20"/>
                <w:szCs w:val="20"/>
              </w:rPr>
            </w:pPr>
          </w:p>
        </w:tc>
      </w:tr>
      <w:tr w:rsidR="006A1523">
        <w:tblPrEx>
          <w:tblCellMar>
            <w:top w:w="0" w:type="dxa"/>
            <w:bottom w:w="0" w:type="dxa"/>
          </w:tblCellMar>
        </w:tblPrEx>
        <w:trPr>
          <w:trHeight w:val="564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523" w:rsidRDefault="006A1523">
            <w:pPr>
              <w:pStyle w:val="Standard"/>
              <w:rPr>
                <w:sz w:val="20"/>
                <w:szCs w:val="20"/>
              </w:rPr>
            </w:pPr>
          </w:p>
        </w:tc>
        <w:tc>
          <w:tcPr>
            <w:tcW w:w="10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523" w:rsidRDefault="00465104">
            <w:pPr>
              <w:pStyle w:val="Standard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Napomena: </w:t>
            </w:r>
            <w:r>
              <w:rPr>
                <w:rFonts w:ascii="Century Gothic" w:hAnsi="Century Gothic" w:cs="Arial"/>
                <w:sz w:val="20"/>
                <w:szCs w:val="20"/>
              </w:rPr>
              <w:br/>
            </w:r>
            <w:r>
              <w:rPr>
                <w:rFonts w:ascii="Century Gothic" w:hAnsi="Century Gothic" w:cs="Arial"/>
                <w:sz w:val="20"/>
                <w:szCs w:val="20"/>
              </w:rPr>
              <w:t xml:space="preserve">Obrada špaletni </w:t>
            </w:r>
            <w:r>
              <w:rPr>
                <w:rFonts w:ascii="Century Gothic" w:hAnsi="Century Gothic" w:cs="Arial"/>
                <w:sz w:val="20"/>
                <w:szCs w:val="20"/>
              </w:rPr>
              <w:t>je obuhvaćena količinom i neće se posebno obračunavati.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A1523" w:rsidRDefault="006A1523">
            <w:pPr>
              <w:pStyle w:val="Standard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A1523" w:rsidRDefault="006A1523">
            <w:pPr>
              <w:pStyle w:val="Standard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A1523" w:rsidRDefault="006A1523">
            <w:pPr>
              <w:pStyle w:val="Standard"/>
              <w:rPr>
                <w:sz w:val="20"/>
                <w:szCs w:val="20"/>
              </w:rPr>
            </w:pPr>
          </w:p>
        </w:tc>
      </w:tr>
      <w:tr w:rsidR="006A1523">
        <w:tblPrEx>
          <w:tblCellMar>
            <w:top w:w="0" w:type="dxa"/>
            <w:bottom w:w="0" w:type="dxa"/>
          </w:tblCellMar>
        </w:tblPrEx>
        <w:trPr>
          <w:trHeight w:val="1820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523" w:rsidRDefault="006A1523">
            <w:pPr>
              <w:pStyle w:val="Standard"/>
              <w:rPr>
                <w:sz w:val="20"/>
                <w:szCs w:val="20"/>
              </w:rPr>
            </w:pPr>
          </w:p>
        </w:tc>
        <w:tc>
          <w:tcPr>
            <w:tcW w:w="10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523" w:rsidRDefault="00465104">
            <w:pPr>
              <w:pStyle w:val="Standard"/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Predviđeni fasadni sistemi moraju biti proizvedeni po odgovarajućim EN standardima. Kompozitni sistem spoljašnje termoizolacije (ETICS) treba da ima ETAG 004 sertifikat. ETA sertifikat (European </w:t>
            </w:r>
            <w:r>
              <w:rPr>
                <w:rFonts w:ascii="Century Gothic" w:hAnsi="Century Gothic" w:cs="Arial"/>
                <w:sz w:val="20"/>
                <w:szCs w:val="20"/>
              </w:rPr>
              <w:t>Techical Approval) je sertifikat koji izdaje Evropska Organizacija za Tehničku Saglasnost, koji potvrđuje da je termoizolacioni sistem u skladu sa parametrima koje propisuje ova organizacija – mehanička odbojnost i stabilnost, bezbijednost u slučaju požara</w:t>
            </w:r>
            <w:r>
              <w:rPr>
                <w:rFonts w:ascii="Century Gothic" w:hAnsi="Century Gothic" w:cs="Arial"/>
                <w:sz w:val="20"/>
                <w:szCs w:val="20"/>
              </w:rPr>
              <w:t>, higijena, zdravlje i ekološka održivost, bezbijednost u korišćenju, zaštita od buke, energetska efikasnost i zadržavanje toplote.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A1523" w:rsidRDefault="006A1523">
            <w:pPr>
              <w:pStyle w:val="Standard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A1523" w:rsidRDefault="006A1523">
            <w:pPr>
              <w:pStyle w:val="Standard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A1523" w:rsidRDefault="006A1523">
            <w:pPr>
              <w:pStyle w:val="Standard"/>
              <w:rPr>
                <w:sz w:val="20"/>
                <w:szCs w:val="20"/>
              </w:rPr>
            </w:pPr>
          </w:p>
        </w:tc>
      </w:tr>
      <w:tr w:rsidR="006A1523">
        <w:tblPrEx>
          <w:tblCellMar>
            <w:top w:w="0" w:type="dxa"/>
            <w:bottom w:w="0" w:type="dxa"/>
          </w:tblCellMar>
        </w:tblPrEx>
        <w:trPr>
          <w:trHeight w:val="845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523" w:rsidRDefault="006A1523">
            <w:pPr>
              <w:pStyle w:val="Standard"/>
              <w:rPr>
                <w:sz w:val="20"/>
                <w:szCs w:val="20"/>
              </w:rPr>
            </w:pPr>
          </w:p>
        </w:tc>
        <w:tc>
          <w:tcPr>
            <w:tcW w:w="10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523" w:rsidRDefault="00465104">
            <w:pPr>
              <w:pStyle w:val="Standard"/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Površina fasade je računati prema opštim odredbama za odbitke kod fasaderskih radova. Uvećenja radne snage, materijala </w:t>
            </w:r>
            <w:r>
              <w:rPr>
                <w:rFonts w:ascii="Century Gothic" w:hAnsi="Century Gothic" w:cs="Arial"/>
                <w:sz w:val="20"/>
                <w:szCs w:val="20"/>
              </w:rPr>
              <w:t>i vremena usled pojave vijenaca, stubova greda i dr. na fasadi predvidjeti kroz jediničnu cijenu.Svi korišćeni fasadni slojevi ce biti iz asortimana istog proizvodjača fasadnih sistema.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A1523" w:rsidRDefault="006A1523">
            <w:pPr>
              <w:pStyle w:val="Standard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A1523" w:rsidRDefault="006A1523">
            <w:pPr>
              <w:pStyle w:val="Standard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A1523" w:rsidRDefault="006A1523">
            <w:pPr>
              <w:pStyle w:val="Standard"/>
              <w:rPr>
                <w:sz w:val="20"/>
                <w:szCs w:val="20"/>
              </w:rPr>
            </w:pPr>
          </w:p>
        </w:tc>
      </w:tr>
      <w:tr w:rsidR="006A1523">
        <w:tblPrEx>
          <w:tblCellMar>
            <w:top w:w="0" w:type="dxa"/>
            <w:bottom w:w="0" w:type="dxa"/>
          </w:tblCellMar>
        </w:tblPrEx>
        <w:trPr>
          <w:trHeight w:val="559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523" w:rsidRDefault="006A1523">
            <w:pPr>
              <w:pStyle w:val="Standard"/>
              <w:rPr>
                <w:sz w:val="20"/>
                <w:szCs w:val="20"/>
              </w:rPr>
            </w:pPr>
          </w:p>
        </w:tc>
        <w:tc>
          <w:tcPr>
            <w:tcW w:w="10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523" w:rsidRDefault="00465104">
            <w:pPr>
              <w:pStyle w:val="Standard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Napomena: Fasadne zidove prije polaganja termoizolacije obraditi </w:t>
            </w:r>
            <w:r>
              <w:rPr>
                <w:rFonts w:ascii="Century Gothic" w:hAnsi="Century Gothic" w:cs="Arial"/>
                <w:sz w:val="20"/>
                <w:szCs w:val="20"/>
              </w:rPr>
              <w:t>na način da sve debljne budu iste, sve neravnine i različite debljine na fasadi srediti malterom.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A1523" w:rsidRDefault="006A1523">
            <w:pPr>
              <w:pStyle w:val="Standard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A1523" w:rsidRDefault="006A1523">
            <w:pPr>
              <w:pStyle w:val="Standard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A1523" w:rsidRDefault="006A1523">
            <w:pPr>
              <w:pStyle w:val="Standard"/>
              <w:rPr>
                <w:sz w:val="20"/>
                <w:szCs w:val="20"/>
              </w:rPr>
            </w:pPr>
          </w:p>
        </w:tc>
      </w:tr>
      <w:tr w:rsidR="006A1523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523" w:rsidRDefault="006A1523">
            <w:pPr>
              <w:pStyle w:val="Standard"/>
              <w:rPr>
                <w:sz w:val="20"/>
                <w:szCs w:val="20"/>
              </w:rPr>
            </w:pPr>
          </w:p>
        </w:tc>
        <w:tc>
          <w:tcPr>
            <w:tcW w:w="10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523" w:rsidRDefault="00465104">
            <w:pPr>
              <w:pStyle w:val="Standard"/>
              <w:rPr>
                <w:rFonts w:ascii="Century Gothic" w:hAnsi="Century Gothic" w:cs="Arial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 w:cs="Arial"/>
                <w:b/>
                <w:bCs/>
                <w:sz w:val="20"/>
                <w:szCs w:val="20"/>
              </w:rPr>
              <w:t>EPS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A1523" w:rsidRDefault="006A1523">
            <w:pPr>
              <w:pStyle w:val="Standard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A1523" w:rsidRDefault="006A1523">
            <w:pPr>
              <w:pStyle w:val="Standard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A1523" w:rsidRDefault="006A1523">
            <w:pPr>
              <w:pStyle w:val="Standard"/>
              <w:rPr>
                <w:sz w:val="20"/>
                <w:szCs w:val="20"/>
              </w:rPr>
            </w:pPr>
          </w:p>
        </w:tc>
      </w:tr>
      <w:tr w:rsidR="006A1523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523" w:rsidRDefault="006A1523">
            <w:pPr>
              <w:pStyle w:val="Standard"/>
              <w:rPr>
                <w:sz w:val="20"/>
                <w:szCs w:val="20"/>
              </w:rPr>
            </w:pPr>
          </w:p>
        </w:tc>
        <w:tc>
          <w:tcPr>
            <w:tcW w:w="10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1523" w:rsidRDefault="00465104">
            <w:pPr>
              <w:pStyle w:val="Standard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d=5 cm (primorski region) + (bavalit svijetli ton)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1523" w:rsidRDefault="00465104">
            <w:pPr>
              <w:pStyle w:val="Standard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m2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1523" w:rsidRDefault="00465104">
            <w:pPr>
              <w:pStyle w:val="Standard"/>
              <w:rPr>
                <w:rFonts w:ascii="Century Gothic" w:hAnsi="Century Gothic" w:cs="Arial"/>
                <w:color w:val="FF0000"/>
                <w:sz w:val="20"/>
                <w:szCs w:val="20"/>
              </w:rPr>
            </w:pPr>
            <w:r>
              <w:rPr>
                <w:rFonts w:ascii="Century Gothic" w:hAnsi="Century Gothic" w:cs="Arial"/>
                <w:color w:val="FF0000"/>
                <w:sz w:val="20"/>
                <w:szCs w:val="20"/>
              </w:rPr>
              <w:t xml:space="preserve">    1,00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1523" w:rsidRDefault="00465104">
            <w:pPr>
              <w:pStyle w:val="Standard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 22.99</w:t>
            </w:r>
          </w:p>
        </w:tc>
      </w:tr>
      <w:tr w:rsidR="006A1523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523" w:rsidRDefault="006A1523">
            <w:pPr>
              <w:pStyle w:val="Standard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0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1523" w:rsidRDefault="00465104">
            <w:pPr>
              <w:pStyle w:val="Standard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d=8 cm (središnji region) + (bavalit svijetli ton)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1523" w:rsidRDefault="00465104">
            <w:pPr>
              <w:pStyle w:val="Standard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m2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1523" w:rsidRDefault="00465104">
            <w:pPr>
              <w:pStyle w:val="Standard"/>
              <w:rPr>
                <w:rFonts w:ascii="Century Gothic" w:hAnsi="Century Gothic" w:cs="Arial"/>
                <w:color w:val="FF0000"/>
                <w:sz w:val="20"/>
                <w:szCs w:val="20"/>
              </w:rPr>
            </w:pPr>
            <w:r>
              <w:rPr>
                <w:rFonts w:ascii="Century Gothic" w:hAnsi="Century Gothic" w:cs="Arial"/>
                <w:color w:val="FF0000"/>
                <w:sz w:val="20"/>
                <w:szCs w:val="20"/>
              </w:rPr>
              <w:t xml:space="preserve">    1,00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1523" w:rsidRDefault="00465104">
            <w:pPr>
              <w:pStyle w:val="Standard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 26.62</w:t>
            </w:r>
          </w:p>
        </w:tc>
      </w:tr>
      <w:tr w:rsidR="006A1523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523" w:rsidRDefault="006A1523">
            <w:pPr>
              <w:pStyle w:val="Standard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0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1523" w:rsidRDefault="00465104">
            <w:pPr>
              <w:pStyle w:val="Standard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d=10 cm (sjeverni region) + (bavalit svijetli ton)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1523" w:rsidRDefault="00465104">
            <w:pPr>
              <w:pStyle w:val="Standard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m2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1523" w:rsidRDefault="00465104">
            <w:pPr>
              <w:pStyle w:val="Standard"/>
              <w:rPr>
                <w:rFonts w:ascii="Century Gothic" w:hAnsi="Century Gothic" w:cs="Arial"/>
                <w:color w:val="FF0000"/>
                <w:sz w:val="20"/>
                <w:szCs w:val="20"/>
              </w:rPr>
            </w:pPr>
            <w:r>
              <w:rPr>
                <w:rFonts w:ascii="Century Gothic" w:hAnsi="Century Gothic" w:cs="Arial"/>
                <w:color w:val="FF0000"/>
                <w:sz w:val="20"/>
                <w:szCs w:val="20"/>
              </w:rPr>
              <w:t xml:space="preserve">    1,00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1523" w:rsidRDefault="00465104">
            <w:pPr>
              <w:pStyle w:val="Standard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 27.83</w:t>
            </w:r>
          </w:p>
        </w:tc>
      </w:tr>
      <w:tr w:rsidR="006A1523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523" w:rsidRDefault="006A1523">
            <w:pPr>
              <w:pStyle w:val="Standard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0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1523" w:rsidRDefault="006A1523">
            <w:pPr>
              <w:pStyle w:val="Standard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1523" w:rsidRDefault="006A1523">
            <w:pPr>
              <w:pStyle w:val="Standard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1523" w:rsidRDefault="006A1523">
            <w:pPr>
              <w:pStyle w:val="Standard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A1523" w:rsidRDefault="006A1523">
            <w:pPr>
              <w:pStyle w:val="Standard"/>
              <w:rPr>
                <w:sz w:val="20"/>
                <w:szCs w:val="20"/>
              </w:rPr>
            </w:pPr>
          </w:p>
        </w:tc>
      </w:tr>
      <w:tr w:rsidR="006A1523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523" w:rsidRDefault="006A1523">
            <w:pPr>
              <w:pStyle w:val="Standard"/>
              <w:rPr>
                <w:sz w:val="20"/>
                <w:szCs w:val="20"/>
              </w:rPr>
            </w:pPr>
          </w:p>
        </w:tc>
        <w:tc>
          <w:tcPr>
            <w:tcW w:w="10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523" w:rsidRDefault="00465104">
            <w:pPr>
              <w:pStyle w:val="Standard"/>
              <w:rPr>
                <w:rFonts w:ascii="Century Gothic" w:hAnsi="Century Gothic" w:cs="Arial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 w:cs="Arial"/>
                <w:b/>
                <w:bCs/>
                <w:sz w:val="20"/>
                <w:szCs w:val="20"/>
              </w:rPr>
              <w:t>EPS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A1523" w:rsidRDefault="006A1523">
            <w:pPr>
              <w:pStyle w:val="Standard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A1523" w:rsidRDefault="006A1523">
            <w:pPr>
              <w:pStyle w:val="Standard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A1523" w:rsidRDefault="006A1523">
            <w:pPr>
              <w:pStyle w:val="Standard"/>
              <w:rPr>
                <w:sz w:val="20"/>
                <w:szCs w:val="20"/>
              </w:rPr>
            </w:pPr>
          </w:p>
        </w:tc>
      </w:tr>
      <w:tr w:rsidR="006A1523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523" w:rsidRDefault="006A1523">
            <w:pPr>
              <w:pStyle w:val="Standard"/>
              <w:rPr>
                <w:sz w:val="20"/>
                <w:szCs w:val="20"/>
              </w:rPr>
            </w:pPr>
          </w:p>
        </w:tc>
        <w:tc>
          <w:tcPr>
            <w:tcW w:w="10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1523" w:rsidRDefault="00465104">
            <w:pPr>
              <w:pStyle w:val="Standard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d=5 cm (primorski region) + (bavalit tamni ton)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1523" w:rsidRDefault="00465104">
            <w:pPr>
              <w:pStyle w:val="Standard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m2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1523" w:rsidRDefault="00465104">
            <w:pPr>
              <w:pStyle w:val="Standard"/>
              <w:rPr>
                <w:rFonts w:ascii="Century Gothic" w:hAnsi="Century Gothic" w:cs="Arial"/>
                <w:color w:val="FF0000"/>
                <w:sz w:val="20"/>
                <w:szCs w:val="20"/>
              </w:rPr>
            </w:pPr>
            <w:r>
              <w:rPr>
                <w:rFonts w:ascii="Century Gothic" w:hAnsi="Century Gothic" w:cs="Arial"/>
                <w:color w:val="FF0000"/>
                <w:sz w:val="20"/>
                <w:szCs w:val="20"/>
              </w:rPr>
              <w:t xml:space="preserve">    1,00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1523" w:rsidRDefault="00465104">
            <w:pPr>
              <w:pStyle w:val="Standard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 24.80</w:t>
            </w:r>
          </w:p>
        </w:tc>
      </w:tr>
      <w:tr w:rsidR="006A1523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523" w:rsidRDefault="006A1523">
            <w:pPr>
              <w:pStyle w:val="Standard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0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1523" w:rsidRDefault="00465104">
            <w:pPr>
              <w:pStyle w:val="Standard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d=8 cm (središnji region) + (bavalit tamni ton)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1523" w:rsidRDefault="00465104">
            <w:pPr>
              <w:pStyle w:val="Standard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m2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1523" w:rsidRDefault="00465104">
            <w:pPr>
              <w:pStyle w:val="Standard"/>
              <w:rPr>
                <w:rFonts w:ascii="Century Gothic" w:hAnsi="Century Gothic" w:cs="Arial"/>
                <w:color w:val="FF0000"/>
                <w:sz w:val="20"/>
                <w:szCs w:val="20"/>
              </w:rPr>
            </w:pPr>
            <w:r>
              <w:rPr>
                <w:rFonts w:ascii="Century Gothic" w:hAnsi="Century Gothic" w:cs="Arial"/>
                <w:color w:val="FF0000"/>
                <w:sz w:val="20"/>
                <w:szCs w:val="20"/>
              </w:rPr>
              <w:t xml:space="preserve">    1,00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1523" w:rsidRDefault="00465104">
            <w:pPr>
              <w:pStyle w:val="Standard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 28.43</w:t>
            </w:r>
          </w:p>
        </w:tc>
      </w:tr>
      <w:tr w:rsidR="006A1523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523" w:rsidRDefault="006A1523">
            <w:pPr>
              <w:pStyle w:val="Standard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0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1523" w:rsidRDefault="00465104">
            <w:pPr>
              <w:pStyle w:val="Standard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d=10 cm (sjeverni region)+ </w:t>
            </w:r>
            <w:r>
              <w:rPr>
                <w:rFonts w:ascii="Century Gothic" w:hAnsi="Century Gothic" w:cs="Arial"/>
                <w:sz w:val="20"/>
                <w:szCs w:val="20"/>
              </w:rPr>
              <w:t>(bavalit tamni ton)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1523" w:rsidRDefault="00465104">
            <w:pPr>
              <w:pStyle w:val="Standard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m2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1523" w:rsidRDefault="00465104">
            <w:pPr>
              <w:pStyle w:val="Standard"/>
              <w:rPr>
                <w:rFonts w:ascii="Century Gothic" w:hAnsi="Century Gothic" w:cs="Arial"/>
                <w:color w:val="FF0000"/>
                <w:sz w:val="20"/>
                <w:szCs w:val="20"/>
              </w:rPr>
            </w:pPr>
            <w:r>
              <w:rPr>
                <w:rFonts w:ascii="Century Gothic" w:hAnsi="Century Gothic" w:cs="Arial"/>
                <w:color w:val="FF0000"/>
                <w:sz w:val="20"/>
                <w:szCs w:val="20"/>
              </w:rPr>
              <w:t xml:space="preserve">    1,00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1523" w:rsidRDefault="00465104">
            <w:pPr>
              <w:pStyle w:val="Standard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 29.64</w:t>
            </w:r>
          </w:p>
        </w:tc>
      </w:tr>
      <w:tr w:rsidR="006A1523">
        <w:tblPrEx>
          <w:tblCellMar>
            <w:top w:w="0" w:type="dxa"/>
            <w:bottom w:w="0" w:type="dxa"/>
          </w:tblCellMar>
        </w:tblPrEx>
        <w:trPr>
          <w:trHeight w:val="390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523" w:rsidRDefault="006A1523">
            <w:pPr>
              <w:pStyle w:val="Standard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0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1523" w:rsidRDefault="006A1523">
            <w:pPr>
              <w:pStyle w:val="Standard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1523" w:rsidRDefault="006A1523">
            <w:pPr>
              <w:pStyle w:val="Standard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1523" w:rsidRDefault="006A1523">
            <w:pPr>
              <w:pStyle w:val="Standard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A1523" w:rsidRDefault="006A1523">
            <w:pPr>
              <w:pStyle w:val="Standard"/>
              <w:rPr>
                <w:sz w:val="20"/>
                <w:szCs w:val="20"/>
              </w:rPr>
            </w:pPr>
          </w:p>
        </w:tc>
      </w:tr>
      <w:tr w:rsidR="006A1523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523" w:rsidRDefault="006A1523">
            <w:pPr>
              <w:pStyle w:val="Standard"/>
              <w:rPr>
                <w:sz w:val="20"/>
                <w:szCs w:val="20"/>
              </w:rPr>
            </w:pPr>
          </w:p>
        </w:tc>
        <w:tc>
          <w:tcPr>
            <w:tcW w:w="10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523" w:rsidRDefault="00465104">
            <w:pPr>
              <w:pStyle w:val="Standard"/>
              <w:rPr>
                <w:rFonts w:ascii="Century Gothic" w:hAnsi="Century Gothic" w:cs="Arial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 w:cs="Arial"/>
                <w:b/>
                <w:bCs/>
                <w:sz w:val="20"/>
                <w:szCs w:val="20"/>
              </w:rPr>
              <w:t>XPS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A1523" w:rsidRDefault="006A1523">
            <w:pPr>
              <w:pStyle w:val="Standard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A1523" w:rsidRDefault="006A1523">
            <w:pPr>
              <w:pStyle w:val="Standard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A1523" w:rsidRDefault="006A1523">
            <w:pPr>
              <w:pStyle w:val="Standard"/>
              <w:rPr>
                <w:sz w:val="20"/>
                <w:szCs w:val="20"/>
              </w:rPr>
            </w:pPr>
          </w:p>
        </w:tc>
      </w:tr>
      <w:tr w:rsidR="006A1523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523" w:rsidRDefault="006A1523">
            <w:pPr>
              <w:pStyle w:val="Standard"/>
              <w:rPr>
                <w:sz w:val="20"/>
                <w:szCs w:val="20"/>
              </w:rPr>
            </w:pPr>
          </w:p>
        </w:tc>
        <w:tc>
          <w:tcPr>
            <w:tcW w:w="10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1523" w:rsidRDefault="00465104">
            <w:pPr>
              <w:pStyle w:val="Standard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d=5 cm (primorski region) + (bavalit svijetli ton)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1523" w:rsidRDefault="00465104">
            <w:pPr>
              <w:pStyle w:val="Standard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m2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1523" w:rsidRDefault="00465104">
            <w:pPr>
              <w:pStyle w:val="Standard"/>
              <w:rPr>
                <w:rFonts w:ascii="Century Gothic" w:hAnsi="Century Gothic" w:cs="Arial"/>
                <w:color w:val="FF0000"/>
                <w:sz w:val="20"/>
                <w:szCs w:val="20"/>
              </w:rPr>
            </w:pPr>
            <w:r>
              <w:rPr>
                <w:rFonts w:ascii="Century Gothic" w:hAnsi="Century Gothic" w:cs="Arial"/>
                <w:color w:val="FF0000"/>
                <w:sz w:val="20"/>
                <w:szCs w:val="20"/>
              </w:rPr>
              <w:t xml:space="preserve">    1,00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1523" w:rsidRDefault="00465104">
            <w:pPr>
              <w:pStyle w:val="Standard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 26.62</w:t>
            </w:r>
          </w:p>
        </w:tc>
      </w:tr>
      <w:tr w:rsidR="006A1523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523" w:rsidRDefault="006A1523">
            <w:pPr>
              <w:pStyle w:val="Standard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0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1523" w:rsidRDefault="00465104">
            <w:pPr>
              <w:pStyle w:val="Standard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d=8 cm (središnji region) + (bavalit svijetli ton)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1523" w:rsidRDefault="00465104">
            <w:pPr>
              <w:pStyle w:val="Standard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m2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1523" w:rsidRDefault="00465104">
            <w:pPr>
              <w:pStyle w:val="Standard"/>
              <w:rPr>
                <w:rFonts w:ascii="Century Gothic" w:hAnsi="Century Gothic" w:cs="Arial"/>
                <w:color w:val="FF0000"/>
                <w:sz w:val="20"/>
                <w:szCs w:val="20"/>
              </w:rPr>
            </w:pPr>
            <w:r>
              <w:rPr>
                <w:rFonts w:ascii="Century Gothic" w:hAnsi="Century Gothic" w:cs="Arial"/>
                <w:color w:val="FF0000"/>
                <w:sz w:val="20"/>
                <w:szCs w:val="20"/>
              </w:rPr>
              <w:t xml:space="preserve">    1,00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1523" w:rsidRDefault="00465104">
            <w:pPr>
              <w:pStyle w:val="Standard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 31.46</w:t>
            </w:r>
          </w:p>
        </w:tc>
      </w:tr>
      <w:tr w:rsidR="006A1523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523" w:rsidRDefault="006A1523">
            <w:pPr>
              <w:pStyle w:val="Standard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0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1523" w:rsidRDefault="00465104">
            <w:pPr>
              <w:pStyle w:val="Standard"/>
            </w:pPr>
            <w:r>
              <w:rPr>
                <w:rFonts w:ascii="Century Gothic" w:hAnsi="Century Gothic" w:cs="Arial"/>
                <w:sz w:val="20"/>
                <w:szCs w:val="20"/>
              </w:rPr>
              <w:t>d=10 cm (sjeverni region) + (bavalit svijetli ton)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1523" w:rsidRDefault="00465104">
            <w:pPr>
              <w:pStyle w:val="Standard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m2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1523" w:rsidRDefault="00465104">
            <w:pPr>
              <w:pStyle w:val="Standard"/>
              <w:rPr>
                <w:rFonts w:ascii="Century Gothic" w:hAnsi="Century Gothic" w:cs="Arial"/>
                <w:color w:val="FF0000"/>
                <w:sz w:val="20"/>
                <w:szCs w:val="20"/>
              </w:rPr>
            </w:pPr>
            <w:r>
              <w:rPr>
                <w:rFonts w:ascii="Century Gothic" w:hAnsi="Century Gothic" w:cs="Arial"/>
                <w:color w:val="FF0000"/>
                <w:sz w:val="20"/>
                <w:szCs w:val="20"/>
              </w:rPr>
              <w:t xml:space="preserve">    1,00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1523" w:rsidRDefault="00465104">
            <w:pPr>
              <w:pStyle w:val="Standard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 35.09</w:t>
            </w:r>
          </w:p>
        </w:tc>
      </w:tr>
      <w:tr w:rsidR="006A1523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523" w:rsidRDefault="006A1523">
            <w:pPr>
              <w:pStyle w:val="Standard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0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1523" w:rsidRDefault="006A1523">
            <w:pPr>
              <w:pStyle w:val="Standard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1523" w:rsidRDefault="006A1523">
            <w:pPr>
              <w:pStyle w:val="Standard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1523" w:rsidRDefault="006A1523">
            <w:pPr>
              <w:pStyle w:val="Standard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A1523" w:rsidRDefault="006A1523">
            <w:pPr>
              <w:pStyle w:val="Standard"/>
              <w:rPr>
                <w:sz w:val="20"/>
                <w:szCs w:val="20"/>
              </w:rPr>
            </w:pPr>
          </w:p>
        </w:tc>
      </w:tr>
      <w:tr w:rsidR="006A1523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523" w:rsidRDefault="006A1523">
            <w:pPr>
              <w:pStyle w:val="Standard"/>
              <w:rPr>
                <w:sz w:val="20"/>
                <w:szCs w:val="20"/>
              </w:rPr>
            </w:pPr>
          </w:p>
        </w:tc>
        <w:tc>
          <w:tcPr>
            <w:tcW w:w="10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523" w:rsidRDefault="00465104">
            <w:pPr>
              <w:pStyle w:val="Standard"/>
              <w:rPr>
                <w:rFonts w:ascii="Century Gothic" w:hAnsi="Century Gothic" w:cs="Arial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 w:cs="Arial"/>
                <w:b/>
                <w:bCs/>
                <w:sz w:val="20"/>
                <w:szCs w:val="20"/>
              </w:rPr>
              <w:t>XPS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A1523" w:rsidRDefault="006A1523">
            <w:pPr>
              <w:pStyle w:val="Standard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A1523" w:rsidRDefault="006A1523">
            <w:pPr>
              <w:pStyle w:val="Standard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A1523" w:rsidRDefault="006A1523">
            <w:pPr>
              <w:pStyle w:val="Standard"/>
              <w:rPr>
                <w:sz w:val="20"/>
                <w:szCs w:val="20"/>
              </w:rPr>
            </w:pPr>
          </w:p>
        </w:tc>
      </w:tr>
      <w:tr w:rsidR="006A1523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523" w:rsidRDefault="006A1523">
            <w:pPr>
              <w:pStyle w:val="Standard"/>
              <w:rPr>
                <w:sz w:val="20"/>
                <w:szCs w:val="20"/>
              </w:rPr>
            </w:pPr>
          </w:p>
        </w:tc>
        <w:tc>
          <w:tcPr>
            <w:tcW w:w="10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1523" w:rsidRDefault="00465104">
            <w:pPr>
              <w:pStyle w:val="Standard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d=5 cm (primorski region) + (bavalit tamni ton)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1523" w:rsidRDefault="00465104">
            <w:pPr>
              <w:pStyle w:val="Standard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m2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1523" w:rsidRDefault="00465104">
            <w:pPr>
              <w:pStyle w:val="Standard"/>
              <w:rPr>
                <w:rFonts w:ascii="Century Gothic" w:hAnsi="Century Gothic" w:cs="Arial"/>
                <w:color w:val="FF0000"/>
                <w:sz w:val="20"/>
                <w:szCs w:val="20"/>
              </w:rPr>
            </w:pPr>
            <w:r>
              <w:rPr>
                <w:rFonts w:ascii="Century Gothic" w:hAnsi="Century Gothic" w:cs="Arial"/>
                <w:color w:val="FF0000"/>
                <w:sz w:val="20"/>
                <w:szCs w:val="20"/>
              </w:rPr>
              <w:t xml:space="preserve">    1,00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1523" w:rsidRDefault="00465104">
            <w:pPr>
              <w:pStyle w:val="Standard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 28.43</w:t>
            </w:r>
          </w:p>
        </w:tc>
      </w:tr>
      <w:tr w:rsidR="006A1523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523" w:rsidRDefault="006A1523">
            <w:pPr>
              <w:pStyle w:val="Standard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0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1523" w:rsidRDefault="00465104">
            <w:pPr>
              <w:pStyle w:val="Standard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d=8 cm (središnji region) + (bavalit tamni ton)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1523" w:rsidRDefault="00465104">
            <w:pPr>
              <w:pStyle w:val="Standard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m2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1523" w:rsidRDefault="00465104">
            <w:pPr>
              <w:pStyle w:val="Standard"/>
              <w:rPr>
                <w:rFonts w:ascii="Century Gothic" w:hAnsi="Century Gothic" w:cs="Arial"/>
                <w:color w:val="FF0000"/>
                <w:sz w:val="20"/>
                <w:szCs w:val="20"/>
              </w:rPr>
            </w:pPr>
            <w:r>
              <w:rPr>
                <w:rFonts w:ascii="Century Gothic" w:hAnsi="Century Gothic" w:cs="Arial"/>
                <w:color w:val="FF0000"/>
                <w:sz w:val="20"/>
                <w:szCs w:val="20"/>
              </w:rPr>
              <w:t xml:space="preserve">    1,00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1523" w:rsidRDefault="00465104">
            <w:pPr>
              <w:pStyle w:val="Standard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 32.06</w:t>
            </w:r>
          </w:p>
        </w:tc>
      </w:tr>
      <w:tr w:rsidR="006A1523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523" w:rsidRDefault="006A1523">
            <w:pPr>
              <w:pStyle w:val="Standard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0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1523" w:rsidRDefault="00465104">
            <w:pPr>
              <w:pStyle w:val="Standard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d=10 cm (sjeverni region) + (bavalit tamni ton)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1523" w:rsidRDefault="00465104">
            <w:pPr>
              <w:pStyle w:val="Standard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m2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1523" w:rsidRDefault="00465104">
            <w:pPr>
              <w:pStyle w:val="Standard"/>
              <w:rPr>
                <w:rFonts w:ascii="Century Gothic" w:hAnsi="Century Gothic" w:cs="Arial"/>
                <w:color w:val="FF0000"/>
                <w:sz w:val="20"/>
                <w:szCs w:val="20"/>
              </w:rPr>
            </w:pPr>
            <w:r>
              <w:rPr>
                <w:rFonts w:ascii="Century Gothic" w:hAnsi="Century Gothic" w:cs="Arial"/>
                <w:color w:val="FF0000"/>
                <w:sz w:val="20"/>
                <w:szCs w:val="20"/>
              </w:rPr>
              <w:t xml:space="preserve">    1,00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1523" w:rsidRDefault="00465104">
            <w:pPr>
              <w:pStyle w:val="Standard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 36.90</w:t>
            </w:r>
          </w:p>
        </w:tc>
      </w:tr>
      <w:tr w:rsidR="006A1523">
        <w:tblPrEx>
          <w:tblCellMar>
            <w:top w:w="0" w:type="dxa"/>
            <w:bottom w:w="0" w:type="dxa"/>
          </w:tblCellMar>
        </w:tblPrEx>
        <w:trPr>
          <w:trHeight w:val="390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523" w:rsidRDefault="006A1523">
            <w:pPr>
              <w:pStyle w:val="Standard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0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1523" w:rsidRDefault="006A1523">
            <w:pPr>
              <w:pStyle w:val="Standard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1523" w:rsidRDefault="006A1523">
            <w:pPr>
              <w:pStyle w:val="Standard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1523" w:rsidRDefault="006A1523">
            <w:pPr>
              <w:pStyle w:val="Standard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A1523" w:rsidRDefault="006A1523">
            <w:pPr>
              <w:pStyle w:val="Standard"/>
              <w:rPr>
                <w:sz w:val="20"/>
                <w:szCs w:val="20"/>
              </w:rPr>
            </w:pPr>
          </w:p>
        </w:tc>
      </w:tr>
      <w:tr w:rsidR="006A1523">
        <w:tblPrEx>
          <w:tblCellMar>
            <w:top w:w="0" w:type="dxa"/>
            <w:bottom w:w="0" w:type="dxa"/>
          </w:tblCellMar>
        </w:tblPrEx>
        <w:trPr>
          <w:trHeight w:val="1554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523" w:rsidRDefault="00465104">
            <w:pPr>
              <w:pStyle w:val="Standard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2</w:t>
            </w:r>
          </w:p>
        </w:tc>
        <w:tc>
          <w:tcPr>
            <w:tcW w:w="10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523" w:rsidRDefault="00465104">
            <w:pPr>
              <w:pStyle w:val="Standard"/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Nabavka </w:t>
            </w:r>
            <w:r>
              <w:rPr>
                <w:rFonts w:ascii="Century Gothic" w:hAnsi="Century Gothic" w:cs="Arial"/>
                <w:sz w:val="20"/>
                <w:szCs w:val="20"/>
              </w:rPr>
              <w:t xml:space="preserve">materijala i izrada termoizolacione "demit" fasade. Fasada se izvodi lijepljenjem </w:t>
            </w:r>
            <w:r>
              <w:rPr>
                <w:rFonts w:ascii="Century Gothic" w:hAnsi="Century Gothic" w:cs="Arial"/>
                <w:sz w:val="20"/>
                <w:szCs w:val="20"/>
                <w:u w:val="single"/>
              </w:rPr>
              <w:t>sa ekspandiranim polistirenom koeficijenta toplotne provodljivosti λmax = 0,04 W/mK i debljine δmin = 3-10 cm (na špaletnama 3cm) ili ekstrudiranim polistirenom (zavisno od o</w:t>
            </w:r>
            <w:r>
              <w:rPr>
                <w:rFonts w:ascii="Century Gothic" w:hAnsi="Century Gothic" w:cs="Arial"/>
                <w:sz w:val="20"/>
                <w:szCs w:val="20"/>
                <w:u w:val="single"/>
              </w:rPr>
              <w:t>dabira), koji je proizveden po odgovarajućim EN standardima.Kompozitni sistem spoljašnje termoizolacije (ETICS) mora imati ETAG sertifikat.Sistem spoljašnje toplotne izolacije treba da ima Evropsku tehničku dozvolu (ETA) prema ETAG 004 (Evropsko tehničko o</w:t>
            </w:r>
            <w:r>
              <w:rPr>
                <w:rFonts w:ascii="Century Gothic" w:hAnsi="Century Gothic" w:cs="Arial"/>
                <w:sz w:val="20"/>
                <w:szCs w:val="20"/>
                <w:u w:val="single"/>
              </w:rPr>
              <w:t>dobrenje Smjernica 004).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A1523" w:rsidRDefault="006A1523">
            <w:pPr>
              <w:pStyle w:val="Standard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A1523" w:rsidRDefault="006A1523">
            <w:pPr>
              <w:pStyle w:val="Standard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A1523" w:rsidRDefault="006A1523">
            <w:pPr>
              <w:pStyle w:val="Standard"/>
              <w:rPr>
                <w:sz w:val="20"/>
                <w:szCs w:val="20"/>
              </w:rPr>
            </w:pPr>
          </w:p>
        </w:tc>
      </w:tr>
      <w:tr w:rsidR="006A1523">
        <w:tblPrEx>
          <w:tblCellMar>
            <w:top w:w="0" w:type="dxa"/>
            <w:bottom w:w="0" w:type="dxa"/>
          </w:tblCellMar>
        </w:tblPrEx>
        <w:trPr>
          <w:trHeight w:val="1278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523" w:rsidRDefault="006A1523">
            <w:pPr>
              <w:pStyle w:val="Standard"/>
              <w:rPr>
                <w:sz w:val="20"/>
                <w:szCs w:val="20"/>
              </w:rPr>
            </w:pPr>
          </w:p>
        </w:tc>
        <w:tc>
          <w:tcPr>
            <w:tcW w:w="10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523" w:rsidRDefault="00465104">
            <w:pPr>
              <w:pStyle w:val="Standard"/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Preko stiropora se nanosi ljepilo u dva sloja sa umetanjem PVC mrežice. Završni sloj je dekorativni zaribani malter  - </w:t>
            </w:r>
            <w:r>
              <w:rPr>
                <w:rFonts w:ascii="Century Gothic" w:hAnsi="Century Gothic" w:cs="Arial"/>
                <w:b/>
                <w:bCs/>
                <w:sz w:val="20"/>
                <w:szCs w:val="20"/>
              </w:rPr>
              <w:t>kulir</w:t>
            </w:r>
            <w:r>
              <w:rPr>
                <w:rFonts w:ascii="Century Gothic" w:hAnsi="Century Gothic" w:cs="Arial"/>
                <w:sz w:val="20"/>
                <w:szCs w:val="20"/>
              </w:rPr>
              <w:t xml:space="preserve">. * prvi sloj-oplemenjeni malter na bazi cementnog veziva,mineralnih agregata i dodataka za </w:t>
            </w:r>
            <w:r>
              <w:rPr>
                <w:rFonts w:ascii="Century Gothic" w:hAnsi="Century Gothic" w:cs="Arial"/>
                <w:sz w:val="20"/>
                <w:szCs w:val="20"/>
              </w:rPr>
              <w:t>poboljšanje elastičnosti i vodoodbojnosti. Površina na koju se nanosi ovaj sloj maltera mora biti ravna i glatka. Eventualne neravnine na spojevima postavljenih polistiren ploča se ispunjavaju poliuretanskom pjenom.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A1523" w:rsidRDefault="006A1523">
            <w:pPr>
              <w:pStyle w:val="Standard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A1523" w:rsidRDefault="006A1523">
            <w:pPr>
              <w:pStyle w:val="Standard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A1523" w:rsidRDefault="006A1523">
            <w:pPr>
              <w:pStyle w:val="Standard"/>
              <w:rPr>
                <w:sz w:val="20"/>
                <w:szCs w:val="20"/>
              </w:rPr>
            </w:pPr>
          </w:p>
        </w:tc>
      </w:tr>
      <w:tr w:rsidR="006A1523">
        <w:tblPrEx>
          <w:tblCellMar>
            <w:top w:w="0" w:type="dxa"/>
            <w:bottom w:w="0" w:type="dxa"/>
          </w:tblCellMar>
        </w:tblPrEx>
        <w:trPr>
          <w:trHeight w:val="880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523" w:rsidRDefault="006A1523">
            <w:pPr>
              <w:pStyle w:val="Standard"/>
              <w:rPr>
                <w:sz w:val="20"/>
                <w:szCs w:val="20"/>
              </w:rPr>
            </w:pPr>
          </w:p>
        </w:tc>
        <w:tc>
          <w:tcPr>
            <w:tcW w:w="10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523" w:rsidRDefault="00465104">
            <w:pPr>
              <w:pStyle w:val="Standard"/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U svježi sloj ovog maltera polaže </w:t>
            </w:r>
            <w:r>
              <w:rPr>
                <w:rFonts w:ascii="Century Gothic" w:hAnsi="Century Gothic" w:cs="Arial"/>
                <w:sz w:val="20"/>
                <w:szCs w:val="20"/>
              </w:rPr>
              <w:t>se armirana mreža sa odgovarajućim preklopom i dodatom zaštitom na otvorima i uglovima. U slučaju potrebe za dodatnim mehaničkim sidrenjem, to izvesti sa udarnim vijcima kroz armiranu mrežu 24 sata po nanosu ovog sloja.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A1523" w:rsidRDefault="006A1523">
            <w:pPr>
              <w:pStyle w:val="Standard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A1523" w:rsidRDefault="006A1523">
            <w:pPr>
              <w:pStyle w:val="Standard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A1523" w:rsidRDefault="006A1523">
            <w:pPr>
              <w:pStyle w:val="Standard"/>
              <w:rPr>
                <w:sz w:val="20"/>
                <w:szCs w:val="20"/>
              </w:rPr>
            </w:pPr>
          </w:p>
        </w:tc>
      </w:tr>
      <w:tr w:rsidR="006A1523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523" w:rsidRDefault="006A1523">
            <w:pPr>
              <w:pStyle w:val="Standard"/>
              <w:rPr>
                <w:sz w:val="20"/>
                <w:szCs w:val="20"/>
              </w:rPr>
            </w:pPr>
          </w:p>
        </w:tc>
        <w:tc>
          <w:tcPr>
            <w:tcW w:w="10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523" w:rsidRDefault="00465104">
            <w:pPr>
              <w:pStyle w:val="Standard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* armirana mrežica,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A1523" w:rsidRDefault="006A1523">
            <w:pPr>
              <w:pStyle w:val="Standard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A1523" w:rsidRDefault="006A1523">
            <w:pPr>
              <w:pStyle w:val="Standard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A1523" w:rsidRDefault="006A1523">
            <w:pPr>
              <w:pStyle w:val="Standard"/>
              <w:rPr>
                <w:sz w:val="20"/>
                <w:szCs w:val="20"/>
              </w:rPr>
            </w:pPr>
          </w:p>
        </w:tc>
      </w:tr>
      <w:tr w:rsidR="006A1523">
        <w:tblPrEx>
          <w:tblCellMar>
            <w:top w:w="0" w:type="dxa"/>
            <w:bottom w:w="0" w:type="dxa"/>
          </w:tblCellMar>
        </w:tblPrEx>
        <w:trPr>
          <w:trHeight w:val="620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523" w:rsidRDefault="006A1523">
            <w:pPr>
              <w:pStyle w:val="Standard"/>
              <w:rPr>
                <w:sz w:val="20"/>
                <w:szCs w:val="20"/>
              </w:rPr>
            </w:pPr>
          </w:p>
        </w:tc>
        <w:tc>
          <w:tcPr>
            <w:tcW w:w="10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523" w:rsidRDefault="00465104">
            <w:pPr>
              <w:pStyle w:val="Standard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* </w:t>
            </w:r>
            <w:r>
              <w:rPr>
                <w:rFonts w:ascii="Century Gothic" w:hAnsi="Century Gothic" w:cs="Arial"/>
                <w:sz w:val="20"/>
                <w:szCs w:val="20"/>
              </w:rPr>
              <w:t>drugi sloj maltera, u svemu izrađen kao prvi sloj. Ovaj malter se nanosi na dobro osušeni prvi sloj i nakon toga glača ravnjačom.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A1523" w:rsidRDefault="006A1523">
            <w:pPr>
              <w:pStyle w:val="Standard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A1523" w:rsidRDefault="006A1523">
            <w:pPr>
              <w:pStyle w:val="Standard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A1523" w:rsidRDefault="006A1523">
            <w:pPr>
              <w:pStyle w:val="Standard"/>
              <w:rPr>
                <w:sz w:val="20"/>
                <w:szCs w:val="20"/>
              </w:rPr>
            </w:pPr>
          </w:p>
        </w:tc>
      </w:tr>
      <w:tr w:rsidR="006A1523">
        <w:tblPrEx>
          <w:tblCellMar>
            <w:top w:w="0" w:type="dxa"/>
            <w:bottom w:w="0" w:type="dxa"/>
          </w:tblCellMar>
        </w:tblPrEx>
        <w:trPr>
          <w:trHeight w:val="940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523" w:rsidRDefault="006A1523">
            <w:pPr>
              <w:pStyle w:val="Standard"/>
              <w:rPr>
                <w:sz w:val="20"/>
                <w:szCs w:val="20"/>
              </w:rPr>
            </w:pPr>
          </w:p>
        </w:tc>
        <w:tc>
          <w:tcPr>
            <w:tcW w:w="10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523" w:rsidRDefault="00465104">
            <w:pPr>
              <w:pStyle w:val="Standard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* kontaktni premaz, izrađen na osnovu emulzije vještačkih smola i vodenog stakla, kao sredstva za impregnaciju osušenog </w:t>
            </w:r>
            <w:r>
              <w:rPr>
                <w:rFonts w:ascii="Century Gothic" w:hAnsi="Century Gothic" w:cs="Arial"/>
                <w:sz w:val="20"/>
                <w:szCs w:val="20"/>
              </w:rPr>
              <w:t>armiranog maltera.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A1523" w:rsidRDefault="006A1523">
            <w:pPr>
              <w:pStyle w:val="Standard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A1523" w:rsidRDefault="006A1523">
            <w:pPr>
              <w:pStyle w:val="Standard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A1523" w:rsidRDefault="006A1523">
            <w:pPr>
              <w:pStyle w:val="Standard"/>
              <w:rPr>
                <w:sz w:val="20"/>
                <w:szCs w:val="20"/>
              </w:rPr>
            </w:pPr>
          </w:p>
        </w:tc>
      </w:tr>
      <w:tr w:rsidR="006A1523">
        <w:tblPrEx>
          <w:tblCellMar>
            <w:top w:w="0" w:type="dxa"/>
            <w:bottom w:w="0" w:type="dxa"/>
          </w:tblCellMar>
        </w:tblPrEx>
        <w:trPr>
          <w:trHeight w:val="1160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523" w:rsidRDefault="006A1523">
            <w:pPr>
              <w:pStyle w:val="Standard"/>
              <w:rPr>
                <w:sz w:val="20"/>
                <w:szCs w:val="20"/>
              </w:rPr>
            </w:pPr>
          </w:p>
        </w:tc>
        <w:tc>
          <w:tcPr>
            <w:tcW w:w="10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523" w:rsidRDefault="00465104">
            <w:pPr>
              <w:pStyle w:val="Standard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* završni sloj, izrađen na osnovu mineralnih veziva, vodoodbojnih dodataka, sredstava za poboljšanje elastičnosti i otpornosti na alge i plijesni. Ovaj sloj uraditi u zrnastoj strukturi u tonu po izboru Naručioca.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A1523" w:rsidRDefault="006A1523">
            <w:pPr>
              <w:pStyle w:val="Standard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A1523" w:rsidRDefault="006A1523">
            <w:pPr>
              <w:pStyle w:val="Standard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A1523" w:rsidRDefault="006A1523">
            <w:pPr>
              <w:pStyle w:val="Standard"/>
              <w:rPr>
                <w:sz w:val="20"/>
                <w:szCs w:val="20"/>
              </w:rPr>
            </w:pPr>
          </w:p>
        </w:tc>
      </w:tr>
      <w:tr w:rsidR="006A1523">
        <w:tblPrEx>
          <w:tblCellMar>
            <w:top w:w="0" w:type="dxa"/>
            <w:bottom w:w="0" w:type="dxa"/>
          </w:tblCellMar>
        </w:tblPrEx>
        <w:trPr>
          <w:trHeight w:val="1412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523" w:rsidRDefault="006A1523">
            <w:pPr>
              <w:pStyle w:val="Standard"/>
              <w:rPr>
                <w:sz w:val="20"/>
                <w:szCs w:val="20"/>
              </w:rPr>
            </w:pPr>
          </w:p>
        </w:tc>
        <w:tc>
          <w:tcPr>
            <w:tcW w:w="10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523" w:rsidRDefault="00465104">
            <w:pPr>
              <w:pStyle w:val="Standard"/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Preje </w:t>
            </w:r>
            <w:r>
              <w:rPr>
                <w:rFonts w:ascii="Century Gothic" w:hAnsi="Century Gothic" w:cs="Arial"/>
                <w:sz w:val="20"/>
                <w:szCs w:val="20"/>
              </w:rPr>
              <w:t>postavljanja novih slojeva termofasade nanijeti prajmer koji je iz asortimana odabranog proizvodjača fasadnih sistema i koji odgovara postojećem završnom sloju fasade objekta.Dužina ankera za fasadu mora biti takva da penetrira kroz postojeći malter i ulaz</w:t>
            </w:r>
            <w:r>
              <w:rPr>
                <w:rFonts w:ascii="Century Gothic" w:hAnsi="Century Gothic" w:cs="Arial"/>
                <w:sz w:val="20"/>
                <w:szCs w:val="20"/>
              </w:rPr>
              <w:t>i u zid minimalno 5cm.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A1523" w:rsidRDefault="006A1523">
            <w:pPr>
              <w:pStyle w:val="Standard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A1523" w:rsidRDefault="006A1523">
            <w:pPr>
              <w:pStyle w:val="Standard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A1523" w:rsidRDefault="006A1523">
            <w:pPr>
              <w:pStyle w:val="Standard"/>
              <w:rPr>
                <w:sz w:val="20"/>
                <w:szCs w:val="20"/>
              </w:rPr>
            </w:pPr>
          </w:p>
        </w:tc>
      </w:tr>
      <w:tr w:rsidR="006A1523">
        <w:tblPrEx>
          <w:tblCellMar>
            <w:top w:w="0" w:type="dxa"/>
            <w:bottom w:w="0" w:type="dxa"/>
          </w:tblCellMar>
        </w:tblPrEx>
        <w:trPr>
          <w:trHeight w:val="1561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523" w:rsidRDefault="006A1523">
            <w:pPr>
              <w:pStyle w:val="Standard"/>
              <w:rPr>
                <w:sz w:val="20"/>
                <w:szCs w:val="20"/>
              </w:rPr>
            </w:pPr>
          </w:p>
        </w:tc>
        <w:tc>
          <w:tcPr>
            <w:tcW w:w="10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523" w:rsidRDefault="00465104">
            <w:pPr>
              <w:pStyle w:val="Standard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Prije početka postavljanja termo ploča moraju biti završeni sledeći radovi:</w:t>
            </w:r>
            <w:r>
              <w:rPr>
                <w:rFonts w:ascii="Century Gothic" w:hAnsi="Century Gothic" w:cs="Arial"/>
                <w:sz w:val="20"/>
                <w:szCs w:val="20"/>
              </w:rPr>
              <w:br/>
            </w:r>
            <w:r>
              <w:rPr>
                <w:rFonts w:ascii="Century Gothic" w:hAnsi="Century Gothic" w:cs="Arial"/>
                <w:sz w:val="20"/>
                <w:szCs w:val="20"/>
              </w:rPr>
              <w:t>* Svi radovi na ravnim i kosim krovovima, uključujući i pokrivanje i limarske radove,</w:t>
            </w:r>
            <w:r>
              <w:rPr>
                <w:rFonts w:ascii="Century Gothic" w:hAnsi="Century Gothic" w:cs="Arial"/>
                <w:sz w:val="20"/>
                <w:szCs w:val="20"/>
              </w:rPr>
              <w:br/>
            </w:r>
            <w:r>
              <w:rPr>
                <w:rFonts w:ascii="Century Gothic" w:hAnsi="Century Gothic" w:cs="Arial"/>
                <w:sz w:val="20"/>
                <w:szCs w:val="20"/>
              </w:rPr>
              <w:t>* Zamjena fasadne stolarije,</w:t>
            </w:r>
            <w:r>
              <w:rPr>
                <w:rFonts w:ascii="Century Gothic" w:hAnsi="Century Gothic" w:cs="Arial"/>
                <w:sz w:val="20"/>
                <w:szCs w:val="20"/>
              </w:rPr>
              <w:br/>
            </w:r>
            <w:r>
              <w:rPr>
                <w:rFonts w:ascii="Century Gothic" w:hAnsi="Century Gothic" w:cs="Arial"/>
                <w:sz w:val="20"/>
                <w:szCs w:val="20"/>
              </w:rPr>
              <w:t>*Betonske pločnike,</w:t>
            </w:r>
            <w:r>
              <w:rPr>
                <w:rFonts w:ascii="Century Gothic" w:hAnsi="Century Gothic" w:cs="Arial"/>
                <w:sz w:val="20"/>
                <w:szCs w:val="20"/>
              </w:rPr>
              <w:br/>
            </w:r>
            <w:r>
              <w:rPr>
                <w:rFonts w:ascii="Century Gothic" w:hAnsi="Century Gothic" w:cs="Arial"/>
                <w:sz w:val="20"/>
                <w:szCs w:val="20"/>
              </w:rPr>
              <w:t xml:space="preserve">*Ugradnja svih </w:t>
            </w:r>
            <w:r>
              <w:rPr>
                <w:rFonts w:ascii="Century Gothic" w:hAnsi="Century Gothic" w:cs="Arial"/>
                <w:sz w:val="20"/>
                <w:szCs w:val="20"/>
              </w:rPr>
              <w:t>predviđenih instalacija na fasadi,</w:t>
            </w:r>
            <w:r>
              <w:rPr>
                <w:rFonts w:ascii="Century Gothic" w:hAnsi="Century Gothic" w:cs="Arial"/>
                <w:sz w:val="20"/>
                <w:szCs w:val="20"/>
              </w:rPr>
              <w:br/>
            </w:r>
            <w:r>
              <w:rPr>
                <w:rFonts w:ascii="Century Gothic" w:hAnsi="Century Gothic" w:cs="Arial"/>
                <w:sz w:val="20"/>
                <w:szCs w:val="20"/>
              </w:rPr>
              <w:t>*Pokriti i zaštititi sve površine koje su ostale neobrađene – stakla, aluminijum...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A1523" w:rsidRDefault="006A1523">
            <w:pPr>
              <w:pStyle w:val="Standard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A1523" w:rsidRDefault="006A1523">
            <w:pPr>
              <w:pStyle w:val="Standard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A1523" w:rsidRDefault="006A1523">
            <w:pPr>
              <w:pStyle w:val="Standard"/>
              <w:rPr>
                <w:sz w:val="20"/>
                <w:szCs w:val="20"/>
              </w:rPr>
            </w:pPr>
          </w:p>
        </w:tc>
      </w:tr>
      <w:tr w:rsidR="006A1523">
        <w:tblPrEx>
          <w:tblCellMar>
            <w:top w:w="0" w:type="dxa"/>
            <w:bottom w:w="0" w:type="dxa"/>
          </w:tblCellMar>
        </w:tblPrEx>
        <w:trPr>
          <w:trHeight w:val="1272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523" w:rsidRDefault="006A1523">
            <w:pPr>
              <w:pStyle w:val="Standard"/>
              <w:rPr>
                <w:sz w:val="20"/>
                <w:szCs w:val="20"/>
              </w:rPr>
            </w:pPr>
          </w:p>
        </w:tc>
        <w:tc>
          <w:tcPr>
            <w:tcW w:w="10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523" w:rsidRDefault="00465104">
            <w:pPr>
              <w:pStyle w:val="Standard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*Provjera postojeće podloge na objektu:</w:t>
            </w:r>
            <w:r>
              <w:rPr>
                <w:rFonts w:ascii="Century Gothic" w:hAnsi="Century Gothic" w:cs="Arial"/>
                <w:sz w:val="20"/>
                <w:szCs w:val="20"/>
              </w:rPr>
              <w:br/>
            </w:r>
            <w:r>
              <w:rPr>
                <w:rFonts w:ascii="Century Gothic" w:hAnsi="Century Gothic" w:cs="Arial"/>
                <w:sz w:val="20"/>
                <w:szCs w:val="20"/>
              </w:rPr>
              <w:t xml:space="preserve">Na najkritičnijim mjestima na objektu treba premazati sredstvom za impregniranje – osnovni </w:t>
            </w:r>
            <w:r>
              <w:rPr>
                <w:rFonts w:ascii="Century Gothic" w:hAnsi="Century Gothic" w:cs="Arial"/>
                <w:sz w:val="20"/>
                <w:szCs w:val="20"/>
              </w:rPr>
              <w:t>premaz. Nakon što se osuši osnovni premaz treba zalijepiti test tablu minimalnih  dimenzija 10x10 cm, i to lijepkom za stiropor. Nakon što lijepak potpuno očvrsne, minimum 3 dana ukoliko su uslovi za rad adekvatni, rukom pokušati odvojiti kocku.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A1523" w:rsidRDefault="006A1523">
            <w:pPr>
              <w:pStyle w:val="Standard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A1523" w:rsidRDefault="006A1523">
            <w:pPr>
              <w:pStyle w:val="Standard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A1523" w:rsidRDefault="006A1523">
            <w:pPr>
              <w:pStyle w:val="Standard"/>
              <w:rPr>
                <w:sz w:val="20"/>
                <w:szCs w:val="20"/>
              </w:rPr>
            </w:pPr>
          </w:p>
        </w:tc>
      </w:tr>
      <w:tr w:rsidR="006A1523">
        <w:tblPrEx>
          <w:tblCellMar>
            <w:top w:w="0" w:type="dxa"/>
            <w:bottom w:w="0" w:type="dxa"/>
          </w:tblCellMar>
        </w:tblPrEx>
        <w:trPr>
          <w:trHeight w:val="1106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523" w:rsidRDefault="006A1523">
            <w:pPr>
              <w:pStyle w:val="Standard"/>
              <w:rPr>
                <w:sz w:val="20"/>
                <w:szCs w:val="20"/>
              </w:rPr>
            </w:pPr>
          </w:p>
        </w:tc>
        <w:tc>
          <w:tcPr>
            <w:tcW w:w="10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523" w:rsidRDefault="00465104">
            <w:pPr>
              <w:pStyle w:val="Standard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Ukoliko se prilikom odvajanja stiropora sa njim odvoji samo lijepak, a ne djelovi podloge – podloga je dovoljno nosiva, čvrsta i postojana.</w:t>
            </w:r>
            <w:r>
              <w:rPr>
                <w:rFonts w:ascii="Century Gothic" w:hAnsi="Century Gothic" w:cs="Arial"/>
                <w:sz w:val="20"/>
                <w:szCs w:val="20"/>
              </w:rPr>
              <w:br/>
            </w:r>
            <w:r>
              <w:rPr>
                <w:rFonts w:ascii="Century Gothic" w:hAnsi="Century Gothic" w:cs="Arial"/>
                <w:sz w:val="20"/>
                <w:szCs w:val="20"/>
              </w:rPr>
              <w:t>Ukoliko se prilikom odvajanja stiropora sa njim ne odvoji sav lijepak, tj. ostane dio lijepka na zidu a dio na stiro</w:t>
            </w:r>
            <w:r>
              <w:rPr>
                <w:rFonts w:ascii="Century Gothic" w:hAnsi="Century Gothic" w:cs="Arial"/>
                <w:sz w:val="20"/>
                <w:szCs w:val="20"/>
              </w:rPr>
              <w:t>poru – to je znak da je i lijepak koji je odabran adekvatan i čvrst.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A1523" w:rsidRDefault="006A1523">
            <w:pPr>
              <w:pStyle w:val="Standard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A1523" w:rsidRDefault="006A1523">
            <w:pPr>
              <w:pStyle w:val="Standard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A1523" w:rsidRDefault="006A1523">
            <w:pPr>
              <w:pStyle w:val="Standard"/>
              <w:rPr>
                <w:sz w:val="20"/>
                <w:szCs w:val="20"/>
              </w:rPr>
            </w:pPr>
          </w:p>
        </w:tc>
      </w:tr>
      <w:tr w:rsidR="006A1523">
        <w:tblPrEx>
          <w:tblCellMar>
            <w:top w:w="0" w:type="dxa"/>
            <w:bottom w:w="0" w:type="dxa"/>
          </w:tblCellMar>
        </w:tblPrEx>
        <w:trPr>
          <w:trHeight w:val="852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523" w:rsidRDefault="006A1523">
            <w:pPr>
              <w:pStyle w:val="Standard"/>
              <w:rPr>
                <w:sz w:val="20"/>
                <w:szCs w:val="20"/>
              </w:rPr>
            </w:pPr>
          </w:p>
        </w:tc>
        <w:tc>
          <w:tcPr>
            <w:tcW w:w="10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523" w:rsidRDefault="00465104">
            <w:pPr>
              <w:pStyle w:val="Standard"/>
            </w:pPr>
            <w:r>
              <w:rPr>
                <w:rFonts w:ascii="Century Gothic" w:hAnsi="Century Gothic" w:cs="Arial"/>
                <w:sz w:val="20"/>
                <w:szCs w:val="20"/>
              </w:rPr>
              <w:t>Ukoliko se prilikom odvajanja stiropora sa njim odvoji lijepak i djelovi podloge – to je znak da podloga nije dovoljno čvrsta i da neće izdržati novi sloj termoizolacije.</w:t>
            </w:r>
            <w:r>
              <w:rPr>
                <w:rFonts w:ascii="Century Gothic" w:hAnsi="Century Gothic" w:cs="Arial"/>
                <w:sz w:val="20"/>
                <w:szCs w:val="20"/>
              </w:rPr>
              <w:br/>
            </w:r>
            <w:r>
              <w:rPr>
                <w:rFonts w:ascii="Century Gothic" w:hAnsi="Century Gothic" w:cs="Arial"/>
                <w:sz w:val="20"/>
                <w:szCs w:val="20"/>
              </w:rPr>
              <w:t xml:space="preserve">Uglove i </w:t>
            </w:r>
            <w:r>
              <w:rPr>
                <w:rFonts w:ascii="Century Gothic" w:hAnsi="Century Gothic" w:cs="Arial"/>
                <w:sz w:val="20"/>
                <w:szCs w:val="20"/>
              </w:rPr>
              <w:t>špaletne zidnih otvora izvoditi sa armiranom mrežom ili sa upotrebom ugaonih profila.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A1523" w:rsidRDefault="006A1523">
            <w:pPr>
              <w:pStyle w:val="Standard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A1523" w:rsidRDefault="006A1523">
            <w:pPr>
              <w:pStyle w:val="Standard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A1523" w:rsidRDefault="006A1523">
            <w:pPr>
              <w:pStyle w:val="Standard"/>
              <w:rPr>
                <w:sz w:val="20"/>
                <w:szCs w:val="20"/>
              </w:rPr>
            </w:pPr>
          </w:p>
        </w:tc>
      </w:tr>
      <w:tr w:rsidR="006A1523">
        <w:tblPrEx>
          <w:tblCellMar>
            <w:top w:w="0" w:type="dxa"/>
            <w:bottom w:w="0" w:type="dxa"/>
          </w:tblCellMar>
        </w:tblPrEx>
        <w:trPr>
          <w:trHeight w:val="818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523" w:rsidRDefault="006A1523">
            <w:pPr>
              <w:pStyle w:val="Standard"/>
              <w:rPr>
                <w:sz w:val="20"/>
                <w:szCs w:val="20"/>
              </w:rPr>
            </w:pPr>
          </w:p>
        </w:tc>
        <w:tc>
          <w:tcPr>
            <w:tcW w:w="10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523" w:rsidRDefault="00465104">
            <w:pPr>
              <w:pStyle w:val="Standard"/>
              <w:rPr>
                <w:rFonts w:ascii="Century Gothic" w:hAnsi="Century Gothic" w:cs="Arial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 w:cs="Arial"/>
                <w:b/>
                <w:bCs/>
                <w:sz w:val="20"/>
                <w:szCs w:val="20"/>
              </w:rPr>
              <w:t xml:space="preserve">Ukoliko je test negativan, primijeniće se unapređene procedure koje će odrediti Investitor i novo testiranje će biti urađeno. Montaža "Demit" fasade ne smije početi </w:t>
            </w:r>
            <w:r>
              <w:rPr>
                <w:rFonts w:ascii="Century Gothic" w:hAnsi="Century Gothic" w:cs="Arial"/>
                <w:b/>
                <w:bCs/>
                <w:sz w:val="20"/>
                <w:szCs w:val="20"/>
              </w:rPr>
              <w:t>prije odobrenja metode rada od strane Investitor.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A1523" w:rsidRDefault="006A1523">
            <w:pPr>
              <w:pStyle w:val="Standard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A1523" w:rsidRDefault="006A1523">
            <w:pPr>
              <w:pStyle w:val="Standard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A1523" w:rsidRDefault="006A1523">
            <w:pPr>
              <w:pStyle w:val="Standard"/>
              <w:rPr>
                <w:sz w:val="20"/>
                <w:szCs w:val="20"/>
              </w:rPr>
            </w:pPr>
          </w:p>
        </w:tc>
      </w:tr>
      <w:tr w:rsidR="006A1523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523" w:rsidRDefault="006A1523">
            <w:pPr>
              <w:pStyle w:val="Standard"/>
              <w:rPr>
                <w:sz w:val="20"/>
                <w:szCs w:val="20"/>
              </w:rPr>
            </w:pPr>
          </w:p>
        </w:tc>
        <w:tc>
          <w:tcPr>
            <w:tcW w:w="10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523" w:rsidRDefault="00465104">
            <w:pPr>
              <w:pStyle w:val="Standard"/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Uglove i špaletne zidnih otvora izvoditi sa armiranom mrežom ili sa upotrebom ugaonih profila. Završetak fasade duž sokle izvesti sa armiranim slojem i sa ugradnjom početne U profil lajsne prilagođene </w:t>
            </w:r>
            <w:r>
              <w:rPr>
                <w:rFonts w:ascii="Century Gothic" w:hAnsi="Century Gothic" w:cs="Arial"/>
                <w:sz w:val="20"/>
                <w:szCs w:val="20"/>
              </w:rPr>
              <w:t>debljini termo ploče.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A1523" w:rsidRDefault="006A1523">
            <w:pPr>
              <w:pStyle w:val="Standard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A1523" w:rsidRDefault="006A1523">
            <w:pPr>
              <w:pStyle w:val="Standard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A1523" w:rsidRDefault="006A1523">
            <w:pPr>
              <w:pStyle w:val="Standard"/>
              <w:rPr>
                <w:sz w:val="20"/>
                <w:szCs w:val="20"/>
              </w:rPr>
            </w:pPr>
          </w:p>
        </w:tc>
      </w:tr>
      <w:tr w:rsidR="006A1523">
        <w:tblPrEx>
          <w:tblCellMar>
            <w:top w:w="0" w:type="dxa"/>
            <w:bottom w:w="0" w:type="dxa"/>
          </w:tblCellMar>
        </w:tblPrEx>
        <w:trPr>
          <w:trHeight w:val="826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523" w:rsidRDefault="006A1523">
            <w:pPr>
              <w:pStyle w:val="Standard"/>
              <w:rPr>
                <w:sz w:val="20"/>
                <w:szCs w:val="20"/>
              </w:rPr>
            </w:pPr>
          </w:p>
        </w:tc>
        <w:tc>
          <w:tcPr>
            <w:tcW w:w="10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523" w:rsidRDefault="00465104">
            <w:pPr>
              <w:pStyle w:val="Standard"/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Prije postavljanja ploča fasadnu podlogu dobro očistiti od prašine, masnih naslaga i maltera. U toku izvođenja fasade temperatura vazduha, podloge i ljepila ne smije biti ispod +5°C niti iznad +25°C. Malteri se ne smiju nanositi </w:t>
            </w:r>
            <w:r>
              <w:rPr>
                <w:rFonts w:ascii="Century Gothic" w:hAnsi="Century Gothic" w:cs="Arial"/>
                <w:sz w:val="20"/>
                <w:szCs w:val="20"/>
              </w:rPr>
              <w:t>u uslovima jakog vjetra, kiše ili magle.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A1523" w:rsidRDefault="006A1523">
            <w:pPr>
              <w:pStyle w:val="Standard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A1523" w:rsidRDefault="006A1523">
            <w:pPr>
              <w:pStyle w:val="Standard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A1523" w:rsidRDefault="006A1523">
            <w:pPr>
              <w:pStyle w:val="Standard"/>
              <w:rPr>
                <w:sz w:val="20"/>
                <w:szCs w:val="20"/>
              </w:rPr>
            </w:pPr>
          </w:p>
        </w:tc>
      </w:tr>
      <w:tr w:rsidR="006A1523">
        <w:tblPrEx>
          <w:tblCellMar>
            <w:top w:w="0" w:type="dxa"/>
            <w:bottom w:w="0" w:type="dxa"/>
          </w:tblCellMar>
        </w:tblPrEx>
        <w:trPr>
          <w:trHeight w:val="574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523" w:rsidRDefault="006A1523">
            <w:pPr>
              <w:pStyle w:val="Standard"/>
              <w:rPr>
                <w:sz w:val="20"/>
                <w:szCs w:val="20"/>
              </w:rPr>
            </w:pPr>
          </w:p>
        </w:tc>
        <w:tc>
          <w:tcPr>
            <w:tcW w:w="10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523" w:rsidRDefault="00465104">
            <w:pPr>
              <w:pStyle w:val="Standard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U jediničnu cijenu uračunata nabavka, ugradnja komplet materijala, pripremne radnje, priprema podloge, izrada termo fasade u opisanim slojevima . Obračun po m2 izvedene fasade.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A1523" w:rsidRDefault="006A1523">
            <w:pPr>
              <w:pStyle w:val="Standard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A1523" w:rsidRDefault="006A1523">
            <w:pPr>
              <w:pStyle w:val="Standard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A1523" w:rsidRDefault="006A1523">
            <w:pPr>
              <w:pStyle w:val="Standard"/>
              <w:rPr>
                <w:sz w:val="20"/>
                <w:szCs w:val="20"/>
              </w:rPr>
            </w:pPr>
          </w:p>
        </w:tc>
      </w:tr>
      <w:tr w:rsidR="006A1523">
        <w:tblPrEx>
          <w:tblCellMar>
            <w:top w:w="0" w:type="dxa"/>
            <w:bottom w:w="0" w:type="dxa"/>
          </w:tblCellMar>
        </w:tblPrEx>
        <w:trPr>
          <w:trHeight w:val="589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523" w:rsidRDefault="006A1523">
            <w:pPr>
              <w:pStyle w:val="Standard"/>
              <w:rPr>
                <w:sz w:val="20"/>
                <w:szCs w:val="20"/>
              </w:rPr>
            </w:pPr>
          </w:p>
        </w:tc>
        <w:tc>
          <w:tcPr>
            <w:tcW w:w="10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523" w:rsidRDefault="00465104">
            <w:pPr>
              <w:pStyle w:val="Standard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Napomena: </w:t>
            </w:r>
            <w:r>
              <w:rPr>
                <w:rFonts w:ascii="Century Gothic" w:hAnsi="Century Gothic" w:cs="Arial"/>
                <w:sz w:val="20"/>
                <w:szCs w:val="20"/>
              </w:rPr>
              <w:br/>
            </w:r>
            <w:r>
              <w:rPr>
                <w:rFonts w:ascii="Century Gothic" w:hAnsi="Century Gothic" w:cs="Arial"/>
                <w:sz w:val="20"/>
                <w:szCs w:val="20"/>
              </w:rPr>
              <w:t xml:space="preserve">Obrada špaletni </w:t>
            </w:r>
            <w:r>
              <w:rPr>
                <w:rFonts w:ascii="Century Gothic" w:hAnsi="Century Gothic" w:cs="Arial"/>
                <w:sz w:val="20"/>
                <w:szCs w:val="20"/>
              </w:rPr>
              <w:t>je obuhvaćena količinom i neće se posebno obračunavati.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A1523" w:rsidRDefault="006A1523">
            <w:pPr>
              <w:pStyle w:val="Standard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A1523" w:rsidRDefault="006A1523">
            <w:pPr>
              <w:pStyle w:val="Standard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A1523" w:rsidRDefault="006A1523">
            <w:pPr>
              <w:pStyle w:val="Standard"/>
              <w:rPr>
                <w:sz w:val="20"/>
                <w:szCs w:val="20"/>
              </w:rPr>
            </w:pPr>
          </w:p>
        </w:tc>
      </w:tr>
      <w:tr w:rsidR="006A1523">
        <w:tblPrEx>
          <w:tblCellMar>
            <w:top w:w="0" w:type="dxa"/>
            <w:bottom w:w="0" w:type="dxa"/>
          </w:tblCellMar>
        </w:tblPrEx>
        <w:trPr>
          <w:trHeight w:val="1623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523" w:rsidRDefault="006A1523">
            <w:pPr>
              <w:pStyle w:val="Standard"/>
              <w:rPr>
                <w:sz w:val="20"/>
                <w:szCs w:val="20"/>
              </w:rPr>
            </w:pPr>
          </w:p>
        </w:tc>
        <w:tc>
          <w:tcPr>
            <w:tcW w:w="10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523" w:rsidRDefault="00465104">
            <w:pPr>
              <w:pStyle w:val="Standard"/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Predviđeni fasadni sistemi moraju biti proizvedeni po odgovarajućim EN standardima. Kompozitni sistem spoljašnje termoizolacije (ETICS) treba da ima ETAG 004 sertifikat. ETA sertifikat (European </w:t>
            </w:r>
            <w:r>
              <w:rPr>
                <w:rFonts w:ascii="Century Gothic" w:hAnsi="Century Gothic" w:cs="Arial"/>
                <w:sz w:val="20"/>
                <w:szCs w:val="20"/>
              </w:rPr>
              <w:t>Techical Approval) je sertifikat koji izdaje Evropska Organizacija za Tehničku Saglasnost, koji potvrđuje da je termoizolacioni sistem u skladu sa parametrima koje propisuje ova organizacija – mehanička odbojnost i stabilnost, bezbijednost u slučaju požara</w:t>
            </w:r>
            <w:r>
              <w:rPr>
                <w:rFonts w:ascii="Century Gothic" w:hAnsi="Century Gothic" w:cs="Arial"/>
                <w:sz w:val="20"/>
                <w:szCs w:val="20"/>
              </w:rPr>
              <w:t>, higijena, zdravlje i ekološka održivost, bezbijednost u korišćenju, zaštita od buke, energetska efikasnost i zadržavanje toplote.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A1523" w:rsidRDefault="006A1523">
            <w:pPr>
              <w:pStyle w:val="Standard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A1523" w:rsidRDefault="006A1523">
            <w:pPr>
              <w:pStyle w:val="Standard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A1523" w:rsidRDefault="006A1523">
            <w:pPr>
              <w:pStyle w:val="Standard"/>
              <w:rPr>
                <w:sz w:val="20"/>
                <w:szCs w:val="20"/>
              </w:rPr>
            </w:pPr>
          </w:p>
        </w:tc>
      </w:tr>
      <w:tr w:rsidR="006A1523">
        <w:tblPrEx>
          <w:tblCellMar>
            <w:top w:w="0" w:type="dxa"/>
            <w:bottom w:w="0" w:type="dxa"/>
          </w:tblCellMar>
        </w:tblPrEx>
        <w:trPr>
          <w:trHeight w:val="1820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523" w:rsidRDefault="006A1523">
            <w:pPr>
              <w:pStyle w:val="Standard"/>
              <w:rPr>
                <w:sz w:val="20"/>
                <w:szCs w:val="20"/>
              </w:rPr>
            </w:pPr>
          </w:p>
        </w:tc>
        <w:tc>
          <w:tcPr>
            <w:tcW w:w="10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523" w:rsidRDefault="00465104">
            <w:pPr>
              <w:pStyle w:val="Standard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Površina fasade je računati prema opštim odredbama za odbitke kod fasaderskih radova. Uvećenja radne snage, materijala </w:t>
            </w:r>
            <w:r>
              <w:rPr>
                <w:rFonts w:ascii="Century Gothic" w:hAnsi="Century Gothic" w:cs="Arial"/>
                <w:sz w:val="20"/>
                <w:szCs w:val="20"/>
              </w:rPr>
              <w:t>i vremena usled pojave vijenaca, stubova greda i dr. na fasadi predvidjeti kroz jediničnu cijenu.Svi korišćeni fasadni slojevi ce biti iz asortimana istog proizvodjača fasadnih sistema.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A1523" w:rsidRDefault="006A1523">
            <w:pPr>
              <w:pStyle w:val="Standard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A1523" w:rsidRDefault="006A1523">
            <w:pPr>
              <w:pStyle w:val="Standard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A1523" w:rsidRDefault="006A1523">
            <w:pPr>
              <w:pStyle w:val="Standard"/>
              <w:rPr>
                <w:sz w:val="20"/>
                <w:szCs w:val="20"/>
              </w:rPr>
            </w:pPr>
          </w:p>
        </w:tc>
      </w:tr>
      <w:tr w:rsidR="006A1523">
        <w:tblPrEx>
          <w:tblCellMar>
            <w:top w:w="0" w:type="dxa"/>
            <w:bottom w:w="0" w:type="dxa"/>
          </w:tblCellMar>
        </w:tblPrEx>
        <w:trPr>
          <w:trHeight w:val="960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523" w:rsidRDefault="006A1523">
            <w:pPr>
              <w:pStyle w:val="Standard"/>
              <w:rPr>
                <w:sz w:val="20"/>
                <w:szCs w:val="20"/>
              </w:rPr>
            </w:pPr>
          </w:p>
        </w:tc>
        <w:tc>
          <w:tcPr>
            <w:tcW w:w="10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523" w:rsidRDefault="00465104">
            <w:pPr>
              <w:pStyle w:val="Standard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Napomena: Fasadne zidove prije polaganja termoizolacije obraditi </w:t>
            </w:r>
            <w:r>
              <w:rPr>
                <w:rFonts w:ascii="Century Gothic" w:hAnsi="Century Gothic" w:cs="Arial"/>
                <w:sz w:val="20"/>
                <w:szCs w:val="20"/>
              </w:rPr>
              <w:t>na način da sve debljne budu iste, sve neravnine i različite debljine na fasadi srediti malterom.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A1523" w:rsidRDefault="006A1523">
            <w:pPr>
              <w:pStyle w:val="Standard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A1523" w:rsidRDefault="006A1523">
            <w:pPr>
              <w:pStyle w:val="Standard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A1523" w:rsidRDefault="006A1523">
            <w:pPr>
              <w:pStyle w:val="Standard"/>
              <w:rPr>
                <w:sz w:val="20"/>
                <w:szCs w:val="20"/>
              </w:rPr>
            </w:pPr>
          </w:p>
        </w:tc>
      </w:tr>
      <w:tr w:rsidR="006A1523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523" w:rsidRDefault="006A1523">
            <w:pPr>
              <w:pStyle w:val="Standard"/>
              <w:rPr>
                <w:sz w:val="20"/>
                <w:szCs w:val="20"/>
              </w:rPr>
            </w:pPr>
          </w:p>
        </w:tc>
        <w:tc>
          <w:tcPr>
            <w:tcW w:w="10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523" w:rsidRDefault="00465104">
            <w:pPr>
              <w:pStyle w:val="Standard"/>
              <w:rPr>
                <w:rFonts w:ascii="Century Gothic" w:hAnsi="Century Gothic" w:cs="Arial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 w:cs="Arial"/>
                <w:b/>
                <w:bCs/>
                <w:sz w:val="20"/>
                <w:szCs w:val="20"/>
              </w:rPr>
              <w:t>EPS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A1523" w:rsidRDefault="006A1523">
            <w:pPr>
              <w:pStyle w:val="Standard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A1523" w:rsidRDefault="006A1523">
            <w:pPr>
              <w:pStyle w:val="Standard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A1523" w:rsidRDefault="006A1523">
            <w:pPr>
              <w:pStyle w:val="Standard"/>
              <w:rPr>
                <w:sz w:val="20"/>
                <w:szCs w:val="20"/>
              </w:rPr>
            </w:pPr>
          </w:p>
        </w:tc>
      </w:tr>
      <w:tr w:rsidR="006A1523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523" w:rsidRDefault="006A1523">
            <w:pPr>
              <w:pStyle w:val="Standard"/>
              <w:rPr>
                <w:sz w:val="20"/>
                <w:szCs w:val="20"/>
              </w:rPr>
            </w:pPr>
          </w:p>
        </w:tc>
        <w:tc>
          <w:tcPr>
            <w:tcW w:w="10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1523" w:rsidRDefault="00465104">
            <w:pPr>
              <w:pStyle w:val="Standard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d=3 cm + (kulir)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1523" w:rsidRDefault="00465104">
            <w:pPr>
              <w:pStyle w:val="Standard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m2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1523" w:rsidRDefault="00465104">
            <w:pPr>
              <w:pStyle w:val="Standard"/>
              <w:rPr>
                <w:rFonts w:ascii="Century Gothic" w:hAnsi="Century Gothic" w:cs="Arial"/>
                <w:color w:val="FF0000"/>
                <w:sz w:val="20"/>
                <w:szCs w:val="20"/>
              </w:rPr>
            </w:pPr>
            <w:r>
              <w:rPr>
                <w:rFonts w:ascii="Century Gothic" w:hAnsi="Century Gothic" w:cs="Arial"/>
                <w:color w:val="FF0000"/>
                <w:sz w:val="20"/>
                <w:szCs w:val="20"/>
              </w:rPr>
              <w:t xml:space="preserve">    1,00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1523" w:rsidRDefault="00465104">
            <w:pPr>
              <w:pStyle w:val="Standard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38,115 </w:t>
            </w:r>
          </w:p>
        </w:tc>
      </w:tr>
      <w:tr w:rsidR="006A1523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523" w:rsidRDefault="006A1523">
            <w:pPr>
              <w:pStyle w:val="Standard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0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1523" w:rsidRDefault="00465104">
            <w:pPr>
              <w:pStyle w:val="Standard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d=5 cm + (kulir 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1523" w:rsidRDefault="00465104">
            <w:pPr>
              <w:pStyle w:val="Standard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m2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1523" w:rsidRDefault="00465104">
            <w:pPr>
              <w:pStyle w:val="Standard"/>
              <w:rPr>
                <w:rFonts w:ascii="Century Gothic" w:hAnsi="Century Gothic" w:cs="Arial"/>
                <w:color w:val="FF0000"/>
                <w:sz w:val="20"/>
                <w:szCs w:val="20"/>
              </w:rPr>
            </w:pPr>
            <w:r>
              <w:rPr>
                <w:rFonts w:ascii="Century Gothic" w:hAnsi="Century Gothic" w:cs="Arial"/>
                <w:color w:val="FF0000"/>
                <w:sz w:val="20"/>
                <w:szCs w:val="20"/>
              </w:rPr>
              <w:t xml:space="preserve">    1,00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1523" w:rsidRDefault="00465104">
            <w:pPr>
              <w:pStyle w:val="Standard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 40,53</w:t>
            </w:r>
          </w:p>
        </w:tc>
      </w:tr>
      <w:tr w:rsidR="006A1523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523" w:rsidRDefault="006A1523">
            <w:pPr>
              <w:pStyle w:val="Standard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0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1523" w:rsidRDefault="00465104">
            <w:pPr>
              <w:pStyle w:val="Standard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d=8 cm + (kulir)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1523" w:rsidRDefault="00465104">
            <w:pPr>
              <w:pStyle w:val="Standard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m2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1523" w:rsidRDefault="00465104">
            <w:pPr>
              <w:pStyle w:val="Standard"/>
              <w:rPr>
                <w:rFonts w:ascii="Century Gothic" w:hAnsi="Century Gothic" w:cs="Arial"/>
                <w:color w:val="FF0000"/>
                <w:sz w:val="20"/>
                <w:szCs w:val="20"/>
              </w:rPr>
            </w:pPr>
            <w:r>
              <w:rPr>
                <w:rFonts w:ascii="Century Gothic" w:hAnsi="Century Gothic" w:cs="Arial"/>
                <w:color w:val="FF0000"/>
                <w:sz w:val="20"/>
                <w:szCs w:val="20"/>
              </w:rPr>
              <w:t xml:space="preserve">    1,00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1523" w:rsidRDefault="00465104">
            <w:pPr>
              <w:pStyle w:val="Standard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 44,16</w:t>
            </w:r>
          </w:p>
        </w:tc>
      </w:tr>
      <w:tr w:rsidR="006A1523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523" w:rsidRDefault="006A1523">
            <w:pPr>
              <w:pStyle w:val="Standard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0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1523" w:rsidRDefault="00465104">
            <w:pPr>
              <w:pStyle w:val="Standard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d=10 cm + (kulir)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1523" w:rsidRDefault="00465104">
            <w:pPr>
              <w:pStyle w:val="Standard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m2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1523" w:rsidRDefault="00465104">
            <w:pPr>
              <w:pStyle w:val="Standard"/>
              <w:rPr>
                <w:rFonts w:ascii="Century Gothic" w:hAnsi="Century Gothic" w:cs="Arial"/>
                <w:color w:val="FF0000"/>
                <w:sz w:val="20"/>
                <w:szCs w:val="20"/>
              </w:rPr>
            </w:pPr>
            <w:r>
              <w:rPr>
                <w:rFonts w:ascii="Century Gothic" w:hAnsi="Century Gothic" w:cs="Arial"/>
                <w:color w:val="FF0000"/>
                <w:sz w:val="20"/>
                <w:szCs w:val="20"/>
              </w:rPr>
              <w:t xml:space="preserve">    </w:t>
            </w:r>
            <w:r>
              <w:rPr>
                <w:rFonts w:ascii="Century Gothic" w:hAnsi="Century Gothic" w:cs="Arial"/>
                <w:color w:val="FF0000"/>
                <w:sz w:val="20"/>
                <w:szCs w:val="20"/>
              </w:rPr>
              <w:t>1,00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1523" w:rsidRDefault="00465104">
            <w:pPr>
              <w:pStyle w:val="Standard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 45,37</w:t>
            </w:r>
          </w:p>
        </w:tc>
      </w:tr>
      <w:tr w:rsidR="006A1523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523" w:rsidRDefault="006A1523">
            <w:pPr>
              <w:pStyle w:val="Standard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0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1523" w:rsidRDefault="006A1523">
            <w:pPr>
              <w:pStyle w:val="Standard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1523" w:rsidRDefault="006A1523">
            <w:pPr>
              <w:pStyle w:val="Standard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1523" w:rsidRDefault="006A1523">
            <w:pPr>
              <w:pStyle w:val="Standard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A1523" w:rsidRDefault="006A1523">
            <w:pPr>
              <w:pStyle w:val="Standard"/>
              <w:rPr>
                <w:sz w:val="20"/>
                <w:szCs w:val="20"/>
              </w:rPr>
            </w:pPr>
          </w:p>
        </w:tc>
      </w:tr>
      <w:tr w:rsidR="006A1523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523" w:rsidRDefault="006A1523">
            <w:pPr>
              <w:pStyle w:val="Standard"/>
              <w:rPr>
                <w:sz w:val="20"/>
                <w:szCs w:val="20"/>
              </w:rPr>
            </w:pPr>
          </w:p>
        </w:tc>
        <w:tc>
          <w:tcPr>
            <w:tcW w:w="10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523" w:rsidRDefault="00465104">
            <w:pPr>
              <w:pStyle w:val="Standard"/>
              <w:rPr>
                <w:rFonts w:ascii="Century Gothic" w:hAnsi="Century Gothic" w:cs="Arial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 w:cs="Arial"/>
                <w:b/>
                <w:bCs/>
                <w:sz w:val="20"/>
                <w:szCs w:val="20"/>
              </w:rPr>
              <w:t>XPS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A1523" w:rsidRDefault="006A1523">
            <w:pPr>
              <w:pStyle w:val="Standard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A1523" w:rsidRDefault="006A1523">
            <w:pPr>
              <w:pStyle w:val="Standard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A1523" w:rsidRDefault="006A1523">
            <w:pPr>
              <w:pStyle w:val="Standard"/>
              <w:rPr>
                <w:sz w:val="20"/>
                <w:szCs w:val="20"/>
              </w:rPr>
            </w:pPr>
          </w:p>
        </w:tc>
      </w:tr>
      <w:tr w:rsidR="006A1523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523" w:rsidRDefault="006A1523">
            <w:pPr>
              <w:pStyle w:val="Standard"/>
              <w:rPr>
                <w:sz w:val="20"/>
                <w:szCs w:val="20"/>
              </w:rPr>
            </w:pPr>
          </w:p>
        </w:tc>
        <w:tc>
          <w:tcPr>
            <w:tcW w:w="10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1523" w:rsidRDefault="00465104">
            <w:pPr>
              <w:pStyle w:val="Standard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d=3 cm + (kulir)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1523" w:rsidRDefault="00465104">
            <w:pPr>
              <w:pStyle w:val="Standard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m2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1523" w:rsidRDefault="00465104">
            <w:pPr>
              <w:pStyle w:val="Standard"/>
              <w:rPr>
                <w:rFonts w:ascii="Century Gothic" w:hAnsi="Century Gothic" w:cs="Arial"/>
                <w:color w:val="FF0000"/>
                <w:sz w:val="20"/>
                <w:szCs w:val="20"/>
              </w:rPr>
            </w:pPr>
            <w:r>
              <w:rPr>
                <w:rFonts w:ascii="Century Gothic" w:hAnsi="Century Gothic" w:cs="Arial"/>
                <w:color w:val="FF0000"/>
                <w:sz w:val="20"/>
                <w:szCs w:val="20"/>
              </w:rPr>
              <w:t xml:space="preserve">    1,00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1523" w:rsidRDefault="00465104">
            <w:pPr>
              <w:pStyle w:val="Standard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 40,53</w:t>
            </w:r>
          </w:p>
        </w:tc>
      </w:tr>
      <w:tr w:rsidR="006A1523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523" w:rsidRDefault="006A1523">
            <w:pPr>
              <w:pStyle w:val="Standard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0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1523" w:rsidRDefault="00465104">
            <w:pPr>
              <w:pStyle w:val="Standard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d=5 cm + (kulir 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1523" w:rsidRDefault="00465104">
            <w:pPr>
              <w:pStyle w:val="Standard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m2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1523" w:rsidRDefault="00465104">
            <w:pPr>
              <w:pStyle w:val="Standard"/>
              <w:rPr>
                <w:rFonts w:ascii="Century Gothic" w:hAnsi="Century Gothic" w:cs="Arial"/>
                <w:color w:val="FF0000"/>
                <w:sz w:val="20"/>
                <w:szCs w:val="20"/>
              </w:rPr>
            </w:pPr>
            <w:r>
              <w:rPr>
                <w:rFonts w:ascii="Century Gothic" w:hAnsi="Century Gothic" w:cs="Arial"/>
                <w:color w:val="FF0000"/>
                <w:sz w:val="20"/>
                <w:szCs w:val="20"/>
              </w:rPr>
              <w:t xml:space="preserve">    1,00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1523" w:rsidRDefault="00465104">
            <w:pPr>
              <w:pStyle w:val="Standard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 44,16</w:t>
            </w:r>
          </w:p>
        </w:tc>
      </w:tr>
      <w:tr w:rsidR="006A1523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523" w:rsidRDefault="006A1523">
            <w:pPr>
              <w:pStyle w:val="Standard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0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1523" w:rsidRDefault="00465104">
            <w:pPr>
              <w:pStyle w:val="Standard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d=8 cm + (kulir)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1523" w:rsidRDefault="00465104">
            <w:pPr>
              <w:pStyle w:val="Standard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m2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1523" w:rsidRDefault="00465104">
            <w:pPr>
              <w:pStyle w:val="Standard"/>
              <w:rPr>
                <w:rFonts w:ascii="Century Gothic" w:hAnsi="Century Gothic" w:cs="Arial"/>
                <w:color w:val="FF0000"/>
                <w:sz w:val="20"/>
                <w:szCs w:val="20"/>
              </w:rPr>
            </w:pPr>
            <w:r>
              <w:rPr>
                <w:rFonts w:ascii="Century Gothic" w:hAnsi="Century Gothic" w:cs="Arial"/>
                <w:color w:val="FF0000"/>
                <w:sz w:val="20"/>
                <w:szCs w:val="20"/>
              </w:rPr>
              <w:t xml:space="preserve">    1,00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1523" w:rsidRDefault="00465104">
            <w:pPr>
              <w:pStyle w:val="Standard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 49,00</w:t>
            </w:r>
          </w:p>
        </w:tc>
      </w:tr>
      <w:tr w:rsidR="006A1523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523" w:rsidRDefault="006A1523">
            <w:pPr>
              <w:pStyle w:val="Standard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0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1523" w:rsidRDefault="00465104">
            <w:pPr>
              <w:pStyle w:val="Standard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d=10 cm + (kulir)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1523" w:rsidRDefault="00465104">
            <w:pPr>
              <w:pStyle w:val="Standard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m2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1523" w:rsidRDefault="00465104">
            <w:pPr>
              <w:pStyle w:val="Standard"/>
              <w:rPr>
                <w:rFonts w:ascii="Century Gothic" w:hAnsi="Century Gothic" w:cs="Arial"/>
                <w:color w:val="FF0000"/>
                <w:sz w:val="20"/>
                <w:szCs w:val="20"/>
              </w:rPr>
            </w:pPr>
            <w:r>
              <w:rPr>
                <w:rFonts w:ascii="Century Gothic" w:hAnsi="Century Gothic" w:cs="Arial"/>
                <w:color w:val="FF0000"/>
                <w:sz w:val="20"/>
                <w:szCs w:val="20"/>
              </w:rPr>
              <w:t xml:space="preserve">    1,00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1523" w:rsidRDefault="00465104">
            <w:pPr>
              <w:pStyle w:val="Standard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 52,63</w:t>
            </w:r>
          </w:p>
        </w:tc>
      </w:tr>
      <w:tr w:rsidR="006A1523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523" w:rsidRDefault="006A1523">
            <w:pPr>
              <w:pStyle w:val="Standard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0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1523" w:rsidRDefault="006A1523">
            <w:pPr>
              <w:pStyle w:val="Standard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1523" w:rsidRDefault="006A1523">
            <w:pPr>
              <w:pStyle w:val="Standard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1523" w:rsidRDefault="006A1523">
            <w:pPr>
              <w:pStyle w:val="Standard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A1523" w:rsidRDefault="006A1523">
            <w:pPr>
              <w:pStyle w:val="Standard"/>
              <w:rPr>
                <w:sz w:val="20"/>
                <w:szCs w:val="20"/>
              </w:rPr>
            </w:pPr>
          </w:p>
        </w:tc>
      </w:tr>
      <w:tr w:rsidR="006A1523">
        <w:tblPrEx>
          <w:tblCellMar>
            <w:top w:w="0" w:type="dxa"/>
            <w:bottom w:w="0" w:type="dxa"/>
          </w:tblCellMar>
        </w:tblPrEx>
        <w:trPr>
          <w:trHeight w:val="212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523" w:rsidRDefault="006A1523">
            <w:pPr>
              <w:pStyle w:val="Standard"/>
              <w:rPr>
                <w:sz w:val="20"/>
                <w:szCs w:val="20"/>
              </w:rPr>
            </w:pPr>
          </w:p>
        </w:tc>
        <w:tc>
          <w:tcPr>
            <w:tcW w:w="10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1523" w:rsidRDefault="006A1523">
            <w:pPr>
              <w:pStyle w:val="Standard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1523" w:rsidRDefault="006A1523">
            <w:pPr>
              <w:pStyle w:val="Standard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1523" w:rsidRDefault="006A1523">
            <w:pPr>
              <w:pStyle w:val="Standard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A1523" w:rsidRDefault="006A1523">
            <w:pPr>
              <w:pStyle w:val="Standard"/>
              <w:rPr>
                <w:sz w:val="20"/>
                <w:szCs w:val="20"/>
              </w:rPr>
            </w:pPr>
          </w:p>
        </w:tc>
      </w:tr>
      <w:tr w:rsidR="006A1523">
        <w:tblPrEx>
          <w:tblCellMar>
            <w:top w:w="0" w:type="dxa"/>
            <w:bottom w:w="0" w:type="dxa"/>
          </w:tblCellMar>
        </w:tblPrEx>
        <w:trPr>
          <w:trHeight w:val="2783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523" w:rsidRDefault="00465104">
            <w:pPr>
              <w:pStyle w:val="Standard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3</w:t>
            </w:r>
          </w:p>
        </w:tc>
        <w:tc>
          <w:tcPr>
            <w:tcW w:w="10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523" w:rsidRDefault="00465104">
            <w:pPr>
              <w:pStyle w:val="Standard"/>
            </w:pPr>
            <w:r>
              <w:rPr>
                <w:rFonts w:ascii="Century Gothic" w:hAnsi="Century Gothic" w:cs="Arial"/>
                <w:sz w:val="20"/>
                <w:szCs w:val="20"/>
              </w:rPr>
              <w:t>Obrada fasadnih površina plastičnim malterom tipa "</w:t>
            </w:r>
            <w:r>
              <w:rPr>
                <w:rFonts w:ascii="Century Gothic" w:hAnsi="Century Gothic" w:cs="Arial"/>
                <w:b/>
                <w:bCs/>
                <w:sz w:val="20"/>
                <w:szCs w:val="20"/>
              </w:rPr>
              <w:t>Bavalit</w:t>
            </w:r>
            <w:r>
              <w:rPr>
                <w:rFonts w:ascii="Century Gothic" w:hAnsi="Century Gothic" w:cs="Arial"/>
                <w:sz w:val="20"/>
                <w:szCs w:val="20"/>
              </w:rPr>
              <w:t xml:space="preserve">" </w:t>
            </w:r>
            <w:r>
              <w:rPr>
                <w:rFonts w:ascii="Century Gothic" w:hAnsi="Century Gothic" w:cs="Arial"/>
                <w:sz w:val="20"/>
                <w:szCs w:val="20"/>
              </w:rPr>
              <w:t xml:space="preserve">ili sl. istih ili boljih tehničkih karakteristika, na kojima nije predviđena ugradnja termoizolacionih ploča vrste i boje po izboru projektanta (nadstrešnice, ograde terasa, kotali, plafoni terasa i slično). Podloga fasade mora biti zdrava i suva. Podlogu </w:t>
            </w:r>
            <w:r>
              <w:rPr>
                <w:rFonts w:ascii="Century Gothic" w:hAnsi="Century Gothic" w:cs="Arial"/>
                <w:sz w:val="20"/>
                <w:szCs w:val="20"/>
              </w:rPr>
              <w:t>očistiti i impregnirati izolacionom masom, radi bolje veze. Nanijeti molerskom četkom u jednom sloju, a ako podloga jako upija premazati dva puta. Kao pripremu podloge nanijeti i sloj lijepka sa mrežicom. Ostali slojevi su:* kontaktni premaz, izrađen na os</w:t>
            </w:r>
            <w:r>
              <w:rPr>
                <w:rFonts w:ascii="Century Gothic" w:hAnsi="Century Gothic" w:cs="Arial"/>
                <w:sz w:val="20"/>
                <w:szCs w:val="20"/>
              </w:rPr>
              <w:t>novu emulzije vještačkih smola i vodenog stakla, kao sredstva za impregnaciju osušenog armiranog maltera,* završni sloj, izrađen na osnovu mineralnih veziva, vodoodbojnih dodataka, sredstava za poboljšanje elastičnosti i otpornosti na alge i plijesni. Ovaj</w:t>
            </w:r>
            <w:r>
              <w:rPr>
                <w:rFonts w:ascii="Century Gothic" w:hAnsi="Century Gothic" w:cs="Arial"/>
                <w:sz w:val="20"/>
                <w:szCs w:val="20"/>
              </w:rPr>
              <w:t xml:space="preserve"> sloj uraditi u zrnastoj i glatkoj strukturi, bojiti u tonu po izboru Naručioca.Otvore i drugo zaštititi PVC folijom.U jediničnu cijenu uračunata nabavka, ugradnja kompletnog materijal, pripremne radnje i priprema podloge.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A1523" w:rsidRDefault="006A1523">
            <w:pPr>
              <w:pStyle w:val="Standard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A1523" w:rsidRDefault="006A1523">
            <w:pPr>
              <w:pStyle w:val="Standard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A1523" w:rsidRDefault="006A1523">
            <w:pPr>
              <w:pStyle w:val="Standard"/>
              <w:rPr>
                <w:sz w:val="20"/>
                <w:szCs w:val="20"/>
              </w:rPr>
            </w:pPr>
          </w:p>
        </w:tc>
      </w:tr>
      <w:tr w:rsidR="006A1523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523" w:rsidRDefault="006A1523">
            <w:pPr>
              <w:pStyle w:val="Standard"/>
              <w:rPr>
                <w:sz w:val="20"/>
                <w:szCs w:val="20"/>
              </w:rPr>
            </w:pPr>
          </w:p>
        </w:tc>
        <w:tc>
          <w:tcPr>
            <w:tcW w:w="10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1523" w:rsidRDefault="00465104">
            <w:pPr>
              <w:pStyle w:val="Standard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Obračun po m2 razvijene </w:t>
            </w:r>
            <w:r>
              <w:rPr>
                <w:rFonts w:ascii="Century Gothic" w:hAnsi="Century Gothic" w:cs="Arial"/>
                <w:sz w:val="20"/>
                <w:szCs w:val="20"/>
              </w:rPr>
              <w:t>površine fasade + bavalit svijetlog tona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1523" w:rsidRDefault="00465104">
            <w:pPr>
              <w:pStyle w:val="Standard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m2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1523" w:rsidRDefault="00465104">
            <w:pPr>
              <w:pStyle w:val="Standard"/>
              <w:rPr>
                <w:rFonts w:ascii="Century Gothic" w:hAnsi="Century Gothic" w:cs="Arial"/>
                <w:color w:val="FF0000"/>
                <w:sz w:val="20"/>
                <w:szCs w:val="20"/>
              </w:rPr>
            </w:pPr>
            <w:r>
              <w:rPr>
                <w:rFonts w:ascii="Century Gothic" w:hAnsi="Century Gothic" w:cs="Arial"/>
                <w:color w:val="FF0000"/>
                <w:sz w:val="20"/>
                <w:szCs w:val="20"/>
              </w:rPr>
              <w:t xml:space="preserve">    1,00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1523" w:rsidRDefault="00465104">
            <w:pPr>
              <w:pStyle w:val="Standard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 12,10</w:t>
            </w:r>
          </w:p>
        </w:tc>
      </w:tr>
      <w:tr w:rsidR="006A1523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523" w:rsidRDefault="006A1523">
            <w:pPr>
              <w:pStyle w:val="Standard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0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1523" w:rsidRDefault="00465104">
            <w:pPr>
              <w:pStyle w:val="Standard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Obračun po m2 razvijene površine fasade + bavalit tamnog tona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1523" w:rsidRDefault="00465104">
            <w:pPr>
              <w:pStyle w:val="Standard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m2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1523" w:rsidRDefault="00465104">
            <w:pPr>
              <w:pStyle w:val="Standard"/>
              <w:rPr>
                <w:rFonts w:ascii="Century Gothic" w:hAnsi="Century Gothic" w:cs="Arial"/>
                <w:color w:val="FF0000"/>
                <w:sz w:val="20"/>
                <w:szCs w:val="20"/>
              </w:rPr>
            </w:pPr>
            <w:r>
              <w:rPr>
                <w:rFonts w:ascii="Century Gothic" w:hAnsi="Century Gothic" w:cs="Arial"/>
                <w:color w:val="FF0000"/>
                <w:sz w:val="20"/>
                <w:szCs w:val="20"/>
              </w:rPr>
              <w:t xml:space="preserve">    1,00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1523" w:rsidRDefault="00465104">
            <w:pPr>
              <w:pStyle w:val="Standard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 15,12</w:t>
            </w:r>
          </w:p>
        </w:tc>
      </w:tr>
      <w:tr w:rsidR="006A1523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523" w:rsidRDefault="006A1523">
            <w:pPr>
              <w:pStyle w:val="Standard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0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1523" w:rsidRDefault="006A1523">
            <w:pPr>
              <w:pStyle w:val="Standard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1523" w:rsidRDefault="006A1523">
            <w:pPr>
              <w:pStyle w:val="Standard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1523" w:rsidRDefault="006A1523">
            <w:pPr>
              <w:pStyle w:val="Standard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A1523" w:rsidRDefault="006A1523">
            <w:pPr>
              <w:pStyle w:val="Standard"/>
              <w:rPr>
                <w:sz w:val="20"/>
                <w:szCs w:val="20"/>
              </w:rPr>
            </w:pPr>
          </w:p>
        </w:tc>
      </w:tr>
      <w:tr w:rsidR="006A1523">
        <w:tblPrEx>
          <w:tblCellMar>
            <w:top w:w="0" w:type="dxa"/>
            <w:bottom w:w="0" w:type="dxa"/>
          </w:tblCellMar>
        </w:tblPrEx>
        <w:trPr>
          <w:trHeight w:val="2546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523" w:rsidRDefault="00465104">
            <w:pPr>
              <w:pStyle w:val="Standard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4</w:t>
            </w:r>
          </w:p>
        </w:tc>
        <w:tc>
          <w:tcPr>
            <w:tcW w:w="10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523" w:rsidRDefault="00465104">
            <w:pPr>
              <w:pStyle w:val="Standard"/>
            </w:pPr>
            <w:r>
              <w:rPr>
                <w:rFonts w:ascii="Century Gothic" w:hAnsi="Century Gothic" w:cs="Arial"/>
                <w:sz w:val="20"/>
                <w:szCs w:val="20"/>
              </w:rPr>
              <w:t>Obrada fasadnih površina plastičnim malterom tipa "</w:t>
            </w:r>
            <w:r>
              <w:rPr>
                <w:rFonts w:ascii="Century Gothic" w:hAnsi="Century Gothic" w:cs="Arial"/>
                <w:b/>
                <w:bCs/>
                <w:sz w:val="20"/>
                <w:szCs w:val="20"/>
              </w:rPr>
              <w:t>Kulir</w:t>
            </w:r>
            <w:r>
              <w:rPr>
                <w:rFonts w:ascii="Century Gothic" w:hAnsi="Century Gothic" w:cs="Arial"/>
                <w:sz w:val="20"/>
                <w:szCs w:val="20"/>
              </w:rPr>
              <w:t xml:space="preserve">" ili sl. istih ili boljih tehničkih </w:t>
            </w:r>
            <w:r>
              <w:rPr>
                <w:rFonts w:ascii="Century Gothic" w:hAnsi="Century Gothic" w:cs="Arial"/>
                <w:sz w:val="20"/>
                <w:szCs w:val="20"/>
              </w:rPr>
              <w:t>karakteristika, na kojima nije predviđena ugradnja termoizolacionih ploča vrste i boje po izboru projektanta (nadstrešnice, ograde terasa, kotali, plafoni terasa i slično). Podloga fasade mora biti zdrava i suva. Podlogu očistiti i impregnirati izolacionom</w:t>
            </w:r>
            <w:r>
              <w:rPr>
                <w:rFonts w:ascii="Century Gothic" w:hAnsi="Century Gothic" w:cs="Arial"/>
                <w:sz w:val="20"/>
                <w:szCs w:val="20"/>
              </w:rPr>
              <w:t xml:space="preserve"> masom, radi bolje veze. Nanijeti molerskom četkom u jednom sloju, a ako podloga jako upija premazati dva puta. Kao pripremu podloge nanijeti i sloj lijepka sa mrežicom. Ostali slojevi su:* kontaktni premaz, izrađen na osnovu emulzije vještačkih smola i vo</w:t>
            </w:r>
            <w:r>
              <w:rPr>
                <w:rFonts w:ascii="Century Gothic" w:hAnsi="Century Gothic" w:cs="Arial"/>
                <w:sz w:val="20"/>
                <w:szCs w:val="20"/>
              </w:rPr>
              <w:t>denog stakla, kao sredstva za impregnaciju osušenog armiranog maltera,* završni sloj, izrađen na osnovu mineralnih veziva, vodoodbojnih dodataka, sredstava za poboljšanje elastičnosti i otpornosti na alge i plijesni. Ovaj sloj uraditi u zrnastojcstrukturi,</w:t>
            </w:r>
            <w:r>
              <w:rPr>
                <w:rFonts w:ascii="Century Gothic" w:hAnsi="Century Gothic" w:cs="Arial"/>
                <w:sz w:val="20"/>
                <w:szCs w:val="20"/>
              </w:rPr>
              <w:t xml:space="preserve"> u tonu po izboru Naručioca.Otvore i drugo zaštititi PVC folijom.U jediničnu cijenu uračunata nabavka, ugradnja kompletnog materijal, pripremne radnje i priprema podloge.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A1523" w:rsidRDefault="006A1523">
            <w:pPr>
              <w:pStyle w:val="Standard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A1523" w:rsidRDefault="006A1523">
            <w:pPr>
              <w:pStyle w:val="Standard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A1523" w:rsidRDefault="006A1523">
            <w:pPr>
              <w:pStyle w:val="Standard"/>
              <w:rPr>
                <w:sz w:val="20"/>
                <w:szCs w:val="20"/>
              </w:rPr>
            </w:pPr>
          </w:p>
        </w:tc>
      </w:tr>
      <w:tr w:rsidR="006A1523">
        <w:tblPrEx>
          <w:tblCellMar>
            <w:top w:w="0" w:type="dxa"/>
            <w:bottom w:w="0" w:type="dxa"/>
          </w:tblCellMar>
        </w:tblPrEx>
        <w:trPr>
          <w:trHeight w:val="440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523" w:rsidRDefault="006A1523">
            <w:pPr>
              <w:pStyle w:val="Standard"/>
              <w:rPr>
                <w:sz w:val="20"/>
                <w:szCs w:val="20"/>
              </w:rPr>
            </w:pPr>
          </w:p>
        </w:tc>
        <w:tc>
          <w:tcPr>
            <w:tcW w:w="10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1523" w:rsidRDefault="00465104">
            <w:pPr>
              <w:pStyle w:val="Standard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Obračun po m2 razvijene površine fasade + kulir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1523" w:rsidRDefault="00465104">
            <w:pPr>
              <w:pStyle w:val="Standard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m2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1523" w:rsidRDefault="00465104">
            <w:pPr>
              <w:pStyle w:val="Standard"/>
              <w:rPr>
                <w:rFonts w:ascii="Century Gothic" w:hAnsi="Century Gothic" w:cs="Arial"/>
                <w:color w:val="FF0000"/>
                <w:sz w:val="20"/>
                <w:szCs w:val="20"/>
              </w:rPr>
            </w:pPr>
            <w:r>
              <w:rPr>
                <w:rFonts w:ascii="Century Gothic" w:hAnsi="Century Gothic" w:cs="Arial"/>
                <w:color w:val="FF0000"/>
                <w:sz w:val="20"/>
                <w:szCs w:val="20"/>
              </w:rPr>
              <w:t xml:space="preserve">    1,00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1523" w:rsidRDefault="00465104">
            <w:pPr>
              <w:pStyle w:val="Standard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20,57</w:t>
            </w:r>
          </w:p>
        </w:tc>
      </w:tr>
      <w:tr w:rsidR="006A1523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523" w:rsidRDefault="006A1523">
            <w:pPr>
              <w:pStyle w:val="Standard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0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1523" w:rsidRDefault="006A1523">
            <w:pPr>
              <w:pStyle w:val="Standard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1523" w:rsidRDefault="006A1523">
            <w:pPr>
              <w:pStyle w:val="Standard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1523" w:rsidRDefault="006A1523">
            <w:pPr>
              <w:pStyle w:val="Standard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A1523" w:rsidRDefault="006A1523">
            <w:pPr>
              <w:pStyle w:val="Standard"/>
              <w:rPr>
                <w:sz w:val="20"/>
                <w:szCs w:val="20"/>
              </w:rPr>
            </w:pPr>
          </w:p>
        </w:tc>
      </w:tr>
      <w:tr w:rsidR="006A1523">
        <w:tblPrEx>
          <w:tblCellMar>
            <w:top w:w="0" w:type="dxa"/>
            <w:bottom w:w="0" w:type="dxa"/>
          </w:tblCellMar>
        </w:tblPrEx>
        <w:trPr>
          <w:trHeight w:val="2741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523" w:rsidRDefault="00465104">
            <w:pPr>
              <w:pStyle w:val="Standard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lastRenderedPageBreak/>
              <w:t>5</w:t>
            </w:r>
          </w:p>
        </w:tc>
        <w:tc>
          <w:tcPr>
            <w:tcW w:w="10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523" w:rsidRDefault="00465104">
            <w:pPr>
              <w:pStyle w:val="Standard"/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Nabavka materijala i obrada spoljašnjih špaletni fasadnih otvora u "demit" izvedbi (samo za otvore veće od 5m2, dok se obrada špaletni za otvore manje od 5m2 posebno ne obračunava - uračunato u cijenu kvadrata termoizolacione fasade). Špaletne se obrađuju </w:t>
            </w:r>
            <w:r>
              <w:rPr>
                <w:rFonts w:ascii="Century Gothic" w:hAnsi="Century Gothic" w:cs="Arial"/>
                <w:sz w:val="20"/>
                <w:szCs w:val="20"/>
              </w:rPr>
              <w:t xml:space="preserve">lijepljenjem uz tiplovanje fasadnog 17-gramskog stiropora d=3cm sa navlačenjem dva sloja ljepila sa umetanjem mrežice. Širina špaletne je 20-25cm. </w:t>
            </w:r>
            <w:r>
              <w:rPr>
                <w:rFonts w:ascii="Century Gothic" w:hAnsi="Century Gothic" w:cs="Arial"/>
                <w:b/>
                <w:bCs/>
                <w:sz w:val="20"/>
                <w:szCs w:val="20"/>
              </w:rPr>
              <w:t xml:space="preserve">Završni sloj je dekorativni zaribani malter , u boji po izboru Investitora </w:t>
            </w:r>
            <w:r>
              <w:rPr>
                <w:rFonts w:ascii="Century Gothic" w:hAnsi="Century Gothic" w:cs="Arial"/>
                <w:sz w:val="20"/>
                <w:szCs w:val="20"/>
              </w:rPr>
              <w:t>. Prilikom nanošenja završnog sloj</w:t>
            </w:r>
            <w:r>
              <w:rPr>
                <w:rFonts w:ascii="Century Gothic" w:hAnsi="Century Gothic" w:cs="Arial"/>
                <w:sz w:val="20"/>
                <w:szCs w:val="20"/>
              </w:rPr>
              <w:t>a - bavalita, voditi računa da se zaštiti fasadna bravarija i staklene površine. Spoj bavalita i bravarije je potrebno zapuniti acetatnim silikonom. U cijenu je uključen sav prateći rad i materijal. NAPOMENA: Sve četiri špaletne u fasadnom otvoru se obrađu</w:t>
            </w:r>
            <w:r>
              <w:rPr>
                <w:rFonts w:ascii="Century Gothic" w:hAnsi="Century Gothic" w:cs="Arial"/>
                <w:sz w:val="20"/>
                <w:szCs w:val="20"/>
              </w:rPr>
              <w:t>ju na isti način, sa razlikom što se donja - parapetna ne obrađuje finalnim slojem dekorativnog maltera - bavalita obzirom da se montira aluminijumski solbank. OBAVEZNO OBEZBJEDITI VODONEPROPUSNOST na kontaktu prozora i špaletne sa spoljne strane (po izbor</w:t>
            </w:r>
            <w:r>
              <w:rPr>
                <w:rFonts w:ascii="Century Gothic" w:hAnsi="Century Gothic" w:cs="Arial"/>
                <w:sz w:val="20"/>
                <w:szCs w:val="20"/>
              </w:rPr>
              <w:t>u izvođača bilo koristeći ugradnju po RALu tamo gdje je to potrebno ili dr).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A1523" w:rsidRDefault="006A1523">
            <w:pPr>
              <w:pStyle w:val="Standard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A1523" w:rsidRDefault="006A1523">
            <w:pPr>
              <w:pStyle w:val="Standard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A1523" w:rsidRDefault="006A1523">
            <w:pPr>
              <w:pStyle w:val="Standard"/>
              <w:rPr>
                <w:sz w:val="20"/>
                <w:szCs w:val="20"/>
              </w:rPr>
            </w:pPr>
          </w:p>
        </w:tc>
      </w:tr>
      <w:tr w:rsidR="006A1523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523" w:rsidRDefault="006A1523">
            <w:pPr>
              <w:pStyle w:val="Standard"/>
              <w:rPr>
                <w:sz w:val="20"/>
                <w:szCs w:val="20"/>
              </w:rPr>
            </w:pPr>
          </w:p>
        </w:tc>
        <w:tc>
          <w:tcPr>
            <w:tcW w:w="10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1523" w:rsidRDefault="00465104">
            <w:pPr>
              <w:pStyle w:val="Standard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Obračun po m obrađene špaletne + (bavalit svijetli ton)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1523" w:rsidRDefault="00465104">
            <w:pPr>
              <w:pStyle w:val="Standard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m1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1523" w:rsidRDefault="00465104">
            <w:pPr>
              <w:pStyle w:val="Standard"/>
              <w:rPr>
                <w:rFonts w:ascii="Century Gothic" w:hAnsi="Century Gothic" w:cs="Arial"/>
                <w:color w:val="FF0000"/>
                <w:sz w:val="20"/>
                <w:szCs w:val="20"/>
              </w:rPr>
            </w:pPr>
            <w:r>
              <w:rPr>
                <w:rFonts w:ascii="Century Gothic" w:hAnsi="Century Gothic" w:cs="Arial"/>
                <w:color w:val="FF0000"/>
                <w:sz w:val="20"/>
                <w:szCs w:val="20"/>
              </w:rPr>
              <w:t xml:space="preserve">    1,00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1523" w:rsidRDefault="00465104">
            <w:pPr>
              <w:pStyle w:val="Standard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 5,44</w:t>
            </w:r>
          </w:p>
        </w:tc>
      </w:tr>
      <w:tr w:rsidR="006A1523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523" w:rsidRDefault="006A1523">
            <w:pPr>
              <w:pStyle w:val="Standard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0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1523" w:rsidRDefault="00465104">
            <w:pPr>
              <w:pStyle w:val="Standard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Obračun po m obrađene špaletne + (bavalit tamni ton)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1523" w:rsidRDefault="00465104">
            <w:pPr>
              <w:pStyle w:val="Standard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m1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1523" w:rsidRDefault="00465104">
            <w:pPr>
              <w:pStyle w:val="Standard"/>
              <w:rPr>
                <w:rFonts w:ascii="Century Gothic" w:hAnsi="Century Gothic" w:cs="Arial"/>
                <w:color w:val="FF0000"/>
                <w:sz w:val="20"/>
                <w:szCs w:val="20"/>
              </w:rPr>
            </w:pPr>
            <w:r>
              <w:rPr>
                <w:rFonts w:ascii="Century Gothic" w:hAnsi="Century Gothic" w:cs="Arial"/>
                <w:color w:val="FF0000"/>
                <w:sz w:val="20"/>
                <w:szCs w:val="20"/>
              </w:rPr>
              <w:t xml:space="preserve">    1,00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1523" w:rsidRDefault="00465104">
            <w:pPr>
              <w:pStyle w:val="Standard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 7,26</w:t>
            </w:r>
          </w:p>
        </w:tc>
      </w:tr>
      <w:tr w:rsidR="006A1523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523" w:rsidRDefault="006A1523">
            <w:pPr>
              <w:pStyle w:val="Standard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0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1523" w:rsidRDefault="006A1523">
            <w:pPr>
              <w:pStyle w:val="Standard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1523" w:rsidRDefault="006A1523">
            <w:pPr>
              <w:pStyle w:val="Standard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1523" w:rsidRDefault="006A1523">
            <w:pPr>
              <w:pStyle w:val="Standard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A1523" w:rsidRDefault="006A1523">
            <w:pPr>
              <w:pStyle w:val="Standard"/>
              <w:rPr>
                <w:sz w:val="20"/>
                <w:szCs w:val="20"/>
              </w:rPr>
            </w:pPr>
          </w:p>
        </w:tc>
      </w:tr>
      <w:tr w:rsidR="006A1523">
        <w:tblPrEx>
          <w:tblCellMar>
            <w:top w:w="0" w:type="dxa"/>
            <w:bottom w:w="0" w:type="dxa"/>
          </w:tblCellMar>
        </w:tblPrEx>
        <w:trPr>
          <w:trHeight w:val="2971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523" w:rsidRDefault="00465104">
            <w:pPr>
              <w:pStyle w:val="Standard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6</w:t>
            </w:r>
          </w:p>
        </w:tc>
        <w:tc>
          <w:tcPr>
            <w:tcW w:w="10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523" w:rsidRDefault="00465104">
            <w:pPr>
              <w:pStyle w:val="Standard"/>
            </w:pPr>
            <w:r>
              <w:rPr>
                <w:rFonts w:ascii="Century Gothic" w:hAnsi="Century Gothic" w:cs="Arial"/>
                <w:sz w:val="20"/>
                <w:szCs w:val="20"/>
              </w:rPr>
              <w:t>Nabavka materijala</w:t>
            </w:r>
            <w:r>
              <w:rPr>
                <w:rFonts w:ascii="Century Gothic" w:hAnsi="Century Gothic" w:cs="Arial"/>
                <w:sz w:val="20"/>
                <w:szCs w:val="20"/>
              </w:rPr>
              <w:t xml:space="preserve"> i obrada spoljašnjih špaletni fasadnih otvora u "demit" izvedbi (samo za otvore veće od 5m2, dok se obrada špaletni za otvore manje od 5m2 posebno ne obračunava - uračunato u cijenu kvadrata termoizolacione fasade). Špaletne se obrađuju lijepljenjem uz ti</w:t>
            </w:r>
            <w:r>
              <w:rPr>
                <w:rFonts w:ascii="Century Gothic" w:hAnsi="Century Gothic" w:cs="Arial"/>
                <w:sz w:val="20"/>
                <w:szCs w:val="20"/>
              </w:rPr>
              <w:t xml:space="preserve">plovanje fasadnog 17-gramskog stiropora d=3cm sa navlačenjem dva sloja ljepila sa umetanjem mrežice. Širina špaletne je 20-25cm. </w:t>
            </w:r>
            <w:r>
              <w:rPr>
                <w:rFonts w:ascii="Century Gothic" w:hAnsi="Century Gothic" w:cs="Arial"/>
                <w:b/>
                <w:bCs/>
                <w:sz w:val="20"/>
                <w:szCs w:val="20"/>
              </w:rPr>
              <w:t>Završni sloj je dekorativni zaribani malter tipa kulir</w:t>
            </w:r>
            <w:r>
              <w:rPr>
                <w:rFonts w:ascii="Century Gothic" w:hAnsi="Century Gothic" w:cs="Arial"/>
                <w:sz w:val="20"/>
                <w:szCs w:val="20"/>
              </w:rPr>
              <w:t>, u boji po izboru Investitora. Prilikom nanošenja završnog sloja - kulir</w:t>
            </w:r>
            <w:r>
              <w:rPr>
                <w:rFonts w:ascii="Century Gothic" w:hAnsi="Century Gothic" w:cs="Arial"/>
                <w:sz w:val="20"/>
                <w:szCs w:val="20"/>
              </w:rPr>
              <w:t xml:space="preserve">a, voditi računa da se zaštiti fasadna bravarija i staklene površine. Spoj bavalita i bravarije je potrebno zapuniti acetatnim silikonom. U cijenu je uključen sav prateći rad i materijal. NAPOMENA: Sve četiri špaletne u fasadnom otvoru se obrađuju na isti </w:t>
            </w:r>
            <w:r>
              <w:rPr>
                <w:rFonts w:ascii="Century Gothic" w:hAnsi="Century Gothic" w:cs="Arial"/>
                <w:sz w:val="20"/>
                <w:szCs w:val="20"/>
              </w:rPr>
              <w:t>način, sa razlikom što se donja - parapetna ne obrađuje finalnim slojem dekorativnog maltera - kulira obzirom da se montira aluminijumski solbank. OBAVEZNO OBEZBJEDITI VODONEPROPUSNOST na kontaktu prozora i špaletne sa spoljne strane (po izboru izvođača bi</w:t>
            </w:r>
            <w:r>
              <w:rPr>
                <w:rFonts w:ascii="Century Gothic" w:hAnsi="Century Gothic" w:cs="Arial"/>
                <w:sz w:val="20"/>
                <w:szCs w:val="20"/>
              </w:rPr>
              <w:t>lo koristeći ugradnju po RALu tamo gdje je to potrebno ili dr).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A1523" w:rsidRDefault="006A1523">
            <w:pPr>
              <w:pStyle w:val="Standard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A1523" w:rsidRDefault="006A1523">
            <w:pPr>
              <w:pStyle w:val="Standard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A1523" w:rsidRDefault="006A1523">
            <w:pPr>
              <w:pStyle w:val="Standard"/>
              <w:rPr>
                <w:sz w:val="20"/>
                <w:szCs w:val="20"/>
              </w:rPr>
            </w:pPr>
          </w:p>
        </w:tc>
      </w:tr>
      <w:tr w:rsidR="006A1523">
        <w:tblPrEx>
          <w:tblCellMar>
            <w:top w:w="0" w:type="dxa"/>
            <w:bottom w:w="0" w:type="dxa"/>
          </w:tblCellMar>
        </w:tblPrEx>
        <w:trPr>
          <w:trHeight w:val="400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523" w:rsidRDefault="006A1523">
            <w:pPr>
              <w:pStyle w:val="Standard"/>
              <w:rPr>
                <w:sz w:val="20"/>
                <w:szCs w:val="20"/>
              </w:rPr>
            </w:pPr>
          </w:p>
        </w:tc>
        <w:tc>
          <w:tcPr>
            <w:tcW w:w="10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1523" w:rsidRDefault="00465104">
            <w:pPr>
              <w:pStyle w:val="Standard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Obračun po m obrađene špaletne + (kulir 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1523" w:rsidRDefault="00465104">
            <w:pPr>
              <w:pStyle w:val="Standard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m1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1523" w:rsidRDefault="00465104">
            <w:pPr>
              <w:pStyle w:val="Standard"/>
              <w:rPr>
                <w:rFonts w:ascii="Century Gothic" w:hAnsi="Century Gothic" w:cs="Arial"/>
                <w:color w:val="FF0000"/>
                <w:sz w:val="20"/>
                <w:szCs w:val="20"/>
              </w:rPr>
            </w:pPr>
            <w:r>
              <w:rPr>
                <w:rFonts w:ascii="Century Gothic" w:hAnsi="Century Gothic" w:cs="Arial"/>
                <w:color w:val="FF0000"/>
                <w:sz w:val="20"/>
                <w:szCs w:val="20"/>
              </w:rPr>
              <w:t xml:space="preserve">    1,00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1523" w:rsidRDefault="00465104">
            <w:pPr>
              <w:pStyle w:val="Standard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 7,26</w:t>
            </w:r>
          </w:p>
        </w:tc>
      </w:tr>
    </w:tbl>
    <w:p w:rsidR="006A1523" w:rsidRDefault="006A1523">
      <w:pPr>
        <w:pStyle w:val="Standard"/>
        <w:spacing w:after="120"/>
        <w:rPr>
          <w:rFonts w:ascii="Verdana" w:hAnsi="Verdana"/>
        </w:rPr>
      </w:pPr>
    </w:p>
    <w:bookmarkEnd w:id="0"/>
    <w:p w:rsidR="006A1523" w:rsidRDefault="006A1523">
      <w:pPr>
        <w:pStyle w:val="Standard"/>
        <w:spacing w:after="120"/>
        <w:rPr>
          <w:rFonts w:ascii="Verdana" w:hAnsi="Verdana"/>
        </w:rPr>
      </w:pPr>
    </w:p>
    <w:sectPr w:rsidR="006A1523">
      <w:endnotePr>
        <w:numFmt w:val="decimal"/>
      </w:endnotePr>
      <w:pgSz w:w="16838" w:h="11906" w:orient="landscape"/>
      <w:pgMar w:top="709" w:right="993" w:bottom="793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5104" w:rsidRDefault="00465104">
      <w:r>
        <w:separator/>
      </w:r>
    </w:p>
  </w:endnote>
  <w:endnote w:type="continuationSeparator" w:id="0">
    <w:p w:rsidR="00465104" w:rsidRDefault="004651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 Bold">
    <w:panose1 w:val="02020803070505020304"/>
    <w:charset w:val="00"/>
    <w:family w:val="roman"/>
    <w:pitch w:val="variable"/>
  </w:font>
  <w:font w:name="CG Times">
    <w:charset w:val="00"/>
    <w:family w:val="roman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Helv Ciril">
    <w:charset w:val="00"/>
    <w:family w:val="roman"/>
    <w:pitch w:val="variable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5104" w:rsidRDefault="00465104">
      <w:r>
        <w:rPr>
          <w:color w:val="000000"/>
        </w:rPr>
        <w:separator/>
      </w:r>
    </w:p>
  </w:footnote>
  <w:footnote w:type="continuationSeparator" w:id="0">
    <w:p w:rsidR="00465104" w:rsidRDefault="004651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595108"/>
    <w:multiLevelType w:val="multilevel"/>
    <w:tmpl w:val="C7EC5E3A"/>
    <w:styleLink w:val="WWNum21"/>
    <w:lvl w:ilvl="0">
      <w:numFmt w:val="bullet"/>
      <w:lvlText w:val="-"/>
      <w:lvlJc w:val="left"/>
      <w:pPr>
        <w:ind w:left="1349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2069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2789" w:hanging="360"/>
      </w:pPr>
    </w:lvl>
    <w:lvl w:ilvl="3">
      <w:numFmt w:val="bullet"/>
      <w:lvlText w:val=""/>
      <w:lvlJc w:val="left"/>
      <w:pPr>
        <w:ind w:left="3509" w:hanging="360"/>
      </w:pPr>
    </w:lvl>
    <w:lvl w:ilvl="4">
      <w:numFmt w:val="bullet"/>
      <w:lvlText w:val="o"/>
      <w:lvlJc w:val="left"/>
      <w:pPr>
        <w:ind w:left="4229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4949" w:hanging="360"/>
      </w:pPr>
    </w:lvl>
    <w:lvl w:ilvl="6">
      <w:numFmt w:val="bullet"/>
      <w:lvlText w:val=""/>
      <w:lvlJc w:val="left"/>
      <w:pPr>
        <w:ind w:left="5669" w:hanging="360"/>
      </w:pPr>
    </w:lvl>
    <w:lvl w:ilvl="7">
      <w:numFmt w:val="bullet"/>
      <w:lvlText w:val="o"/>
      <w:lvlJc w:val="left"/>
      <w:pPr>
        <w:ind w:left="6389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7109" w:hanging="360"/>
      </w:pPr>
    </w:lvl>
  </w:abstractNum>
  <w:abstractNum w:abstractNumId="1" w15:restartNumberingAfterBreak="0">
    <w:nsid w:val="07D113A3"/>
    <w:multiLevelType w:val="multilevel"/>
    <w:tmpl w:val="0B0C4B62"/>
    <w:styleLink w:val="WWNum18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2" w15:restartNumberingAfterBreak="0">
    <w:nsid w:val="0A3F4D99"/>
    <w:multiLevelType w:val="multilevel"/>
    <w:tmpl w:val="76A4DD68"/>
    <w:styleLink w:val="Outline1"/>
    <w:lvl w:ilvl="0">
      <w:start w:val="1"/>
      <w:numFmt w:val="none"/>
      <w:lvlText w:val="%1"/>
      <w:lvlJc w:val="left"/>
      <w:pPr>
        <w:ind w:left="432" w:hanging="432"/>
      </w:pPr>
    </w:lvl>
    <w:lvl w:ilvl="1">
      <w:start w:val="1"/>
      <w:numFmt w:val="none"/>
      <w:lvlText w:val="%2"/>
      <w:lvlJc w:val="left"/>
      <w:pPr>
        <w:ind w:left="576" w:hanging="576"/>
      </w:pPr>
    </w:lvl>
    <w:lvl w:ilvl="2">
      <w:start w:val="1"/>
      <w:numFmt w:val="none"/>
      <w:lvlText w:val="%3"/>
      <w:lvlJc w:val="left"/>
      <w:pPr>
        <w:ind w:left="720" w:hanging="720"/>
      </w:pPr>
    </w:lvl>
    <w:lvl w:ilvl="3">
      <w:start w:val="1"/>
      <w:numFmt w:val="lowerRoman"/>
      <w:lvlText w:val="(%1.%2.%3.%4)"/>
      <w:lvlJc w:val="left"/>
      <w:pPr>
        <w:ind w:left="1800" w:hanging="619"/>
      </w:pPr>
    </w:lvl>
    <w:lvl w:ilvl="4">
      <w:start w:val="1"/>
      <w:numFmt w:val="none"/>
      <w:lvlText w:val="%5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1152" w:hanging="1152"/>
      </w:pPr>
    </w:lvl>
    <w:lvl w:ilvl="6">
      <w:start w:val="1"/>
      <w:numFmt w:val="none"/>
      <w:lvlText w:val="%7"/>
      <w:lvlJc w:val="left"/>
      <w:pPr>
        <w:ind w:left="1296" w:hanging="1296"/>
      </w:pPr>
    </w:lvl>
    <w:lvl w:ilvl="7">
      <w:start w:val="1"/>
      <w:numFmt w:val="none"/>
      <w:lvlText w:val="%8"/>
      <w:lvlJc w:val="left"/>
      <w:pPr>
        <w:ind w:left="1440" w:hanging="1440"/>
      </w:pPr>
    </w:lvl>
    <w:lvl w:ilvl="8">
      <w:start w:val="1"/>
      <w:numFmt w:val="none"/>
      <w:lvlText w:val="%9"/>
      <w:lvlJc w:val="left"/>
      <w:pPr>
        <w:ind w:left="1584" w:hanging="1584"/>
      </w:pPr>
    </w:lvl>
  </w:abstractNum>
  <w:abstractNum w:abstractNumId="3" w15:restartNumberingAfterBreak="0">
    <w:nsid w:val="15951B05"/>
    <w:multiLevelType w:val="multilevel"/>
    <w:tmpl w:val="93A80694"/>
    <w:styleLink w:val="WWNum8"/>
    <w:lvl w:ilvl="0">
      <w:numFmt w:val="bullet"/>
      <w:lvlText w:val=""/>
      <w:lvlJc w:val="left"/>
      <w:pPr>
        <w:ind w:left="720" w:hanging="360"/>
      </w:pPr>
      <w:rPr>
        <w:color w:val="00000A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" w15:restartNumberingAfterBreak="0">
    <w:nsid w:val="18C7458D"/>
    <w:multiLevelType w:val="multilevel"/>
    <w:tmpl w:val="0A104942"/>
    <w:styleLink w:val="WWNum22"/>
    <w:lvl w:ilvl="0">
      <w:numFmt w:val="bullet"/>
      <w:lvlText w:val="-"/>
      <w:lvlJc w:val="left"/>
      <w:pPr>
        <w:ind w:left="1349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2069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2789" w:hanging="360"/>
      </w:pPr>
    </w:lvl>
    <w:lvl w:ilvl="3">
      <w:numFmt w:val="bullet"/>
      <w:lvlText w:val=""/>
      <w:lvlJc w:val="left"/>
      <w:pPr>
        <w:ind w:left="3509" w:hanging="360"/>
      </w:pPr>
    </w:lvl>
    <w:lvl w:ilvl="4">
      <w:numFmt w:val="bullet"/>
      <w:lvlText w:val="o"/>
      <w:lvlJc w:val="left"/>
      <w:pPr>
        <w:ind w:left="4229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4949" w:hanging="360"/>
      </w:pPr>
    </w:lvl>
    <w:lvl w:ilvl="6">
      <w:numFmt w:val="bullet"/>
      <w:lvlText w:val=""/>
      <w:lvlJc w:val="left"/>
      <w:pPr>
        <w:ind w:left="5669" w:hanging="360"/>
      </w:pPr>
    </w:lvl>
    <w:lvl w:ilvl="7">
      <w:numFmt w:val="bullet"/>
      <w:lvlText w:val="o"/>
      <w:lvlJc w:val="left"/>
      <w:pPr>
        <w:ind w:left="6389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7109" w:hanging="360"/>
      </w:pPr>
    </w:lvl>
  </w:abstractNum>
  <w:abstractNum w:abstractNumId="5" w15:restartNumberingAfterBreak="0">
    <w:nsid w:val="24B60073"/>
    <w:multiLevelType w:val="multilevel"/>
    <w:tmpl w:val="F4CA6960"/>
    <w:styleLink w:val="WWNum19"/>
    <w:lvl w:ilvl="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Arial"/>
      </w:rPr>
    </w:lvl>
    <w:lvl w:ilvl="1">
      <w:numFmt w:val="bullet"/>
      <w:lvlText w:val="o"/>
      <w:lvlJc w:val="left"/>
      <w:pPr>
        <w:ind w:left="1440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6" w15:restartNumberingAfterBreak="0">
    <w:nsid w:val="2D2B0C3F"/>
    <w:multiLevelType w:val="multilevel"/>
    <w:tmpl w:val="F878CFA0"/>
    <w:styleLink w:val="WWNum1"/>
    <w:lvl w:ilvl="0">
      <w:start w:val="1"/>
      <w:numFmt w:val="none"/>
      <w:lvlText w:val="%1"/>
      <w:lvlJc w:val="left"/>
      <w:pPr>
        <w:ind w:left="720" w:hanging="360"/>
      </w:pPr>
    </w:lvl>
    <w:lvl w:ilvl="1">
      <w:start w:val="1"/>
      <w:numFmt w:val="none"/>
      <w:lvlText w:val="%2"/>
      <w:lvlJc w:val="left"/>
      <w:pPr>
        <w:ind w:left="1080" w:hanging="360"/>
      </w:pPr>
    </w:lvl>
    <w:lvl w:ilvl="2">
      <w:start w:val="1"/>
      <w:numFmt w:val="none"/>
      <w:lvlText w:val="%3"/>
      <w:lvlJc w:val="left"/>
      <w:pPr>
        <w:ind w:left="1440" w:hanging="360"/>
      </w:pPr>
    </w:lvl>
    <w:lvl w:ilvl="3">
      <w:start w:val="1"/>
      <w:numFmt w:val="lowerRoman"/>
      <w:lvlText w:val="(%1.%2.%3.%4)"/>
      <w:lvlJc w:val="left"/>
      <w:pPr>
        <w:ind w:left="1800" w:hanging="619"/>
      </w:pPr>
    </w:lvl>
    <w:lvl w:ilvl="4">
      <w:start w:val="1"/>
      <w:numFmt w:val="none"/>
      <w:lvlText w:val="%5"/>
      <w:lvlJc w:val="left"/>
      <w:pPr>
        <w:ind w:left="2160" w:hanging="360"/>
      </w:pPr>
    </w:lvl>
    <w:lvl w:ilvl="5">
      <w:start w:val="1"/>
      <w:numFmt w:val="none"/>
      <w:lvlText w:val="%6"/>
      <w:lvlJc w:val="left"/>
      <w:pPr>
        <w:ind w:left="2520" w:hanging="360"/>
      </w:pPr>
    </w:lvl>
    <w:lvl w:ilvl="6">
      <w:start w:val="1"/>
      <w:numFmt w:val="none"/>
      <w:lvlText w:val="%7"/>
      <w:lvlJc w:val="left"/>
      <w:pPr>
        <w:ind w:left="2880" w:hanging="360"/>
      </w:pPr>
    </w:lvl>
    <w:lvl w:ilvl="7">
      <w:start w:val="1"/>
      <w:numFmt w:val="none"/>
      <w:lvlText w:val="%8"/>
      <w:lvlJc w:val="left"/>
      <w:pPr>
        <w:ind w:left="3240" w:hanging="360"/>
      </w:pPr>
    </w:lvl>
    <w:lvl w:ilvl="8">
      <w:start w:val="1"/>
      <w:numFmt w:val="none"/>
      <w:lvlText w:val="%9"/>
      <w:lvlJc w:val="left"/>
      <w:pPr>
        <w:ind w:left="3600" w:hanging="360"/>
      </w:pPr>
    </w:lvl>
  </w:abstractNum>
  <w:abstractNum w:abstractNumId="7" w15:restartNumberingAfterBreak="0">
    <w:nsid w:val="30502DB6"/>
    <w:multiLevelType w:val="multilevel"/>
    <w:tmpl w:val="ACE2D428"/>
    <w:styleLink w:val="WWNum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8" w15:restartNumberingAfterBreak="0">
    <w:nsid w:val="365F1C82"/>
    <w:multiLevelType w:val="multilevel"/>
    <w:tmpl w:val="BCD4978E"/>
    <w:styleLink w:val="WWNum24"/>
    <w:lvl w:ilvl="0">
      <w:numFmt w:val="bullet"/>
      <w:lvlText w:val="-"/>
      <w:lvlJc w:val="left"/>
      <w:pPr>
        <w:ind w:left="1349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9" w15:restartNumberingAfterBreak="0">
    <w:nsid w:val="387100D8"/>
    <w:multiLevelType w:val="multilevel"/>
    <w:tmpl w:val="31EA3022"/>
    <w:styleLink w:val="WWNum11"/>
    <w:lvl w:ilvl="0">
      <w:numFmt w:val="bullet"/>
      <w:lvlText w:val=""/>
      <w:lvlJc w:val="left"/>
      <w:pPr>
        <w:ind w:left="720" w:hanging="360"/>
      </w:pPr>
      <w:rPr>
        <w:color w:val="00000A"/>
        <w:sz w:val="22"/>
        <w:szCs w:val="22"/>
      </w:rPr>
    </w:lvl>
    <w:lvl w:ilvl="1">
      <w:numFmt w:val="bullet"/>
      <w:lvlText w:val="o"/>
      <w:lvlJc w:val="left"/>
      <w:pPr>
        <w:ind w:left="720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1440" w:hanging="360"/>
      </w:pPr>
    </w:lvl>
    <w:lvl w:ilvl="3">
      <w:numFmt w:val="bullet"/>
      <w:lvlText w:val=""/>
      <w:lvlJc w:val="left"/>
      <w:pPr>
        <w:ind w:left="2160" w:hanging="360"/>
      </w:pPr>
    </w:lvl>
    <w:lvl w:ilvl="4">
      <w:numFmt w:val="bullet"/>
      <w:lvlText w:val="o"/>
      <w:lvlJc w:val="left"/>
      <w:pPr>
        <w:ind w:left="2880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3600" w:hanging="360"/>
      </w:pPr>
    </w:lvl>
    <w:lvl w:ilvl="6">
      <w:numFmt w:val="bullet"/>
      <w:lvlText w:val=""/>
      <w:lvlJc w:val="left"/>
      <w:pPr>
        <w:ind w:left="4320" w:hanging="360"/>
      </w:pPr>
    </w:lvl>
    <w:lvl w:ilvl="7">
      <w:numFmt w:val="bullet"/>
      <w:lvlText w:val="o"/>
      <w:lvlJc w:val="left"/>
      <w:pPr>
        <w:ind w:left="5040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5760" w:hanging="360"/>
      </w:pPr>
    </w:lvl>
  </w:abstractNum>
  <w:abstractNum w:abstractNumId="10" w15:restartNumberingAfterBreak="0">
    <w:nsid w:val="40484C9E"/>
    <w:multiLevelType w:val="multilevel"/>
    <w:tmpl w:val="436A9908"/>
    <w:styleLink w:val="WWNum10"/>
    <w:lvl w:ilvl="0">
      <w:numFmt w:val="bullet"/>
      <w:lvlText w:val=""/>
      <w:lvlJc w:val="left"/>
      <w:pPr>
        <w:ind w:left="720" w:hanging="360"/>
      </w:pPr>
      <w:rPr>
        <w:color w:val="00000A"/>
      </w:rPr>
    </w:lvl>
    <w:lvl w:ilvl="1">
      <w:numFmt w:val="bullet"/>
      <w:lvlText w:val="o"/>
      <w:lvlJc w:val="left"/>
      <w:pPr>
        <w:ind w:left="1440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11" w15:restartNumberingAfterBreak="0">
    <w:nsid w:val="411C0049"/>
    <w:multiLevelType w:val="multilevel"/>
    <w:tmpl w:val="4A60DDD6"/>
    <w:styleLink w:val="WWNum13"/>
    <w:lvl w:ilvl="0">
      <w:numFmt w:val="bullet"/>
      <w:lvlText w:val=""/>
      <w:lvlJc w:val="left"/>
      <w:pPr>
        <w:ind w:left="720" w:hanging="360"/>
      </w:pPr>
      <w:rPr>
        <w:color w:val="00000A"/>
      </w:rPr>
    </w:lvl>
    <w:lvl w:ilvl="1">
      <w:numFmt w:val="bullet"/>
      <w:lvlText w:val="o"/>
      <w:lvlJc w:val="left"/>
      <w:pPr>
        <w:ind w:left="1440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12" w15:restartNumberingAfterBreak="0">
    <w:nsid w:val="47857CCD"/>
    <w:multiLevelType w:val="multilevel"/>
    <w:tmpl w:val="405696DC"/>
    <w:styleLink w:val="WWNum16"/>
    <w:lvl w:ilvl="0">
      <w:start w:val="1"/>
      <w:numFmt w:val="decimal"/>
      <w:lvlText w:val="%1)"/>
      <w:lvlJc w:val="left"/>
      <w:pPr>
        <w:ind w:left="630" w:hanging="360"/>
      </w:pPr>
      <w:rPr>
        <w:i w:val="0"/>
      </w:rPr>
    </w:lvl>
    <w:lvl w:ilvl="1">
      <w:numFmt w:val="bullet"/>
      <w:lvlText w:val="-"/>
      <w:lvlJc w:val="left"/>
      <w:pPr>
        <w:ind w:left="1170" w:hanging="36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lowerRoman"/>
      <w:lvlText w:val="%1.%2.%3."/>
      <w:lvlJc w:val="right"/>
      <w:pPr>
        <w:ind w:left="1890" w:hanging="180"/>
      </w:pPr>
    </w:lvl>
    <w:lvl w:ilvl="3">
      <w:start w:val="2"/>
      <w:numFmt w:val="lowerLetter"/>
      <w:lvlText w:val="%1.%2.%3.%4."/>
      <w:lvlJc w:val="left"/>
      <w:pPr>
        <w:ind w:left="2610" w:hanging="360"/>
      </w:pPr>
    </w:lvl>
    <w:lvl w:ilvl="4">
      <w:start w:val="1"/>
      <w:numFmt w:val="lowerLetter"/>
      <w:lvlText w:val="%1.%2.%3.%4.%5."/>
      <w:lvlJc w:val="left"/>
      <w:pPr>
        <w:ind w:left="3330" w:hanging="360"/>
      </w:pPr>
    </w:lvl>
    <w:lvl w:ilvl="5">
      <w:start w:val="1"/>
      <w:numFmt w:val="lowerRoman"/>
      <w:lvlText w:val="%1.%2.%3.%4.%5.%6."/>
      <w:lvlJc w:val="right"/>
      <w:pPr>
        <w:ind w:left="4050" w:hanging="180"/>
      </w:pPr>
    </w:lvl>
    <w:lvl w:ilvl="6">
      <w:start w:val="1"/>
      <w:numFmt w:val="decimal"/>
      <w:lvlText w:val="%1.%2.%3.%4.%5.%6.%7."/>
      <w:lvlJc w:val="left"/>
      <w:pPr>
        <w:ind w:left="4770" w:hanging="360"/>
      </w:pPr>
    </w:lvl>
    <w:lvl w:ilvl="7">
      <w:start w:val="1"/>
      <w:numFmt w:val="lowerLetter"/>
      <w:lvlText w:val="%1.%2.%3.%4.%5.%6.%7.%8."/>
      <w:lvlJc w:val="left"/>
      <w:pPr>
        <w:ind w:left="5490" w:hanging="360"/>
      </w:pPr>
    </w:lvl>
    <w:lvl w:ilvl="8">
      <w:start w:val="1"/>
      <w:numFmt w:val="lowerRoman"/>
      <w:lvlText w:val="%1.%2.%3.%4.%5.%6.%7.%8.%9."/>
      <w:lvlJc w:val="right"/>
      <w:pPr>
        <w:ind w:left="6210" w:hanging="180"/>
      </w:pPr>
    </w:lvl>
  </w:abstractNum>
  <w:abstractNum w:abstractNumId="13" w15:restartNumberingAfterBreak="0">
    <w:nsid w:val="4A404EE7"/>
    <w:multiLevelType w:val="multilevel"/>
    <w:tmpl w:val="661EE54E"/>
    <w:styleLink w:val="WWNum9"/>
    <w:lvl w:ilvl="0">
      <w:numFmt w:val="bullet"/>
      <w:lvlText w:val=""/>
      <w:lvlJc w:val="left"/>
      <w:pPr>
        <w:ind w:left="720" w:hanging="360"/>
      </w:pPr>
      <w:rPr>
        <w:color w:val="00000A"/>
      </w:rPr>
    </w:lvl>
    <w:lvl w:ilvl="1">
      <w:start w:val="1"/>
      <w:numFmt w:val="lowerLetter"/>
      <w:lvlText w:val="(%2)"/>
      <w:lvlJc w:val="left"/>
      <w:pPr>
        <w:ind w:left="1800" w:hanging="720"/>
      </w:pPr>
    </w:lvl>
    <w:lvl w:ilvl="2"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4" w15:restartNumberingAfterBreak="0">
    <w:nsid w:val="4A8A4ADD"/>
    <w:multiLevelType w:val="multilevel"/>
    <w:tmpl w:val="8BD25D5C"/>
    <w:styleLink w:val="WWNum7"/>
    <w:lvl w:ilvl="0">
      <w:numFmt w:val="bullet"/>
      <w:lvlText w:val="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15" w15:restartNumberingAfterBreak="0">
    <w:nsid w:val="4C1223E3"/>
    <w:multiLevelType w:val="multilevel"/>
    <w:tmpl w:val="DB888B34"/>
    <w:styleLink w:val="WWNum3"/>
    <w:lvl w:ilvl="0">
      <w:start w:val="1"/>
      <w:numFmt w:val="decimal"/>
      <w:lvlText w:val="%1."/>
      <w:lvlJc w:val="left"/>
      <w:pPr>
        <w:ind w:left="1080" w:hanging="720"/>
      </w:pPr>
    </w:lvl>
    <w:lvl w:ilvl="1">
      <w:start w:val="1"/>
      <w:numFmt w:val="decimal"/>
      <w:lvlText w:val="%2."/>
      <w:lvlJc w:val="left"/>
      <w:pPr>
        <w:ind w:left="1080" w:hanging="72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6" w15:restartNumberingAfterBreak="0">
    <w:nsid w:val="4ED16699"/>
    <w:multiLevelType w:val="multilevel"/>
    <w:tmpl w:val="6FAA5A88"/>
    <w:styleLink w:val="WWNum15"/>
    <w:lvl w:ilvl="0">
      <w:start w:val="1"/>
      <w:numFmt w:val="decimal"/>
      <w:lvlText w:val="%1)"/>
      <w:lvlJc w:val="left"/>
      <w:pPr>
        <w:ind w:left="63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170" w:hanging="360"/>
      </w:pPr>
    </w:lvl>
    <w:lvl w:ilvl="2">
      <w:start w:val="1"/>
      <w:numFmt w:val="lowerRoman"/>
      <w:lvlText w:val="%1.%2.%3."/>
      <w:lvlJc w:val="right"/>
      <w:pPr>
        <w:ind w:left="1890" w:hanging="180"/>
      </w:pPr>
    </w:lvl>
    <w:lvl w:ilvl="3">
      <w:start w:val="1"/>
      <w:numFmt w:val="decimal"/>
      <w:lvlText w:val="%1.%2.%3.%4."/>
      <w:lvlJc w:val="left"/>
      <w:pPr>
        <w:ind w:left="2610" w:hanging="360"/>
      </w:pPr>
    </w:lvl>
    <w:lvl w:ilvl="4">
      <w:start w:val="1"/>
      <w:numFmt w:val="lowerLetter"/>
      <w:lvlText w:val="%1.%2.%3.%4.%5."/>
      <w:lvlJc w:val="left"/>
      <w:pPr>
        <w:ind w:left="3330" w:hanging="360"/>
      </w:pPr>
    </w:lvl>
    <w:lvl w:ilvl="5">
      <w:start w:val="1"/>
      <w:numFmt w:val="lowerRoman"/>
      <w:lvlText w:val="%1.%2.%3.%4.%5.%6."/>
      <w:lvlJc w:val="right"/>
      <w:pPr>
        <w:ind w:left="4050" w:hanging="180"/>
      </w:pPr>
    </w:lvl>
    <w:lvl w:ilvl="6">
      <w:start w:val="1"/>
      <w:numFmt w:val="decimal"/>
      <w:lvlText w:val="%1.%2.%3.%4.%5.%6.%7."/>
      <w:lvlJc w:val="left"/>
      <w:pPr>
        <w:ind w:left="4770" w:hanging="360"/>
      </w:pPr>
    </w:lvl>
    <w:lvl w:ilvl="7">
      <w:start w:val="1"/>
      <w:numFmt w:val="lowerLetter"/>
      <w:lvlText w:val="%1.%2.%3.%4.%5.%6.%7.%8."/>
      <w:lvlJc w:val="left"/>
      <w:pPr>
        <w:ind w:left="5490" w:hanging="360"/>
      </w:pPr>
    </w:lvl>
    <w:lvl w:ilvl="8">
      <w:start w:val="1"/>
      <w:numFmt w:val="lowerRoman"/>
      <w:lvlText w:val="%1.%2.%3.%4.%5.%6.%7.%8.%9."/>
      <w:lvlJc w:val="right"/>
      <w:pPr>
        <w:ind w:left="6210" w:hanging="180"/>
      </w:pPr>
    </w:lvl>
  </w:abstractNum>
  <w:abstractNum w:abstractNumId="17" w15:restartNumberingAfterBreak="0">
    <w:nsid w:val="5FC54241"/>
    <w:multiLevelType w:val="multilevel"/>
    <w:tmpl w:val="0EB8FC88"/>
    <w:styleLink w:val="WWNum2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8" w15:restartNumberingAfterBreak="0">
    <w:nsid w:val="60DA617E"/>
    <w:multiLevelType w:val="multilevel"/>
    <w:tmpl w:val="D0C0E9A0"/>
    <w:styleLink w:val="WWNum5"/>
    <w:lvl w:ilvl="0">
      <w:numFmt w:val="bullet"/>
      <w:lvlText w:val="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19" w15:restartNumberingAfterBreak="0">
    <w:nsid w:val="62BC107D"/>
    <w:multiLevelType w:val="multilevel"/>
    <w:tmpl w:val="82B04092"/>
    <w:styleLink w:val="WWNum23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20" w15:restartNumberingAfterBreak="0">
    <w:nsid w:val="644F6733"/>
    <w:multiLevelType w:val="multilevel"/>
    <w:tmpl w:val="C9FC7E22"/>
    <w:styleLink w:val="WWNum2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1" w15:restartNumberingAfterBreak="0">
    <w:nsid w:val="721E3829"/>
    <w:multiLevelType w:val="multilevel"/>
    <w:tmpl w:val="714A92A4"/>
    <w:styleLink w:val="WWNum17"/>
    <w:lvl w:ilvl="0">
      <w:start w:val="1"/>
      <w:numFmt w:val="decimal"/>
      <w:lvlText w:val="%1)"/>
      <w:lvlJc w:val="left"/>
      <w:pPr>
        <w:ind w:left="63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170" w:hanging="360"/>
      </w:pPr>
    </w:lvl>
    <w:lvl w:ilvl="2">
      <w:start w:val="1"/>
      <w:numFmt w:val="lowerRoman"/>
      <w:lvlText w:val="%1.%2.%3."/>
      <w:lvlJc w:val="right"/>
      <w:pPr>
        <w:ind w:left="1890" w:hanging="180"/>
      </w:pPr>
    </w:lvl>
    <w:lvl w:ilvl="3">
      <w:start w:val="1"/>
      <w:numFmt w:val="decimal"/>
      <w:lvlText w:val="%1.%2.%3.%4."/>
      <w:lvlJc w:val="left"/>
      <w:pPr>
        <w:ind w:left="2610" w:hanging="360"/>
      </w:pPr>
    </w:lvl>
    <w:lvl w:ilvl="4">
      <w:start w:val="1"/>
      <w:numFmt w:val="lowerLetter"/>
      <w:lvlText w:val="%1.%2.%3.%4.%5."/>
      <w:lvlJc w:val="left"/>
      <w:pPr>
        <w:ind w:left="3330" w:hanging="360"/>
      </w:pPr>
    </w:lvl>
    <w:lvl w:ilvl="5">
      <w:start w:val="1"/>
      <w:numFmt w:val="lowerRoman"/>
      <w:lvlText w:val="%1.%2.%3.%4.%5.%6."/>
      <w:lvlJc w:val="right"/>
      <w:pPr>
        <w:ind w:left="4050" w:hanging="180"/>
      </w:pPr>
    </w:lvl>
    <w:lvl w:ilvl="6">
      <w:start w:val="1"/>
      <w:numFmt w:val="decimal"/>
      <w:lvlText w:val="%1.%2.%3.%4.%5.%6.%7."/>
      <w:lvlJc w:val="left"/>
      <w:pPr>
        <w:ind w:left="4770" w:hanging="360"/>
      </w:pPr>
    </w:lvl>
    <w:lvl w:ilvl="7">
      <w:start w:val="1"/>
      <w:numFmt w:val="lowerLetter"/>
      <w:lvlText w:val="%1.%2.%3.%4.%5.%6.%7.%8."/>
      <w:lvlJc w:val="left"/>
      <w:pPr>
        <w:ind w:left="5490" w:hanging="360"/>
      </w:pPr>
    </w:lvl>
    <w:lvl w:ilvl="8">
      <w:start w:val="1"/>
      <w:numFmt w:val="lowerRoman"/>
      <w:lvlText w:val="%1.%2.%3.%4.%5.%6.%7.%8.%9."/>
      <w:lvlJc w:val="right"/>
      <w:pPr>
        <w:ind w:left="6210" w:hanging="180"/>
      </w:pPr>
    </w:lvl>
  </w:abstractNum>
  <w:abstractNum w:abstractNumId="22" w15:restartNumberingAfterBreak="0">
    <w:nsid w:val="72AC0C1D"/>
    <w:multiLevelType w:val="multilevel"/>
    <w:tmpl w:val="D256BE0A"/>
    <w:styleLink w:val="WWNum20"/>
    <w:lvl w:ilvl="0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788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2508" w:hanging="360"/>
      </w:pPr>
    </w:lvl>
    <w:lvl w:ilvl="3">
      <w:numFmt w:val="bullet"/>
      <w:lvlText w:val=""/>
      <w:lvlJc w:val="left"/>
      <w:pPr>
        <w:ind w:left="3228" w:hanging="360"/>
      </w:pPr>
    </w:lvl>
    <w:lvl w:ilvl="4">
      <w:numFmt w:val="bullet"/>
      <w:lvlText w:val="o"/>
      <w:lvlJc w:val="left"/>
      <w:pPr>
        <w:ind w:left="3948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4668" w:hanging="360"/>
      </w:pPr>
    </w:lvl>
    <w:lvl w:ilvl="6">
      <w:numFmt w:val="bullet"/>
      <w:lvlText w:val=""/>
      <w:lvlJc w:val="left"/>
      <w:pPr>
        <w:ind w:left="5388" w:hanging="360"/>
      </w:pPr>
    </w:lvl>
    <w:lvl w:ilvl="7">
      <w:numFmt w:val="bullet"/>
      <w:lvlText w:val="o"/>
      <w:lvlJc w:val="left"/>
      <w:pPr>
        <w:ind w:left="6108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6828" w:hanging="360"/>
      </w:pPr>
    </w:lvl>
  </w:abstractNum>
  <w:abstractNum w:abstractNumId="23" w15:restartNumberingAfterBreak="0">
    <w:nsid w:val="73B82240"/>
    <w:multiLevelType w:val="multilevel"/>
    <w:tmpl w:val="38B02662"/>
    <w:styleLink w:val="WWNum4"/>
    <w:lvl w:ilvl="0">
      <w:start w:val="1"/>
      <w:numFmt w:val="decimal"/>
      <w:lvlText w:val="%1)"/>
      <w:lvlJc w:val="left"/>
      <w:pPr>
        <w:ind w:left="63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070" w:hanging="360"/>
      </w:pPr>
    </w:lvl>
    <w:lvl w:ilvl="2">
      <w:start w:val="1"/>
      <w:numFmt w:val="lowerRoman"/>
      <w:lvlText w:val="%1.%2.%3."/>
      <w:lvlJc w:val="right"/>
      <w:pPr>
        <w:ind w:left="1890" w:hanging="180"/>
      </w:pPr>
    </w:lvl>
    <w:lvl w:ilvl="3">
      <w:start w:val="1"/>
      <w:numFmt w:val="decimal"/>
      <w:lvlText w:val="%1.%2.%3.%4."/>
      <w:lvlJc w:val="left"/>
      <w:pPr>
        <w:ind w:left="2610" w:hanging="360"/>
      </w:pPr>
    </w:lvl>
    <w:lvl w:ilvl="4">
      <w:start w:val="1"/>
      <w:numFmt w:val="lowerLetter"/>
      <w:lvlText w:val="%1.%2.%3.%4.%5."/>
      <w:lvlJc w:val="left"/>
      <w:pPr>
        <w:ind w:left="3330" w:hanging="360"/>
      </w:pPr>
    </w:lvl>
    <w:lvl w:ilvl="5">
      <w:start w:val="1"/>
      <w:numFmt w:val="lowerRoman"/>
      <w:lvlText w:val="%1.%2.%3.%4.%5.%6."/>
      <w:lvlJc w:val="right"/>
      <w:pPr>
        <w:ind w:left="4050" w:hanging="180"/>
      </w:pPr>
    </w:lvl>
    <w:lvl w:ilvl="6">
      <w:start w:val="1"/>
      <w:numFmt w:val="decimal"/>
      <w:lvlText w:val="%1.%2.%3.%4.%5.%6.%7."/>
      <w:lvlJc w:val="left"/>
      <w:pPr>
        <w:ind w:left="4770" w:hanging="360"/>
      </w:pPr>
    </w:lvl>
    <w:lvl w:ilvl="7">
      <w:start w:val="1"/>
      <w:numFmt w:val="lowerLetter"/>
      <w:lvlText w:val="%1.%2.%3.%4.%5.%6.%7.%8."/>
      <w:lvlJc w:val="left"/>
      <w:pPr>
        <w:ind w:left="5490" w:hanging="360"/>
      </w:pPr>
    </w:lvl>
    <w:lvl w:ilvl="8">
      <w:start w:val="1"/>
      <w:numFmt w:val="lowerRoman"/>
      <w:lvlText w:val="%1.%2.%3.%4.%5.%6.%7.%8.%9."/>
      <w:lvlJc w:val="right"/>
      <w:pPr>
        <w:ind w:left="6210" w:hanging="180"/>
      </w:pPr>
    </w:lvl>
  </w:abstractNum>
  <w:abstractNum w:abstractNumId="24" w15:restartNumberingAfterBreak="0">
    <w:nsid w:val="74367FA6"/>
    <w:multiLevelType w:val="multilevel"/>
    <w:tmpl w:val="95AC913E"/>
    <w:styleLink w:val="WWNum12"/>
    <w:lvl w:ilvl="0">
      <w:numFmt w:val="bullet"/>
      <w:lvlText w:val=""/>
      <w:lvlJc w:val="left"/>
      <w:pPr>
        <w:ind w:left="720" w:hanging="360"/>
      </w:pPr>
      <w:rPr>
        <w:color w:val="00000A"/>
      </w:rPr>
    </w:lvl>
    <w:lvl w:ilvl="1">
      <w:numFmt w:val="bullet"/>
      <w:lvlText w:val="o"/>
      <w:lvlJc w:val="left"/>
      <w:pPr>
        <w:ind w:left="1440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25" w15:restartNumberingAfterBreak="0">
    <w:nsid w:val="75EF34DC"/>
    <w:multiLevelType w:val="multilevel"/>
    <w:tmpl w:val="0ECE631C"/>
    <w:styleLink w:val="WWNum14"/>
    <w:lvl w:ilvl="0">
      <w:numFmt w:val="bullet"/>
      <w:lvlText w:val="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num w:numId="1">
    <w:abstractNumId w:val="2"/>
  </w:num>
  <w:num w:numId="2">
    <w:abstractNumId w:val="6"/>
  </w:num>
  <w:num w:numId="3">
    <w:abstractNumId w:val="17"/>
  </w:num>
  <w:num w:numId="4">
    <w:abstractNumId w:val="15"/>
  </w:num>
  <w:num w:numId="5">
    <w:abstractNumId w:val="23"/>
  </w:num>
  <w:num w:numId="6">
    <w:abstractNumId w:val="18"/>
  </w:num>
  <w:num w:numId="7">
    <w:abstractNumId w:val="7"/>
  </w:num>
  <w:num w:numId="8">
    <w:abstractNumId w:val="14"/>
  </w:num>
  <w:num w:numId="9">
    <w:abstractNumId w:val="3"/>
  </w:num>
  <w:num w:numId="10">
    <w:abstractNumId w:val="13"/>
  </w:num>
  <w:num w:numId="11">
    <w:abstractNumId w:val="10"/>
  </w:num>
  <w:num w:numId="12">
    <w:abstractNumId w:val="9"/>
  </w:num>
  <w:num w:numId="13">
    <w:abstractNumId w:val="24"/>
  </w:num>
  <w:num w:numId="14">
    <w:abstractNumId w:val="11"/>
  </w:num>
  <w:num w:numId="15">
    <w:abstractNumId w:val="25"/>
  </w:num>
  <w:num w:numId="16">
    <w:abstractNumId w:val="16"/>
  </w:num>
  <w:num w:numId="17">
    <w:abstractNumId w:val="12"/>
  </w:num>
  <w:num w:numId="18">
    <w:abstractNumId w:val="21"/>
  </w:num>
  <w:num w:numId="19">
    <w:abstractNumId w:val="1"/>
  </w:num>
  <w:num w:numId="20">
    <w:abstractNumId w:val="5"/>
  </w:num>
  <w:num w:numId="21">
    <w:abstractNumId w:val="22"/>
  </w:num>
  <w:num w:numId="22">
    <w:abstractNumId w:val="0"/>
  </w:num>
  <w:num w:numId="23">
    <w:abstractNumId w:val="4"/>
  </w:num>
  <w:num w:numId="24">
    <w:abstractNumId w:val="19"/>
  </w:num>
  <w:num w:numId="25">
    <w:abstractNumId w:val="8"/>
  </w:num>
  <w:num w:numId="2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attachedTemplate r:id="rId1"/>
  <w:defaultTabStop w:val="720"/>
  <w:autoHyphenation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</w:compat>
  <w:rsids>
    <w:rsidRoot w:val="006A1523"/>
    <w:rsid w:val="00465104"/>
    <w:rsid w:val="006A1523"/>
    <w:rsid w:val="00932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F2DAC1B-6E1F-4DAE-86B1-7744F5F83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kern w:val="3"/>
        <w:lang w:val="en-US" w:eastAsia="en-US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</w:pPr>
  </w:style>
  <w:style w:type="paragraph" w:styleId="Heading1">
    <w:name w:val="heading 1"/>
    <w:basedOn w:val="Standard"/>
    <w:next w:val="Textbody"/>
    <w:pPr>
      <w:jc w:val="center"/>
      <w:outlineLvl w:val="0"/>
    </w:pPr>
    <w:rPr>
      <w:b/>
      <w:sz w:val="36"/>
    </w:rPr>
  </w:style>
  <w:style w:type="paragraph" w:styleId="Heading2">
    <w:name w:val="heading 2"/>
    <w:basedOn w:val="Standard"/>
    <w:next w:val="Textbody"/>
    <w:pPr>
      <w:jc w:val="center"/>
      <w:outlineLvl w:val="1"/>
    </w:pPr>
    <w:rPr>
      <w:b/>
      <w:sz w:val="28"/>
    </w:rPr>
  </w:style>
  <w:style w:type="paragraph" w:styleId="Heading3">
    <w:name w:val="heading 3"/>
    <w:basedOn w:val="Standard"/>
    <w:next w:val="Textbody"/>
    <w:pPr>
      <w:jc w:val="center"/>
      <w:outlineLvl w:val="2"/>
    </w:pPr>
    <w:rPr>
      <w:b/>
      <w:sz w:val="28"/>
    </w:rPr>
  </w:style>
  <w:style w:type="paragraph" w:styleId="Heading4">
    <w:name w:val="heading 4"/>
    <w:next w:val="Textbody"/>
    <w:pPr>
      <w:tabs>
        <w:tab w:val="left" w:pos="1901"/>
      </w:tabs>
      <w:suppressAutoHyphens/>
      <w:outlineLvl w:val="3"/>
    </w:pPr>
  </w:style>
  <w:style w:type="paragraph" w:styleId="Heading5">
    <w:name w:val="heading 5"/>
    <w:basedOn w:val="Standard"/>
    <w:next w:val="Textbody"/>
    <w:pPr>
      <w:keepNext/>
      <w:ind w:right="-72"/>
      <w:outlineLvl w:val="4"/>
    </w:pPr>
    <w:rPr>
      <w:i/>
    </w:rPr>
  </w:style>
  <w:style w:type="paragraph" w:styleId="Heading6">
    <w:name w:val="heading 6"/>
    <w:basedOn w:val="Standard"/>
    <w:next w:val="Textbody"/>
    <w:pPr>
      <w:keepNext/>
      <w:spacing w:after="200"/>
      <w:ind w:right="-72"/>
      <w:outlineLvl w:val="5"/>
    </w:pPr>
  </w:style>
  <w:style w:type="paragraph" w:styleId="Heading7">
    <w:name w:val="heading 7"/>
    <w:basedOn w:val="Standard"/>
    <w:next w:val="Textbody"/>
    <w:pPr>
      <w:keepNext/>
      <w:tabs>
        <w:tab w:val="right" w:pos="13320"/>
      </w:tabs>
      <w:ind w:left="4320"/>
      <w:jc w:val="right"/>
      <w:outlineLvl w:val="6"/>
    </w:pPr>
    <w:rPr>
      <w:color w:val="FFFF00"/>
    </w:rPr>
  </w:style>
  <w:style w:type="paragraph" w:styleId="Heading8">
    <w:name w:val="heading 8"/>
    <w:basedOn w:val="Standard"/>
    <w:next w:val="Textbody"/>
    <w:pPr>
      <w:spacing w:before="240" w:after="60"/>
      <w:outlineLvl w:val="7"/>
    </w:pPr>
    <w:rPr>
      <w:i/>
    </w:rPr>
  </w:style>
  <w:style w:type="paragraph" w:styleId="Heading9">
    <w:name w:val="heading 9"/>
    <w:basedOn w:val="Standard"/>
    <w:next w:val="Textbody"/>
    <w:pPr>
      <w:spacing w:before="240" w:after="60"/>
      <w:outlineLvl w:val="8"/>
    </w:pPr>
    <w:rPr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  <w:rPr>
      <w:rFonts w:ascii="Arial" w:hAnsi="Arial"/>
      <w:color w:val="000000"/>
      <w:sz w:val="24"/>
      <w:szCs w:val="24"/>
      <w:lang w:val="hr-HR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eastAsia="Microsoft YaHei" w:cs="Mangal"/>
      <w:sz w:val="28"/>
      <w:szCs w:val="28"/>
    </w:rPr>
  </w:style>
  <w:style w:type="paragraph" w:customStyle="1" w:styleId="Textbody">
    <w:name w:val="Text body"/>
    <w:basedOn w:val="Standard"/>
    <w:pPr>
      <w:jc w:val="center"/>
    </w:pPr>
    <w:rPr>
      <w:color w:val="FFFF00"/>
      <w:sz w:val="28"/>
    </w:rPr>
  </w:style>
  <w:style w:type="paragraph" w:styleId="List">
    <w:name w:val="List"/>
    <w:basedOn w:val="Standard"/>
    <w:pPr>
      <w:ind w:left="360" w:hanging="360"/>
    </w:pPr>
    <w:rPr>
      <w:rFonts w:cs="Mangal"/>
    </w:rPr>
  </w:style>
  <w:style w:type="paragraph" w:styleId="Caption">
    <w:name w:val="caption"/>
    <w:basedOn w:val="Standard"/>
    <w:rPr>
      <w:rFonts w:ascii="Courier New" w:hAnsi="Courier New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Sub-ClauseText">
    <w:name w:val="Sub-Clause Text"/>
    <w:basedOn w:val="Standard"/>
    <w:pPr>
      <w:spacing w:before="120" w:after="120"/>
    </w:pPr>
    <w:rPr>
      <w:spacing w:val="-4"/>
    </w:rPr>
  </w:style>
  <w:style w:type="paragraph" w:customStyle="1" w:styleId="Contents1">
    <w:name w:val="Contents 1"/>
    <w:basedOn w:val="Standard"/>
    <w:pPr>
      <w:tabs>
        <w:tab w:val="right" w:leader="dot" w:pos="9720"/>
      </w:tabs>
      <w:spacing w:before="240"/>
      <w:ind w:left="720" w:right="720" w:hanging="720"/>
    </w:pPr>
    <w:rPr>
      <w:rFonts w:ascii="Times New Roman Bold" w:hAnsi="Times New Roman Bold"/>
      <w:b/>
    </w:rPr>
  </w:style>
  <w:style w:type="paragraph" w:customStyle="1" w:styleId="Contents2">
    <w:name w:val="Contents 2"/>
    <w:basedOn w:val="Standard"/>
    <w:pPr>
      <w:tabs>
        <w:tab w:val="right" w:leader="dot" w:pos="10440"/>
      </w:tabs>
      <w:ind w:left="1440" w:right="720" w:hanging="720"/>
    </w:pPr>
  </w:style>
  <w:style w:type="paragraph" w:customStyle="1" w:styleId="Contents3">
    <w:name w:val="Contents 3"/>
    <w:basedOn w:val="Standard"/>
    <w:pPr>
      <w:tabs>
        <w:tab w:val="right" w:leader="dot" w:pos="11160"/>
      </w:tabs>
      <w:ind w:left="2160" w:right="720" w:hanging="720"/>
    </w:pPr>
    <w:rPr>
      <w:i/>
    </w:rPr>
  </w:style>
  <w:style w:type="paragraph" w:customStyle="1" w:styleId="Contents4">
    <w:name w:val="Contents 4"/>
    <w:basedOn w:val="Standard"/>
    <w:pPr>
      <w:tabs>
        <w:tab w:val="left" w:pos="11520"/>
        <w:tab w:val="right" w:pos="11880"/>
      </w:tabs>
      <w:ind w:left="2880" w:right="720" w:hanging="720"/>
    </w:pPr>
    <w:rPr>
      <w:spacing w:val="-3"/>
    </w:rPr>
  </w:style>
  <w:style w:type="paragraph" w:customStyle="1" w:styleId="Contents5">
    <w:name w:val="Contents 5"/>
    <w:basedOn w:val="Standard"/>
    <w:pPr>
      <w:tabs>
        <w:tab w:val="left" w:pos="12240"/>
        <w:tab w:val="right" w:pos="12600"/>
      </w:tabs>
      <w:ind w:left="3600" w:right="720" w:hanging="720"/>
    </w:pPr>
    <w:rPr>
      <w:spacing w:val="-3"/>
    </w:rPr>
  </w:style>
  <w:style w:type="paragraph" w:customStyle="1" w:styleId="Contents6">
    <w:name w:val="Contents 6"/>
    <w:basedOn w:val="Standard"/>
    <w:pPr>
      <w:tabs>
        <w:tab w:val="left" w:pos="9360"/>
        <w:tab w:val="right" w:pos="9720"/>
      </w:tabs>
      <w:ind w:left="720" w:hanging="720"/>
    </w:pPr>
  </w:style>
  <w:style w:type="paragraph" w:customStyle="1" w:styleId="Contents7">
    <w:name w:val="Contents 7"/>
    <w:basedOn w:val="Standard"/>
    <w:pPr>
      <w:tabs>
        <w:tab w:val="right" w:leader="dot" w:pos="8660"/>
      </w:tabs>
      <w:ind w:left="720" w:hanging="720"/>
    </w:pPr>
  </w:style>
  <w:style w:type="paragraph" w:customStyle="1" w:styleId="Contents8">
    <w:name w:val="Contents 8"/>
    <w:basedOn w:val="Standard"/>
    <w:pPr>
      <w:tabs>
        <w:tab w:val="left" w:pos="9360"/>
        <w:tab w:val="right" w:pos="9720"/>
      </w:tabs>
      <w:ind w:left="720" w:hanging="720"/>
    </w:pPr>
  </w:style>
  <w:style w:type="paragraph" w:customStyle="1" w:styleId="Contents9">
    <w:name w:val="Contents 9"/>
    <w:basedOn w:val="Standard"/>
    <w:pPr>
      <w:tabs>
        <w:tab w:val="left" w:leader="dot" w:pos="9360"/>
        <w:tab w:val="right" w:pos="9720"/>
      </w:tabs>
      <w:ind w:left="720" w:hanging="720"/>
    </w:pPr>
  </w:style>
  <w:style w:type="paragraph" w:styleId="Index1">
    <w:name w:val="index 1"/>
    <w:basedOn w:val="Standard"/>
    <w:pPr>
      <w:tabs>
        <w:tab w:val="left" w:leader="dot" w:pos="10440"/>
        <w:tab w:val="right" w:pos="10800"/>
      </w:tabs>
      <w:ind w:left="1440" w:right="720" w:hanging="1440"/>
    </w:pPr>
  </w:style>
  <w:style w:type="paragraph" w:styleId="Index2">
    <w:name w:val="index 2"/>
    <w:basedOn w:val="Standard"/>
    <w:pPr>
      <w:tabs>
        <w:tab w:val="left" w:leader="dot" w:pos="10440"/>
        <w:tab w:val="right" w:pos="10800"/>
      </w:tabs>
      <w:ind w:left="1440" w:right="720" w:hanging="720"/>
    </w:pPr>
  </w:style>
  <w:style w:type="paragraph" w:styleId="TOAHeading">
    <w:name w:val="toa heading"/>
    <w:basedOn w:val="Standard"/>
    <w:pPr>
      <w:tabs>
        <w:tab w:val="left" w:pos="9000"/>
        <w:tab w:val="right" w:pos="9360"/>
      </w:tabs>
    </w:pPr>
  </w:style>
  <w:style w:type="paragraph" w:customStyle="1" w:styleId="Technical4">
    <w:name w:val="Technical 4"/>
    <w:pPr>
      <w:widowControl/>
      <w:tabs>
        <w:tab w:val="left" w:pos="-720"/>
      </w:tabs>
      <w:suppressAutoHyphens/>
    </w:pPr>
    <w:rPr>
      <w:b/>
    </w:rPr>
  </w:style>
  <w:style w:type="paragraph" w:customStyle="1" w:styleId="Technical5">
    <w:name w:val="Technical 5"/>
    <w:pPr>
      <w:widowControl/>
      <w:tabs>
        <w:tab w:val="left" w:pos="-720"/>
      </w:tabs>
      <w:suppressAutoHyphens/>
      <w:ind w:firstLine="720"/>
    </w:pPr>
    <w:rPr>
      <w:b/>
    </w:rPr>
  </w:style>
  <w:style w:type="paragraph" w:customStyle="1" w:styleId="Technical6">
    <w:name w:val="Technical 6"/>
    <w:pPr>
      <w:widowControl/>
      <w:tabs>
        <w:tab w:val="left" w:pos="-720"/>
      </w:tabs>
      <w:suppressAutoHyphens/>
      <w:ind w:firstLine="720"/>
    </w:pPr>
    <w:rPr>
      <w:b/>
    </w:rPr>
  </w:style>
  <w:style w:type="paragraph" w:customStyle="1" w:styleId="Technical7">
    <w:name w:val="Technical 7"/>
    <w:pPr>
      <w:widowControl/>
      <w:tabs>
        <w:tab w:val="left" w:pos="-720"/>
      </w:tabs>
      <w:suppressAutoHyphens/>
      <w:ind w:firstLine="720"/>
    </w:pPr>
    <w:rPr>
      <w:b/>
    </w:rPr>
  </w:style>
  <w:style w:type="paragraph" w:customStyle="1" w:styleId="Technical8">
    <w:name w:val="Technical 8"/>
    <w:pPr>
      <w:widowControl/>
      <w:tabs>
        <w:tab w:val="left" w:pos="-720"/>
      </w:tabs>
      <w:suppressAutoHyphens/>
      <w:ind w:firstLine="720"/>
    </w:pPr>
    <w:rPr>
      <w:b/>
    </w:rPr>
  </w:style>
  <w:style w:type="paragraph" w:customStyle="1" w:styleId="Document1">
    <w:name w:val="Document 1"/>
    <w:pPr>
      <w:keepNext/>
      <w:keepLines/>
      <w:widowControl/>
      <w:tabs>
        <w:tab w:val="left" w:pos="-720"/>
      </w:tabs>
      <w:suppressAutoHyphens/>
    </w:pPr>
  </w:style>
  <w:style w:type="paragraph" w:customStyle="1" w:styleId="Pleading">
    <w:name w:val="Pleading"/>
    <w:pPr>
      <w:widowControl/>
      <w:tabs>
        <w:tab w:val="left" w:pos="-720"/>
      </w:tabs>
      <w:suppressAutoHyphens/>
      <w:spacing w:line="240" w:lineRule="exact"/>
    </w:pPr>
  </w:style>
  <w:style w:type="paragraph" w:customStyle="1" w:styleId="BHead">
    <w:name w:val="B Head"/>
    <w:pPr>
      <w:widowControl/>
      <w:tabs>
        <w:tab w:val="left" w:pos="-720"/>
      </w:tabs>
      <w:suppressAutoHyphens/>
    </w:pPr>
  </w:style>
  <w:style w:type="paragraph" w:customStyle="1" w:styleId="CHead">
    <w:name w:val="C Head"/>
    <w:pPr>
      <w:widowControl/>
      <w:tabs>
        <w:tab w:val="left" w:pos="-720"/>
      </w:tabs>
      <w:suppressAutoHyphens/>
    </w:pPr>
  </w:style>
  <w:style w:type="paragraph" w:customStyle="1" w:styleId="SecNoHe">
    <w:name w:val="Sec No. &amp; He"/>
    <w:pPr>
      <w:widowControl/>
      <w:tabs>
        <w:tab w:val="left" w:pos="-720"/>
      </w:tabs>
      <w:suppressAutoHyphens/>
    </w:pPr>
  </w:style>
  <w:style w:type="paragraph" w:customStyle="1" w:styleId="RightPar1">
    <w:name w:val="Right Par[1]"/>
    <w:pPr>
      <w:widowControl/>
      <w:tabs>
        <w:tab w:val="left" w:pos="-720"/>
        <w:tab w:val="left" w:pos="0"/>
        <w:tab w:val="left" w:pos="720"/>
      </w:tabs>
      <w:suppressAutoHyphens/>
      <w:ind w:firstLine="720"/>
    </w:pPr>
    <w:rPr>
      <w:rFonts w:ascii="CG Times" w:hAnsi="CG Times"/>
      <w:b/>
      <w:i/>
      <w:sz w:val="24"/>
    </w:rPr>
  </w:style>
  <w:style w:type="paragraph" w:customStyle="1" w:styleId="RightPar2">
    <w:name w:val="Right Par[2]"/>
    <w:pPr>
      <w:widowControl/>
      <w:tabs>
        <w:tab w:val="left" w:pos="-720"/>
        <w:tab w:val="left" w:pos="0"/>
        <w:tab w:val="left" w:pos="720"/>
        <w:tab w:val="left" w:pos="1440"/>
      </w:tabs>
      <w:suppressAutoHyphens/>
      <w:ind w:firstLine="1440"/>
    </w:pPr>
    <w:rPr>
      <w:rFonts w:ascii="CG Times" w:hAnsi="CG Times"/>
      <w:b/>
      <w:i/>
      <w:sz w:val="24"/>
    </w:rPr>
  </w:style>
  <w:style w:type="paragraph" w:customStyle="1" w:styleId="RightPar3">
    <w:name w:val="Right Par[3]"/>
    <w:pPr>
      <w:widowControl/>
      <w:tabs>
        <w:tab w:val="left" w:pos="-720"/>
        <w:tab w:val="left" w:pos="0"/>
        <w:tab w:val="left" w:pos="720"/>
        <w:tab w:val="left" w:pos="1440"/>
        <w:tab w:val="left" w:pos="2160"/>
      </w:tabs>
      <w:suppressAutoHyphens/>
      <w:ind w:firstLine="2160"/>
    </w:pPr>
    <w:rPr>
      <w:rFonts w:ascii="CG Times" w:hAnsi="CG Times"/>
      <w:b/>
      <w:i/>
      <w:sz w:val="24"/>
    </w:rPr>
  </w:style>
  <w:style w:type="paragraph" w:customStyle="1" w:styleId="RightPar4">
    <w:name w:val="Right Par[4]"/>
    <w:pPr>
      <w:widowControl/>
      <w:tabs>
        <w:tab w:val="left" w:pos="-720"/>
        <w:tab w:val="left" w:pos="0"/>
        <w:tab w:val="left" w:pos="720"/>
        <w:tab w:val="left" w:pos="1440"/>
        <w:tab w:val="left" w:pos="2160"/>
        <w:tab w:val="left" w:pos="2880"/>
      </w:tabs>
      <w:suppressAutoHyphens/>
      <w:ind w:firstLine="2880"/>
    </w:pPr>
    <w:rPr>
      <w:rFonts w:ascii="CG Times" w:hAnsi="CG Times"/>
      <w:b/>
      <w:i/>
      <w:sz w:val="24"/>
    </w:rPr>
  </w:style>
  <w:style w:type="paragraph" w:customStyle="1" w:styleId="RightPar5">
    <w:name w:val="Right Par[5]"/>
    <w:pPr>
      <w:widowControl/>
      <w:tabs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</w:tabs>
      <w:suppressAutoHyphens/>
      <w:ind w:firstLine="3600"/>
    </w:pPr>
    <w:rPr>
      <w:rFonts w:ascii="CG Times" w:hAnsi="CG Times"/>
      <w:b/>
      <w:i/>
      <w:sz w:val="24"/>
    </w:rPr>
  </w:style>
  <w:style w:type="paragraph" w:customStyle="1" w:styleId="RightPar6">
    <w:name w:val="Right Par[6]"/>
    <w:pPr>
      <w:widowControl/>
      <w:tabs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</w:tabs>
      <w:suppressAutoHyphens/>
      <w:ind w:firstLine="4320"/>
    </w:pPr>
    <w:rPr>
      <w:rFonts w:ascii="CG Times" w:hAnsi="CG Times"/>
      <w:b/>
      <w:i/>
      <w:sz w:val="24"/>
    </w:rPr>
  </w:style>
  <w:style w:type="paragraph" w:customStyle="1" w:styleId="RightPar7">
    <w:name w:val="Right Par[7]"/>
    <w:pPr>
      <w:widowControl/>
      <w:tabs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</w:tabs>
      <w:suppressAutoHyphens/>
      <w:ind w:firstLine="5040"/>
    </w:pPr>
    <w:rPr>
      <w:rFonts w:ascii="CG Times" w:hAnsi="CG Times"/>
      <w:b/>
      <w:i/>
      <w:sz w:val="24"/>
    </w:rPr>
  </w:style>
  <w:style w:type="paragraph" w:customStyle="1" w:styleId="RightPar8">
    <w:name w:val="Right Par[8]"/>
    <w:pPr>
      <w:widowControl/>
      <w:tabs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  <w:suppressAutoHyphens/>
      <w:ind w:firstLine="5760"/>
    </w:pPr>
    <w:rPr>
      <w:rFonts w:ascii="CG Times" w:hAnsi="CG Times"/>
      <w:b/>
      <w:i/>
      <w:sz w:val="24"/>
    </w:rPr>
  </w:style>
  <w:style w:type="paragraph" w:styleId="Header">
    <w:name w:val="header"/>
    <w:basedOn w:val="Standard"/>
    <w:pPr>
      <w:suppressLineNumbers/>
      <w:tabs>
        <w:tab w:val="center" w:pos="4819"/>
        <w:tab w:val="right" w:pos="9638"/>
      </w:tabs>
    </w:pPr>
    <w:rPr>
      <w:sz w:val="20"/>
    </w:rPr>
  </w:style>
  <w:style w:type="paragraph" w:styleId="Footer">
    <w:name w:val="footer"/>
    <w:basedOn w:val="Standard"/>
    <w:pPr>
      <w:suppressLineNumbers/>
      <w:tabs>
        <w:tab w:val="center" w:pos="4819"/>
        <w:tab w:val="right" w:pos="9638"/>
      </w:tabs>
    </w:pPr>
    <w:rPr>
      <w:sz w:val="20"/>
    </w:rPr>
  </w:style>
  <w:style w:type="paragraph" w:styleId="FootnoteText">
    <w:name w:val="footnote text"/>
    <w:basedOn w:val="Standard"/>
    <w:pPr>
      <w:tabs>
        <w:tab w:val="left" w:pos="720"/>
      </w:tabs>
      <w:ind w:left="360" w:hanging="360"/>
    </w:pPr>
    <w:rPr>
      <w:sz w:val="20"/>
    </w:rPr>
  </w:style>
  <w:style w:type="paragraph" w:customStyle="1" w:styleId="Head21">
    <w:name w:val="Head 2.1"/>
    <w:basedOn w:val="Standard"/>
    <w:pPr>
      <w:jc w:val="center"/>
    </w:pPr>
    <w:rPr>
      <w:b/>
      <w:sz w:val="28"/>
    </w:rPr>
  </w:style>
  <w:style w:type="paragraph" w:customStyle="1" w:styleId="Head22">
    <w:name w:val="Head 2.2"/>
    <w:basedOn w:val="Standard"/>
    <w:pPr>
      <w:tabs>
        <w:tab w:val="left" w:pos="720"/>
      </w:tabs>
      <w:ind w:left="360" w:hanging="360"/>
    </w:pPr>
    <w:rPr>
      <w:b/>
    </w:rPr>
  </w:style>
  <w:style w:type="paragraph" w:customStyle="1" w:styleId="Head41">
    <w:name w:val="Head 4.1"/>
    <w:basedOn w:val="Standard"/>
    <w:pPr>
      <w:jc w:val="center"/>
    </w:pPr>
    <w:rPr>
      <w:b/>
      <w:sz w:val="28"/>
    </w:rPr>
  </w:style>
  <w:style w:type="paragraph" w:customStyle="1" w:styleId="Head42">
    <w:name w:val="Head 4.2"/>
    <w:basedOn w:val="Standard"/>
    <w:pPr>
      <w:tabs>
        <w:tab w:val="left" w:pos="720"/>
      </w:tabs>
      <w:ind w:left="360" w:hanging="360"/>
    </w:pPr>
    <w:rPr>
      <w:b/>
    </w:rPr>
  </w:style>
  <w:style w:type="paragraph" w:styleId="Title">
    <w:name w:val="Title"/>
    <w:basedOn w:val="Standard"/>
    <w:next w:val="Subtitle"/>
    <w:pPr>
      <w:jc w:val="center"/>
    </w:pPr>
    <w:rPr>
      <w:b/>
      <w:bCs/>
      <w:sz w:val="48"/>
      <w:szCs w:val="36"/>
    </w:rPr>
  </w:style>
  <w:style w:type="paragraph" w:styleId="Subtitle">
    <w:name w:val="Subtitle"/>
    <w:basedOn w:val="Standard"/>
    <w:next w:val="Textbody"/>
    <w:pPr>
      <w:jc w:val="center"/>
    </w:pPr>
    <w:rPr>
      <w:b/>
      <w:i/>
      <w:iCs/>
      <w:sz w:val="44"/>
      <w:szCs w:val="28"/>
    </w:rPr>
  </w:style>
  <w:style w:type="paragraph" w:customStyle="1" w:styleId="BankNormal">
    <w:name w:val="BankNormal"/>
    <w:basedOn w:val="Standard"/>
    <w:pPr>
      <w:spacing w:after="240"/>
    </w:pPr>
  </w:style>
  <w:style w:type="paragraph" w:styleId="NormalWeb">
    <w:name w:val="Normal (Web)"/>
    <w:basedOn w:val="Standard"/>
    <w:pPr>
      <w:spacing w:before="100" w:after="100"/>
    </w:pPr>
    <w:rPr>
      <w:rFonts w:ascii="Arial Unicode MS" w:eastAsia="Arial Unicode MS" w:hAnsi="Arial Unicode MS"/>
    </w:rPr>
  </w:style>
  <w:style w:type="paragraph" w:styleId="BlockText">
    <w:name w:val="Block Text"/>
    <w:basedOn w:val="Standard"/>
    <w:pPr>
      <w:tabs>
        <w:tab w:val="left" w:pos="1080"/>
      </w:tabs>
      <w:spacing w:after="200"/>
      <w:ind w:left="540" w:right="-72" w:hanging="540"/>
    </w:pPr>
  </w:style>
  <w:style w:type="paragraph" w:customStyle="1" w:styleId="BodyText23">
    <w:name w:val="Body Text 23"/>
    <w:basedOn w:val="Standard"/>
    <w:pPr>
      <w:spacing w:before="120" w:after="120"/>
      <w:ind w:left="540"/>
    </w:pPr>
  </w:style>
  <w:style w:type="paragraph" w:customStyle="1" w:styleId="SectionVHeader">
    <w:name w:val="Section V. Header"/>
    <w:basedOn w:val="Standard"/>
    <w:pPr>
      <w:jc w:val="center"/>
    </w:pPr>
    <w:rPr>
      <w:b/>
      <w:sz w:val="36"/>
    </w:rPr>
  </w:style>
  <w:style w:type="paragraph" w:customStyle="1" w:styleId="Outline">
    <w:name w:val="Outline"/>
    <w:basedOn w:val="Standard"/>
    <w:pPr>
      <w:spacing w:before="240"/>
    </w:pPr>
  </w:style>
  <w:style w:type="paragraph" w:customStyle="1" w:styleId="Outline10">
    <w:name w:val="Outline1"/>
    <w:basedOn w:val="Outline"/>
    <w:pPr>
      <w:keepNext/>
      <w:tabs>
        <w:tab w:val="left" w:pos="720"/>
      </w:tabs>
      <w:ind w:left="360" w:hanging="360"/>
    </w:pPr>
  </w:style>
  <w:style w:type="paragraph" w:customStyle="1" w:styleId="Outline2">
    <w:name w:val="Outline2"/>
    <w:basedOn w:val="Standard"/>
    <w:pPr>
      <w:tabs>
        <w:tab w:val="left" w:pos="1728"/>
      </w:tabs>
      <w:spacing w:before="240"/>
      <w:ind w:left="864" w:hanging="504"/>
    </w:pPr>
  </w:style>
  <w:style w:type="paragraph" w:customStyle="1" w:styleId="Outline3">
    <w:name w:val="Outline3"/>
    <w:basedOn w:val="Standard"/>
    <w:pPr>
      <w:tabs>
        <w:tab w:val="left" w:pos="2736"/>
      </w:tabs>
      <w:spacing w:before="240"/>
      <w:ind w:left="1368" w:hanging="504"/>
    </w:pPr>
  </w:style>
  <w:style w:type="paragraph" w:styleId="BodyTextIndent2">
    <w:name w:val="Body Text Indent 2"/>
    <w:basedOn w:val="Standard"/>
    <w:pPr>
      <w:tabs>
        <w:tab w:val="left" w:pos="1440"/>
      </w:tabs>
      <w:ind w:left="720" w:hanging="720"/>
    </w:pPr>
  </w:style>
  <w:style w:type="paragraph" w:customStyle="1" w:styleId="BodyText22">
    <w:name w:val="Body Text 22"/>
    <w:basedOn w:val="Standard"/>
    <w:pPr>
      <w:ind w:left="720"/>
    </w:pPr>
  </w:style>
  <w:style w:type="paragraph" w:styleId="BodyTextIndent3">
    <w:name w:val="Body Text Indent 3"/>
    <w:basedOn w:val="Standard"/>
    <w:pPr>
      <w:tabs>
        <w:tab w:val="left" w:pos="1080"/>
      </w:tabs>
      <w:spacing w:after="200"/>
      <w:ind w:left="540" w:hanging="540"/>
    </w:pPr>
  </w:style>
  <w:style w:type="paragraph" w:styleId="BodyText3">
    <w:name w:val="Body Text 3"/>
    <w:basedOn w:val="Standard"/>
    <w:rPr>
      <w:i/>
    </w:rPr>
  </w:style>
  <w:style w:type="paragraph" w:styleId="BodyTextIndent">
    <w:name w:val="Body Text Indent"/>
    <w:basedOn w:val="Textbody"/>
    <w:pPr>
      <w:spacing w:after="120"/>
      <w:ind w:firstLine="210"/>
      <w:jc w:val="both"/>
    </w:pPr>
    <w:rPr>
      <w:color w:val="00000A"/>
      <w:sz w:val="24"/>
    </w:rPr>
  </w:style>
  <w:style w:type="paragraph" w:customStyle="1" w:styleId="BodyText21">
    <w:name w:val="Body Text 21"/>
    <w:basedOn w:val="Standard"/>
    <w:pPr>
      <w:spacing w:after="120"/>
      <w:ind w:left="360"/>
    </w:pPr>
  </w:style>
  <w:style w:type="paragraph" w:styleId="BodyTextFirstIndent2">
    <w:name w:val="Body Text First Indent 2"/>
    <w:basedOn w:val="BodyText21"/>
    <w:pPr>
      <w:ind w:firstLine="210"/>
    </w:pPr>
  </w:style>
  <w:style w:type="paragraph" w:styleId="Closing">
    <w:name w:val="Closing"/>
    <w:basedOn w:val="Standard"/>
    <w:pPr>
      <w:ind w:left="4320"/>
    </w:pPr>
  </w:style>
  <w:style w:type="paragraph" w:styleId="CommentText">
    <w:name w:val="annotation text"/>
    <w:basedOn w:val="Standard"/>
    <w:rPr>
      <w:sz w:val="20"/>
    </w:rPr>
  </w:style>
  <w:style w:type="paragraph" w:styleId="Date">
    <w:name w:val="Date"/>
    <w:basedOn w:val="Standard"/>
  </w:style>
  <w:style w:type="paragraph" w:styleId="DocumentMap">
    <w:name w:val="Document Map"/>
    <w:basedOn w:val="Standard"/>
    <w:pPr>
      <w:shd w:val="clear" w:color="auto" w:fill="000080"/>
    </w:pPr>
    <w:rPr>
      <w:rFonts w:ascii="Tahoma" w:hAnsi="Tahoma"/>
    </w:rPr>
  </w:style>
  <w:style w:type="paragraph" w:styleId="E-mailSignature">
    <w:name w:val="E-mail Signature"/>
    <w:basedOn w:val="Standard"/>
  </w:style>
  <w:style w:type="paragraph" w:styleId="EndnoteText">
    <w:name w:val="endnote text"/>
    <w:basedOn w:val="Standard"/>
    <w:rPr>
      <w:sz w:val="20"/>
    </w:rPr>
  </w:style>
  <w:style w:type="paragraph" w:styleId="EnvelopeAddress">
    <w:name w:val="envelope address"/>
    <w:basedOn w:val="Standard"/>
    <w:pPr>
      <w:ind w:left="2880"/>
    </w:pPr>
  </w:style>
  <w:style w:type="paragraph" w:styleId="EnvelopeReturn">
    <w:name w:val="envelope return"/>
    <w:basedOn w:val="Standard"/>
    <w:rPr>
      <w:sz w:val="20"/>
    </w:rPr>
  </w:style>
  <w:style w:type="paragraph" w:styleId="HTMLAddress">
    <w:name w:val="HTML Address"/>
    <w:basedOn w:val="Standard"/>
    <w:rPr>
      <w:i/>
    </w:rPr>
  </w:style>
  <w:style w:type="paragraph" w:styleId="HTMLPreformatted">
    <w:name w:val="HTML Preformatted"/>
    <w:basedOn w:val="Standard"/>
    <w:rPr>
      <w:rFonts w:ascii="Courier New" w:hAnsi="Courier New"/>
      <w:sz w:val="20"/>
    </w:rPr>
  </w:style>
  <w:style w:type="paragraph" w:styleId="Index3">
    <w:name w:val="index 3"/>
    <w:basedOn w:val="Standard"/>
    <w:pPr>
      <w:ind w:left="720" w:hanging="240"/>
    </w:pPr>
  </w:style>
  <w:style w:type="paragraph" w:styleId="Index4">
    <w:name w:val="index 4"/>
    <w:basedOn w:val="Standard"/>
    <w:pPr>
      <w:ind w:left="960" w:hanging="240"/>
    </w:pPr>
  </w:style>
  <w:style w:type="paragraph" w:styleId="Index5">
    <w:name w:val="index 5"/>
    <w:basedOn w:val="Standard"/>
    <w:pPr>
      <w:ind w:left="1200" w:hanging="240"/>
    </w:pPr>
  </w:style>
  <w:style w:type="paragraph" w:styleId="Index6">
    <w:name w:val="index 6"/>
    <w:basedOn w:val="Standard"/>
    <w:pPr>
      <w:ind w:left="1440" w:hanging="240"/>
    </w:pPr>
  </w:style>
  <w:style w:type="paragraph" w:styleId="Index7">
    <w:name w:val="index 7"/>
    <w:basedOn w:val="Standard"/>
    <w:pPr>
      <w:ind w:left="1680" w:hanging="240"/>
    </w:pPr>
  </w:style>
  <w:style w:type="paragraph" w:styleId="Index8">
    <w:name w:val="index 8"/>
    <w:basedOn w:val="Standard"/>
    <w:pPr>
      <w:ind w:left="1920" w:hanging="240"/>
    </w:pPr>
  </w:style>
  <w:style w:type="paragraph" w:styleId="Index9">
    <w:name w:val="index 9"/>
    <w:basedOn w:val="Standard"/>
    <w:pPr>
      <w:ind w:left="2160" w:hanging="240"/>
    </w:pPr>
  </w:style>
  <w:style w:type="paragraph" w:styleId="IndexHeading">
    <w:name w:val="index heading"/>
    <w:basedOn w:val="Standard"/>
    <w:rPr>
      <w:b/>
    </w:rPr>
  </w:style>
  <w:style w:type="paragraph" w:styleId="List2">
    <w:name w:val="List 2"/>
    <w:basedOn w:val="Standard"/>
    <w:pPr>
      <w:spacing w:after="120"/>
      <w:ind w:left="720" w:hanging="360"/>
    </w:pPr>
  </w:style>
  <w:style w:type="paragraph" w:styleId="List3">
    <w:name w:val="List 3"/>
    <w:basedOn w:val="Standard"/>
    <w:pPr>
      <w:spacing w:after="120"/>
      <w:ind w:left="1080" w:hanging="360"/>
    </w:pPr>
  </w:style>
  <w:style w:type="paragraph" w:styleId="List4">
    <w:name w:val="List 4"/>
    <w:basedOn w:val="Standard"/>
    <w:pPr>
      <w:spacing w:after="120"/>
      <w:ind w:left="1440" w:hanging="360"/>
    </w:pPr>
  </w:style>
  <w:style w:type="paragraph" w:styleId="List5">
    <w:name w:val="List 5"/>
    <w:basedOn w:val="Standard"/>
    <w:pPr>
      <w:spacing w:after="120"/>
      <w:ind w:left="1800" w:hanging="360"/>
    </w:pPr>
  </w:style>
  <w:style w:type="paragraph" w:styleId="ListBullet">
    <w:name w:val="List Bullet"/>
    <w:basedOn w:val="Standard"/>
    <w:pPr>
      <w:tabs>
        <w:tab w:val="left" w:pos="720"/>
      </w:tabs>
      <w:ind w:left="360" w:hanging="360"/>
    </w:pPr>
  </w:style>
  <w:style w:type="paragraph" w:styleId="ListBullet2">
    <w:name w:val="List Bullet 2"/>
    <w:basedOn w:val="Standard"/>
    <w:pPr>
      <w:tabs>
        <w:tab w:val="left" w:pos="1440"/>
      </w:tabs>
      <w:ind w:left="720" w:hanging="360"/>
    </w:pPr>
  </w:style>
  <w:style w:type="paragraph" w:styleId="ListBullet3">
    <w:name w:val="List Bullet 3"/>
    <w:basedOn w:val="Standard"/>
    <w:pPr>
      <w:tabs>
        <w:tab w:val="left" w:pos="2160"/>
      </w:tabs>
      <w:ind w:left="1080" w:hanging="360"/>
    </w:pPr>
  </w:style>
  <w:style w:type="paragraph" w:styleId="ListBullet4">
    <w:name w:val="List Bullet 4"/>
    <w:basedOn w:val="Standard"/>
    <w:pPr>
      <w:tabs>
        <w:tab w:val="left" w:pos="2880"/>
      </w:tabs>
      <w:ind w:left="1440" w:hanging="360"/>
    </w:pPr>
  </w:style>
  <w:style w:type="paragraph" w:styleId="ListBullet5">
    <w:name w:val="List Bullet 5"/>
    <w:basedOn w:val="Standard"/>
    <w:pPr>
      <w:tabs>
        <w:tab w:val="left" w:pos="3600"/>
      </w:tabs>
      <w:ind w:left="1800" w:hanging="360"/>
    </w:pPr>
  </w:style>
  <w:style w:type="paragraph" w:styleId="ListContinue">
    <w:name w:val="List Continue"/>
    <w:basedOn w:val="Standard"/>
    <w:pPr>
      <w:spacing w:after="120"/>
      <w:ind w:left="360"/>
    </w:pPr>
  </w:style>
  <w:style w:type="paragraph" w:styleId="ListContinue2">
    <w:name w:val="List Continue 2"/>
    <w:basedOn w:val="Standard"/>
    <w:pPr>
      <w:spacing w:after="120"/>
      <w:ind w:left="720"/>
    </w:pPr>
  </w:style>
  <w:style w:type="paragraph" w:styleId="ListContinue3">
    <w:name w:val="List Continue 3"/>
    <w:basedOn w:val="Standard"/>
    <w:pPr>
      <w:spacing w:after="120"/>
      <w:ind w:left="1080"/>
    </w:pPr>
  </w:style>
  <w:style w:type="paragraph" w:styleId="ListContinue4">
    <w:name w:val="List Continue 4"/>
    <w:basedOn w:val="Standard"/>
    <w:pPr>
      <w:spacing w:after="120"/>
      <w:ind w:left="1440"/>
    </w:pPr>
  </w:style>
  <w:style w:type="paragraph" w:styleId="ListContinue5">
    <w:name w:val="List Continue 5"/>
    <w:basedOn w:val="Standard"/>
    <w:pPr>
      <w:spacing w:after="120"/>
      <w:ind w:left="1800"/>
    </w:pPr>
  </w:style>
  <w:style w:type="paragraph" w:styleId="ListNumber">
    <w:name w:val="List Number"/>
    <w:basedOn w:val="Standard"/>
    <w:pPr>
      <w:tabs>
        <w:tab w:val="left" w:pos="720"/>
      </w:tabs>
      <w:ind w:left="360" w:hanging="360"/>
    </w:pPr>
  </w:style>
  <w:style w:type="paragraph" w:styleId="ListNumber2">
    <w:name w:val="List Number 2"/>
    <w:basedOn w:val="Standard"/>
    <w:pPr>
      <w:tabs>
        <w:tab w:val="left" w:pos="1440"/>
      </w:tabs>
      <w:ind w:left="720" w:hanging="360"/>
    </w:pPr>
  </w:style>
  <w:style w:type="paragraph" w:styleId="ListNumber3">
    <w:name w:val="List Number 3"/>
    <w:basedOn w:val="Standard"/>
    <w:pPr>
      <w:tabs>
        <w:tab w:val="left" w:pos="2160"/>
      </w:tabs>
      <w:ind w:left="1080" w:hanging="360"/>
    </w:pPr>
  </w:style>
  <w:style w:type="paragraph" w:styleId="ListNumber4">
    <w:name w:val="List Number 4"/>
    <w:basedOn w:val="Standard"/>
    <w:pPr>
      <w:tabs>
        <w:tab w:val="left" w:pos="2880"/>
      </w:tabs>
      <w:ind w:left="1440" w:hanging="360"/>
    </w:pPr>
  </w:style>
  <w:style w:type="paragraph" w:styleId="ListNumber5">
    <w:name w:val="List Number 5"/>
    <w:basedOn w:val="Standard"/>
    <w:pPr>
      <w:tabs>
        <w:tab w:val="left" w:pos="3600"/>
      </w:tabs>
      <w:ind w:left="1800" w:hanging="360"/>
    </w:pPr>
  </w:style>
  <w:style w:type="paragraph" w:styleId="MacroText">
    <w:name w:val="macro"/>
    <w:pPr>
      <w:widowControl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uppressAutoHyphens/>
      <w:jc w:val="both"/>
    </w:pPr>
    <w:rPr>
      <w:rFonts w:ascii="Courier New" w:hAnsi="Courier New"/>
    </w:rPr>
  </w:style>
  <w:style w:type="paragraph" w:styleId="MessageHeader">
    <w:name w:val="Message Header"/>
    <w:basedOn w:val="Standard"/>
    <w:pPr>
      <w:pBdr>
        <w:top w:val="single" w:sz="6" w:space="1" w:color="00000A"/>
        <w:left w:val="single" w:sz="6" w:space="1" w:color="00000A"/>
        <w:bottom w:val="single" w:sz="6" w:space="1" w:color="00000A"/>
        <w:right w:val="single" w:sz="6" w:space="1" w:color="00000A"/>
      </w:pBdr>
      <w:shd w:val="clear" w:color="auto" w:fill="CCCCCC"/>
      <w:ind w:left="1080" w:hanging="1080"/>
    </w:pPr>
  </w:style>
  <w:style w:type="paragraph" w:styleId="NormalIndent">
    <w:name w:val="Normal Indent"/>
    <w:basedOn w:val="Standard"/>
    <w:pPr>
      <w:ind w:left="720"/>
    </w:pPr>
  </w:style>
  <w:style w:type="paragraph" w:styleId="NoteHeading">
    <w:name w:val="Note Heading"/>
    <w:basedOn w:val="Standard"/>
  </w:style>
  <w:style w:type="paragraph" w:styleId="PlainText">
    <w:name w:val="Plain Text"/>
    <w:basedOn w:val="Standard"/>
    <w:rPr>
      <w:rFonts w:ascii="Courier New" w:hAnsi="Courier New"/>
      <w:sz w:val="20"/>
    </w:rPr>
  </w:style>
  <w:style w:type="paragraph" w:styleId="Salutation">
    <w:name w:val="Salutation"/>
    <w:basedOn w:val="Standard"/>
    <w:pPr>
      <w:suppressLineNumbers/>
    </w:pPr>
  </w:style>
  <w:style w:type="paragraph" w:styleId="Signature">
    <w:name w:val="Signature"/>
    <w:basedOn w:val="Standard"/>
    <w:pPr>
      <w:suppressLineNumbers/>
      <w:ind w:left="4320"/>
    </w:pPr>
  </w:style>
  <w:style w:type="paragraph" w:styleId="TableofAuthorities">
    <w:name w:val="table of authorities"/>
    <w:basedOn w:val="Standard"/>
    <w:pPr>
      <w:ind w:left="240" w:hanging="240"/>
    </w:pPr>
  </w:style>
  <w:style w:type="paragraph" w:styleId="TableofFigures">
    <w:name w:val="table of figures"/>
    <w:basedOn w:val="Standard"/>
    <w:pPr>
      <w:ind w:left="480" w:hanging="480"/>
    </w:pPr>
  </w:style>
  <w:style w:type="paragraph" w:styleId="BodyText2">
    <w:name w:val="Body Text 2"/>
    <w:basedOn w:val="Standard"/>
    <w:pPr>
      <w:spacing w:after="120"/>
      <w:ind w:left="283"/>
    </w:pPr>
  </w:style>
  <w:style w:type="paragraph" w:customStyle="1" w:styleId="CM1">
    <w:name w:val="CM1"/>
    <w:basedOn w:val="Standard"/>
    <w:rPr>
      <w:color w:val="00000A"/>
    </w:rPr>
  </w:style>
  <w:style w:type="paragraph" w:customStyle="1" w:styleId="CM126">
    <w:name w:val="CM126"/>
    <w:basedOn w:val="Standard"/>
    <w:pPr>
      <w:spacing w:after="458"/>
    </w:pPr>
    <w:rPr>
      <w:color w:val="00000A"/>
    </w:rPr>
  </w:style>
  <w:style w:type="paragraph" w:customStyle="1" w:styleId="CM108">
    <w:name w:val="CM108"/>
    <w:basedOn w:val="Standard"/>
    <w:pPr>
      <w:spacing w:after="113"/>
    </w:pPr>
    <w:rPr>
      <w:color w:val="00000A"/>
    </w:rPr>
  </w:style>
  <w:style w:type="paragraph" w:customStyle="1" w:styleId="CM2">
    <w:name w:val="CM2"/>
    <w:basedOn w:val="Standard"/>
    <w:rPr>
      <w:color w:val="00000A"/>
    </w:rPr>
  </w:style>
  <w:style w:type="paragraph" w:customStyle="1" w:styleId="CM3">
    <w:name w:val="CM3"/>
    <w:basedOn w:val="Standard"/>
    <w:rPr>
      <w:color w:val="00000A"/>
    </w:rPr>
  </w:style>
  <w:style w:type="paragraph" w:customStyle="1" w:styleId="CM4">
    <w:name w:val="CM4"/>
    <w:basedOn w:val="Standard"/>
    <w:rPr>
      <w:color w:val="00000A"/>
    </w:rPr>
  </w:style>
  <w:style w:type="paragraph" w:customStyle="1" w:styleId="CM109">
    <w:name w:val="CM109"/>
    <w:basedOn w:val="Standard"/>
    <w:pPr>
      <w:spacing w:after="648"/>
    </w:pPr>
    <w:rPr>
      <w:color w:val="00000A"/>
    </w:rPr>
  </w:style>
  <w:style w:type="paragraph" w:customStyle="1" w:styleId="CM5">
    <w:name w:val="CM5"/>
    <w:basedOn w:val="Standard"/>
    <w:rPr>
      <w:color w:val="00000A"/>
    </w:rPr>
  </w:style>
  <w:style w:type="paragraph" w:customStyle="1" w:styleId="CM110">
    <w:name w:val="CM110"/>
    <w:basedOn w:val="Standard"/>
    <w:pPr>
      <w:spacing w:after="285"/>
    </w:pPr>
    <w:rPr>
      <w:color w:val="00000A"/>
    </w:rPr>
  </w:style>
  <w:style w:type="paragraph" w:customStyle="1" w:styleId="CM6">
    <w:name w:val="CM6"/>
    <w:basedOn w:val="Standard"/>
    <w:pPr>
      <w:spacing w:line="248" w:lineRule="atLeast"/>
    </w:pPr>
    <w:rPr>
      <w:color w:val="00000A"/>
    </w:rPr>
  </w:style>
  <w:style w:type="paragraph" w:customStyle="1" w:styleId="CM7">
    <w:name w:val="CM7"/>
    <w:basedOn w:val="Standard"/>
    <w:pPr>
      <w:spacing w:line="246" w:lineRule="atLeast"/>
    </w:pPr>
    <w:rPr>
      <w:color w:val="00000A"/>
    </w:rPr>
  </w:style>
  <w:style w:type="paragraph" w:customStyle="1" w:styleId="CM111">
    <w:name w:val="CM111"/>
    <w:basedOn w:val="Standard"/>
    <w:pPr>
      <w:spacing w:after="545"/>
    </w:pPr>
    <w:rPr>
      <w:color w:val="00000A"/>
    </w:rPr>
  </w:style>
  <w:style w:type="paragraph" w:customStyle="1" w:styleId="CM9">
    <w:name w:val="CM9"/>
    <w:basedOn w:val="Standard"/>
    <w:pPr>
      <w:spacing w:line="286" w:lineRule="atLeast"/>
    </w:pPr>
    <w:rPr>
      <w:color w:val="00000A"/>
    </w:rPr>
  </w:style>
  <w:style w:type="paragraph" w:customStyle="1" w:styleId="CM107">
    <w:name w:val="CM107"/>
    <w:basedOn w:val="Standard"/>
    <w:pPr>
      <w:spacing w:after="393"/>
    </w:pPr>
    <w:rPr>
      <w:color w:val="00000A"/>
    </w:rPr>
  </w:style>
  <w:style w:type="paragraph" w:customStyle="1" w:styleId="CM120">
    <w:name w:val="CM120"/>
    <w:basedOn w:val="Standard"/>
    <w:pPr>
      <w:spacing w:after="235"/>
    </w:pPr>
    <w:rPr>
      <w:color w:val="00000A"/>
    </w:rPr>
  </w:style>
  <w:style w:type="paragraph" w:customStyle="1" w:styleId="CM10">
    <w:name w:val="CM10"/>
    <w:basedOn w:val="Standard"/>
    <w:pPr>
      <w:spacing w:line="286" w:lineRule="atLeast"/>
    </w:pPr>
    <w:rPr>
      <w:color w:val="00000A"/>
    </w:rPr>
  </w:style>
  <w:style w:type="paragraph" w:customStyle="1" w:styleId="CM114">
    <w:name w:val="CM114"/>
    <w:basedOn w:val="Standard"/>
    <w:pPr>
      <w:spacing w:after="878"/>
    </w:pPr>
    <w:rPr>
      <w:color w:val="00000A"/>
    </w:rPr>
  </w:style>
  <w:style w:type="paragraph" w:customStyle="1" w:styleId="CM115">
    <w:name w:val="CM115"/>
    <w:basedOn w:val="Standard"/>
    <w:pPr>
      <w:spacing w:after="1528"/>
    </w:pPr>
    <w:rPr>
      <w:color w:val="00000A"/>
    </w:rPr>
  </w:style>
  <w:style w:type="paragraph" w:customStyle="1" w:styleId="CM116">
    <w:name w:val="CM116"/>
    <w:basedOn w:val="Standard"/>
    <w:pPr>
      <w:spacing w:after="2138"/>
    </w:pPr>
    <w:rPr>
      <w:color w:val="00000A"/>
    </w:rPr>
  </w:style>
  <w:style w:type="paragraph" w:customStyle="1" w:styleId="CM117">
    <w:name w:val="CM117"/>
    <w:basedOn w:val="Standard"/>
    <w:pPr>
      <w:spacing w:after="600"/>
    </w:pPr>
    <w:rPr>
      <w:color w:val="00000A"/>
    </w:rPr>
  </w:style>
  <w:style w:type="paragraph" w:customStyle="1" w:styleId="CM118">
    <w:name w:val="CM118"/>
    <w:basedOn w:val="Standard"/>
    <w:pPr>
      <w:spacing w:after="1193"/>
    </w:pPr>
    <w:rPr>
      <w:color w:val="00000A"/>
    </w:rPr>
  </w:style>
  <w:style w:type="paragraph" w:customStyle="1" w:styleId="CM119">
    <w:name w:val="CM119"/>
    <w:basedOn w:val="Standard"/>
    <w:pPr>
      <w:spacing w:after="803"/>
    </w:pPr>
    <w:rPr>
      <w:color w:val="00000A"/>
    </w:rPr>
  </w:style>
  <w:style w:type="paragraph" w:customStyle="1" w:styleId="CM14">
    <w:name w:val="CM14"/>
    <w:basedOn w:val="Standard"/>
    <w:rPr>
      <w:color w:val="00000A"/>
    </w:rPr>
  </w:style>
  <w:style w:type="paragraph" w:customStyle="1" w:styleId="CM15">
    <w:name w:val="CM15"/>
    <w:basedOn w:val="Standard"/>
    <w:pPr>
      <w:spacing w:line="286" w:lineRule="atLeast"/>
    </w:pPr>
    <w:rPr>
      <w:color w:val="00000A"/>
    </w:rPr>
  </w:style>
  <w:style w:type="paragraph" w:customStyle="1" w:styleId="CM17">
    <w:name w:val="CM17"/>
    <w:basedOn w:val="Standard"/>
    <w:pPr>
      <w:spacing w:line="286" w:lineRule="atLeast"/>
    </w:pPr>
    <w:rPr>
      <w:color w:val="00000A"/>
    </w:rPr>
  </w:style>
  <w:style w:type="paragraph" w:customStyle="1" w:styleId="CM18">
    <w:name w:val="CM18"/>
    <w:basedOn w:val="Standard"/>
    <w:pPr>
      <w:spacing w:line="246" w:lineRule="atLeast"/>
    </w:pPr>
    <w:rPr>
      <w:color w:val="00000A"/>
    </w:rPr>
  </w:style>
  <w:style w:type="paragraph" w:customStyle="1" w:styleId="CM121">
    <w:name w:val="CM121"/>
    <w:basedOn w:val="Standard"/>
    <w:pPr>
      <w:spacing w:after="725"/>
    </w:pPr>
    <w:rPr>
      <w:color w:val="00000A"/>
    </w:rPr>
  </w:style>
  <w:style w:type="paragraph" w:customStyle="1" w:styleId="CM19">
    <w:name w:val="CM19"/>
    <w:basedOn w:val="Standard"/>
    <w:pPr>
      <w:spacing w:line="286" w:lineRule="atLeast"/>
    </w:pPr>
    <w:rPr>
      <w:color w:val="00000A"/>
    </w:rPr>
  </w:style>
  <w:style w:type="paragraph" w:customStyle="1" w:styleId="CM21">
    <w:name w:val="CM21"/>
    <w:basedOn w:val="Standard"/>
    <w:pPr>
      <w:spacing w:line="240" w:lineRule="atLeast"/>
    </w:pPr>
    <w:rPr>
      <w:color w:val="00000A"/>
    </w:rPr>
  </w:style>
  <w:style w:type="paragraph" w:customStyle="1" w:styleId="CM22">
    <w:name w:val="CM22"/>
    <w:basedOn w:val="Standard"/>
    <w:pPr>
      <w:spacing w:line="248" w:lineRule="atLeast"/>
    </w:pPr>
    <w:rPr>
      <w:color w:val="00000A"/>
    </w:rPr>
  </w:style>
  <w:style w:type="paragraph" w:customStyle="1" w:styleId="CM112">
    <w:name w:val="CM112"/>
    <w:basedOn w:val="Standard"/>
    <w:pPr>
      <w:spacing w:after="335"/>
    </w:pPr>
    <w:rPr>
      <w:color w:val="00000A"/>
    </w:rPr>
  </w:style>
  <w:style w:type="paragraph" w:customStyle="1" w:styleId="CM123">
    <w:name w:val="CM123"/>
    <w:basedOn w:val="Standard"/>
    <w:pPr>
      <w:spacing w:after="1393"/>
    </w:pPr>
    <w:rPr>
      <w:color w:val="00000A"/>
    </w:rPr>
  </w:style>
  <w:style w:type="paragraph" w:customStyle="1" w:styleId="CM23">
    <w:name w:val="CM23"/>
    <w:basedOn w:val="Standard"/>
    <w:pPr>
      <w:spacing w:line="286" w:lineRule="atLeast"/>
    </w:pPr>
    <w:rPr>
      <w:color w:val="00000A"/>
    </w:rPr>
  </w:style>
  <w:style w:type="paragraph" w:customStyle="1" w:styleId="CM124">
    <w:name w:val="CM124"/>
    <w:basedOn w:val="Standard"/>
    <w:pPr>
      <w:spacing w:after="995"/>
    </w:pPr>
    <w:rPr>
      <w:color w:val="00000A"/>
    </w:rPr>
  </w:style>
  <w:style w:type="paragraph" w:customStyle="1" w:styleId="CM24">
    <w:name w:val="CM24"/>
    <w:basedOn w:val="Standard"/>
    <w:pPr>
      <w:spacing w:line="280" w:lineRule="atLeast"/>
    </w:pPr>
    <w:rPr>
      <w:color w:val="00000A"/>
    </w:rPr>
  </w:style>
  <w:style w:type="paragraph" w:customStyle="1" w:styleId="CM25">
    <w:name w:val="CM25"/>
    <w:basedOn w:val="Standard"/>
    <w:pPr>
      <w:spacing w:line="571" w:lineRule="atLeast"/>
    </w:pPr>
    <w:rPr>
      <w:color w:val="00000A"/>
    </w:rPr>
  </w:style>
  <w:style w:type="paragraph" w:customStyle="1" w:styleId="CM127">
    <w:name w:val="CM127"/>
    <w:basedOn w:val="Standard"/>
    <w:pPr>
      <w:spacing w:after="1123"/>
    </w:pPr>
    <w:rPr>
      <w:color w:val="00000A"/>
    </w:rPr>
  </w:style>
  <w:style w:type="paragraph" w:customStyle="1" w:styleId="CM128">
    <w:name w:val="CM128"/>
    <w:basedOn w:val="Standard"/>
    <w:pPr>
      <w:spacing w:after="157"/>
    </w:pPr>
    <w:rPr>
      <w:color w:val="00000A"/>
    </w:rPr>
  </w:style>
  <w:style w:type="paragraph" w:customStyle="1" w:styleId="CM27">
    <w:name w:val="CM27"/>
    <w:basedOn w:val="Standard"/>
    <w:pPr>
      <w:spacing w:line="286" w:lineRule="atLeast"/>
    </w:pPr>
    <w:rPr>
      <w:color w:val="00000A"/>
    </w:rPr>
  </w:style>
  <w:style w:type="paragraph" w:customStyle="1" w:styleId="CM125">
    <w:name w:val="CM125"/>
    <w:basedOn w:val="Standard"/>
    <w:pPr>
      <w:spacing w:after="1060"/>
    </w:pPr>
    <w:rPr>
      <w:color w:val="00000A"/>
    </w:rPr>
  </w:style>
  <w:style w:type="paragraph" w:customStyle="1" w:styleId="CM30">
    <w:name w:val="CM30"/>
    <w:basedOn w:val="Standard"/>
    <w:pPr>
      <w:spacing w:line="280" w:lineRule="atLeast"/>
    </w:pPr>
    <w:rPr>
      <w:color w:val="00000A"/>
    </w:rPr>
  </w:style>
  <w:style w:type="paragraph" w:customStyle="1" w:styleId="CM11">
    <w:name w:val="CM11"/>
    <w:basedOn w:val="Standard"/>
    <w:pPr>
      <w:spacing w:line="286" w:lineRule="atLeast"/>
    </w:pPr>
    <w:rPr>
      <w:color w:val="00000A"/>
    </w:rPr>
  </w:style>
  <w:style w:type="paragraph" w:customStyle="1" w:styleId="CM31">
    <w:name w:val="CM31"/>
    <w:basedOn w:val="Standard"/>
    <w:pPr>
      <w:spacing w:line="286" w:lineRule="atLeast"/>
    </w:pPr>
    <w:rPr>
      <w:color w:val="00000A"/>
    </w:rPr>
  </w:style>
  <w:style w:type="paragraph" w:customStyle="1" w:styleId="CM129">
    <w:name w:val="CM129"/>
    <w:basedOn w:val="Standard"/>
    <w:pPr>
      <w:spacing w:after="1270"/>
    </w:pPr>
    <w:rPr>
      <w:color w:val="00000A"/>
    </w:rPr>
  </w:style>
  <w:style w:type="paragraph" w:customStyle="1" w:styleId="CM34">
    <w:name w:val="CM34"/>
    <w:basedOn w:val="Standard"/>
    <w:pPr>
      <w:spacing w:line="286" w:lineRule="atLeast"/>
    </w:pPr>
    <w:rPr>
      <w:color w:val="00000A"/>
    </w:rPr>
  </w:style>
  <w:style w:type="paragraph" w:customStyle="1" w:styleId="CM41">
    <w:name w:val="CM41"/>
    <w:basedOn w:val="Standard"/>
    <w:pPr>
      <w:spacing w:line="196" w:lineRule="atLeast"/>
    </w:pPr>
    <w:rPr>
      <w:color w:val="00000A"/>
    </w:rPr>
  </w:style>
  <w:style w:type="paragraph" w:customStyle="1" w:styleId="CM130">
    <w:name w:val="CM130"/>
    <w:basedOn w:val="Standard"/>
    <w:pPr>
      <w:spacing w:after="3578"/>
    </w:pPr>
    <w:rPr>
      <w:color w:val="00000A"/>
    </w:rPr>
  </w:style>
  <w:style w:type="paragraph" w:customStyle="1" w:styleId="CM131">
    <w:name w:val="CM131"/>
    <w:basedOn w:val="Standard"/>
    <w:pPr>
      <w:spacing w:after="4880"/>
    </w:pPr>
    <w:rPr>
      <w:color w:val="00000A"/>
    </w:rPr>
  </w:style>
  <w:style w:type="paragraph" w:customStyle="1" w:styleId="CM51">
    <w:name w:val="CM51"/>
    <w:basedOn w:val="Standard"/>
    <w:pPr>
      <w:spacing w:line="286" w:lineRule="atLeast"/>
    </w:pPr>
    <w:rPr>
      <w:color w:val="00000A"/>
    </w:rPr>
  </w:style>
  <w:style w:type="paragraph" w:customStyle="1" w:styleId="CM53">
    <w:name w:val="CM53"/>
    <w:basedOn w:val="Standard"/>
    <w:pPr>
      <w:spacing w:line="286" w:lineRule="atLeast"/>
    </w:pPr>
    <w:rPr>
      <w:color w:val="00000A"/>
    </w:rPr>
  </w:style>
  <w:style w:type="paragraph" w:customStyle="1" w:styleId="CM55">
    <w:name w:val="CM55"/>
    <w:basedOn w:val="Standard"/>
    <w:rPr>
      <w:color w:val="00000A"/>
    </w:rPr>
  </w:style>
  <w:style w:type="paragraph" w:customStyle="1" w:styleId="CM56">
    <w:name w:val="CM56"/>
    <w:basedOn w:val="Standard"/>
    <w:pPr>
      <w:spacing w:line="283" w:lineRule="atLeast"/>
    </w:pPr>
    <w:rPr>
      <w:color w:val="00000A"/>
    </w:rPr>
  </w:style>
  <w:style w:type="paragraph" w:customStyle="1" w:styleId="CM57">
    <w:name w:val="CM57"/>
    <w:basedOn w:val="Standard"/>
    <w:pPr>
      <w:spacing w:line="286" w:lineRule="atLeast"/>
    </w:pPr>
    <w:rPr>
      <w:color w:val="00000A"/>
    </w:rPr>
  </w:style>
  <w:style w:type="paragraph" w:customStyle="1" w:styleId="CM132">
    <w:name w:val="CM132"/>
    <w:basedOn w:val="Standard"/>
    <w:pPr>
      <w:spacing w:after="3498"/>
    </w:pPr>
    <w:rPr>
      <w:color w:val="00000A"/>
    </w:rPr>
  </w:style>
  <w:style w:type="paragraph" w:customStyle="1" w:styleId="CM50">
    <w:name w:val="CM50"/>
    <w:basedOn w:val="Standard"/>
    <w:pPr>
      <w:spacing w:line="503" w:lineRule="atLeast"/>
    </w:pPr>
    <w:rPr>
      <w:color w:val="00000A"/>
    </w:rPr>
  </w:style>
  <w:style w:type="paragraph" w:customStyle="1" w:styleId="CM61">
    <w:name w:val="CM61"/>
    <w:basedOn w:val="Standard"/>
    <w:rPr>
      <w:color w:val="00000A"/>
    </w:rPr>
  </w:style>
  <w:style w:type="paragraph" w:customStyle="1" w:styleId="CM62">
    <w:name w:val="CM62"/>
    <w:basedOn w:val="Standard"/>
    <w:pPr>
      <w:spacing w:line="286" w:lineRule="atLeast"/>
    </w:pPr>
    <w:rPr>
      <w:color w:val="00000A"/>
    </w:rPr>
  </w:style>
  <w:style w:type="paragraph" w:customStyle="1" w:styleId="CM134">
    <w:name w:val="CM134"/>
    <w:basedOn w:val="Standard"/>
    <w:pPr>
      <w:spacing w:after="1790"/>
    </w:pPr>
    <w:rPr>
      <w:color w:val="00000A"/>
    </w:rPr>
  </w:style>
  <w:style w:type="paragraph" w:customStyle="1" w:styleId="CM64">
    <w:name w:val="CM64"/>
    <w:basedOn w:val="Standard"/>
    <w:pPr>
      <w:spacing w:line="286" w:lineRule="atLeast"/>
    </w:pPr>
    <w:rPr>
      <w:color w:val="00000A"/>
    </w:rPr>
  </w:style>
  <w:style w:type="paragraph" w:customStyle="1" w:styleId="CM135">
    <w:name w:val="CM135"/>
    <w:basedOn w:val="Standard"/>
    <w:pPr>
      <w:spacing w:after="2305"/>
    </w:pPr>
    <w:rPr>
      <w:color w:val="00000A"/>
    </w:rPr>
  </w:style>
  <w:style w:type="paragraph" w:customStyle="1" w:styleId="CM65">
    <w:name w:val="CM65"/>
    <w:basedOn w:val="Standard"/>
    <w:pPr>
      <w:spacing w:line="286" w:lineRule="atLeast"/>
    </w:pPr>
    <w:rPr>
      <w:color w:val="00000A"/>
    </w:rPr>
  </w:style>
  <w:style w:type="paragraph" w:customStyle="1" w:styleId="CM89">
    <w:name w:val="CM89"/>
    <w:basedOn w:val="Standard"/>
    <w:pPr>
      <w:spacing w:line="256" w:lineRule="atLeast"/>
    </w:pPr>
    <w:rPr>
      <w:color w:val="00000A"/>
    </w:rPr>
  </w:style>
  <w:style w:type="paragraph" w:customStyle="1" w:styleId="CM136">
    <w:name w:val="CM136"/>
    <w:basedOn w:val="Standard"/>
    <w:pPr>
      <w:spacing w:after="2038"/>
    </w:pPr>
    <w:rPr>
      <w:color w:val="00000A"/>
    </w:rPr>
  </w:style>
  <w:style w:type="paragraph" w:customStyle="1" w:styleId="CM72">
    <w:name w:val="CM72"/>
    <w:basedOn w:val="Standard"/>
    <w:pPr>
      <w:spacing w:line="256" w:lineRule="atLeast"/>
    </w:pPr>
    <w:rPr>
      <w:color w:val="00000A"/>
    </w:rPr>
  </w:style>
  <w:style w:type="paragraph" w:customStyle="1" w:styleId="CM70">
    <w:name w:val="CM70"/>
    <w:basedOn w:val="Standard"/>
    <w:pPr>
      <w:spacing w:line="256" w:lineRule="atLeast"/>
    </w:pPr>
    <w:rPr>
      <w:color w:val="00000A"/>
    </w:rPr>
  </w:style>
  <w:style w:type="paragraph" w:customStyle="1" w:styleId="CM73">
    <w:name w:val="CM73"/>
    <w:basedOn w:val="Standard"/>
    <w:pPr>
      <w:spacing w:line="256" w:lineRule="atLeast"/>
    </w:pPr>
    <w:rPr>
      <w:color w:val="00000A"/>
    </w:rPr>
  </w:style>
  <w:style w:type="paragraph" w:customStyle="1" w:styleId="CM74">
    <w:name w:val="CM74"/>
    <w:basedOn w:val="Standard"/>
    <w:pPr>
      <w:spacing w:line="256" w:lineRule="atLeast"/>
    </w:pPr>
    <w:rPr>
      <w:color w:val="00000A"/>
    </w:rPr>
  </w:style>
  <w:style w:type="paragraph" w:customStyle="1" w:styleId="CM76">
    <w:name w:val="CM76"/>
    <w:basedOn w:val="Standard"/>
    <w:pPr>
      <w:spacing w:line="256" w:lineRule="atLeast"/>
    </w:pPr>
    <w:rPr>
      <w:color w:val="00000A"/>
    </w:rPr>
  </w:style>
  <w:style w:type="paragraph" w:customStyle="1" w:styleId="CM77">
    <w:name w:val="CM77"/>
    <w:basedOn w:val="Standard"/>
    <w:pPr>
      <w:spacing w:line="256" w:lineRule="atLeast"/>
    </w:pPr>
    <w:rPr>
      <w:color w:val="00000A"/>
    </w:rPr>
  </w:style>
  <w:style w:type="paragraph" w:customStyle="1" w:styleId="CM78">
    <w:name w:val="CM78"/>
    <w:basedOn w:val="Standard"/>
    <w:pPr>
      <w:spacing w:line="256" w:lineRule="atLeast"/>
    </w:pPr>
    <w:rPr>
      <w:color w:val="00000A"/>
    </w:rPr>
  </w:style>
  <w:style w:type="paragraph" w:customStyle="1" w:styleId="CM79">
    <w:name w:val="CM79"/>
    <w:basedOn w:val="Standard"/>
    <w:pPr>
      <w:spacing w:line="256" w:lineRule="atLeast"/>
    </w:pPr>
    <w:rPr>
      <w:color w:val="00000A"/>
    </w:rPr>
  </w:style>
  <w:style w:type="paragraph" w:customStyle="1" w:styleId="CM80">
    <w:name w:val="CM80"/>
    <w:basedOn w:val="Standard"/>
    <w:pPr>
      <w:spacing w:line="256" w:lineRule="atLeast"/>
    </w:pPr>
    <w:rPr>
      <w:color w:val="00000A"/>
    </w:rPr>
  </w:style>
  <w:style w:type="paragraph" w:customStyle="1" w:styleId="CM81">
    <w:name w:val="CM81"/>
    <w:basedOn w:val="Standard"/>
    <w:pPr>
      <w:spacing w:line="256" w:lineRule="atLeast"/>
    </w:pPr>
    <w:rPr>
      <w:color w:val="00000A"/>
    </w:rPr>
  </w:style>
  <w:style w:type="paragraph" w:customStyle="1" w:styleId="CM82">
    <w:name w:val="CM82"/>
    <w:basedOn w:val="Standard"/>
    <w:rPr>
      <w:color w:val="00000A"/>
    </w:rPr>
  </w:style>
  <w:style w:type="paragraph" w:customStyle="1" w:styleId="CM75">
    <w:name w:val="CM75"/>
    <w:basedOn w:val="Standard"/>
    <w:pPr>
      <w:spacing w:line="256" w:lineRule="atLeast"/>
    </w:pPr>
    <w:rPr>
      <w:color w:val="00000A"/>
    </w:rPr>
  </w:style>
  <w:style w:type="paragraph" w:customStyle="1" w:styleId="CM133">
    <w:name w:val="CM133"/>
    <w:basedOn w:val="Standard"/>
    <w:pPr>
      <w:spacing w:after="70"/>
    </w:pPr>
    <w:rPr>
      <w:color w:val="00000A"/>
    </w:rPr>
  </w:style>
  <w:style w:type="paragraph" w:customStyle="1" w:styleId="CM137">
    <w:name w:val="CM137"/>
    <w:basedOn w:val="Standard"/>
    <w:pPr>
      <w:spacing w:after="2858"/>
    </w:pPr>
    <w:rPr>
      <w:color w:val="00000A"/>
    </w:rPr>
  </w:style>
  <w:style w:type="paragraph" w:customStyle="1" w:styleId="CM68">
    <w:name w:val="CM68"/>
    <w:basedOn w:val="Standard"/>
    <w:pPr>
      <w:spacing w:line="256" w:lineRule="atLeast"/>
    </w:pPr>
    <w:rPr>
      <w:color w:val="00000A"/>
    </w:rPr>
  </w:style>
  <w:style w:type="paragraph" w:customStyle="1" w:styleId="CM86">
    <w:name w:val="CM86"/>
    <w:basedOn w:val="Standard"/>
    <w:pPr>
      <w:spacing w:line="256" w:lineRule="atLeast"/>
    </w:pPr>
    <w:rPr>
      <w:color w:val="00000A"/>
    </w:rPr>
  </w:style>
  <w:style w:type="paragraph" w:customStyle="1" w:styleId="CM83">
    <w:name w:val="CM83"/>
    <w:basedOn w:val="Standard"/>
    <w:pPr>
      <w:spacing w:line="256" w:lineRule="atLeast"/>
    </w:pPr>
    <w:rPr>
      <w:color w:val="00000A"/>
    </w:rPr>
  </w:style>
  <w:style w:type="paragraph" w:customStyle="1" w:styleId="CM88">
    <w:name w:val="CM88"/>
    <w:basedOn w:val="Standard"/>
    <w:pPr>
      <w:spacing w:line="256" w:lineRule="atLeast"/>
    </w:pPr>
    <w:rPr>
      <w:color w:val="00000A"/>
    </w:rPr>
  </w:style>
  <w:style w:type="paragraph" w:customStyle="1" w:styleId="CM138">
    <w:name w:val="CM138"/>
    <w:basedOn w:val="Standard"/>
    <w:pPr>
      <w:spacing w:after="2423"/>
    </w:pPr>
    <w:rPr>
      <w:color w:val="00000A"/>
    </w:rPr>
  </w:style>
  <w:style w:type="paragraph" w:customStyle="1" w:styleId="CM84">
    <w:name w:val="CM84"/>
    <w:basedOn w:val="Standard"/>
    <w:pPr>
      <w:spacing w:line="256" w:lineRule="atLeast"/>
    </w:pPr>
    <w:rPr>
      <w:color w:val="00000A"/>
    </w:rPr>
  </w:style>
  <w:style w:type="paragraph" w:customStyle="1" w:styleId="CM90">
    <w:name w:val="CM90"/>
    <w:basedOn w:val="Standard"/>
    <w:pPr>
      <w:spacing w:line="256" w:lineRule="atLeast"/>
    </w:pPr>
    <w:rPr>
      <w:color w:val="00000A"/>
    </w:rPr>
  </w:style>
  <w:style w:type="paragraph" w:customStyle="1" w:styleId="CM91">
    <w:name w:val="CM91"/>
    <w:basedOn w:val="Standard"/>
    <w:pPr>
      <w:spacing w:line="766" w:lineRule="atLeast"/>
    </w:pPr>
    <w:rPr>
      <w:color w:val="00000A"/>
    </w:rPr>
  </w:style>
  <w:style w:type="paragraph" w:customStyle="1" w:styleId="CM139">
    <w:name w:val="CM139"/>
    <w:basedOn w:val="Standard"/>
    <w:pPr>
      <w:spacing w:after="4085"/>
    </w:pPr>
    <w:rPr>
      <w:color w:val="00000A"/>
    </w:rPr>
  </w:style>
  <w:style w:type="paragraph" w:customStyle="1" w:styleId="CM92">
    <w:name w:val="CM92"/>
    <w:basedOn w:val="Standard"/>
    <w:pPr>
      <w:spacing w:line="256" w:lineRule="atLeast"/>
    </w:pPr>
    <w:rPr>
      <w:color w:val="00000A"/>
    </w:rPr>
  </w:style>
  <w:style w:type="paragraph" w:customStyle="1" w:styleId="CM140">
    <w:name w:val="CM140"/>
    <w:basedOn w:val="Standard"/>
    <w:pPr>
      <w:spacing w:after="4343"/>
    </w:pPr>
    <w:rPr>
      <w:color w:val="00000A"/>
    </w:rPr>
  </w:style>
  <w:style w:type="paragraph" w:customStyle="1" w:styleId="CM71">
    <w:name w:val="CM71"/>
    <w:basedOn w:val="Standard"/>
    <w:pPr>
      <w:spacing w:line="256" w:lineRule="atLeast"/>
    </w:pPr>
    <w:rPr>
      <w:color w:val="00000A"/>
    </w:rPr>
  </w:style>
  <w:style w:type="paragraph" w:customStyle="1" w:styleId="CM93">
    <w:name w:val="CM93"/>
    <w:basedOn w:val="Standard"/>
    <w:pPr>
      <w:spacing w:line="256" w:lineRule="atLeast"/>
    </w:pPr>
    <w:rPr>
      <w:color w:val="00000A"/>
    </w:rPr>
  </w:style>
  <w:style w:type="paragraph" w:customStyle="1" w:styleId="CM94">
    <w:name w:val="CM94"/>
    <w:basedOn w:val="Standard"/>
    <w:pPr>
      <w:spacing w:line="256" w:lineRule="atLeast"/>
    </w:pPr>
    <w:rPr>
      <w:color w:val="00000A"/>
    </w:rPr>
  </w:style>
  <w:style w:type="paragraph" w:customStyle="1" w:styleId="CM100">
    <w:name w:val="CM100"/>
    <w:basedOn w:val="Standard"/>
    <w:pPr>
      <w:spacing w:line="256" w:lineRule="atLeast"/>
    </w:pPr>
    <w:rPr>
      <w:color w:val="00000A"/>
    </w:rPr>
  </w:style>
  <w:style w:type="paragraph" w:customStyle="1" w:styleId="CM101">
    <w:name w:val="CM101"/>
    <w:basedOn w:val="Standard"/>
    <w:rPr>
      <w:color w:val="00000A"/>
    </w:rPr>
  </w:style>
  <w:style w:type="paragraph" w:customStyle="1" w:styleId="CM104">
    <w:name w:val="CM104"/>
    <w:basedOn w:val="Standard"/>
    <w:pPr>
      <w:spacing w:line="256" w:lineRule="atLeast"/>
    </w:pPr>
    <w:rPr>
      <w:color w:val="00000A"/>
    </w:rPr>
  </w:style>
  <w:style w:type="paragraph" w:styleId="BalloonText">
    <w:name w:val="Balloon Text"/>
    <w:basedOn w:val="Standard"/>
    <w:rPr>
      <w:rFonts w:ascii="Tahoma" w:hAnsi="Tahoma"/>
      <w:sz w:val="16"/>
    </w:rPr>
  </w:style>
  <w:style w:type="paragraph" w:customStyle="1" w:styleId="CommentSubject1">
    <w:name w:val="Comment Subject1"/>
    <w:basedOn w:val="CommentText"/>
    <w:rPr>
      <w:b/>
    </w:rPr>
  </w:style>
  <w:style w:type="paragraph" w:styleId="CommentSubject">
    <w:name w:val="annotation subject"/>
    <w:basedOn w:val="CommentText"/>
    <w:rPr>
      <w:b/>
      <w:bCs/>
    </w:rPr>
  </w:style>
  <w:style w:type="paragraph" w:customStyle="1" w:styleId="Char">
    <w:name w:val="Char"/>
    <w:basedOn w:val="Standard"/>
    <w:pPr>
      <w:spacing w:after="160" w:line="240" w:lineRule="exact"/>
    </w:pPr>
    <w:rPr>
      <w:rFonts w:ascii="Tahoma" w:hAnsi="Tahoma"/>
      <w:sz w:val="20"/>
    </w:rPr>
  </w:style>
  <w:style w:type="paragraph" w:customStyle="1" w:styleId="Textbodyindent">
    <w:name w:val="Text body indent"/>
    <w:basedOn w:val="Standard"/>
    <w:pPr>
      <w:spacing w:after="120"/>
      <w:ind w:left="283"/>
    </w:pPr>
    <w:rPr>
      <w:lang w:eastAsia="hr-HR"/>
    </w:rPr>
  </w:style>
  <w:style w:type="paragraph" w:customStyle="1" w:styleId="xl30">
    <w:name w:val="xl30"/>
    <w:basedOn w:val="Standard"/>
    <w:pPr>
      <w:spacing w:before="100" w:after="100"/>
      <w:jc w:val="center"/>
    </w:pPr>
    <w:rPr>
      <w:rFonts w:eastAsia="Arial Unicode MS" w:cs="Arial"/>
      <w:sz w:val="16"/>
      <w:szCs w:val="16"/>
      <w:lang w:val="en-GB"/>
    </w:rPr>
  </w:style>
  <w:style w:type="paragraph" w:customStyle="1" w:styleId="xl25">
    <w:name w:val="xl25"/>
    <w:basedOn w:val="Standard"/>
    <w:pPr>
      <w:spacing w:before="100" w:after="100"/>
    </w:pPr>
    <w:rPr>
      <w:rFonts w:cs="Arial"/>
      <w:b/>
      <w:bCs/>
      <w:lang w:val="en-GB"/>
    </w:rPr>
  </w:style>
  <w:style w:type="paragraph" w:customStyle="1" w:styleId="xl32">
    <w:name w:val="xl32"/>
    <w:basedOn w:val="Standard"/>
    <w:pPr>
      <w:spacing w:before="100" w:after="100"/>
      <w:jc w:val="center"/>
    </w:pPr>
    <w:rPr>
      <w:rFonts w:eastAsia="Arial Unicode MS" w:cs="Arial"/>
      <w:b/>
      <w:bCs/>
      <w:lang w:val="en-GB"/>
    </w:rPr>
  </w:style>
  <w:style w:type="paragraph" w:customStyle="1" w:styleId="xl56">
    <w:name w:val="xl56"/>
    <w:basedOn w:val="Standard"/>
    <w:pPr>
      <w:spacing w:before="100" w:after="100"/>
    </w:pPr>
    <w:rPr>
      <w:rFonts w:eastAsia="Arial Unicode MS" w:cs="Arial"/>
      <w:b/>
      <w:bCs/>
      <w:lang w:val="en-GB"/>
    </w:rPr>
  </w:style>
  <w:style w:type="paragraph" w:customStyle="1" w:styleId="xl44">
    <w:name w:val="xl44"/>
    <w:basedOn w:val="Standard"/>
    <w:pPr>
      <w:spacing w:before="100" w:after="100"/>
      <w:jc w:val="center"/>
    </w:pPr>
    <w:rPr>
      <w:rFonts w:eastAsia="Arial Unicode MS" w:cs="Arial"/>
      <w:sz w:val="22"/>
      <w:szCs w:val="22"/>
      <w:lang w:val="en-GB"/>
    </w:rPr>
  </w:style>
  <w:style w:type="paragraph" w:customStyle="1" w:styleId="xl62">
    <w:name w:val="xl62"/>
    <w:basedOn w:val="Standard"/>
    <w:pPr>
      <w:spacing w:before="100" w:after="100"/>
    </w:pPr>
    <w:rPr>
      <w:rFonts w:eastAsia="Arial Unicode MS" w:cs="Arial"/>
      <w:b/>
      <w:bCs/>
      <w:sz w:val="22"/>
      <w:szCs w:val="22"/>
      <w:lang w:val="en-GB"/>
    </w:rPr>
  </w:style>
  <w:style w:type="paragraph" w:customStyle="1" w:styleId="xl22">
    <w:name w:val="xl22"/>
    <w:basedOn w:val="Standard"/>
    <w:pPr>
      <w:spacing w:before="100" w:after="100"/>
    </w:pPr>
  </w:style>
  <w:style w:type="paragraph" w:customStyle="1" w:styleId="xl23">
    <w:name w:val="xl23"/>
    <w:basedOn w:val="Standard"/>
    <w:pPr>
      <w:spacing w:before="100" w:after="100"/>
    </w:pPr>
    <w:rPr>
      <w:sz w:val="22"/>
      <w:szCs w:val="22"/>
    </w:rPr>
  </w:style>
  <w:style w:type="paragraph" w:customStyle="1" w:styleId="xl24">
    <w:name w:val="xl24"/>
    <w:basedOn w:val="Standard"/>
    <w:pPr>
      <w:spacing w:before="100" w:after="100"/>
    </w:pPr>
    <w:rPr>
      <w:sz w:val="22"/>
      <w:szCs w:val="22"/>
    </w:rPr>
  </w:style>
  <w:style w:type="paragraph" w:customStyle="1" w:styleId="xl26">
    <w:name w:val="xl26"/>
    <w:basedOn w:val="Standard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="100" w:after="100"/>
    </w:pPr>
    <w:rPr>
      <w:sz w:val="22"/>
      <w:szCs w:val="22"/>
    </w:rPr>
  </w:style>
  <w:style w:type="paragraph" w:customStyle="1" w:styleId="xl27">
    <w:name w:val="xl27"/>
    <w:basedOn w:val="Standard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="100" w:after="100"/>
    </w:pPr>
    <w:rPr>
      <w:sz w:val="22"/>
      <w:szCs w:val="22"/>
    </w:rPr>
  </w:style>
  <w:style w:type="paragraph" w:customStyle="1" w:styleId="xl28">
    <w:name w:val="xl28"/>
    <w:basedOn w:val="Standard"/>
    <w:pPr>
      <w:spacing w:before="100" w:after="100"/>
    </w:pPr>
    <w:rPr>
      <w:sz w:val="22"/>
      <w:szCs w:val="22"/>
    </w:rPr>
  </w:style>
  <w:style w:type="paragraph" w:customStyle="1" w:styleId="xl29">
    <w:name w:val="xl29"/>
    <w:basedOn w:val="Standard"/>
    <w:pPr>
      <w:spacing w:before="100" w:after="100"/>
    </w:pPr>
    <w:rPr>
      <w:b/>
      <w:bCs/>
      <w:sz w:val="22"/>
      <w:szCs w:val="22"/>
    </w:rPr>
  </w:style>
  <w:style w:type="paragraph" w:customStyle="1" w:styleId="xl31">
    <w:name w:val="xl31"/>
    <w:basedOn w:val="Standard"/>
    <w:pPr>
      <w:spacing w:before="100" w:after="100"/>
    </w:pPr>
    <w:rPr>
      <w:b/>
      <w:bCs/>
      <w:sz w:val="22"/>
      <w:szCs w:val="22"/>
    </w:rPr>
  </w:style>
  <w:style w:type="paragraph" w:customStyle="1" w:styleId="xl33">
    <w:name w:val="xl33"/>
    <w:basedOn w:val="Standard"/>
    <w:pPr>
      <w:spacing w:before="100" w:after="100"/>
    </w:pPr>
    <w:rPr>
      <w:rFonts w:cs="Arial"/>
      <w:b/>
      <w:bCs/>
      <w:sz w:val="20"/>
    </w:rPr>
  </w:style>
  <w:style w:type="paragraph" w:customStyle="1" w:styleId="xl34">
    <w:name w:val="xl34"/>
    <w:basedOn w:val="Standard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="100" w:after="100"/>
    </w:pPr>
    <w:rPr>
      <w:rFonts w:cs="Arial"/>
      <w:b/>
      <w:bCs/>
      <w:sz w:val="20"/>
    </w:rPr>
  </w:style>
  <w:style w:type="paragraph" w:customStyle="1" w:styleId="xl35">
    <w:name w:val="xl35"/>
    <w:basedOn w:val="Standard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="100" w:after="100"/>
    </w:pPr>
    <w:rPr>
      <w:rFonts w:cs="Arial"/>
      <w:b/>
      <w:bCs/>
      <w:sz w:val="20"/>
    </w:rPr>
  </w:style>
  <w:style w:type="paragraph" w:customStyle="1" w:styleId="xl36">
    <w:name w:val="xl36"/>
    <w:basedOn w:val="Standard"/>
    <w:pPr>
      <w:spacing w:before="100" w:after="100"/>
    </w:pPr>
    <w:rPr>
      <w:rFonts w:cs="Arial"/>
      <w:b/>
      <w:bCs/>
      <w:sz w:val="20"/>
    </w:rPr>
  </w:style>
  <w:style w:type="paragraph" w:customStyle="1" w:styleId="xl37">
    <w:name w:val="xl37"/>
    <w:basedOn w:val="Standard"/>
    <w:pPr>
      <w:spacing w:before="100" w:after="100"/>
    </w:pPr>
    <w:rPr>
      <w:rFonts w:cs="Arial"/>
      <w:b/>
      <w:bCs/>
      <w:sz w:val="20"/>
    </w:rPr>
  </w:style>
  <w:style w:type="paragraph" w:customStyle="1" w:styleId="xl38">
    <w:name w:val="xl38"/>
    <w:basedOn w:val="Standard"/>
    <w:pPr>
      <w:spacing w:before="100" w:after="100"/>
    </w:pPr>
    <w:rPr>
      <w:rFonts w:cs="Arial"/>
      <w:b/>
      <w:bCs/>
      <w:sz w:val="20"/>
    </w:rPr>
  </w:style>
  <w:style w:type="paragraph" w:customStyle="1" w:styleId="xl39">
    <w:name w:val="xl39"/>
    <w:basedOn w:val="Standard"/>
    <w:pPr>
      <w:spacing w:before="100" w:after="100"/>
    </w:pPr>
    <w:rPr>
      <w:rFonts w:cs="Arial"/>
      <w:b/>
      <w:bCs/>
      <w:sz w:val="20"/>
    </w:rPr>
  </w:style>
  <w:style w:type="paragraph" w:customStyle="1" w:styleId="xl40">
    <w:name w:val="xl40"/>
    <w:basedOn w:val="Standard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="100" w:after="100"/>
    </w:pPr>
    <w:rPr>
      <w:rFonts w:cs="Arial"/>
      <w:b/>
      <w:bCs/>
      <w:sz w:val="20"/>
    </w:rPr>
  </w:style>
  <w:style w:type="paragraph" w:customStyle="1" w:styleId="xl41">
    <w:name w:val="xl41"/>
    <w:basedOn w:val="Standard"/>
    <w:pPr>
      <w:spacing w:before="100" w:after="100"/>
    </w:pPr>
    <w:rPr>
      <w:rFonts w:cs="Arial"/>
      <w:b/>
      <w:bCs/>
      <w:color w:val="FF0000"/>
      <w:sz w:val="20"/>
    </w:rPr>
  </w:style>
  <w:style w:type="paragraph" w:customStyle="1" w:styleId="xl42">
    <w:name w:val="xl42"/>
    <w:basedOn w:val="Standard"/>
    <w:pPr>
      <w:spacing w:before="100" w:after="100"/>
    </w:pPr>
    <w:rPr>
      <w:rFonts w:cs="Arial"/>
      <w:b/>
      <w:bCs/>
      <w:sz w:val="20"/>
    </w:rPr>
  </w:style>
  <w:style w:type="paragraph" w:customStyle="1" w:styleId="xl43">
    <w:name w:val="xl43"/>
    <w:basedOn w:val="Standard"/>
    <w:pPr>
      <w:spacing w:before="100" w:after="100"/>
    </w:pPr>
    <w:rPr>
      <w:rFonts w:cs="Arial"/>
      <w:b/>
      <w:bCs/>
      <w:sz w:val="20"/>
    </w:rPr>
  </w:style>
  <w:style w:type="paragraph" w:customStyle="1" w:styleId="xl45">
    <w:name w:val="xl45"/>
    <w:basedOn w:val="Standard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="100" w:after="100"/>
    </w:pPr>
    <w:rPr>
      <w:rFonts w:cs="Arial"/>
      <w:b/>
      <w:bCs/>
      <w:sz w:val="20"/>
    </w:rPr>
  </w:style>
  <w:style w:type="paragraph" w:customStyle="1" w:styleId="xl46">
    <w:name w:val="xl46"/>
    <w:basedOn w:val="Standard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="100" w:after="100"/>
    </w:pPr>
    <w:rPr>
      <w:rFonts w:cs="Arial"/>
      <w:b/>
      <w:bCs/>
      <w:sz w:val="20"/>
    </w:rPr>
  </w:style>
  <w:style w:type="paragraph" w:customStyle="1" w:styleId="xl47">
    <w:name w:val="xl47"/>
    <w:basedOn w:val="Standard"/>
    <w:pPr>
      <w:spacing w:before="100" w:after="100"/>
    </w:pPr>
    <w:rPr>
      <w:rFonts w:cs="Arial"/>
      <w:b/>
      <w:bCs/>
      <w:sz w:val="20"/>
    </w:rPr>
  </w:style>
  <w:style w:type="paragraph" w:customStyle="1" w:styleId="xl48">
    <w:name w:val="xl48"/>
    <w:basedOn w:val="Standard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="100" w:after="100"/>
    </w:pPr>
    <w:rPr>
      <w:rFonts w:cs="Arial"/>
      <w:b/>
      <w:bCs/>
      <w:sz w:val="20"/>
    </w:rPr>
  </w:style>
  <w:style w:type="paragraph" w:customStyle="1" w:styleId="xl49">
    <w:name w:val="xl49"/>
    <w:basedOn w:val="Standard"/>
    <w:pPr>
      <w:spacing w:before="100" w:after="100"/>
    </w:pPr>
    <w:rPr>
      <w:rFonts w:cs="Arial"/>
      <w:b/>
      <w:bCs/>
      <w:sz w:val="20"/>
    </w:rPr>
  </w:style>
  <w:style w:type="paragraph" w:customStyle="1" w:styleId="xl50">
    <w:name w:val="xl50"/>
    <w:basedOn w:val="Standard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="100" w:after="100"/>
    </w:pPr>
    <w:rPr>
      <w:rFonts w:cs="Arial"/>
      <w:b/>
      <w:bCs/>
      <w:sz w:val="20"/>
    </w:rPr>
  </w:style>
  <w:style w:type="paragraph" w:customStyle="1" w:styleId="xl51">
    <w:name w:val="xl51"/>
    <w:basedOn w:val="Standard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="100" w:after="100"/>
      <w:jc w:val="center"/>
    </w:pPr>
    <w:rPr>
      <w:rFonts w:cs="Arial"/>
      <w:b/>
      <w:bCs/>
      <w:sz w:val="20"/>
    </w:rPr>
  </w:style>
  <w:style w:type="paragraph" w:customStyle="1" w:styleId="xl52">
    <w:name w:val="xl52"/>
    <w:basedOn w:val="Standard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="100" w:after="100"/>
    </w:pPr>
    <w:rPr>
      <w:rFonts w:cs="Arial"/>
      <w:b/>
      <w:bCs/>
      <w:sz w:val="20"/>
    </w:rPr>
  </w:style>
  <w:style w:type="paragraph" w:customStyle="1" w:styleId="xl53">
    <w:name w:val="xl53"/>
    <w:basedOn w:val="Standard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="100" w:after="100"/>
    </w:pPr>
    <w:rPr>
      <w:b/>
      <w:bCs/>
      <w:sz w:val="22"/>
      <w:szCs w:val="22"/>
    </w:rPr>
  </w:style>
  <w:style w:type="paragraph" w:customStyle="1" w:styleId="xl54">
    <w:name w:val="xl54"/>
    <w:basedOn w:val="Standard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="100" w:after="100"/>
    </w:pPr>
    <w:rPr>
      <w:b/>
      <w:bCs/>
      <w:sz w:val="22"/>
      <w:szCs w:val="22"/>
    </w:rPr>
  </w:style>
  <w:style w:type="paragraph" w:customStyle="1" w:styleId="xl55">
    <w:name w:val="xl55"/>
    <w:basedOn w:val="Standard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="100" w:after="100"/>
    </w:pPr>
    <w:rPr>
      <w:sz w:val="22"/>
      <w:szCs w:val="22"/>
    </w:rPr>
  </w:style>
  <w:style w:type="paragraph" w:customStyle="1" w:styleId="xl57">
    <w:name w:val="xl57"/>
    <w:basedOn w:val="Standard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="100" w:after="100"/>
      <w:jc w:val="center"/>
    </w:pPr>
    <w:rPr>
      <w:rFonts w:cs="Arial"/>
      <w:b/>
      <w:bCs/>
      <w:sz w:val="18"/>
      <w:szCs w:val="18"/>
    </w:rPr>
  </w:style>
  <w:style w:type="paragraph" w:customStyle="1" w:styleId="xl58">
    <w:name w:val="xl58"/>
    <w:basedOn w:val="Standard"/>
    <w:pPr>
      <w:spacing w:before="100" w:after="100"/>
    </w:pPr>
    <w:rPr>
      <w:rFonts w:cs="Arial"/>
      <w:b/>
      <w:bCs/>
      <w:sz w:val="20"/>
    </w:rPr>
  </w:style>
  <w:style w:type="paragraph" w:customStyle="1" w:styleId="xl59">
    <w:name w:val="xl59"/>
    <w:basedOn w:val="Standard"/>
    <w:pPr>
      <w:spacing w:before="100" w:after="100"/>
    </w:pPr>
    <w:rPr>
      <w:rFonts w:cs="Arial"/>
      <w:b/>
      <w:bCs/>
      <w:sz w:val="20"/>
    </w:rPr>
  </w:style>
  <w:style w:type="paragraph" w:customStyle="1" w:styleId="xl60">
    <w:name w:val="xl60"/>
    <w:basedOn w:val="Standard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="100" w:after="100"/>
    </w:pPr>
    <w:rPr>
      <w:b/>
      <w:bCs/>
      <w:sz w:val="22"/>
      <w:szCs w:val="22"/>
    </w:rPr>
  </w:style>
  <w:style w:type="paragraph" w:customStyle="1" w:styleId="xl61">
    <w:name w:val="xl61"/>
    <w:basedOn w:val="Standard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="100" w:after="100"/>
    </w:pPr>
    <w:rPr>
      <w:b/>
      <w:bCs/>
      <w:sz w:val="22"/>
      <w:szCs w:val="22"/>
    </w:rPr>
  </w:style>
  <w:style w:type="paragraph" w:customStyle="1" w:styleId="xl63">
    <w:name w:val="xl63"/>
    <w:basedOn w:val="Standard"/>
    <w:pPr>
      <w:spacing w:before="100" w:after="100"/>
    </w:pPr>
    <w:rPr>
      <w:sz w:val="22"/>
      <w:szCs w:val="22"/>
    </w:rPr>
  </w:style>
  <w:style w:type="paragraph" w:customStyle="1" w:styleId="xl64">
    <w:name w:val="xl64"/>
    <w:basedOn w:val="Standard"/>
    <w:pPr>
      <w:spacing w:before="100" w:after="100"/>
      <w:jc w:val="center"/>
    </w:pPr>
    <w:rPr>
      <w:b/>
      <w:bCs/>
      <w:sz w:val="22"/>
      <w:szCs w:val="22"/>
    </w:rPr>
  </w:style>
  <w:style w:type="paragraph" w:customStyle="1" w:styleId="xl65">
    <w:name w:val="xl65"/>
    <w:basedOn w:val="Standard"/>
    <w:pPr>
      <w:spacing w:before="100" w:after="100"/>
      <w:jc w:val="center"/>
    </w:pPr>
    <w:rPr>
      <w:b/>
      <w:bCs/>
      <w:sz w:val="22"/>
      <w:szCs w:val="22"/>
    </w:rPr>
  </w:style>
  <w:style w:type="paragraph" w:customStyle="1" w:styleId="xl66">
    <w:name w:val="xl66"/>
    <w:basedOn w:val="Standard"/>
    <w:pPr>
      <w:spacing w:before="100" w:after="100"/>
      <w:jc w:val="center"/>
    </w:pPr>
    <w:rPr>
      <w:b/>
      <w:bCs/>
      <w:sz w:val="22"/>
      <w:szCs w:val="22"/>
    </w:rPr>
  </w:style>
  <w:style w:type="paragraph" w:customStyle="1" w:styleId="ListParagraph1">
    <w:name w:val="List Paragraph1"/>
    <w:basedOn w:val="Standard"/>
    <w:pPr>
      <w:spacing w:after="120" w:line="360" w:lineRule="auto"/>
      <w:ind w:left="720"/>
    </w:pPr>
    <w:rPr>
      <w:rFonts w:ascii="Tahoma" w:eastAsia="Calibri" w:hAnsi="Tahoma"/>
      <w:sz w:val="22"/>
      <w:szCs w:val="22"/>
      <w:lang w:val="el-GR"/>
    </w:rPr>
  </w:style>
  <w:style w:type="paragraph" w:customStyle="1" w:styleId="TOCHeading1">
    <w:name w:val="TOC Heading1"/>
    <w:basedOn w:val="Heading1"/>
    <w:pPr>
      <w:keepNext/>
      <w:spacing w:before="240" w:after="60"/>
      <w:jc w:val="left"/>
    </w:pPr>
    <w:rPr>
      <w:rFonts w:ascii="Cambria" w:hAnsi="Cambria"/>
      <w:bCs/>
      <w:sz w:val="32"/>
      <w:lang w:eastAsia="el-GR"/>
    </w:rPr>
  </w:style>
  <w:style w:type="paragraph" w:customStyle="1" w:styleId="4">
    <w:name w:val="Επικεφαλίδα4"/>
    <w:basedOn w:val="Standard"/>
    <w:pPr>
      <w:spacing w:after="120" w:line="360" w:lineRule="auto"/>
    </w:pPr>
    <w:rPr>
      <w:rFonts w:ascii="Tahoma" w:hAnsi="Tahoma" w:cs="Arial"/>
      <w:i/>
      <w:smallCaps/>
      <w:szCs w:val="22"/>
      <w:lang w:val="el-GR" w:eastAsia="el-GR"/>
    </w:rPr>
  </w:style>
  <w:style w:type="paragraph" w:customStyle="1" w:styleId="a">
    <w:name w:val="Διάγραμμα"/>
    <w:basedOn w:val="Caption"/>
    <w:pPr>
      <w:keepNext/>
      <w:jc w:val="center"/>
    </w:pPr>
    <w:rPr>
      <w:rFonts w:ascii="Book Antiqua" w:hAnsi="Book Antiqua"/>
      <w:b/>
      <w:bCs/>
      <w:sz w:val="22"/>
      <w:szCs w:val="22"/>
      <w:lang w:val="el-GR"/>
    </w:rPr>
  </w:style>
  <w:style w:type="paragraph" w:customStyle="1" w:styleId="1">
    <w:name w:val="Λεζάντα 1"/>
    <w:basedOn w:val="Caption"/>
    <w:pPr>
      <w:keepNext/>
      <w:jc w:val="center"/>
    </w:pPr>
    <w:rPr>
      <w:rFonts w:ascii="Book Antiqua" w:hAnsi="Book Antiqua"/>
      <w:b/>
      <w:bCs/>
      <w:sz w:val="22"/>
      <w:szCs w:val="22"/>
      <w:lang w:val="el-GR"/>
    </w:rPr>
  </w:style>
  <w:style w:type="paragraph" w:customStyle="1" w:styleId="3TimesNewRoman66">
    <w:name w:val="Στυλ Επικεφαλίδα 3 + Times New Roman Πριν:  6 στ. Μετά:  6 στ. ..."/>
    <w:basedOn w:val="Heading3"/>
    <w:pPr>
      <w:keepNext/>
      <w:spacing w:before="120" w:after="120" w:line="360" w:lineRule="auto"/>
      <w:ind w:left="720" w:hanging="720"/>
      <w:jc w:val="both"/>
    </w:pPr>
    <w:rPr>
      <w:b w:val="0"/>
      <w:bCs/>
      <w:sz w:val="22"/>
      <w:szCs w:val="22"/>
    </w:rPr>
  </w:style>
  <w:style w:type="paragraph" w:customStyle="1" w:styleId="xl75">
    <w:name w:val="xl75"/>
    <w:basedOn w:val="Standard"/>
    <w:pPr>
      <w:spacing w:before="100" w:after="100"/>
      <w:jc w:val="center"/>
    </w:pPr>
    <w:rPr>
      <w:rFonts w:ascii="Arial Narrow" w:eastAsia="Arial Unicode MS" w:hAnsi="Arial Narrow" w:cs="Arial Unicode MS"/>
      <w:sz w:val="16"/>
      <w:szCs w:val="16"/>
      <w:lang w:val="en-GB"/>
    </w:rPr>
  </w:style>
  <w:style w:type="paragraph" w:customStyle="1" w:styleId="Arial11pt66">
    <w:name w:val="Στυλ Arial 11 pt Πλήρης Πριν:  6 στ. Μετά:  6 στ. Διάστιχο:  ..."/>
    <w:basedOn w:val="Standard"/>
    <w:pPr>
      <w:spacing w:before="120" w:after="120" w:line="360" w:lineRule="auto"/>
    </w:pPr>
    <w:rPr>
      <w:sz w:val="22"/>
      <w:lang w:val="en-GB"/>
    </w:rPr>
  </w:style>
  <w:style w:type="paragraph" w:customStyle="1" w:styleId="paragraph">
    <w:name w:val="paragraph"/>
    <w:basedOn w:val="Standard"/>
    <w:pPr>
      <w:spacing w:line="240" w:lineRule="atLeast"/>
    </w:pPr>
    <w:rPr>
      <w:lang w:val="en-GB"/>
    </w:rPr>
  </w:style>
  <w:style w:type="paragraph" w:customStyle="1" w:styleId="Normal1">
    <w:name w:val="Normal1"/>
    <w:basedOn w:val="Standard"/>
    <w:pPr>
      <w:spacing w:before="100" w:after="100"/>
    </w:pPr>
  </w:style>
  <w:style w:type="paragraph" w:customStyle="1" w:styleId="Podnaslov1">
    <w:name w:val="Podnaslov1"/>
    <w:basedOn w:val="Standard"/>
    <w:pPr>
      <w:keepNext/>
      <w:tabs>
        <w:tab w:val="left" w:pos="2520"/>
      </w:tabs>
      <w:spacing w:before="120" w:after="120"/>
      <w:ind w:left="720" w:right="720"/>
      <w:jc w:val="center"/>
    </w:pPr>
    <w:rPr>
      <w:rFonts w:ascii="Helv Ciril" w:hAnsi="Helv Ciril"/>
      <w:b/>
      <w:sz w:val="26"/>
    </w:rPr>
  </w:style>
  <w:style w:type="paragraph" w:customStyle="1" w:styleId="WW-BodyText3">
    <w:name w:val="WW-Body Text 3"/>
    <w:basedOn w:val="Standard"/>
    <w:rPr>
      <w:rFonts w:cs="Arial"/>
      <w:lang w:val="en-GB" w:eastAsia="ar-SA"/>
    </w:rPr>
  </w:style>
  <w:style w:type="paragraph" w:customStyle="1" w:styleId="yiv1705304520msonormal3">
    <w:name w:val="yiv1705304520msonormal3"/>
    <w:basedOn w:val="Standard"/>
    <w:pPr>
      <w:spacing w:before="100" w:after="100"/>
    </w:pPr>
    <w:rPr>
      <w:rFonts w:eastAsia="Calibri"/>
    </w:rPr>
  </w:style>
  <w:style w:type="paragraph" w:customStyle="1" w:styleId="Revision1">
    <w:name w:val="Revision1"/>
    <w:pPr>
      <w:widowControl/>
      <w:suppressAutoHyphens/>
    </w:pPr>
    <w:rPr>
      <w:sz w:val="24"/>
    </w:rPr>
  </w:style>
  <w:style w:type="paragraph" w:customStyle="1" w:styleId="1tekst">
    <w:name w:val="1tekst"/>
    <w:basedOn w:val="Standard"/>
    <w:pPr>
      <w:spacing w:before="100" w:after="100"/>
      <w:ind w:firstLine="240"/>
    </w:pPr>
    <w:rPr>
      <w:rFonts w:eastAsia="Arial Unicode MS" w:cs="Arial"/>
      <w:sz w:val="20"/>
    </w:rPr>
  </w:style>
  <w:style w:type="paragraph" w:styleId="ListParagraph">
    <w:name w:val="List Paragraph"/>
    <w:basedOn w:val="Standard"/>
    <w:pPr>
      <w:ind w:left="720"/>
    </w:pPr>
  </w:style>
  <w:style w:type="paragraph" w:customStyle="1" w:styleId="msonormal0">
    <w:name w:val="msonormal"/>
    <w:basedOn w:val="Standard"/>
    <w:pPr>
      <w:spacing w:before="100" w:after="100"/>
    </w:pPr>
  </w:style>
  <w:style w:type="paragraph" w:customStyle="1" w:styleId="font5">
    <w:name w:val="font5"/>
    <w:basedOn w:val="Standard"/>
    <w:pPr>
      <w:spacing w:before="100" w:after="100"/>
    </w:pPr>
    <w:rPr>
      <w:rFonts w:ascii="Century Gothic" w:hAnsi="Century Gothic"/>
      <w:sz w:val="20"/>
    </w:rPr>
  </w:style>
  <w:style w:type="paragraph" w:customStyle="1" w:styleId="font6">
    <w:name w:val="font6"/>
    <w:basedOn w:val="Standard"/>
    <w:pPr>
      <w:spacing w:before="100" w:after="100"/>
    </w:pPr>
    <w:rPr>
      <w:rFonts w:ascii="Century Gothic" w:hAnsi="Century Gothic"/>
      <w:b/>
      <w:bCs/>
      <w:sz w:val="20"/>
    </w:rPr>
  </w:style>
  <w:style w:type="paragraph" w:customStyle="1" w:styleId="font7">
    <w:name w:val="font7"/>
    <w:basedOn w:val="Standard"/>
    <w:pPr>
      <w:spacing w:before="100" w:after="100"/>
    </w:pPr>
    <w:rPr>
      <w:rFonts w:ascii="Century Gothic" w:hAnsi="Century Gothic"/>
      <w:sz w:val="20"/>
      <w:u w:val="single"/>
    </w:rPr>
  </w:style>
  <w:style w:type="paragraph" w:customStyle="1" w:styleId="font8">
    <w:name w:val="font8"/>
    <w:basedOn w:val="Standard"/>
    <w:pPr>
      <w:spacing w:before="100" w:after="100"/>
    </w:pPr>
    <w:rPr>
      <w:rFonts w:ascii="Century Gothic" w:hAnsi="Century Gothic"/>
      <w:b/>
      <w:bCs/>
      <w:sz w:val="20"/>
    </w:rPr>
  </w:style>
  <w:style w:type="paragraph" w:customStyle="1" w:styleId="xl67">
    <w:name w:val="xl67"/>
    <w:basedOn w:val="Standard"/>
    <w:pPr>
      <w:spacing w:before="100" w:after="100"/>
      <w:jc w:val="center"/>
    </w:pPr>
    <w:rPr>
      <w:rFonts w:cs="Arial"/>
    </w:rPr>
  </w:style>
  <w:style w:type="paragraph" w:customStyle="1" w:styleId="xl68">
    <w:name w:val="xl68"/>
    <w:basedOn w:val="Standard"/>
    <w:pPr>
      <w:spacing w:before="100" w:after="100"/>
    </w:pPr>
    <w:rPr>
      <w:rFonts w:cs="Arial"/>
    </w:rPr>
  </w:style>
  <w:style w:type="paragraph" w:customStyle="1" w:styleId="xl69">
    <w:name w:val="xl69"/>
    <w:basedOn w:val="Standard"/>
    <w:pPr>
      <w:spacing w:before="100" w:after="100"/>
    </w:pPr>
    <w:rPr>
      <w:rFonts w:cs="Arial"/>
    </w:rPr>
  </w:style>
  <w:style w:type="paragraph" w:customStyle="1" w:styleId="xl70">
    <w:name w:val="xl70"/>
    <w:basedOn w:val="Standard"/>
    <w:pPr>
      <w:spacing w:before="100" w:after="100"/>
      <w:jc w:val="center"/>
    </w:pPr>
    <w:rPr>
      <w:rFonts w:cs="Arial"/>
      <w:b/>
      <w:bCs/>
    </w:rPr>
  </w:style>
  <w:style w:type="paragraph" w:customStyle="1" w:styleId="xl71">
    <w:name w:val="xl71"/>
    <w:basedOn w:val="Standard"/>
    <w:pPr>
      <w:spacing w:before="100" w:after="100"/>
      <w:jc w:val="right"/>
    </w:pPr>
    <w:rPr>
      <w:rFonts w:cs="Arial"/>
    </w:rPr>
  </w:style>
  <w:style w:type="paragraph" w:customStyle="1" w:styleId="xl72">
    <w:name w:val="xl72"/>
    <w:basedOn w:val="Standard"/>
    <w:pPr>
      <w:spacing w:before="100" w:after="100"/>
    </w:pPr>
    <w:rPr>
      <w:rFonts w:ascii="Century Gothic" w:hAnsi="Century Gothic"/>
      <w:b/>
      <w:bCs/>
      <w:sz w:val="28"/>
      <w:szCs w:val="28"/>
    </w:rPr>
  </w:style>
  <w:style w:type="paragraph" w:customStyle="1" w:styleId="xl73">
    <w:name w:val="xl73"/>
    <w:basedOn w:val="Standard"/>
    <w:pPr>
      <w:spacing w:before="100" w:after="100"/>
    </w:pPr>
    <w:rPr>
      <w:rFonts w:ascii="Century Gothic" w:hAnsi="Century Gothic"/>
      <w:b/>
      <w:bCs/>
      <w:i/>
      <w:iCs/>
      <w:sz w:val="28"/>
      <w:szCs w:val="28"/>
    </w:rPr>
  </w:style>
  <w:style w:type="paragraph" w:customStyle="1" w:styleId="xl74">
    <w:name w:val="xl74"/>
    <w:basedOn w:val="Standard"/>
    <w:pPr>
      <w:spacing w:before="100" w:after="100"/>
      <w:jc w:val="center"/>
    </w:pPr>
    <w:rPr>
      <w:rFonts w:ascii="Century Gothic" w:hAnsi="Century Gothic"/>
      <w:b/>
      <w:bCs/>
    </w:rPr>
  </w:style>
  <w:style w:type="paragraph" w:customStyle="1" w:styleId="xl76">
    <w:name w:val="xl76"/>
    <w:basedOn w:val="Standard"/>
    <w:pPr>
      <w:spacing w:before="100" w:after="100"/>
      <w:jc w:val="right"/>
    </w:pPr>
    <w:rPr>
      <w:rFonts w:ascii="Century Gothic" w:hAnsi="Century Gothic"/>
    </w:rPr>
  </w:style>
  <w:style w:type="paragraph" w:customStyle="1" w:styleId="xl77">
    <w:name w:val="xl77"/>
    <w:basedOn w:val="Standard"/>
    <w:pPr>
      <w:spacing w:before="100" w:after="100"/>
    </w:pPr>
    <w:rPr>
      <w:rFonts w:ascii="Century Gothic" w:hAnsi="Century Gothic"/>
    </w:rPr>
  </w:style>
  <w:style w:type="paragraph" w:customStyle="1" w:styleId="xl78">
    <w:name w:val="xl78"/>
    <w:basedOn w:val="Standard"/>
    <w:pPr>
      <w:spacing w:before="100" w:after="100"/>
    </w:pPr>
    <w:rPr>
      <w:rFonts w:ascii="Century Gothic" w:hAnsi="Century Gothic"/>
    </w:rPr>
  </w:style>
  <w:style w:type="paragraph" w:customStyle="1" w:styleId="xl79">
    <w:name w:val="xl79"/>
    <w:basedOn w:val="Standard"/>
    <w:pPr>
      <w:spacing w:before="100" w:after="100"/>
    </w:pPr>
    <w:rPr>
      <w:rFonts w:ascii="Century Gothic" w:hAnsi="Century Gothic"/>
    </w:rPr>
  </w:style>
  <w:style w:type="paragraph" w:customStyle="1" w:styleId="xl80">
    <w:name w:val="xl80"/>
    <w:basedOn w:val="Standard"/>
    <w:pPr>
      <w:spacing w:before="100" w:after="100"/>
    </w:pPr>
    <w:rPr>
      <w:rFonts w:ascii="Century Gothic" w:hAnsi="Century Gothic"/>
    </w:rPr>
  </w:style>
  <w:style w:type="paragraph" w:customStyle="1" w:styleId="xl81">
    <w:name w:val="xl81"/>
    <w:basedOn w:val="Standard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="100" w:after="100"/>
    </w:pPr>
    <w:rPr>
      <w:rFonts w:ascii="Century Gothic" w:hAnsi="Century Gothic"/>
    </w:rPr>
  </w:style>
  <w:style w:type="paragraph" w:customStyle="1" w:styleId="xl82">
    <w:name w:val="xl82"/>
    <w:basedOn w:val="Standard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="100" w:after="100"/>
      <w:jc w:val="right"/>
    </w:pPr>
    <w:rPr>
      <w:rFonts w:ascii="Century Gothic" w:hAnsi="Century Gothic"/>
    </w:rPr>
  </w:style>
  <w:style w:type="paragraph" w:customStyle="1" w:styleId="xl83">
    <w:name w:val="xl83"/>
    <w:basedOn w:val="Standard"/>
    <w:pPr>
      <w:spacing w:before="100" w:after="100"/>
    </w:pPr>
    <w:rPr>
      <w:rFonts w:ascii="Century Gothic" w:hAnsi="Century Gothic"/>
    </w:rPr>
  </w:style>
  <w:style w:type="paragraph" w:customStyle="1" w:styleId="xl84">
    <w:name w:val="xl84"/>
    <w:basedOn w:val="Standard"/>
    <w:pPr>
      <w:spacing w:before="100" w:after="100"/>
      <w:jc w:val="right"/>
    </w:pPr>
    <w:rPr>
      <w:rFonts w:ascii="Century Gothic" w:hAnsi="Century Gothic"/>
    </w:rPr>
  </w:style>
  <w:style w:type="paragraph" w:customStyle="1" w:styleId="xl85">
    <w:name w:val="xl85"/>
    <w:basedOn w:val="Standard"/>
    <w:pPr>
      <w:spacing w:before="100" w:after="100"/>
      <w:jc w:val="center"/>
    </w:pPr>
    <w:rPr>
      <w:rFonts w:ascii="Century Gothic" w:hAnsi="Century Gothic"/>
    </w:rPr>
  </w:style>
  <w:style w:type="paragraph" w:customStyle="1" w:styleId="xl86">
    <w:name w:val="xl86"/>
    <w:basedOn w:val="Standard"/>
    <w:pPr>
      <w:spacing w:before="100" w:after="100"/>
    </w:pPr>
    <w:rPr>
      <w:rFonts w:ascii="Century Gothic" w:hAnsi="Century Gothic"/>
    </w:rPr>
  </w:style>
  <w:style w:type="paragraph" w:customStyle="1" w:styleId="xl87">
    <w:name w:val="xl87"/>
    <w:basedOn w:val="Standard"/>
    <w:pPr>
      <w:spacing w:before="100" w:after="100"/>
    </w:pPr>
    <w:rPr>
      <w:rFonts w:ascii="Century Gothic" w:hAnsi="Century Gothic"/>
    </w:rPr>
  </w:style>
  <w:style w:type="paragraph" w:customStyle="1" w:styleId="xl88">
    <w:name w:val="xl88"/>
    <w:basedOn w:val="Standard"/>
    <w:pPr>
      <w:spacing w:before="100" w:after="100"/>
      <w:jc w:val="center"/>
    </w:pPr>
    <w:rPr>
      <w:rFonts w:ascii="Century Gothic" w:hAnsi="Century Gothic"/>
    </w:rPr>
  </w:style>
  <w:style w:type="paragraph" w:customStyle="1" w:styleId="xl89">
    <w:name w:val="xl89"/>
    <w:basedOn w:val="Standard"/>
    <w:pPr>
      <w:spacing w:before="100" w:after="100"/>
      <w:jc w:val="center"/>
    </w:pPr>
    <w:rPr>
      <w:rFonts w:ascii="Century Gothic" w:hAnsi="Century Gothic"/>
      <w:b/>
      <w:bCs/>
    </w:rPr>
  </w:style>
  <w:style w:type="paragraph" w:customStyle="1" w:styleId="xl90">
    <w:name w:val="xl90"/>
    <w:basedOn w:val="Standard"/>
    <w:pPr>
      <w:spacing w:before="100" w:after="100"/>
    </w:pPr>
    <w:rPr>
      <w:rFonts w:ascii="Century Gothic" w:hAnsi="Century Gothic"/>
      <w:b/>
      <w:bCs/>
    </w:rPr>
  </w:style>
  <w:style w:type="paragraph" w:customStyle="1" w:styleId="xl91">
    <w:name w:val="xl91"/>
    <w:basedOn w:val="Standard"/>
    <w:pPr>
      <w:spacing w:before="100" w:after="100"/>
    </w:pPr>
    <w:rPr>
      <w:rFonts w:ascii="Century Gothic" w:hAnsi="Century Gothic"/>
      <w:b/>
      <w:bCs/>
    </w:rPr>
  </w:style>
  <w:style w:type="paragraph" w:customStyle="1" w:styleId="xl92">
    <w:name w:val="xl92"/>
    <w:basedOn w:val="Standard"/>
    <w:pPr>
      <w:spacing w:before="100" w:after="100"/>
    </w:pPr>
    <w:rPr>
      <w:rFonts w:ascii="Century Gothic" w:hAnsi="Century Gothic"/>
      <w:b/>
      <w:bCs/>
    </w:rPr>
  </w:style>
  <w:style w:type="paragraph" w:customStyle="1" w:styleId="xl93">
    <w:name w:val="xl93"/>
    <w:basedOn w:val="Standard"/>
    <w:pPr>
      <w:spacing w:before="100" w:after="100"/>
      <w:jc w:val="center"/>
    </w:pPr>
    <w:rPr>
      <w:rFonts w:ascii="Century Gothic" w:hAnsi="Century Gothic"/>
    </w:rPr>
  </w:style>
  <w:style w:type="paragraph" w:customStyle="1" w:styleId="xl94">
    <w:name w:val="xl94"/>
    <w:basedOn w:val="Standard"/>
    <w:pPr>
      <w:spacing w:before="100" w:after="100"/>
    </w:pPr>
    <w:rPr>
      <w:rFonts w:ascii="Century Gothic" w:hAnsi="Century Gothic"/>
      <w:b/>
      <w:bCs/>
    </w:rPr>
  </w:style>
  <w:style w:type="paragraph" w:customStyle="1" w:styleId="xl95">
    <w:name w:val="xl95"/>
    <w:basedOn w:val="Standard"/>
    <w:pPr>
      <w:spacing w:before="100" w:after="100"/>
    </w:pPr>
    <w:rPr>
      <w:rFonts w:cs="Arial"/>
    </w:rPr>
  </w:style>
  <w:style w:type="paragraph" w:customStyle="1" w:styleId="xl96">
    <w:name w:val="xl96"/>
    <w:basedOn w:val="Standard"/>
    <w:pPr>
      <w:spacing w:before="100" w:after="100"/>
    </w:pPr>
    <w:rPr>
      <w:rFonts w:cs="Arial"/>
    </w:rPr>
  </w:style>
  <w:style w:type="paragraph" w:customStyle="1" w:styleId="xl97">
    <w:name w:val="xl97"/>
    <w:basedOn w:val="Standard"/>
    <w:pPr>
      <w:spacing w:before="100" w:after="100"/>
      <w:jc w:val="center"/>
    </w:pPr>
    <w:rPr>
      <w:rFonts w:cs="Arial"/>
    </w:rPr>
  </w:style>
  <w:style w:type="paragraph" w:customStyle="1" w:styleId="xl98">
    <w:name w:val="xl98"/>
    <w:basedOn w:val="Standard"/>
    <w:pPr>
      <w:spacing w:before="100" w:after="100"/>
    </w:pPr>
    <w:rPr>
      <w:rFonts w:cs="Arial"/>
      <w:color w:val="0000FF"/>
    </w:rPr>
  </w:style>
  <w:style w:type="paragraph" w:customStyle="1" w:styleId="xl100">
    <w:name w:val="xl100"/>
    <w:basedOn w:val="Standard"/>
    <w:pPr>
      <w:spacing w:before="100" w:after="100"/>
    </w:pPr>
  </w:style>
  <w:style w:type="paragraph" w:customStyle="1" w:styleId="xl101">
    <w:name w:val="xl101"/>
    <w:basedOn w:val="Standard"/>
    <w:pPr>
      <w:spacing w:before="100" w:after="100"/>
    </w:pPr>
    <w:rPr>
      <w:rFonts w:ascii="Century Gothic" w:hAnsi="Century Gothic"/>
    </w:rPr>
  </w:style>
  <w:style w:type="paragraph" w:customStyle="1" w:styleId="xl102">
    <w:name w:val="xl102"/>
    <w:basedOn w:val="Standard"/>
    <w:pPr>
      <w:spacing w:before="100" w:after="100"/>
    </w:pPr>
    <w:rPr>
      <w:rFonts w:ascii="Century Gothic" w:hAnsi="Century Gothic"/>
    </w:rPr>
  </w:style>
  <w:style w:type="paragraph" w:customStyle="1" w:styleId="xl103">
    <w:name w:val="xl103"/>
    <w:basedOn w:val="Standard"/>
    <w:pPr>
      <w:spacing w:before="100" w:after="100"/>
    </w:pPr>
    <w:rPr>
      <w:rFonts w:ascii="Century Gothic" w:hAnsi="Century Gothic"/>
    </w:rPr>
  </w:style>
  <w:style w:type="paragraph" w:customStyle="1" w:styleId="xl104">
    <w:name w:val="xl104"/>
    <w:basedOn w:val="Standard"/>
    <w:pPr>
      <w:spacing w:before="100" w:after="100"/>
      <w:jc w:val="center"/>
    </w:pPr>
    <w:rPr>
      <w:rFonts w:ascii="Century Gothic" w:hAnsi="Century Gothic"/>
    </w:rPr>
  </w:style>
  <w:style w:type="paragraph" w:customStyle="1" w:styleId="xl105">
    <w:name w:val="xl105"/>
    <w:basedOn w:val="Standard"/>
    <w:pPr>
      <w:spacing w:before="100" w:after="100"/>
    </w:pPr>
    <w:rPr>
      <w:rFonts w:ascii="Century Gothic" w:hAnsi="Century Gothic"/>
    </w:rPr>
  </w:style>
  <w:style w:type="paragraph" w:customStyle="1" w:styleId="xl106">
    <w:name w:val="xl106"/>
    <w:basedOn w:val="Standard"/>
    <w:pPr>
      <w:spacing w:before="100" w:after="100"/>
    </w:pPr>
    <w:rPr>
      <w:rFonts w:ascii="Century Gothic" w:hAnsi="Century Gothic"/>
    </w:rPr>
  </w:style>
  <w:style w:type="paragraph" w:customStyle="1" w:styleId="xl107">
    <w:name w:val="xl107"/>
    <w:basedOn w:val="Standard"/>
    <w:pPr>
      <w:spacing w:before="100" w:after="100"/>
    </w:pPr>
    <w:rPr>
      <w:rFonts w:ascii="Century Gothic" w:hAnsi="Century Gothic"/>
    </w:rPr>
  </w:style>
  <w:style w:type="paragraph" w:customStyle="1" w:styleId="xl108">
    <w:name w:val="xl108"/>
    <w:basedOn w:val="Standard"/>
    <w:pPr>
      <w:spacing w:before="100" w:after="100"/>
      <w:jc w:val="center"/>
    </w:pPr>
    <w:rPr>
      <w:rFonts w:ascii="Century Gothic" w:hAnsi="Century Gothic"/>
    </w:rPr>
  </w:style>
  <w:style w:type="paragraph" w:customStyle="1" w:styleId="xl109">
    <w:name w:val="xl109"/>
    <w:basedOn w:val="Standard"/>
    <w:pPr>
      <w:spacing w:before="100" w:after="100"/>
    </w:pPr>
    <w:rPr>
      <w:rFonts w:ascii="Century Gothic" w:hAnsi="Century Gothic"/>
      <w:b/>
      <w:bCs/>
    </w:rPr>
  </w:style>
  <w:style w:type="paragraph" w:customStyle="1" w:styleId="xl110">
    <w:name w:val="xl110"/>
    <w:basedOn w:val="Standard"/>
    <w:pPr>
      <w:spacing w:before="100" w:after="100"/>
      <w:jc w:val="center"/>
    </w:pPr>
    <w:rPr>
      <w:rFonts w:ascii="Century Gothic" w:hAnsi="Century Gothic"/>
      <w:b/>
      <w:bCs/>
    </w:rPr>
  </w:style>
  <w:style w:type="paragraph" w:customStyle="1" w:styleId="xl111">
    <w:name w:val="xl111"/>
    <w:basedOn w:val="Standard"/>
    <w:pPr>
      <w:spacing w:before="100" w:after="100"/>
      <w:jc w:val="center"/>
    </w:pPr>
    <w:rPr>
      <w:rFonts w:ascii="Century Gothic" w:hAnsi="Century Gothic"/>
    </w:rPr>
  </w:style>
  <w:style w:type="paragraph" w:customStyle="1" w:styleId="xl112">
    <w:name w:val="xl112"/>
    <w:basedOn w:val="Standard"/>
    <w:pPr>
      <w:spacing w:before="100" w:after="100"/>
    </w:pPr>
    <w:rPr>
      <w:color w:val="00B050"/>
    </w:rPr>
  </w:style>
  <w:style w:type="paragraph" w:customStyle="1" w:styleId="xl113">
    <w:name w:val="xl113"/>
    <w:basedOn w:val="Standard"/>
    <w:pPr>
      <w:spacing w:before="100" w:after="100"/>
    </w:pPr>
    <w:rPr>
      <w:rFonts w:ascii="Century Gothic" w:hAnsi="Century Gothic"/>
      <w:b/>
      <w:bCs/>
      <w:i/>
      <w:iCs/>
      <w:color w:val="00B050"/>
      <w:sz w:val="28"/>
      <w:szCs w:val="28"/>
    </w:rPr>
  </w:style>
  <w:style w:type="paragraph" w:customStyle="1" w:styleId="xl114">
    <w:name w:val="xl114"/>
    <w:basedOn w:val="Standard"/>
    <w:pPr>
      <w:spacing w:before="100" w:after="100"/>
    </w:pPr>
    <w:rPr>
      <w:rFonts w:ascii="Century Gothic" w:hAnsi="Century Gothic"/>
      <w:color w:val="00B050"/>
    </w:rPr>
  </w:style>
  <w:style w:type="paragraph" w:customStyle="1" w:styleId="xl115">
    <w:name w:val="xl115"/>
    <w:basedOn w:val="Standard"/>
    <w:pPr>
      <w:spacing w:before="100" w:after="100"/>
    </w:pPr>
    <w:rPr>
      <w:rFonts w:ascii="Century Gothic" w:hAnsi="Century Gothic"/>
      <w:color w:val="00B050"/>
    </w:rPr>
  </w:style>
  <w:style w:type="paragraph" w:customStyle="1" w:styleId="xl116">
    <w:name w:val="xl116"/>
    <w:basedOn w:val="Standard"/>
    <w:pPr>
      <w:spacing w:before="100" w:after="100"/>
    </w:pPr>
    <w:rPr>
      <w:rFonts w:cs="Arial"/>
      <w:color w:val="00B050"/>
    </w:rPr>
  </w:style>
  <w:style w:type="paragraph" w:customStyle="1" w:styleId="xl117">
    <w:name w:val="xl117"/>
    <w:basedOn w:val="Standard"/>
    <w:pPr>
      <w:spacing w:before="100" w:after="100"/>
    </w:pPr>
    <w:rPr>
      <w:rFonts w:ascii="Century Gothic" w:hAnsi="Century Gothic"/>
      <w:color w:val="00B050"/>
    </w:rPr>
  </w:style>
  <w:style w:type="paragraph" w:customStyle="1" w:styleId="xl118">
    <w:name w:val="xl118"/>
    <w:basedOn w:val="Standard"/>
    <w:pPr>
      <w:spacing w:before="100" w:after="100"/>
      <w:jc w:val="center"/>
    </w:pPr>
    <w:rPr>
      <w:rFonts w:cs="Arial"/>
      <w:color w:val="00B050"/>
    </w:rPr>
  </w:style>
  <w:style w:type="paragraph" w:customStyle="1" w:styleId="xl119">
    <w:name w:val="xl119"/>
    <w:basedOn w:val="Standard"/>
    <w:pPr>
      <w:spacing w:before="100" w:after="100"/>
      <w:jc w:val="center"/>
    </w:pPr>
    <w:rPr>
      <w:rFonts w:ascii="Century Gothic" w:hAnsi="Century Gothic"/>
      <w:color w:val="00B050"/>
    </w:rPr>
  </w:style>
  <w:style w:type="paragraph" w:customStyle="1" w:styleId="xl120">
    <w:name w:val="xl120"/>
    <w:basedOn w:val="Standard"/>
    <w:pPr>
      <w:spacing w:before="100" w:after="100"/>
      <w:jc w:val="center"/>
    </w:pPr>
    <w:rPr>
      <w:rFonts w:ascii="Century Gothic" w:hAnsi="Century Gothic"/>
      <w:color w:val="00B050"/>
    </w:rPr>
  </w:style>
  <w:style w:type="paragraph" w:customStyle="1" w:styleId="xl121">
    <w:name w:val="xl121"/>
    <w:basedOn w:val="Standard"/>
    <w:pPr>
      <w:spacing w:before="100" w:after="100"/>
    </w:pPr>
    <w:rPr>
      <w:rFonts w:ascii="Century Gothic" w:hAnsi="Century Gothic"/>
      <w:color w:val="FF0000"/>
    </w:rPr>
  </w:style>
  <w:style w:type="paragraph" w:customStyle="1" w:styleId="xl122">
    <w:name w:val="xl122"/>
    <w:basedOn w:val="Standard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="100" w:after="100"/>
    </w:pPr>
    <w:rPr>
      <w:rFonts w:ascii="Century Gothic" w:hAnsi="Century Gothic"/>
    </w:rPr>
  </w:style>
  <w:style w:type="paragraph" w:customStyle="1" w:styleId="xl123">
    <w:name w:val="xl123"/>
    <w:basedOn w:val="Standard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="100" w:after="100"/>
      <w:jc w:val="center"/>
    </w:pPr>
    <w:rPr>
      <w:rFonts w:ascii="Century Gothic" w:hAnsi="Century Gothic"/>
    </w:rPr>
  </w:style>
  <w:style w:type="paragraph" w:customStyle="1" w:styleId="xl124">
    <w:name w:val="xl124"/>
    <w:basedOn w:val="Standard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="100" w:after="100"/>
    </w:pPr>
    <w:rPr>
      <w:rFonts w:ascii="Century Gothic" w:hAnsi="Century Gothic"/>
    </w:rPr>
  </w:style>
  <w:style w:type="paragraph" w:customStyle="1" w:styleId="xl125">
    <w:name w:val="xl125"/>
    <w:basedOn w:val="Standard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="100" w:after="100"/>
    </w:pPr>
    <w:rPr>
      <w:rFonts w:ascii="Century Gothic" w:hAnsi="Century Gothic"/>
    </w:rPr>
  </w:style>
  <w:style w:type="paragraph" w:customStyle="1" w:styleId="xl126">
    <w:name w:val="xl126"/>
    <w:basedOn w:val="Standard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="100" w:after="100"/>
      <w:jc w:val="right"/>
    </w:pPr>
    <w:rPr>
      <w:rFonts w:ascii="Century Gothic" w:hAnsi="Century Gothic"/>
    </w:rPr>
  </w:style>
  <w:style w:type="paragraph" w:customStyle="1" w:styleId="xl127">
    <w:name w:val="xl127"/>
    <w:basedOn w:val="Standard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="100" w:after="100"/>
    </w:pPr>
    <w:rPr>
      <w:rFonts w:ascii="Century Gothic" w:hAnsi="Century Gothic"/>
      <w:color w:val="FF0000"/>
    </w:rPr>
  </w:style>
  <w:style w:type="paragraph" w:customStyle="1" w:styleId="xl128">
    <w:name w:val="xl128"/>
    <w:basedOn w:val="Standard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="100" w:after="100"/>
      <w:jc w:val="center"/>
    </w:pPr>
    <w:rPr>
      <w:rFonts w:ascii="Century Gothic" w:hAnsi="Century Gothic"/>
    </w:rPr>
  </w:style>
  <w:style w:type="paragraph" w:customStyle="1" w:styleId="xl129">
    <w:name w:val="xl129"/>
    <w:basedOn w:val="Standard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="100" w:after="100"/>
    </w:pPr>
    <w:rPr>
      <w:rFonts w:ascii="Century Gothic" w:hAnsi="Century Gothic"/>
    </w:rPr>
  </w:style>
  <w:style w:type="paragraph" w:customStyle="1" w:styleId="xl130">
    <w:name w:val="xl130"/>
    <w:basedOn w:val="Standard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="100" w:after="100"/>
      <w:jc w:val="center"/>
    </w:pPr>
    <w:rPr>
      <w:rFonts w:ascii="Century Gothic" w:hAnsi="Century Gothic"/>
      <w:sz w:val="18"/>
      <w:szCs w:val="18"/>
    </w:rPr>
  </w:style>
  <w:style w:type="paragraph" w:customStyle="1" w:styleId="xl131">
    <w:name w:val="xl131"/>
    <w:basedOn w:val="Standard"/>
    <w:pPr>
      <w:spacing w:before="100" w:after="100"/>
    </w:pPr>
    <w:rPr>
      <w:rFonts w:cs="Arial"/>
      <w:sz w:val="16"/>
      <w:szCs w:val="16"/>
    </w:rPr>
  </w:style>
  <w:style w:type="paragraph" w:customStyle="1" w:styleId="xl132">
    <w:name w:val="xl132"/>
    <w:basedOn w:val="Standard"/>
    <w:pPr>
      <w:spacing w:before="100" w:after="100"/>
    </w:pPr>
    <w:rPr>
      <w:rFonts w:ascii="Century Gothic" w:hAnsi="Century Gothic"/>
      <w:sz w:val="16"/>
      <w:szCs w:val="16"/>
    </w:rPr>
  </w:style>
  <w:style w:type="paragraph" w:customStyle="1" w:styleId="xl133">
    <w:name w:val="xl133"/>
    <w:basedOn w:val="Standard"/>
    <w:pPr>
      <w:spacing w:before="100" w:after="100"/>
    </w:pPr>
    <w:rPr>
      <w:rFonts w:ascii="Century Gothic" w:hAnsi="Century Gothic"/>
      <w:sz w:val="16"/>
      <w:szCs w:val="16"/>
    </w:rPr>
  </w:style>
  <w:style w:type="paragraph" w:customStyle="1" w:styleId="xl134">
    <w:name w:val="xl134"/>
    <w:basedOn w:val="Standard"/>
    <w:pPr>
      <w:spacing w:before="100" w:after="100"/>
    </w:pPr>
    <w:rPr>
      <w:rFonts w:ascii="Century Gothic" w:hAnsi="Century Gothic"/>
      <w:sz w:val="16"/>
      <w:szCs w:val="16"/>
    </w:rPr>
  </w:style>
  <w:style w:type="paragraph" w:customStyle="1" w:styleId="xl135">
    <w:name w:val="xl135"/>
    <w:basedOn w:val="Standard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="100" w:after="100"/>
    </w:pPr>
    <w:rPr>
      <w:rFonts w:ascii="Century Gothic" w:hAnsi="Century Gothic"/>
      <w:sz w:val="16"/>
      <w:szCs w:val="16"/>
    </w:rPr>
  </w:style>
  <w:style w:type="paragraph" w:customStyle="1" w:styleId="xl136">
    <w:name w:val="xl136"/>
    <w:basedOn w:val="Standard"/>
    <w:pPr>
      <w:spacing w:before="100" w:after="100"/>
    </w:pPr>
    <w:rPr>
      <w:rFonts w:ascii="Century Gothic" w:hAnsi="Century Gothic"/>
      <w:sz w:val="16"/>
      <w:szCs w:val="16"/>
    </w:rPr>
  </w:style>
  <w:style w:type="paragraph" w:customStyle="1" w:styleId="xl137">
    <w:name w:val="xl137"/>
    <w:basedOn w:val="Standard"/>
    <w:pPr>
      <w:spacing w:before="100" w:after="100"/>
    </w:pPr>
    <w:rPr>
      <w:rFonts w:cs="Arial"/>
      <w:b/>
      <w:bCs/>
      <w:sz w:val="16"/>
      <w:szCs w:val="16"/>
    </w:rPr>
  </w:style>
  <w:style w:type="paragraph" w:customStyle="1" w:styleId="xl138">
    <w:name w:val="xl138"/>
    <w:basedOn w:val="Standard"/>
    <w:pPr>
      <w:spacing w:before="100" w:after="100"/>
    </w:pPr>
    <w:rPr>
      <w:rFonts w:cs="Arial"/>
      <w:sz w:val="16"/>
      <w:szCs w:val="16"/>
    </w:rPr>
  </w:style>
  <w:style w:type="paragraph" w:customStyle="1" w:styleId="xl139">
    <w:name w:val="xl139"/>
    <w:basedOn w:val="Standard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="100" w:after="100"/>
    </w:pPr>
    <w:rPr>
      <w:rFonts w:ascii="Century Gothic" w:hAnsi="Century Gothic"/>
    </w:rPr>
  </w:style>
  <w:style w:type="paragraph" w:customStyle="1" w:styleId="font9">
    <w:name w:val="font9"/>
    <w:basedOn w:val="Standard"/>
    <w:pPr>
      <w:spacing w:before="100" w:after="100"/>
    </w:pPr>
    <w:rPr>
      <w:rFonts w:ascii="Century Gothic" w:hAnsi="Century Gothic"/>
      <w:i/>
      <w:iCs/>
      <w:sz w:val="22"/>
      <w:szCs w:val="22"/>
    </w:rPr>
  </w:style>
  <w:style w:type="paragraph" w:customStyle="1" w:styleId="xl99">
    <w:name w:val="xl99"/>
    <w:basedOn w:val="Standard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="100" w:after="100"/>
    </w:pPr>
    <w:rPr>
      <w:rFonts w:ascii="Century Gothic" w:hAnsi="Century Gothic"/>
      <w:sz w:val="22"/>
      <w:szCs w:val="22"/>
    </w:rPr>
  </w:style>
  <w:style w:type="paragraph" w:customStyle="1" w:styleId="xl140">
    <w:name w:val="xl140"/>
    <w:basedOn w:val="Standard"/>
    <w:pPr>
      <w:spacing w:before="100" w:after="100"/>
      <w:jc w:val="center"/>
    </w:pPr>
    <w:rPr>
      <w:rFonts w:ascii="Century Gothic" w:hAnsi="Century Gothic"/>
    </w:rPr>
  </w:style>
  <w:style w:type="paragraph" w:styleId="Revision">
    <w:name w:val="Revision"/>
    <w:pPr>
      <w:widowControl/>
      <w:suppressAutoHyphens/>
    </w:pPr>
    <w:rPr>
      <w:sz w:val="24"/>
      <w:szCs w:val="24"/>
    </w:rPr>
  </w:style>
  <w:style w:type="paragraph" w:customStyle="1" w:styleId="Footnote">
    <w:name w:val="Footnote"/>
    <w:basedOn w:val="Standard"/>
    <w:pPr>
      <w:suppressLineNumbers/>
      <w:ind w:left="283" w:hanging="283"/>
    </w:pPr>
    <w:rPr>
      <w:sz w:val="20"/>
      <w:szCs w:val="20"/>
    </w:r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EquationCaption">
    <w:name w:val="_Equation Caption"/>
  </w:style>
  <w:style w:type="character" w:customStyle="1" w:styleId="TechInit">
    <w:name w:val="Tech Init"/>
    <w:rPr>
      <w:rFonts w:ascii="Times New Roman" w:hAnsi="Times New Roman"/>
      <w:sz w:val="20"/>
      <w:lang w:val="en-US"/>
    </w:rPr>
  </w:style>
  <w:style w:type="character" w:customStyle="1" w:styleId="Technical1">
    <w:name w:val="Technical 1"/>
    <w:rPr>
      <w:rFonts w:ascii="Times New Roman" w:hAnsi="Times New Roman"/>
      <w:sz w:val="20"/>
      <w:lang w:val="en-US"/>
    </w:rPr>
  </w:style>
  <w:style w:type="character" w:customStyle="1" w:styleId="Technical2">
    <w:name w:val="Technical 2"/>
    <w:rPr>
      <w:rFonts w:ascii="Times New Roman" w:hAnsi="Times New Roman"/>
      <w:sz w:val="20"/>
      <w:lang w:val="en-US"/>
    </w:rPr>
  </w:style>
  <w:style w:type="character" w:customStyle="1" w:styleId="Technical3">
    <w:name w:val="Technical 3"/>
    <w:rPr>
      <w:rFonts w:ascii="Times New Roman" w:hAnsi="Times New Roman"/>
      <w:sz w:val="20"/>
      <w:lang w:val="en-US"/>
    </w:rPr>
  </w:style>
  <w:style w:type="character" w:customStyle="1" w:styleId="DocInit">
    <w:name w:val="Doc Init"/>
    <w:basedOn w:val="DefaultParagraphFont"/>
  </w:style>
  <w:style w:type="character" w:customStyle="1" w:styleId="Document2">
    <w:name w:val="Document 2"/>
    <w:rPr>
      <w:rFonts w:ascii="Times New Roman" w:hAnsi="Times New Roman"/>
      <w:sz w:val="20"/>
      <w:lang w:val="en-US"/>
    </w:rPr>
  </w:style>
  <w:style w:type="character" w:customStyle="1" w:styleId="Document3">
    <w:name w:val="Document 3"/>
    <w:rPr>
      <w:rFonts w:ascii="Times New Roman" w:hAnsi="Times New Roman"/>
      <w:sz w:val="20"/>
      <w:lang w:val="en-US"/>
    </w:rPr>
  </w:style>
  <w:style w:type="character" w:customStyle="1" w:styleId="Document4">
    <w:name w:val="Document 4"/>
    <w:rPr>
      <w:b/>
      <w:i/>
      <w:sz w:val="20"/>
    </w:rPr>
  </w:style>
  <w:style w:type="character" w:customStyle="1" w:styleId="Document5">
    <w:name w:val="Document 5"/>
    <w:basedOn w:val="DefaultParagraphFont"/>
  </w:style>
  <w:style w:type="character" w:customStyle="1" w:styleId="Document6">
    <w:name w:val="Document 6"/>
    <w:basedOn w:val="DefaultParagraphFont"/>
  </w:style>
  <w:style w:type="character" w:customStyle="1" w:styleId="Document7">
    <w:name w:val="Document 7"/>
    <w:basedOn w:val="DefaultParagraphFont"/>
  </w:style>
  <w:style w:type="character" w:customStyle="1" w:styleId="Document8">
    <w:name w:val="Document 8"/>
    <w:basedOn w:val="DefaultParagraphFont"/>
  </w:style>
  <w:style w:type="character" w:customStyle="1" w:styleId="AHead">
    <w:name w:val="A Head"/>
    <w:rPr>
      <w:rFonts w:ascii="Times New Roman" w:hAnsi="Times New Roman"/>
      <w:sz w:val="20"/>
      <w:lang w:val="en-US"/>
    </w:rPr>
  </w:style>
  <w:style w:type="character" w:customStyle="1" w:styleId="DefaultPara">
    <w:name w:val="Default Para"/>
    <w:rPr>
      <w:rFonts w:ascii="CG Times" w:hAnsi="CG Times"/>
      <w:b/>
      <w:i/>
      <w:sz w:val="24"/>
      <w:lang w:val="en-US"/>
    </w:rPr>
  </w:style>
  <w:style w:type="character" w:customStyle="1" w:styleId="Bibliogrphy">
    <w:name w:val="Bibliogrphy"/>
    <w:basedOn w:val="DefaultParagraphFont"/>
  </w:style>
  <w:style w:type="character" w:customStyle="1" w:styleId="BulletList">
    <w:name w:val="Bullet List"/>
    <w:basedOn w:val="DefaultParagraphFont"/>
  </w:style>
  <w:style w:type="character" w:styleId="FootnoteReference">
    <w:name w:val="footnote reference"/>
    <w:rPr>
      <w:position w:val="0"/>
      <w:vertAlign w:val="superscript"/>
    </w:rPr>
  </w:style>
  <w:style w:type="character" w:styleId="PageNumber">
    <w:name w:val="page number"/>
    <w:basedOn w:val="DefaultParagraphFont"/>
  </w:style>
  <w:style w:type="character" w:customStyle="1" w:styleId="Internetlink">
    <w:name w:val="Internet 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character" w:customStyle="1" w:styleId="BodyTextChar">
    <w:name w:val="Body Text Char"/>
    <w:rPr>
      <w:color w:val="FFFF00"/>
      <w:sz w:val="28"/>
      <w:lang w:val="en-US"/>
    </w:rPr>
  </w:style>
  <w:style w:type="character" w:styleId="CommentReference">
    <w:name w:val="annotation reference"/>
    <w:rPr>
      <w:sz w:val="16"/>
    </w:rPr>
  </w:style>
  <w:style w:type="character" w:customStyle="1" w:styleId="StrongEmphasis">
    <w:name w:val="Strong Emphasis"/>
    <w:rPr>
      <w:b/>
      <w:bCs/>
    </w:rPr>
  </w:style>
  <w:style w:type="character" w:customStyle="1" w:styleId="Heading1Char">
    <w:name w:val="Heading 1 Char"/>
    <w:rPr>
      <w:b/>
      <w:sz w:val="36"/>
      <w:lang w:val="en-US" w:bidi="ar-SA"/>
    </w:rPr>
  </w:style>
  <w:style w:type="character" w:customStyle="1" w:styleId="Heading2Char">
    <w:name w:val="Heading 2 Char"/>
    <w:rPr>
      <w:b/>
      <w:sz w:val="28"/>
      <w:lang w:val="en-US" w:bidi="ar-SA"/>
    </w:rPr>
  </w:style>
  <w:style w:type="character" w:customStyle="1" w:styleId="HeaderChar">
    <w:name w:val="Header Char"/>
    <w:rPr>
      <w:lang w:val="en-US" w:bidi="ar-SA"/>
    </w:rPr>
  </w:style>
  <w:style w:type="character" w:customStyle="1" w:styleId="FootnoteTextChar2">
    <w:name w:val="Footnote Text Char2"/>
    <w:rPr>
      <w:lang w:val="en-US" w:bidi="ar-SA"/>
    </w:rPr>
  </w:style>
  <w:style w:type="character" w:customStyle="1" w:styleId="BodyTextFirstIndentChar">
    <w:name w:val="Body Text First Indent Char"/>
    <w:rPr>
      <w:color w:val="FFFF00"/>
      <w:sz w:val="24"/>
      <w:lang w:val="en-US" w:eastAsia="hr-HR" w:bidi="ar-SA"/>
    </w:rPr>
  </w:style>
  <w:style w:type="character" w:customStyle="1" w:styleId="Heading3Char">
    <w:name w:val="Heading 3 Char"/>
    <w:rPr>
      <w:b/>
      <w:sz w:val="28"/>
      <w:lang w:val="en-US" w:bidi="ar-SA"/>
    </w:rPr>
  </w:style>
  <w:style w:type="character" w:customStyle="1" w:styleId="Heading4Char">
    <w:name w:val="Heading 4 Char"/>
    <w:rPr>
      <w:spacing w:val="-4"/>
      <w:sz w:val="24"/>
      <w:lang w:val="en-US"/>
    </w:rPr>
  </w:style>
  <w:style w:type="character" w:customStyle="1" w:styleId="Heading5Char">
    <w:name w:val="Heading 5 Char"/>
    <w:rPr>
      <w:i/>
      <w:sz w:val="24"/>
      <w:lang w:val="en-US" w:bidi="ar-SA"/>
    </w:rPr>
  </w:style>
  <w:style w:type="character" w:customStyle="1" w:styleId="Heading6Char">
    <w:name w:val="Heading 6 Char"/>
    <w:rPr>
      <w:sz w:val="24"/>
      <w:lang w:val="en-US" w:bidi="ar-SA"/>
    </w:rPr>
  </w:style>
  <w:style w:type="character" w:customStyle="1" w:styleId="Heading7Char">
    <w:name w:val="Heading 7 Char"/>
    <w:rPr>
      <w:color w:val="FFFF00"/>
      <w:sz w:val="24"/>
      <w:lang w:val="en-US" w:bidi="ar-SA"/>
    </w:rPr>
  </w:style>
  <w:style w:type="character" w:customStyle="1" w:styleId="Heading8Char">
    <w:name w:val="Heading 8 Char"/>
    <w:rPr>
      <w:i/>
      <w:sz w:val="24"/>
      <w:lang w:val="en-US" w:bidi="ar-SA"/>
    </w:rPr>
  </w:style>
  <w:style w:type="character" w:customStyle="1" w:styleId="Heading9Char">
    <w:name w:val="Heading 9 Char"/>
    <w:rPr>
      <w:rFonts w:ascii="Arial" w:hAnsi="Arial"/>
      <w:sz w:val="22"/>
      <w:lang w:val="en-US" w:bidi="ar-SA"/>
    </w:rPr>
  </w:style>
  <w:style w:type="character" w:customStyle="1" w:styleId="FooterChar">
    <w:name w:val="Footer Char"/>
    <w:rPr>
      <w:lang w:val="en-US" w:bidi="ar-SA"/>
    </w:rPr>
  </w:style>
  <w:style w:type="character" w:customStyle="1" w:styleId="DocumentMapChar">
    <w:name w:val="Document Map Char"/>
    <w:rPr>
      <w:rFonts w:ascii="Tahoma" w:hAnsi="Tahoma"/>
      <w:sz w:val="24"/>
      <w:lang w:val="en-US" w:bidi="ar-SA"/>
    </w:rPr>
  </w:style>
  <w:style w:type="character" w:customStyle="1" w:styleId="BalloonTextChar">
    <w:name w:val="Balloon Text Char"/>
    <w:rPr>
      <w:rFonts w:ascii="Tahoma" w:hAnsi="Tahoma"/>
      <w:sz w:val="16"/>
      <w:lang w:val="en-US" w:bidi="ar-SA"/>
    </w:rPr>
  </w:style>
  <w:style w:type="character" w:customStyle="1" w:styleId="BodyTextChar1">
    <w:name w:val="Body Text Char1"/>
    <w:rPr>
      <w:color w:val="FFFF00"/>
      <w:sz w:val="28"/>
      <w:lang w:val="en-US" w:bidi="ar-SA"/>
    </w:rPr>
  </w:style>
  <w:style w:type="character" w:customStyle="1" w:styleId="BodyText3Char">
    <w:name w:val="Body Text 3 Char"/>
    <w:rPr>
      <w:i/>
      <w:sz w:val="24"/>
      <w:lang w:val="en-US" w:bidi="ar-SA"/>
    </w:rPr>
  </w:style>
  <w:style w:type="character" w:customStyle="1" w:styleId="singlespaceChar">
    <w:name w:val="single space Char"/>
    <w:rPr>
      <w:lang w:val="en-US" w:eastAsia="en-US" w:bidi="ar-SA"/>
    </w:rPr>
  </w:style>
  <w:style w:type="character" w:customStyle="1" w:styleId="Administrator">
    <w:name w:val="Administrator"/>
    <w:rPr>
      <w:rFonts w:ascii="Garamond" w:hAnsi="Garamond"/>
      <w:b w:val="0"/>
      <w:bCs w:val="0"/>
      <w:i w:val="0"/>
      <w:iCs w:val="0"/>
      <w:strike w:val="0"/>
      <w:dstrike w:val="0"/>
      <w:color w:val="00000A"/>
      <w:sz w:val="24"/>
      <w:szCs w:val="24"/>
      <w:u w:val="none"/>
    </w:rPr>
  </w:style>
  <w:style w:type="character" w:customStyle="1" w:styleId="longtext">
    <w:name w:val="long_text"/>
    <w:basedOn w:val="DefaultParagraphFont"/>
  </w:style>
  <w:style w:type="character" w:customStyle="1" w:styleId="TitleChar">
    <w:name w:val="Title Char"/>
    <w:rPr>
      <w:b/>
      <w:sz w:val="48"/>
      <w:lang w:val="en-US"/>
    </w:rPr>
  </w:style>
  <w:style w:type="character" w:customStyle="1" w:styleId="SubtitleChar">
    <w:name w:val="Subtitle Char"/>
    <w:rPr>
      <w:b/>
      <w:sz w:val="44"/>
      <w:lang w:val="en-US"/>
    </w:rPr>
  </w:style>
  <w:style w:type="character" w:customStyle="1" w:styleId="BodyTextIndent2Char">
    <w:name w:val="Body Text Indent 2 Char"/>
    <w:rPr>
      <w:sz w:val="24"/>
      <w:lang w:val="en-US"/>
    </w:rPr>
  </w:style>
  <w:style w:type="character" w:customStyle="1" w:styleId="BodyTextIndent3Char">
    <w:name w:val="Body Text Indent 3 Char"/>
    <w:rPr>
      <w:sz w:val="24"/>
      <w:lang w:val="en-US"/>
    </w:rPr>
  </w:style>
  <w:style w:type="character" w:customStyle="1" w:styleId="BodyTextIndentChar">
    <w:name w:val="Body Text Indent Char"/>
    <w:rPr>
      <w:sz w:val="24"/>
      <w:lang w:eastAsia="hr-HR"/>
    </w:rPr>
  </w:style>
  <w:style w:type="character" w:customStyle="1" w:styleId="BodyTextFirstIndent2Char">
    <w:name w:val="Body Text First Indent 2 Char"/>
    <w:rPr>
      <w:sz w:val="24"/>
      <w:lang w:val="en-US"/>
    </w:rPr>
  </w:style>
  <w:style w:type="character" w:customStyle="1" w:styleId="ClosingChar">
    <w:name w:val="Closing Char"/>
    <w:rPr>
      <w:sz w:val="24"/>
      <w:lang w:val="en-US"/>
    </w:rPr>
  </w:style>
  <w:style w:type="character" w:customStyle="1" w:styleId="CommentTextChar">
    <w:name w:val="Comment Text Char"/>
    <w:rPr>
      <w:lang w:val="en-US"/>
    </w:rPr>
  </w:style>
  <w:style w:type="character" w:customStyle="1" w:styleId="DateChar">
    <w:name w:val="Date Char"/>
    <w:rPr>
      <w:sz w:val="24"/>
      <w:lang w:val="en-US"/>
    </w:rPr>
  </w:style>
  <w:style w:type="character" w:customStyle="1" w:styleId="E-mailSignatureChar">
    <w:name w:val="E-mail Signature Char"/>
    <w:rPr>
      <w:sz w:val="24"/>
      <w:lang w:val="en-US"/>
    </w:rPr>
  </w:style>
  <w:style w:type="character" w:customStyle="1" w:styleId="EndnoteTextChar">
    <w:name w:val="Endnote Text Char"/>
    <w:rPr>
      <w:lang w:val="en-US"/>
    </w:rPr>
  </w:style>
  <w:style w:type="character" w:customStyle="1" w:styleId="HTMLAddressChar">
    <w:name w:val="HTML Address Char"/>
    <w:rPr>
      <w:i/>
      <w:sz w:val="24"/>
      <w:lang w:val="en-US"/>
    </w:rPr>
  </w:style>
  <w:style w:type="character" w:customStyle="1" w:styleId="HTMLPreformattedChar">
    <w:name w:val="HTML Preformatted Char"/>
    <w:rPr>
      <w:rFonts w:ascii="Courier New" w:hAnsi="Courier New"/>
      <w:lang w:val="en-US"/>
    </w:rPr>
  </w:style>
  <w:style w:type="character" w:customStyle="1" w:styleId="MacroTextChar">
    <w:name w:val="Macro Text Char"/>
    <w:rPr>
      <w:rFonts w:ascii="Courier New" w:hAnsi="Courier New"/>
      <w:lang w:val="en-US"/>
    </w:rPr>
  </w:style>
  <w:style w:type="character" w:customStyle="1" w:styleId="MessageHeaderChar">
    <w:name w:val="Message Header Char"/>
    <w:rPr>
      <w:rFonts w:ascii="Arial" w:hAnsi="Arial"/>
      <w:sz w:val="24"/>
      <w:lang w:val="en-US"/>
    </w:rPr>
  </w:style>
  <w:style w:type="character" w:customStyle="1" w:styleId="NoteHeadingChar">
    <w:name w:val="Note Heading Char"/>
    <w:rPr>
      <w:sz w:val="24"/>
      <w:lang w:val="en-US"/>
    </w:rPr>
  </w:style>
  <w:style w:type="character" w:customStyle="1" w:styleId="PlainTextChar">
    <w:name w:val="Plain Text Char"/>
    <w:rPr>
      <w:rFonts w:ascii="Courier New" w:hAnsi="Courier New"/>
      <w:lang w:val="en-US"/>
    </w:rPr>
  </w:style>
  <w:style w:type="character" w:customStyle="1" w:styleId="SalutationChar">
    <w:name w:val="Salutation Char"/>
    <w:rPr>
      <w:sz w:val="24"/>
      <w:lang w:val="en-US"/>
    </w:rPr>
  </w:style>
  <w:style w:type="character" w:customStyle="1" w:styleId="SignatureChar">
    <w:name w:val="Signature Char"/>
    <w:rPr>
      <w:sz w:val="24"/>
      <w:lang w:val="en-US"/>
    </w:rPr>
  </w:style>
  <w:style w:type="character" w:customStyle="1" w:styleId="BodyText2Char">
    <w:name w:val="Body Text 2 Char"/>
    <w:rPr>
      <w:sz w:val="24"/>
      <w:lang w:val="en-US"/>
    </w:rPr>
  </w:style>
  <w:style w:type="character" w:customStyle="1" w:styleId="CommentSubjectChar">
    <w:name w:val="Comment Subject Char"/>
    <w:rPr>
      <w:b/>
      <w:bCs/>
      <w:lang w:val="en-US"/>
    </w:rPr>
  </w:style>
  <w:style w:type="character" w:customStyle="1" w:styleId="ListLabel1">
    <w:name w:val="ListLabel 1"/>
    <w:rPr>
      <w:i w:val="0"/>
    </w:rPr>
  </w:style>
  <w:style w:type="character" w:customStyle="1" w:styleId="ListLabel2">
    <w:name w:val="ListLabel 2"/>
    <w:rPr>
      <w:rFonts w:cs="Courier New"/>
    </w:rPr>
  </w:style>
  <w:style w:type="character" w:customStyle="1" w:styleId="ListLabel3">
    <w:name w:val="ListLabel 3"/>
    <w:rPr>
      <w:color w:val="00000A"/>
    </w:rPr>
  </w:style>
  <w:style w:type="character" w:customStyle="1" w:styleId="ListLabel4">
    <w:name w:val="ListLabel 4"/>
    <w:rPr>
      <w:rFonts w:eastAsia="Times New Roman" w:cs="Times New Roman"/>
    </w:rPr>
  </w:style>
  <w:style w:type="character" w:customStyle="1" w:styleId="ListLabel5">
    <w:name w:val="ListLabel 5"/>
    <w:rPr>
      <w:color w:val="00000A"/>
      <w:sz w:val="22"/>
      <w:szCs w:val="22"/>
    </w:rPr>
  </w:style>
  <w:style w:type="character" w:customStyle="1" w:styleId="ListLabel6">
    <w:name w:val="ListLabel 6"/>
    <w:rPr>
      <w:rFonts w:eastAsia="Times New Roman" w:cs="Times New Roman"/>
      <w:b w:val="0"/>
    </w:rPr>
  </w:style>
  <w:style w:type="character" w:customStyle="1" w:styleId="ListLabel7">
    <w:name w:val="ListLabel 7"/>
    <w:rPr>
      <w:rFonts w:eastAsia="Calibri" w:cs="Arial"/>
    </w:rPr>
  </w:style>
  <w:style w:type="character" w:customStyle="1" w:styleId="EndnoteSymbol">
    <w:name w:val="Endnote Symbol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numbering" w:customStyle="1" w:styleId="Outline1">
    <w:name w:val="Outline_1"/>
    <w:basedOn w:val="NoList"/>
    <w:pPr>
      <w:numPr>
        <w:numId w:val="1"/>
      </w:numPr>
    </w:pPr>
  </w:style>
  <w:style w:type="numbering" w:customStyle="1" w:styleId="WWNum1">
    <w:name w:val="WWNum1"/>
    <w:basedOn w:val="NoList"/>
    <w:pPr>
      <w:numPr>
        <w:numId w:val="2"/>
      </w:numPr>
    </w:pPr>
  </w:style>
  <w:style w:type="numbering" w:customStyle="1" w:styleId="WWNum2">
    <w:name w:val="WWNum2"/>
    <w:basedOn w:val="NoList"/>
    <w:pPr>
      <w:numPr>
        <w:numId w:val="3"/>
      </w:numPr>
    </w:pPr>
  </w:style>
  <w:style w:type="numbering" w:customStyle="1" w:styleId="WWNum3">
    <w:name w:val="WWNum3"/>
    <w:basedOn w:val="NoList"/>
    <w:pPr>
      <w:numPr>
        <w:numId w:val="4"/>
      </w:numPr>
    </w:pPr>
  </w:style>
  <w:style w:type="numbering" w:customStyle="1" w:styleId="WWNum4">
    <w:name w:val="WWNum4"/>
    <w:basedOn w:val="NoList"/>
    <w:pPr>
      <w:numPr>
        <w:numId w:val="5"/>
      </w:numPr>
    </w:pPr>
  </w:style>
  <w:style w:type="numbering" w:customStyle="1" w:styleId="WWNum5">
    <w:name w:val="WWNum5"/>
    <w:basedOn w:val="NoList"/>
    <w:pPr>
      <w:numPr>
        <w:numId w:val="6"/>
      </w:numPr>
    </w:pPr>
  </w:style>
  <w:style w:type="numbering" w:customStyle="1" w:styleId="WWNum6">
    <w:name w:val="WWNum6"/>
    <w:basedOn w:val="NoList"/>
    <w:pPr>
      <w:numPr>
        <w:numId w:val="7"/>
      </w:numPr>
    </w:pPr>
  </w:style>
  <w:style w:type="numbering" w:customStyle="1" w:styleId="WWNum7">
    <w:name w:val="WWNum7"/>
    <w:basedOn w:val="NoList"/>
    <w:pPr>
      <w:numPr>
        <w:numId w:val="8"/>
      </w:numPr>
    </w:pPr>
  </w:style>
  <w:style w:type="numbering" w:customStyle="1" w:styleId="WWNum8">
    <w:name w:val="WWNum8"/>
    <w:basedOn w:val="NoList"/>
    <w:pPr>
      <w:numPr>
        <w:numId w:val="9"/>
      </w:numPr>
    </w:pPr>
  </w:style>
  <w:style w:type="numbering" w:customStyle="1" w:styleId="WWNum9">
    <w:name w:val="WWNum9"/>
    <w:basedOn w:val="NoList"/>
    <w:pPr>
      <w:numPr>
        <w:numId w:val="10"/>
      </w:numPr>
    </w:pPr>
  </w:style>
  <w:style w:type="numbering" w:customStyle="1" w:styleId="WWNum10">
    <w:name w:val="WWNum10"/>
    <w:basedOn w:val="NoList"/>
    <w:pPr>
      <w:numPr>
        <w:numId w:val="11"/>
      </w:numPr>
    </w:pPr>
  </w:style>
  <w:style w:type="numbering" w:customStyle="1" w:styleId="WWNum11">
    <w:name w:val="WWNum11"/>
    <w:basedOn w:val="NoList"/>
    <w:pPr>
      <w:numPr>
        <w:numId w:val="12"/>
      </w:numPr>
    </w:pPr>
  </w:style>
  <w:style w:type="numbering" w:customStyle="1" w:styleId="WWNum12">
    <w:name w:val="WWNum12"/>
    <w:basedOn w:val="NoList"/>
    <w:pPr>
      <w:numPr>
        <w:numId w:val="13"/>
      </w:numPr>
    </w:pPr>
  </w:style>
  <w:style w:type="numbering" w:customStyle="1" w:styleId="WWNum13">
    <w:name w:val="WWNum13"/>
    <w:basedOn w:val="NoList"/>
    <w:pPr>
      <w:numPr>
        <w:numId w:val="14"/>
      </w:numPr>
    </w:pPr>
  </w:style>
  <w:style w:type="numbering" w:customStyle="1" w:styleId="WWNum14">
    <w:name w:val="WWNum14"/>
    <w:basedOn w:val="NoList"/>
    <w:pPr>
      <w:numPr>
        <w:numId w:val="15"/>
      </w:numPr>
    </w:pPr>
  </w:style>
  <w:style w:type="numbering" w:customStyle="1" w:styleId="WWNum15">
    <w:name w:val="WWNum15"/>
    <w:basedOn w:val="NoList"/>
    <w:pPr>
      <w:numPr>
        <w:numId w:val="16"/>
      </w:numPr>
    </w:pPr>
  </w:style>
  <w:style w:type="numbering" w:customStyle="1" w:styleId="WWNum16">
    <w:name w:val="WWNum16"/>
    <w:basedOn w:val="NoList"/>
    <w:pPr>
      <w:numPr>
        <w:numId w:val="17"/>
      </w:numPr>
    </w:pPr>
  </w:style>
  <w:style w:type="numbering" w:customStyle="1" w:styleId="WWNum17">
    <w:name w:val="WWNum17"/>
    <w:basedOn w:val="NoList"/>
    <w:pPr>
      <w:numPr>
        <w:numId w:val="18"/>
      </w:numPr>
    </w:pPr>
  </w:style>
  <w:style w:type="numbering" w:customStyle="1" w:styleId="WWNum18">
    <w:name w:val="WWNum18"/>
    <w:basedOn w:val="NoList"/>
    <w:pPr>
      <w:numPr>
        <w:numId w:val="19"/>
      </w:numPr>
    </w:pPr>
  </w:style>
  <w:style w:type="numbering" w:customStyle="1" w:styleId="WWNum19">
    <w:name w:val="WWNum19"/>
    <w:basedOn w:val="NoList"/>
    <w:pPr>
      <w:numPr>
        <w:numId w:val="20"/>
      </w:numPr>
    </w:pPr>
  </w:style>
  <w:style w:type="numbering" w:customStyle="1" w:styleId="WWNum20">
    <w:name w:val="WWNum20"/>
    <w:basedOn w:val="NoList"/>
    <w:pPr>
      <w:numPr>
        <w:numId w:val="21"/>
      </w:numPr>
    </w:pPr>
  </w:style>
  <w:style w:type="numbering" w:customStyle="1" w:styleId="WWNum21">
    <w:name w:val="WWNum21"/>
    <w:basedOn w:val="NoList"/>
    <w:pPr>
      <w:numPr>
        <w:numId w:val="22"/>
      </w:numPr>
    </w:pPr>
  </w:style>
  <w:style w:type="numbering" w:customStyle="1" w:styleId="WWNum22">
    <w:name w:val="WWNum22"/>
    <w:basedOn w:val="NoList"/>
    <w:pPr>
      <w:numPr>
        <w:numId w:val="23"/>
      </w:numPr>
    </w:pPr>
  </w:style>
  <w:style w:type="numbering" w:customStyle="1" w:styleId="WWNum23">
    <w:name w:val="WWNum23"/>
    <w:basedOn w:val="NoList"/>
    <w:pPr>
      <w:numPr>
        <w:numId w:val="24"/>
      </w:numPr>
    </w:pPr>
  </w:style>
  <w:style w:type="numbering" w:customStyle="1" w:styleId="WWNum24">
    <w:name w:val="WWNum24"/>
    <w:basedOn w:val="NoList"/>
    <w:pPr>
      <w:numPr>
        <w:numId w:val="25"/>
      </w:numPr>
    </w:pPr>
  </w:style>
  <w:style w:type="numbering" w:customStyle="1" w:styleId="WWNum25">
    <w:name w:val="WWNum25"/>
    <w:basedOn w:val="NoList"/>
    <w:pPr>
      <w:numPr>
        <w:numId w:val="2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3426</Words>
  <Characters>19534</Characters>
  <Application>Microsoft Office Word</Application>
  <DocSecurity>0</DocSecurity>
  <Lines>162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Standard Bidding Documents</vt:lpstr>
    </vt:vector>
  </TitlesOfParts>
  <Company/>
  <LinksUpToDate>false</LinksUpToDate>
  <CharactersWithSpaces>22915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Standard Bidding Documents</dc:title>
  <dc:creator>OPRPGEMER</dc:creator>
  <cp:lastModifiedBy>Lazar Otasevic</cp:lastModifiedBy>
  <cp:revision>2</cp:revision>
  <cp:lastPrinted>2018-09-25T07:54:00Z</cp:lastPrinted>
  <dcterms:created xsi:type="dcterms:W3CDTF">2018-10-11T12:41:00Z</dcterms:created>
  <dcterms:modified xsi:type="dcterms:W3CDTF">2018-10-11T12:41:00Z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World Bank Group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